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986A" w14:textId="77777777" w:rsidR="00285422" w:rsidRDefault="00D22F2E">
      <w:pPr>
        <w:pStyle w:val="Title"/>
        <w:jc w:val="center"/>
        <w:rPr>
          <w:b/>
          <w:bCs/>
          <w:sz w:val="34"/>
          <w:szCs w:val="34"/>
        </w:rPr>
      </w:pPr>
      <w:bookmarkStart w:id="0" w:name="_ytluk8k5v0pw" w:colFirst="0" w:colLast="0"/>
      <w:bookmarkEnd w:id="0"/>
      <w:r>
        <w:t>American Identity</w:t>
      </w:r>
    </w:p>
    <w:p w14:paraId="2317986B" w14:textId="77777777" w:rsidR="00285422" w:rsidRDefault="00D22F2E">
      <w:pPr>
        <w:spacing w:before="240" w:after="240" w:line="360" w:lineRule="auto"/>
      </w:pPr>
      <w:r>
        <w:t>A few years ago, I attended a lecture on the American Constitution given by a local speaker. I remember being put off almost immediately. She was rude and condescending. She seemed less interested in teaching than in embarrassing her audience for not knowing enough about their own Constitution. A few bold souls ventured answers to her questions anyway, but after watching several people get swatted down, the rest of us grew quiet. It was, on the whole, an unpleasant and unsatisfying learning experience.</w:t>
      </w:r>
    </w:p>
    <w:p w14:paraId="104DF050" w14:textId="77777777" w:rsidR="00ED1FEB" w:rsidRDefault="00D22F2E">
      <w:pPr>
        <w:spacing w:before="240" w:after="240" w:line="360" w:lineRule="auto"/>
      </w:pPr>
      <w:r>
        <w:t xml:space="preserve">And yet that lecture has stayed with me, and, perhaps surprisingly, has given shape to much of my reading and thinking since then. About midway through, the speaker introduced a distinction between what she called the “old” or “original” Constitution and a “new” one. You can probably guess where she drew the line: at the Reconstruction Amendments, and especially at the Fourteenth, prompted, of course, by the end of the Civil War. </w:t>
      </w:r>
    </w:p>
    <w:p w14:paraId="2317986D" w14:textId="3ECB1769" w:rsidR="00285422" w:rsidRDefault="00D22F2E">
      <w:pPr>
        <w:spacing w:before="240" w:after="240" w:line="360" w:lineRule="auto"/>
      </w:pPr>
      <w:r>
        <w:t>Reconstruction really was a turning point. Those amendments did represent a break with the past, and they did set the Constitution off in a different direction. Citizenship and rights had been largely mediated by the states, but after Reconstruction they became the responsibility of the nation. Most of us, I dare say, would describe that direction as progress, even moral progress, in our understanding of what it means to be an American. Something that had been inchoate in our founding documents became, at least on paper, more explicit: we were not merely a collection of states bound by a compact, but a nation with a citizenry.</w:t>
      </w:r>
    </w:p>
    <w:p w14:paraId="2317986E" w14:textId="77777777" w:rsidR="00285422" w:rsidRDefault="00D22F2E">
      <w:pPr>
        <w:spacing w:before="240" w:after="240" w:line="360" w:lineRule="auto"/>
        <w:rPr>
          <w:color w:val="000000"/>
        </w:rPr>
      </w:pPr>
      <w:r>
        <w:t xml:space="preserve">This shift is perhaps most clearly expressed in the logic of the Fourteenth Amendment. With it, the nation, not merely the state you happen to live in, became the protector of rights and liberty: “No state shall make or enforce any law which shall abridge the privileges or immunities of the citizens of the United States; nor shall any state deprive any person of life, liberty, or property without due process of law; nor deny to any person within its jurisdiction the equal protection of the laws.” And with the Thirteenth Amendment we came a step closer to the promise of the Declaration of Independence that “all men are created equal.” How partial and fragile that step was became painfully apparent when Reconstruction failed. </w:t>
      </w:r>
      <w:r>
        <w:rPr>
          <w:color w:val="000000"/>
        </w:rPr>
        <w:t>The Jim Crow era that followed systematically nullified Reconstruction's promises for a century.</w:t>
      </w:r>
    </w:p>
    <w:p w14:paraId="2317986F" w14:textId="77777777" w:rsidR="00285422" w:rsidRDefault="00D22F2E">
      <w:pPr>
        <w:spacing w:before="240" w:after="240" w:line="360" w:lineRule="auto"/>
      </w:pPr>
      <w:r>
        <w:t>What surprised me, though, was what the speaker did next. She did not merely say that Reconstruction changed the “original” Constitution. She said it weakened it. Changed it, yes, but weakened it?</w:t>
      </w:r>
    </w:p>
    <w:p w14:paraId="23179870" w14:textId="3C2C526C" w:rsidR="00285422" w:rsidRDefault="00D22F2E">
      <w:pPr>
        <w:spacing w:before="240" w:after="240" w:line="360" w:lineRule="auto"/>
      </w:pPr>
      <w:r>
        <w:t xml:space="preserve">That is not a historical description. It is a value judgment. I struggled to understand, charitably, what she meant. </w:t>
      </w:r>
      <w:r w:rsidR="008F34CC">
        <w:t>After all</w:t>
      </w:r>
      <w:r>
        <w:t>, “weakened” could mean different things. It might mean that the Reconstruction Amendments weakened the sovereignty of the states by shifting power toward the federal government. It might mean they weakened the old constitutional arrangement by placing a new moral burden on a country that was not equipped or ready to bear it. Or it might mean, more philosophically, that they weakened social cohesion by elevating individual rights in ways that can thin out the bonds of community. But whatever she meant, she seemed to assume that the point was obvious, as if any knowledgeable person about the Constitution would share her nostalgia for the older order.</w:t>
      </w:r>
    </w:p>
    <w:p w14:paraId="23179871" w14:textId="77777777" w:rsidR="00285422" w:rsidRDefault="00D22F2E">
      <w:pPr>
        <w:spacing w:before="240" w:after="240" w:line="360" w:lineRule="auto"/>
      </w:pPr>
      <w:r>
        <w:t>There does seem to be a lot of sentiment today about turning to the past to find the answers to today’s challenges: a commitment to “originalism” in constitutional interpretation, a revival of older doctrines when it comes to trade and foreign policy, or a nostalgic return to the 1950s ideals of family, sexuality, and gender, among other things.</w:t>
      </w:r>
    </w:p>
    <w:p w14:paraId="23179872" w14:textId="77777777" w:rsidR="00285422" w:rsidRDefault="00D22F2E">
      <w:pPr>
        <w:spacing w:before="240" w:after="240" w:line="360" w:lineRule="auto"/>
      </w:pPr>
      <w:r>
        <w:t xml:space="preserve">Still, at the time, I found myself startled not only by her conclusion, but by how </w:t>
      </w:r>
      <w:r>
        <w:rPr>
          <w:i/>
          <w:iCs/>
        </w:rPr>
        <w:t xml:space="preserve">casually </w:t>
      </w:r>
      <w:r>
        <w:t xml:space="preserve">she assumed it. I had always thought of the Reconstruction Amendments as a moment in which we determined as a nation, however imperfectly, to live out more fully the ideals that were supposed to define us. If the American Revolution is the founding of our country, then these amendments are, as Eric </w:t>
      </w:r>
      <w:proofErr w:type="spellStart"/>
      <w:r>
        <w:t>Foner</w:t>
      </w:r>
      <w:proofErr w:type="spellEnd"/>
      <w:r>
        <w:t xml:space="preserve"> calls them, our “</w:t>
      </w:r>
      <w:hyperlink r:id="rId7">
        <w:r>
          <w:rPr>
            <w:color w:val="1155CC"/>
            <w:u w:val="single"/>
          </w:rPr>
          <w:t>Second Founding</w:t>
        </w:r>
      </w:hyperlink>
      <w:r>
        <w:t xml:space="preserve">.” We know that the promise of this second founding was not realized, and we are still living with that failure. Eddie S. </w:t>
      </w:r>
      <w:proofErr w:type="spellStart"/>
      <w:r>
        <w:t>Glaude</w:t>
      </w:r>
      <w:proofErr w:type="spellEnd"/>
      <w:r>
        <w:t xml:space="preserve"> Jr. has even argued that the country must, in a profound moral sense, “</w:t>
      </w:r>
      <w:hyperlink r:id="rId8">
        <w:r>
          <w:rPr>
            <w:color w:val="1155CC"/>
            <w:u w:val="single"/>
          </w:rPr>
          <w:t>Begin Again</w:t>
        </w:r>
      </w:hyperlink>
      <w:r>
        <w:t>.” But even so, I had been proud of the progress those amendments represented, however incomplete and contested. I was proud to be an American.</w:t>
      </w:r>
    </w:p>
    <w:p w14:paraId="23179873" w14:textId="77777777" w:rsidR="00285422" w:rsidRDefault="00D22F2E">
      <w:pPr>
        <w:spacing w:before="240" w:after="240" w:line="360" w:lineRule="auto"/>
      </w:pPr>
      <w:r>
        <w:t>Our readings this month put the underlying question in sharp relief. Is American identity defined by a commitment to political ideals (individual liberty, the rule of law, equality before the law, democratic self-government), all of which the Reconstruction amendments gave fuller voice to, or is it defined by ancestry, race, religion, or ethnicity? Until recently, I had thought this question had been settled, if not by the original Constitution, then at least by its “second founding” after the Civil War. But it is plainly evident now that it is not settled. At the highest levels of government, the idea of America as a shared commitment to civic ideals is treated as naïve, and the alternative is offered in language that sounds softer than it really is: “shared history,” “real Americans,” “</w:t>
      </w:r>
      <w:hyperlink r:id="rId9">
        <w:r>
          <w:rPr>
            <w:color w:val="1155CC"/>
            <w:u w:val="single"/>
          </w:rPr>
          <w:t>Heritage Americans</w:t>
        </w:r>
      </w:hyperlink>
      <w:r>
        <w:t>.”</w:t>
      </w:r>
      <w:r>
        <w:rPr>
          <w:vertAlign w:val="superscript"/>
        </w:rPr>
        <w:footnoteReference w:id="1"/>
      </w:r>
      <w:r>
        <w:t xml:space="preserve"> What matters, on this view, is not chiefly what you pledge yourself to, but who you descend from.</w:t>
      </w:r>
    </w:p>
    <w:p w14:paraId="23179874" w14:textId="77777777" w:rsidR="00285422" w:rsidRDefault="00D22F2E">
      <w:pPr>
        <w:spacing w:before="240" w:after="240" w:line="360" w:lineRule="auto"/>
      </w:pPr>
      <w:r>
        <w:t>There is a subtle but decisive moral move here. The moment you make ancestry the criterion of belonging, citizenship stops being a common status under law and starts to look like a tiered membership. Some belong fully and naturally; others belong only on probation, or by permission, or not at all. And once that door is open, it is hard to close. The language can remain polite while the logic becomes exclusionary.</w:t>
      </w:r>
    </w:p>
    <w:p w14:paraId="23179875" w14:textId="77777777" w:rsidR="00285422" w:rsidRDefault="00D22F2E">
      <w:pPr>
        <w:spacing w:before="240" w:after="240" w:line="360" w:lineRule="auto"/>
      </w:pPr>
      <w:r>
        <w:t>I am reminded here of a theological dispute in Fundamentalist Christianity during my childhood days over just who were the real Christians. There were Christians who were technically saved by Christ (think: “born again”) and who would thereby escape everlasting torment in Hell, and then there were those who were part of the “inner circle.” These were, to use a New Testament allusion, those who made up the Bride of Christ and who would sit close to him in Heaven. (My family, of course, as it was explained to me as a young boy, were in the “inner circle!”) The structure of the move is familiar: take what is, in principle, universal, and then introduce a second standard that creates a spiritual aristocracy. And so it now seems to be, at least in some rhetoric, with the question of who really counts as an American.</w:t>
      </w:r>
    </w:p>
    <w:p w14:paraId="23179876" w14:textId="77777777" w:rsidR="00285422" w:rsidRDefault="00D22F2E">
      <w:pPr>
        <w:spacing w:before="240" w:after="240" w:line="360" w:lineRule="auto"/>
      </w:pPr>
      <w:r>
        <w:t xml:space="preserve">But let me be more circumspect, because there is a serious concern on the other side that deserves a more thoughtful response than the quick rejection that I am seemingly giving. I am sympathetic to the conservative critique that certain expansions of individual liberty, including some readings of the Fourteenth Amendment, can undermine social cohesion and community. We do seem, especially in today’s polarized political environment, to be a circle that no longer has a center, and thus is coming apart. I can also understand that unrestrained immigration can overwhelm local communities and make genuine assimilation more difficult, especially if we treat assimilation as little more than paperwork or something that can be </w:t>
      </w:r>
      <w:hyperlink r:id="rId10">
        <w:r>
          <w:rPr>
            <w:color w:val="1155CC"/>
            <w:u w:val="single"/>
          </w:rPr>
          <w:t>purchased</w:t>
        </w:r>
      </w:hyperlink>
      <w:r>
        <w:t xml:space="preserve"> rather than a real civic formation into shared norms, responsibilities, and loyalties.</w:t>
      </w:r>
    </w:p>
    <w:p w14:paraId="23179877" w14:textId="77777777" w:rsidR="00285422" w:rsidRDefault="00D22F2E">
      <w:pPr>
        <w:spacing w:before="240" w:after="240" w:line="360" w:lineRule="auto"/>
      </w:pPr>
      <w:r>
        <w:t>How to deal with these challenges deserves careful consideration and our best efforts. But the answers are not to be found in distinguishing between “real Americans” and those who are not. They are not to be found in turning our backs on the unfinished promises of the Reconstruction Amendments. And they are certainly not to be found in nostalgia for a past that, for many Americans, was not a golden age at all.</w:t>
      </w:r>
    </w:p>
    <w:p w14:paraId="23179878" w14:textId="77777777" w:rsidR="00285422" w:rsidRDefault="00D22F2E">
      <w:pPr>
        <w:spacing w:before="240" w:line="360" w:lineRule="auto"/>
      </w:pPr>
      <w:r>
        <w:t>Michael D. Redmond</w:t>
      </w:r>
    </w:p>
    <w:p w14:paraId="23179879" w14:textId="77777777" w:rsidR="00285422" w:rsidRDefault="00D22F2E">
      <w:pPr>
        <w:spacing w:after="240" w:line="360" w:lineRule="auto"/>
      </w:pPr>
      <w:r>
        <w:t>December 21, 2025</w:t>
      </w:r>
    </w:p>
    <w:sectPr w:rsidR="0028542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7884" w14:textId="77777777" w:rsidR="00105591" w:rsidRDefault="00105591">
      <w:pPr>
        <w:spacing w:line="240" w:lineRule="auto"/>
      </w:pPr>
      <w:r>
        <w:separator/>
      </w:r>
    </w:p>
  </w:endnote>
  <w:endnote w:type="continuationSeparator" w:id="0">
    <w:p w14:paraId="632E2837" w14:textId="77777777" w:rsidR="00105591" w:rsidRDefault="00105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embedRegular r:id="rId1" w:fontKey="{5B008CAB-B77B-4488-A3E7-6E50220B125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987E" w14:textId="77777777" w:rsidR="00285422" w:rsidRDefault="00D22F2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9569" w14:textId="77777777" w:rsidR="00105591" w:rsidRDefault="00105591">
      <w:pPr>
        <w:spacing w:line="240" w:lineRule="auto"/>
      </w:pPr>
      <w:r>
        <w:separator/>
      </w:r>
    </w:p>
  </w:footnote>
  <w:footnote w:type="continuationSeparator" w:id="0">
    <w:p w14:paraId="589E56F8" w14:textId="77777777" w:rsidR="00105591" w:rsidRDefault="00105591">
      <w:pPr>
        <w:spacing w:line="240" w:lineRule="auto"/>
      </w:pPr>
      <w:r>
        <w:continuationSeparator/>
      </w:r>
    </w:p>
  </w:footnote>
  <w:footnote w:id="1">
    <w:p w14:paraId="2317987F" w14:textId="77777777" w:rsidR="00285422" w:rsidRDefault="00D22F2E">
      <w:pPr>
        <w:spacing w:line="240" w:lineRule="auto"/>
        <w:rPr>
          <w:sz w:val="20"/>
          <w:szCs w:val="20"/>
        </w:rPr>
      </w:pPr>
      <w:r>
        <w:rPr>
          <w:vertAlign w:val="superscript"/>
        </w:rPr>
        <w:footnoteRef/>
      </w:r>
      <w:r>
        <w:rPr>
          <w:sz w:val="20"/>
          <w:szCs w:val="20"/>
        </w:rPr>
        <w:t xml:space="preserve">  See here, for instance, Vice-President Vance’s impassioned </w:t>
      </w:r>
      <w:hyperlink r:id="rId1">
        <w:r>
          <w:rPr>
            <w:color w:val="1155CC"/>
            <w:sz w:val="20"/>
            <w:szCs w:val="20"/>
            <w:u w:val="single"/>
          </w:rPr>
          <w:t xml:space="preserve"> Keynote speech</w:t>
        </w:r>
      </w:hyperlink>
      <w:r>
        <w:rPr>
          <w:sz w:val="20"/>
          <w:szCs w:val="20"/>
        </w:rPr>
        <w:t xml:space="preserve"> at the Claremont Institute's Statesmanship Award Event, July 5, 2025. For Heritage Americans, see Ward, Ian. “</w:t>
      </w:r>
      <w:hyperlink r:id="rId2">
        <w:r>
          <w:rPr>
            <w:color w:val="1155CC"/>
            <w:sz w:val="20"/>
            <w:szCs w:val="20"/>
            <w:u w:val="single"/>
          </w:rPr>
          <w:t>The Online Right’s Favorite Nativist Slogan Is Gaining Traction in the Real World</w:t>
        </w:r>
      </w:hyperlink>
      <w:r>
        <w:rPr>
          <w:sz w:val="20"/>
          <w:szCs w:val="20"/>
        </w:rPr>
        <w:t xml:space="preserve">.” </w:t>
      </w:r>
      <w:r>
        <w:rPr>
          <w:i/>
          <w:iCs/>
          <w:sz w:val="20"/>
          <w:szCs w:val="20"/>
        </w:rPr>
        <w:t>POLITICO Magazine</w:t>
      </w:r>
      <w:r>
        <w:rPr>
          <w:sz w:val="20"/>
          <w:szCs w:val="20"/>
        </w:rPr>
        <w:t>, 31 July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22"/>
    <w:rsid w:val="00105591"/>
    <w:rsid w:val="00151675"/>
    <w:rsid w:val="00285422"/>
    <w:rsid w:val="00692EE3"/>
    <w:rsid w:val="00774BFB"/>
    <w:rsid w:val="008460F0"/>
    <w:rsid w:val="008F34CC"/>
    <w:rsid w:val="00A96955"/>
    <w:rsid w:val="00D17107"/>
    <w:rsid w:val="00D22F2E"/>
    <w:rsid w:val="00ED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986A"/>
  <w15:docId w15:val="{0CF39CCC-9623-47E3-B6F4-A2BFD31D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15167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51675"/>
  </w:style>
  <w:style w:type="paragraph" w:styleId="Footer">
    <w:name w:val="footer"/>
    <w:basedOn w:val="Normal"/>
    <w:link w:val="FooterChar"/>
    <w:uiPriority w:val="99"/>
    <w:semiHidden/>
    <w:unhideWhenUsed/>
    <w:rsid w:val="0015167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5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azon.com/Eddie-Glaude-Begin-Again-Hardcover/dp/B08DZMMZ2S/ref=sr_1_3?crid=17UCHKQ8SMVCU&amp;dib=eyJ2IjoiMSJ9.78PAfn8q84X7RiTb4ve05VPTeDUAVQVo1kQ-VcIpvL4ulkbXruB6m8kltb9Z5tNjPb5Z8bCJGVgZEY9tuiSAXw.BBh8ZOuIZqD6f63R4DHimcdJLUpcequ47YdfnjK078E&amp;dib_tag=se&amp;keywords=glaude+begin+again&amp;qid=1766333360&amp;s=books&amp;sprefix=glaude+begin+again%2Cstripbooks%2C72&amp;sr=1-3"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amazon.com/Second-Founding-Reconstruction-Remade-Constitution/dp/0393652572"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abcnews.go.com/US/trumps-1-million-gold-card-immigration-application-plan/story?id=128320787" TargetMode="External" /><Relationship Id="rId4" Type="http://schemas.openxmlformats.org/officeDocument/2006/relationships/webSettings" Target="webSettings.xml" /><Relationship Id="rId9" Type="http://schemas.openxmlformats.org/officeDocument/2006/relationships/hyperlink" Target="https://www.theatlantic.com/technology/2025/10/heritage-americans-nativist-right/684472/" TargetMode="External" /></Relationships>
</file>

<file path=word/_rels/fontTable.xml.rels><?xml version="1.0" encoding="UTF-8" standalone="yes"?>
<Relationships xmlns="http://schemas.openxmlformats.org/package/2006/relationships"><Relationship Id="rId1" Type="http://schemas.openxmlformats.org/officeDocument/2006/relationships/font" Target="fonts/font1.odttf" /></Relationships>
</file>

<file path=word/_rels/footnotes.xml.rels><?xml version="1.0" encoding="UTF-8" standalone="yes"?>
<Relationships xmlns="http://schemas.openxmlformats.org/package/2006/relationships"><Relationship Id="rId2" Type="http://schemas.openxmlformats.org/officeDocument/2006/relationships/hyperlink" Target="https://www.politico.com/news/magazine/2025/07/31/heritage-american-jd-vance-online-right-phrase-00481724" TargetMode="External" /><Relationship Id="rId1" Type="http://schemas.openxmlformats.org/officeDocument/2006/relationships/hyperlink" Target="https://singjupost.com/transcript-jd-vances-speech-at-the-claremont-institutes-statesmanship-award-ev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Redmond</cp:lastModifiedBy>
  <cp:revision>7</cp:revision>
  <dcterms:created xsi:type="dcterms:W3CDTF">2025-12-23T13:39:00Z</dcterms:created>
  <dcterms:modified xsi:type="dcterms:W3CDTF">2025-12-25T13:44:00Z</dcterms:modified>
</cp:coreProperties>
</file>