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9746E" w:rsidRDefault="00000000">
      <w:pPr>
        <w:pStyle w:val="Title"/>
        <w:jc w:val="center"/>
      </w:pPr>
      <w:bookmarkStart w:id="0" w:name="_ifqekkilu4c4" w:colFirst="0" w:colLast="0"/>
      <w:bookmarkEnd w:id="0"/>
      <w:r>
        <w:t>Some Reflections on Wisdom</w:t>
      </w:r>
    </w:p>
    <w:p w14:paraId="00000002" w14:textId="77777777" w:rsidR="0069746E" w:rsidRDefault="00000000">
      <w:pPr>
        <w:spacing w:before="240" w:after="240" w:line="360" w:lineRule="auto"/>
      </w:pPr>
      <w:r>
        <w:t xml:space="preserve">One feels slightly embarrassed even </w:t>
      </w:r>
      <w:proofErr w:type="gramStart"/>
      <w:r>
        <w:t>to attempt</w:t>
      </w:r>
      <w:proofErr w:type="gramEnd"/>
      <w:r>
        <w:t xml:space="preserve"> to answer the question, </w:t>
      </w:r>
      <w:proofErr w:type="gramStart"/>
      <w:r>
        <w:rPr>
          <w:i/>
          <w:iCs/>
        </w:rPr>
        <w:t>What</w:t>
      </w:r>
      <w:proofErr w:type="gramEnd"/>
      <w:r>
        <w:rPr>
          <w:i/>
          <w:iCs/>
        </w:rPr>
        <w:t xml:space="preserve"> is wisdom?</w:t>
      </w:r>
      <w:r>
        <w:t xml:space="preserve"> There is a whiff of hubris in daring to offer an answer. We struggle enough with questions much simpler than this one. Wisdom is not simply intelligence and cleverness; we all know very bright people who are not very wise, and people of modest intellect who are. It seems to me to be more about the ability to make good decisions in demanding circumstances and to know how to live life well. What follows is not a definition in the strict philosophical sense, but a set of reflections on how a few texts have helped me grope toward an answer, as unsatisfactorily it may still be.</w:t>
      </w:r>
    </w:p>
    <w:p w14:paraId="00000003" w14:textId="77777777" w:rsidR="0069746E" w:rsidRDefault="00000000">
      <w:pPr>
        <w:spacing w:before="240" w:after="240" w:line="360" w:lineRule="auto"/>
      </w:pPr>
      <w:r>
        <w:t xml:space="preserve">Even when I was younger, I </w:t>
      </w:r>
      <w:proofErr w:type="gramStart"/>
      <w:r>
        <w:t>have always thought</w:t>
      </w:r>
      <w:proofErr w:type="gramEnd"/>
      <w:r>
        <w:t xml:space="preserve"> that this question and how to live and, yes, die well were important. Seneca, the Stoic, advises us to accept our inevitable demise with composure, as part of the natural order of things. By contrast, Dylan Thomas exhorts his father to “not go gentle into that good night,” to “rage, rage against the dying of the light.” I have long thought that I would </w:t>
      </w:r>
      <w:r>
        <w:rPr>
          <w:i/>
          <w:iCs/>
        </w:rPr>
        <w:t>like</w:t>
      </w:r>
      <w:r>
        <w:t xml:space="preserve"> to meet my closing days as Seneca did, but I’m not sure I will have his courage or his grace. And I realize that I may think very differently when </w:t>
      </w:r>
      <w:proofErr w:type="gramStart"/>
      <w:r>
        <w:t>actually faced</w:t>
      </w:r>
      <w:proofErr w:type="gramEnd"/>
      <w:r>
        <w:t xml:space="preserve"> with death than when I thought about it as only a distant event. </w:t>
      </w:r>
    </w:p>
    <w:p w14:paraId="00000004" w14:textId="77777777" w:rsidR="0069746E" w:rsidRDefault="00000000">
      <w:pPr>
        <w:spacing w:before="240" w:after="240" w:line="360" w:lineRule="auto"/>
      </w:pPr>
      <w:r>
        <w:t xml:space="preserve">As a child and young adult, I was comforted by religious stories that taught that death was not something to be feared, for, as the Apostle Paul wrote, “to be absent from the body is to be present with the Lord.” Over time, however, scripture no longer comforts me as it once did (though I sometimes wish it still did). That loss, too, became part of my education in wisdom: whatever wisdom is, it must help one face finitude without the guarantees I once took for granted. As an aside here, one of the more compelling, at least, for me, definitions of faith </w:t>
      </w:r>
      <w:proofErr w:type="gramStart"/>
      <w:r>
        <w:t>was</w:t>
      </w:r>
      <w:proofErr w:type="gramEnd"/>
      <w:r>
        <w:t xml:space="preserve"> Bonhoeffer’s assessment that faith was looking out on a world in which every sign of God had disappeared, and yet </w:t>
      </w:r>
      <w:proofErr w:type="gramStart"/>
      <w:r>
        <w:t>still continuing</w:t>
      </w:r>
      <w:proofErr w:type="gramEnd"/>
      <w:r>
        <w:t xml:space="preserve"> to obey. But that is a subject for another time.</w:t>
      </w:r>
    </w:p>
    <w:p w14:paraId="00000005" w14:textId="77777777" w:rsidR="0069746E" w:rsidRDefault="00000000">
      <w:pPr>
        <w:spacing w:before="240" w:after="240" w:line="360" w:lineRule="auto"/>
      </w:pPr>
      <w:r>
        <w:t>For now, three texts</w:t>
      </w:r>
      <w:proofErr w:type="gramStart"/>
      <w:r>
        <w:t>, in particular, have</w:t>
      </w:r>
      <w:proofErr w:type="gramEnd"/>
      <w:r>
        <w:t xml:space="preserve"> shaped how </w:t>
      </w:r>
      <w:proofErr w:type="gramStart"/>
      <w:r>
        <w:t>I  think</w:t>
      </w:r>
      <w:proofErr w:type="gramEnd"/>
      <w:r>
        <w:t xml:space="preserve"> about wisdom, and living and dying well.</w:t>
      </w:r>
    </w:p>
    <w:p w14:paraId="00000006" w14:textId="77777777" w:rsidR="0069746E" w:rsidRDefault="00000000">
      <w:pPr>
        <w:spacing w:before="240" w:after="240" w:line="360" w:lineRule="auto"/>
      </w:pPr>
      <w:r>
        <w:t xml:space="preserve">The first is Plato’s portrayal of Socrates in the </w:t>
      </w:r>
      <w:r>
        <w:rPr>
          <w:i/>
          <w:iCs/>
        </w:rPr>
        <w:t>Apology</w:t>
      </w:r>
      <w:r>
        <w:t xml:space="preserve"> and the </w:t>
      </w:r>
      <w:r>
        <w:rPr>
          <w:i/>
          <w:iCs/>
        </w:rPr>
        <w:t>Crito</w:t>
      </w:r>
      <w:r>
        <w:t xml:space="preserve">. The story is well known. Socrates has been accused of the capital crime of </w:t>
      </w:r>
      <w:proofErr w:type="gramStart"/>
      <w:r>
        <w:t>impiety</w:t>
      </w:r>
      <w:proofErr w:type="gramEnd"/>
      <w:r>
        <w:t xml:space="preserve"> and, in the </w:t>
      </w:r>
      <w:r>
        <w:rPr>
          <w:i/>
          <w:iCs/>
        </w:rPr>
        <w:t>Apology</w:t>
      </w:r>
      <w:r>
        <w:t xml:space="preserve">, he defends himself before an Athenian jury. He begins by acknowledging a prejudice against him: he has offended the “wise” men of Athens by questioning them about wisdom in ways they could not </w:t>
      </w:r>
      <w:r>
        <w:lastRenderedPageBreak/>
        <w:t xml:space="preserve">answer. Young men followed him around because it was a spectacle to watch Socrates turn the arguments of priests, poets, and politicians inside out until they were revealed as empty and pretentious. These custodians of Athens’ splendor did not take kindly to being exposed. Socrates explains that the Oracle at Delphi had declared him the wisest of all Athenians. He doubted </w:t>
      </w:r>
      <w:proofErr w:type="gramStart"/>
      <w:r>
        <w:t>this, and</w:t>
      </w:r>
      <w:proofErr w:type="gramEnd"/>
      <w:r>
        <w:t xml:space="preserve"> set out to disprove it by seeking out those reputed to be wise, only to discover that they were not. His conclusion was that the beginning of wisdom lies in recognizing the limits of one’s own understanding. The wise person does not claim to know what he does not know. This claim moved me when I first read it, and in </w:t>
      </w:r>
      <w:proofErr w:type="gramStart"/>
      <w:r>
        <w:t>my</w:t>
      </w:r>
      <w:proofErr w:type="gramEnd"/>
      <w:r>
        <w:t xml:space="preserve"> better moments I try to practice it. There is, for Socrates, a humility at the very beginning of wisdom. (And</w:t>
      </w:r>
      <w:proofErr w:type="gramStart"/>
      <w:r>
        <w:t>, by the way, the</w:t>
      </w:r>
      <w:proofErr w:type="gramEnd"/>
      <w:r>
        <w:t xml:space="preserve"> story does not end well for Socrates. The wise people of Athens executed him.)</w:t>
      </w:r>
    </w:p>
    <w:p w14:paraId="00000007" w14:textId="77777777" w:rsidR="0069746E" w:rsidRDefault="00000000">
      <w:pPr>
        <w:spacing w:before="240" w:after="240" w:line="360" w:lineRule="auto"/>
      </w:pPr>
      <w:r>
        <w:t xml:space="preserve">The second text is Paul Tournier’s </w:t>
      </w:r>
      <w:r>
        <w:rPr>
          <w:i/>
          <w:iCs/>
        </w:rPr>
        <w:t>The Seasons of Life</w:t>
      </w:r>
      <w:r>
        <w:t xml:space="preserve">, which I read in my late twenties. Like many at that age, I was casting about not only for what I believed, but for what kind of person I wanted to become. (Perhaps that was why I read him because, at the time, I was still in the throes of coming to grips with my religious beliefs. I read, and re-read, for instance, George MacDonald, Charles Williams, C. S. Lewis, and J.R.R. Tolkien, trying to find direction.)  Tournier, a Christian psychologist, divides life into seasons. Childhood is Spring, marked by dependency, growth, and discovery. Summer is adulthood, dominated by work and achievement. Fall is a time of </w:t>
      </w:r>
      <w:proofErr w:type="gramStart"/>
      <w:r>
        <w:t>transition,</w:t>
      </w:r>
      <w:proofErr w:type="gramEnd"/>
      <w:r>
        <w:t xml:space="preserve"> when we become more reflective, more aware of our limitations, and our priorities begin to shift. With Winter comes old age and the approach of death, a season that should be characterized by wisdom, detachment, and surrender, despite our physical frailty. </w:t>
      </w:r>
    </w:p>
    <w:p w14:paraId="00000008" w14:textId="77777777" w:rsidR="0069746E" w:rsidRDefault="00000000">
      <w:pPr>
        <w:spacing w:before="240" w:after="240" w:line="360" w:lineRule="auto"/>
      </w:pPr>
      <w:r>
        <w:t xml:space="preserve">There is nothing especially original about the metaphor, and the book is in some respects simplistic, as most books that claim to capture the higher truth of “what it is all about” tend to be. Yet Tournier makes one point that has stayed with me: each season comes with its own challenges and lessons. If we meet those challenges and learn those lessons, we are prepared for the next season. If we do not, the problems compound as we grow older, until we reach the end and realize we are utterly unprepared for it. Tournier describes such a person as dried up, not only on the outside, but on the inside. I have tried, over the years, to be mindful of what each season was asking me to learn. That mindfulness has helped me make decisions that, </w:t>
      </w:r>
      <w:proofErr w:type="gramStart"/>
      <w:r>
        <w:t>on the whole</w:t>
      </w:r>
      <w:proofErr w:type="gramEnd"/>
      <w:r>
        <w:t>, have turned out well. Put differently, Tournier taught me to think of personhood not as something we are simply born with, but as something to be gradually achieved over time—if we live well. Wisdom, in this view, is inseparable from growth.</w:t>
      </w:r>
    </w:p>
    <w:p w14:paraId="00000009" w14:textId="77777777" w:rsidR="0069746E" w:rsidRDefault="00000000">
      <w:pPr>
        <w:spacing w:before="240" w:after="240" w:line="360" w:lineRule="auto"/>
      </w:pPr>
      <w:r>
        <w:lastRenderedPageBreak/>
        <w:t xml:space="preserve">The third text that has mattered to me is Ezekiel Emanuel’s 2014 essay in </w:t>
      </w:r>
      <w:r>
        <w:rPr>
          <w:i/>
          <w:iCs/>
        </w:rPr>
        <w:t>The Atlantic</w:t>
      </w:r>
      <w:r>
        <w:t>, “</w:t>
      </w:r>
      <w:hyperlink r:id="rId6">
        <w:r>
          <w:rPr>
            <w:color w:val="1155CC"/>
            <w:u w:val="single"/>
          </w:rPr>
          <w:t>Why I Hope to Die at 75</w:t>
        </w:r>
      </w:hyperlink>
      <w:r>
        <w:t xml:space="preserve">.” Emanuel argues that around age seventy-five, average declines in physical and cognitive function make it reasonable to prioritize quality of life over mere length of life and to question life-prolonging care. </w:t>
      </w:r>
      <w:proofErr w:type="gramStart"/>
      <w:r>
        <w:t>In light of</w:t>
      </w:r>
      <w:proofErr w:type="gramEnd"/>
      <w:r>
        <w:t xml:space="preserve"> this, he has decided that at seventy-five he will forgo routine preventive tests, screenings, and interventions—even flu shots—and that he will accept only palliative treatment if he is suffering. There was, unsurprisingly, considerable pushback against his argument. I suspect, however, that Seneca would have recognized in Emanuel a kindred spirit. My intention here is not to defend the specifics of Emanuel’s proposal, but to acknowledge the effect his essay had on me. It forced me to think more carefully about time now that I am older. Time no longer feels infinite, as it did when I was a young man. It feels more valuable precisely because there is less of it and because the quality of life is diminishing.</w:t>
      </w:r>
    </w:p>
    <w:p w14:paraId="0000000A" w14:textId="77777777" w:rsidR="0069746E" w:rsidRDefault="00000000">
      <w:pPr>
        <w:spacing w:before="240" w:after="240" w:line="360" w:lineRule="auto"/>
      </w:pPr>
      <w:r>
        <w:t xml:space="preserve">When I first read Emanuel’s essay, I was sixty-three. Roughly, and statistically, if you are in good health in your mid-sixties, you can expect to remain in good health into your mid-seventies, after which health declines significantly; after eighty, it is largely a matter of chance. I decided that the next dozen years were ones I wanted to make the best of, and that decision had practical consequences. It was sobering to think I might have, in good health and vitality, only twelve more Christmases, Easters, birthdays, and other holidays. </w:t>
      </w:r>
      <w:proofErr w:type="gramStart"/>
      <w:r>
        <w:t>So</w:t>
      </w:r>
      <w:proofErr w:type="gramEnd"/>
      <w:r>
        <w:t xml:space="preserve"> my spouse and I thought carefully about how we wanted to spend those holidays and with whom and where we wanted to live. We made decisions that some in our family did not fully understand at the time but that, in hindsight, proved to be good ones. I did not want to drift into retirement, but to enter it with a plan that acknowledged the realities of aging. Emanuel, in other words, helped me see that wisdom involves not only humility and growth but also a sober reckoning with finitude and the courage to order one’s life accordingly.</w:t>
      </w:r>
    </w:p>
    <w:p w14:paraId="0000000B" w14:textId="77777777" w:rsidR="0069746E" w:rsidRDefault="00000000">
      <w:pPr>
        <w:spacing w:before="240" w:after="240" w:line="360" w:lineRule="auto"/>
      </w:pPr>
      <w:r>
        <w:t xml:space="preserve">Did these three texts make me wise? I make no such claim. But I do believe they have helped me live more attentively and, I hope, more wisely: they have taught me to acknowledge my ignorance, to treat my life as a series of seasons with </w:t>
      </w:r>
      <w:proofErr w:type="gramStart"/>
      <w:r>
        <w:t>particular lessons</w:t>
      </w:r>
      <w:proofErr w:type="gramEnd"/>
      <w:r>
        <w:t>, and to take seriously the finitude of the time I have left.</w:t>
      </w:r>
    </w:p>
    <w:p w14:paraId="0000000C" w14:textId="77777777" w:rsidR="0069746E" w:rsidRDefault="00000000">
      <w:pPr>
        <w:spacing w:before="240" w:after="240" w:line="360" w:lineRule="auto"/>
      </w:pPr>
      <w:r>
        <w:t xml:space="preserve">Finally, my field is philosophy, and the word itself means “love of wisdom.” The Greek term for love here is </w:t>
      </w:r>
      <w:r>
        <w:rPr>
          <w:i/>
          <w:iCs/>
        </w:rPr>
        <w:t>philia</w:t>
      </w:r>
      <w:r>
        <w:t xml:space="preserve">—the love of affection and friendship. That, too, is suggestive. It is not enough to know what wisdom is, or to recognize it when we see it; one must also desire it, remain drawn to it, and seek its company. Just as a friend is a companion we can depend on but do not own </w:t>
      </w:r>
      <w:r>
        <w:lastRenderedPageBreak/>
        <w:t>or command, so wisdom is something we walk with rather than possess outright, as we make our way through the seasons of our lives.</w:t>
      </w:r>
    </w:p>
    <w:p w14:paraId="0000000D" w14:textId="77777777" w:rsidR="0069746E" w:rsidRDefault="00000000">
      <w:pPr>
        <w:spacing w:before="240" w:line="360" w:lineRule="auto"/>
      </w:pPr>
      <w:r>
        <w:t>Michael Redmond</w:t>
      </w:r>
    </w:p>
    <w:p w14:paraId="0000000E" w14:textId="77777777" w:rsidR="0069746E" w:rsidRDefault="00000000">
      <w:pPr>
        <w:spacing w:after="240" w:line="360" w:lineRule="auto"/>
      </w:pPr>
      <w:r>
        <w:t>December 1, 2025</w:t>
      </w:r>
    </w:p>
    <w:sectPr w:rsidR="0069746E">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6E78A" w14:textId="77777777" w:rsidR="001A15AA" w:rsidRDefault="001A15AA">
      <w:pPr>
        <w:spacing w:line="240" w:lineRule="auto"/>
      </w:pPr>
      <w:r>
        <w:separator/>
      </w:r>
    </w:p>
  </w:endnote>
  <w:endnote w:type="continuationSeparator" w:id="0">
    <w:p w14:paraId="762868E5" w14:textId="77777777" w:rsidR="001A15AA" w:rsidRDefault="001A15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9F89FC6-F65A-4682-A690-BC213579318E}"/>
  </w:font>
  <w:font w:name="Cambria">
    <w:panose1 w:val="02040503050406030204"/>
    <w:charset w:val="00"/>
    <w:family w:val="roman"/>
    <w:pitch w:val="variable"/>
    <w:sig w:usb0="E00006FF" w:usb1="420024FF" w:usb2="02000000" w:usb3="00000000" w:csb0="0000019F" w:csb1="00000000"/>
    <w:embedRegular r:id="rId2" w:fontKey="{B156F790-0458-48CD-B36B-2403E8B610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F" w14:textId="4B33AD86" w:rsidR="0069746E" w:rsidRDefault="00000000">
    <w:pPr>
      <w:jc w:val="right"/>
    </w:pPr>
    <w:r>
      <w:fldChar w:fldCharType="begin"/>
    </w:r>
    <w:r>
      <w:instrText>PAGE</w:instrText>
    </w:r>
    <w:r>
      <w:fldChar w:fldCharType="separate"/>
    </w:r>
    <w:r w:rsidR="003163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AA474" w14:textId="77777777" w:rsidR="001A15AA" w:rsidRDefault="001A15AA">
      <w:pPr>
        <w:spacing w:line="240" w:lineRule="auto"/>
      </w:pPr>
      <w:r>
        <w:separator/>
      </w:r>
    </w:p>
  </w:footnote>
  <w:footnote w:type="continuationSeparator" w:id="0">
    <w:p w14:paraId="2525097D" w14:textId="77777777" w:rsidR="001A15AA" w:rsidRDefault="001A15A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46E"/>
    <w:rsid w:val="001A15AA"/>
    <w:rsid w:val="00316357"/>
    <w:rsid w:val="005F1F0B"/>
    <w:rsid w:val="0069746E"/>
    <w:rsid w:val="00916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2A71E"/>
  <w15:docId w15:val="{F3DCF994-1912-4967-9ABB-B1FA605F2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heatlantic.com/magazine/archive/2014/10/why-i-hope-to-die-at-75/379329/"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1498</Words>
  <Characters>6911</Characters>
  <Application>Microsoft Office Word</Application>
  <DocSecurity>0</DocSecurity>
  <Lines>97</Lines>
  <Paragraphs>14</Paragraphs>
  <ScaleCrop>false</ScaleCrop>
  <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Redmond</dc:creator>
  <cp:lastModifiedBy>Michael Redmond</cp:lastModifiedBy>
  <cp:revision>3</cp:revision>
  <dcterms:created xsi:type="dcterms:W3CDTF">2025-12-01T15:23:00Z</dcterms:created>
  <dcterms:modified xsi:type="dcterms:W3CDTF">2025-12-01T15:23:00Z</dcterms:modified>
</cp:coreProperties>
</file>