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C6FB0" w14:textId="77777777" w:rsidR="0016091E" w:rsidRDefault="009C4F32">
      <w:pPr>
        <w:jc w:val="center"/>
        <w:rPr>
          <w:sz w:val="28"/>
          <w:szCs w:val="28"/>
        </w:rPr>
      </w:pPr>
      <w:r>
        <w:rPr>
          <w:sz w:val="28"/>
          <w:szCs w:val="28"/>
        </w:rPr>
        <w:t>The Future of Economic Society</w:t>
      </w:r>
    </w:p>
    <w:p w14:paraId="61A5B756" w14:textId="77777777" w:rsidR="0016091E" w:rsidRDefault="009C4F32">
      <w:pPr>
        <w:jc w:val="center"/>
        <w:rPr>
          <w:sz w:val="28"/>
          <w:szCs w:val="28"/>
        </w:rPr>
      </w:pPr>
      <w:r>
        <w:rPr>
          <w:sz w:val="28"/>
          <w:szCs w:val="28"/>
        </w:rPr>
        <w:t>AI, Inequality, and Democratic Cooperation</w:t>
      </w:r>
    </w:p>
    <w:p w14:paraId="2D773696" w14:textId="77777777" w:rsidR="0016091E" w:rsidRDefault="0016091E">
      <w:pPr>
        <w:rPr>
          <w:sz w:val="28"/>
          <w:szCs w:val="28"/>
        </w:rPr>
      </w:pPr>
    </w:p>
    <w:p w14:paraId="5175D1E3" w14:textId="23B25485" w:rsidR="0016091E" w:rsidRPr="00A24932" w:rsidRDefault="009C4F32">
      <w:pPr>
        <w:spacing w:line="360" w:lineRule="auto"/>
        <w:rPr>
          <w:sz w:val="24"/>
          <w:szCs w:val="24"/>
        </w:rPr>
      </w:pPr>
      <w:r w:rsidRPr="00A24932">
        <w:rPr>
          <w:sz w:val="24"/>
          <w:szCs w:val="24"/>
        </w:rPr>
        <w:t xml:space="preserve">Our topic is the future of economic society, but speculating on just what the future will be is like skating on thin ice: it generally doesn’t work out very well. David Hume famously argued that experience gives us no logical guarantee that the future will resemble the past.  And it doesn’t get any better when we turn from science to economics, where technological change, public policy, human behavior, and political conflict complicate calculating the future. John Kenneth Galbraith </w:t>
      </w:r>
      <w:r w:rsidR="001A680B" w:rsidRPr="00A24932">
        <w:rPr>
          <w:sz w:val="24"/>
          <w:szCs w:val="24"/>
        </w:rPr>
        <w:t>is reported to have said</w:t>
      </w:r>
      <w:r w:rsidRPr="00A24932">
        <w:rPr>
          <w:sz w:val="24"/>
          <w:szCs w:val="24"/>
        </w:rPr>
        <w:t xml:space="preserve">, “There are two kinds of forecasters: those who don't know, and those who don't know that they don't know” </w:t>
      </w:r>
      <w:r w:rsidR="007D4458" w:rsidRPr="00A24932">
        <w:rPr>
          <w:sz w:val="24"/>
          <w:szCs w:val="24"/>
        </w:rPr>
        <w:t>(Galbraith, 1993, as cited in Graham, 1996, p. 193).</w:t>
      </w:r>
    </w:p>
    <w:p w14:paraId="3001D08D" w14:textId="77777777" w:rsidR="0016091E" w:rsidRPr="00A24932" w:rsidRDefault="0016091E">
      <w:pPr>
        <w:spacing w:line="360" w:lineRule="auto"/>
        <w:rPr>
          <w:sz w:val="24"/>
          <w:szCs w:val="24"/>
        </w:rPr>
      </w:pPr>
    </w:p>
    <w:p w14:paraId="50AA77F4" w14:textId="1C898583" w:rsidR="0016091E" w:rsidRPr="00A24932" w:rsidRDefault="009C4F32">
      <w:pPr>
        <w:spacing w:line="360" w:lineRule="auto"/>
        <w:rPr>
          <w:sz w:val="24"/>
          <w:szCs w:val="24"/>
        </w:rPr>
      </w:pPr>
      <w:r w:rsidRPr="00A24932">
        <w:rPr>
          <w:sz w:val="24"/>
          <w:szCs w:val="24"/>
        </w:rPr>
        <w:t>Yet, the future inevitably comes, and we forfeit a valuable opportunity if we do not try to anticipate and shape it. And that requires that we understand the present moment. The challenge is</w:t>
      </w:r>
      <w:r w:rsidR="001A680B" w:rsidRPr="00A24932">
        <w:rPr>
          <w:sz w:val="24"/>
          <w:szCs w:val="24"/>
        </w:rPr>
        <w:t xml:space="preserve"> to</w:t>
      </w:r>
      <w:r w:rsidRPr="00A24932">
        <w:rPr>
          <w:sz w:val="24"/>
          <w:szCs w:val="24"/>
        </w:rPr>
        <w:t xml:space="preserve"> do it thoughtfully and humbly recognizing that even our best judgments may turn out wrong.</w:t>
      </w:r>
    </w:p>
    <w:p w14:paraId="36C8B777" w14:textId="77777777" w:rsidR="0016091E" w:rsidRPr="00A24932" w:rsidRDefault="0016091E">
      <w:pPr>
        <w:spacing w:line="360" w:lineRule="auto"/>
        <w:rPr>
          <w:sz w:val="24"/>
          <w:szCs w:val="24"/>
        </w:rPr>
      </w:pPr>
    </w:p>
    <w:p w14:paraId="4D331251" w14:textId="77777777" w:rsidR="0016091E" w:rsidRPr="00A24932" w:rsidRDefault="009C4F32">
      <w:pPr>
        <w:spacing w:line="360" w:lineRule="auto"/>
        <w:rPr>
          <w:sz w:val="24"/>
          <w:szCs w:val="24"/>
        </w:rPr>
      </w:pPr>
      <w:r w:rsidRPr="00A24932">
        <w:rPr>
          <w:sz w:val="24"/>
          <w:szCs w:val="24"/>
        </w:rPr>
        <w:t>My goal in this short essay, therefore, is not to predict an inevitable future. It is to consider how two powerful forces in our current economic environment, extreme wealth concentration and rapid advancements in artificial intelligence may interact. My central concern is that the gains from AI may accrue principally to those who already possess the most wealth and power, weakening the sense of mutual benefit on which democratic cooperation depends.</w:t>
      </w:r>
    </w:p>
    <w:p w14:paraId="3B528F35" w14:textId="77777777" w:rsidR="0016091E" w:rsidRPr="00A24932" w:rsidRDefault="0016091E">
      <w:pPr>
        <w:spacing w:line="360" w:lineRule="auto"/>
        <w:rPr>
          <w:sz w:val="24"/>
          <w:szCs w:val="24"/>
        </w:rPr>
      </w:pPr>
    </w:p>
    <w:p w14:paraId="694CBFAA" w14:textId="2D7AD133" w:rsidR="0016091E" w:rsidRPr="00A24932" w:rsidRDefault="009C4F32">
      <w:pPr>
        <w:spacing w:line="360" w:lineRule="auto"/>
        <w:rPr>
          <w:sz w:val="24"/>
          <w:szCs w:val="24"/>
        </w:rPr>
      </w:pPr>
      <w:r w:rsidRPr="00A24932">
        <w:rPr>
          <w:sz w:val="24"/>
          <w:szCs w:val="24"/>
        </w:rPr>
        <w:t xml:space="preserve">Consider first the concentration of wealth. According to the Federal Reserve’s Distributional Financial Accounts for the first quarter of 2026, the wealthiest 1 percent of Americans owned 31.6 percent of household net worth, while the bottom 50 percent owned only 2.5 percent. In the first quarter of 2026, the wealthiest 10 percent of households, ranked by net worth, held approximately 87 percent of corporate equities and mutual-fund shares held outside defined-contribution pension accounts </w:t>
      </w:r>
      <w:r w:rsidR="00030110" w:rsidRPr="00030110">
        <w:rPr>
          <w:sz w:val="24"/>
          <w:szCs w:val="24"/>
        </w:rPr>
        <w:t xml:space="preserve">(Board of Governors of the Federal Reserve System [U.S.], n.d., 2026; Federal Reserve Bank of </w:t>
      </w:r>
      <w:r w:rsidR="00030110" w:rsidRPr="00030110">
        <w:rPr>
          <w:sz w:val="24"/>
          <w:szCs w:val="24"/>
        </w:rPr>
        <w:lastRenderedPageBreak/>
        <w:t>St. Louis, 2026)</w:t>
      </w:r>
      <w:r w:rsidRPr="00A24932">
        <w:rPr>
          <w:sz w:val="24"/>
          <w:szCs w:val="24"/>
        </w:rPr>
        <w:t xml:space="preserve">. Wealth and income are not the same, and these figures do not by themselves prove that the economic system is unjust. They do, however, raise serious questions about economic security, opportunity, political influence, and whether the benefits of economic growth are being shared widely enough to sustain confidence in the system. </w:t>
      </w:r>
    </w:p>
    <w:p w14:paraId="4061CDAD" w14:textId="77777777" w:rsidR="0016091E" w:rsidRPr="00A24932" w:rsidRDefault="0016091E">
      <w:pPr>
        <w:spacing w:line="360" w:lineRule="auto"/>
        <w:rPr>
          <w:sz w:val="24"/>
          <w:szCs w:val="24"/>
        </w:rPr>
      </w:pPr>
    </w:p>
    <w:p w14:paraId="031C356D" w14:textId="77777777" w:rsidR="0016091E" w:rsidRPr="00A24932" w:rsidRDefault="009C4F32">
      <w:pPr>
        <w:spacing w:line="360" w:lineRule="auto"/>
        <w:rPr>
          <w:sz w:val="24"/>
          <w:szCs w:val="24"/>
        </w:rPr>
      </w:pPr>
      <w:r w:rsidRPr="00A24932">
        <w:rPr>
          <w:sz w:val="24"/>
          <w:szCs w:val="24"/>
        </w:rPr>
        <w:t>Second, we are still near the beginning of the AI revolution, and no one knows how it will develop. Technology companies are investing enormous sums in AI and in the data centers, energy, and computing power needed to support it. Some of these investments may disappoint, but the more important possibility for my argument is that AI may wildly succeed, producing substantial gains in productivity and wealth. Ironically, success poses the deeper and vexing political question: who will receive the gains.</w:t>
      </w:r>
    </w:p>
    <w:p w14:paraId="6C3A4653" w14:textId="77777777" w:rsidR="0016091E" w:rsidRPr="00A24932" w:rsidRDefault="009C4F32">
      <w:pPr>
        <w:spacing w:before="240" w:after="240" w:line="360" w:lineRule="auto"/>
        <w:rPr>
          <w:sz w:val="24"/>
          <w:szCs w:val="24"/>
        </w:rPr>
      </w:pPr>
      <w:r w:rsidRPr="00A24932">
        <w:rPr>
          <w:sz w:val="24"/>
          <w:szCs w:val="24"/>
        </w:rPr>
        <w:t xml:space="preserve">Although many warn of an imminent job loss apocalypse, experts are unsure of the net effect on employment. The International </w:t>
      </w:r>
      <w:proofErr w:type="spellStart"/>
      <w:r w:rsidRPr="00A24932">
        <w:rPr>
          <w:sz w:val="24"/>
          <w:szCs w:val="24"/>
        </w:rPr>
        <w:t>Labour</w:t>
      </w:r>
      <w:proofErr w:type="spellEnd"/>
      <w:r w:rsidRPr="00A24932">
        <w:rPr>
          <w:sz w:val="24"/>
          <w:szCs w:val="24"/>
        </w:rPr>
        <w:t xml:space="preserve"> Organization concludes that the transformation of jobs is generally more likely than their complete replacement, though some occupations and groups face much greater exposure than others (Gmyrek et al., 2025). AI may increase the productivity and wages of some workers, create new occupations, lower prices, and improve services. Moreover, many Americans share indirectly in corporate profits through retirement accounts and pensions. </w:t>
      </w:r>
    </w:p>
    <w:p w14:paraId="12A8D30C" w14:textId="5BB96F60" w:rsidR="0016091E" w:rsidRPr="00A24932" w:rsidRDefault="009C4F32">
      <w:pPr>
        <w:spacing w:before="240" w:after="240" w:line="360" w:lineRule="auto"/>
        <w:rPr>
          <w:sz w:val="24"/>
          <w:szCs w:val="24"/>
        </w:rPr>
      </w:pPr>
      <w:r w:rsidRPr="00A24932">
        <w:rPr>
          <w:sz w:val="24"/>
          <w:szCs w:val="24"/>
        </w:rPr>
        <w:t>But these possibilities do not settle the distributional question. If the firms and investors that control the leading models, computing infrastructure, and intellectual property capture most of the returns, AI may increase wealth inequality, perhaps severely, even if its effects on wage inequality are mixed. Recent IMF research reaches precisely this qualified conclusion: AI could compress some wage differences while substantially widening wealth inequality because those who already hold capital are better positioned to benefit from higher returns (</w:t>
      </w:r>
      <w:proofErr w:type="spellStart"/>
      <w:r w:rsidR="007D6844">
        <w:rPr>
          <w:sz w:val="24"/>
          <w:szCs w:val="24"/>
        </w:rPr>
        <w:t>Gardels</w:t>
      </w:r>
      <w:proofErr w:type="spellEnd"/>
      <w:r w:rsidR="007D6844">
        <w:rPr>
          <w:sz w:val="24"/>
          <w:szCs w:val="24"/>
        </w:rPr>
        <w:t xml:space="preserve">, 2026; </w:t>
      </w:r>
      <w:r w:rsidRPr="00A24932">
        <w:rPr>
          <w:sz w:val="24"/>
          <w:szCs w:val="24"/>
        </w:rPr>
        <w:t xml:space="preserve">Rockall et al., 2025). The danger is not inevitable, but neither is broadly shared prosperity. </w:t>
      </w:r>
    </w:p>
    <w:p w14:paraId="71B52555" w14:textId="77777777" w:rsidR="0016091E" w:rsidRPr="00A24932" w:rsidRDefault="009C4F32">
      <w:pPr>
        <w:spacing w:line="360" w:lineRule="auto"/>
        <w:rPr>
          <w:sz w:val="24"/>
          <w:szCs w:val="24"/>
        </w:rPr>
      </w:pPr>
      <w:r w:rsidRPr="00A24932">
        <w:rPr>
          <w:sz w:val="24"/>
          <w:szCs w:val="24"/>
        </w:rPr>
        <w:t xml:space="preserve">The problem is not simply that some people will have more than others. Unequal rewards are characteristic of capitalist societies, and the prospect of gain can </w:t>
      </w:r>
      <w:r w:rsidRPr="00A24932">
        <w:rPr>
          <w:sz w:val="24"/>
          <w:szCs w:val="24"/>
        </w:rPr>
        <w:lastRenderedPageBreak/>
        <w:t xml:space="preserve">encourage risk-taking, investment, and innovation. The danger arises when inequality becomes so severe, or appears so disconnected from effort and contribution, that large numbers of people cease to regard the economic order as reciprocal or fair. </w:t>
      </w:r>
    </w:p>
    <w:p w14:paraId="4D663400" w14:textId="77777777" w:rsidR="0016091E" w:rsidRPr="00A24932" w:rsidRDefault="0016091E">
      <w:pPr>
        <w:spacing w:line="360" w:lineRule="auto"/>
        <w:rPr>
          <w:sz w:val="24"/>
          <w:szCs w:val="24"/>
        </w:rPr>
      </w:pPr>
    </w:p>
    <w:p w14:paraId="64E5C33B" w14:textId="77777777" w:rsidR="0016091E" w:rsidRPr="00A24932" w:rsidRDefault="009C4F32">
      <w:pPr>
        <w:spacing w:line="360" w:lineRule="auto"/>
        <w:rPr>
          <w:sz w:val="24"/>
          <w:szCs w:val="24"/>
        </w:rPr>
      </w:pPr>
      <w:r w:rsidRPr="00A24932">
        <w:rPr>
          <w:sz w:val="24"/>
          <w:szCs w:val="24"/>
        </w:rPr>
        <w:t xml:space="preserve">A healthy democratic society depends significantly on voluntary cooperation. People accept its laws, institutions, and economic arrangements because they believe that, despite their imperfections, the system offers them a meaningful stake in its success. That belief does not require equal wealth. But it does require a reasonable opportunity to build a secure and meaningful life and some confidence that political institutions are not controlled exclusively by those with the greatest wealth. </w:t>
      </w:r>
    </w:p>
    <w:p w14:paraId="5D7FA977" w14:textId="77777777" w:rsidR="0016091E" w:rsidRPr="00A24932" w:rsidRDefault="0016091E">
      <w:pPr>
        <w:spacing w:line="360" w:lineRule="auto"/>
        <w:rPr>
          <w:sz w:val="24"/>
          <w:szCs w:val="24"/>
        </w:rPr>
      </w:pPr>
    </w:p>
    <w:p w14:paraId="05951DD0" w14:textId="77777777" w:rsidR="0016091E" w:rsidRPr="00A24932" w:rsidRDefault="009C4F32">
      <w:pPr>
        <w:spacing w:line="360" w:lineRule="auto"/>
        <w:rPr>
          <w:sz w:val="24"/>
          <w:szCs w:val="24"/>
        </w:rPr>
      </w:pPr>
      <w:r w:rsidRPr="00A24932">
        <w:rPr>
          <w:sz w:val="24"/>
          <w:szCs w:val="24"/>
        </w:rPr>
        <w:t xml:space="preserve">There is evidence for at least part of this concern. In the OECD’s 2025 survey, 53 percent of respondents without financial </w:t>
      </w:r>
      <w:proofErr w:type="gramStart"/>
      <w:r w:rsidRPr="00A24932">
        <w:rPr>
          <w:sz w:val="24"/>
          <w:szCs w:val="24"/>
        </w:rPr>
        <w:t>concerns</w:t>
      </w:r>
      <w:proofErr w:type="gramEnd"/>
      <w:r w:rsidRPr="00A24932">
        <w:rPr>
          <w:sz w:val="24"/>
          <w:szCs w:val="24"/>
        </w:rPr>
        <w:t xml:space="preserve"> expressed trust in their national government, compared with only 35 percent of those experiencing financial concerns. The same study found an even larger trust gap between people who believed they had a political voice and those who did not (</w:t>
      </w:r>
      <w:proofErr w:type="spellStart"/>
      <w:r w:rsidRPr="00A24932">
        <w:rPr>
          <w:sz w:val="24"/>
          <w:szCs w:val="24"/>
        </w:rPr>
        <w:t>Organisation</w:t>
      </w:r>
      <w:proofErr w:type="spellEnd"/>
      <w:r w:rsidRPr="00A24932">
        <w:rPr>
          <w:sz w:val="24"/>
          <w:szCs w:val="24"/>
        </w:rPr>
        <w:t xml:space="preserve"> for Economic Co-operation and Development [OECD], 2026). Although inequality does not by itself cause authoritarianism, since other factors also matter, the findings suggest that economic insecurity and powerlessness can erode trust and make democracies more vulnerable to resentment and finally to populist and authoritarian appeals. </w:t>
      </w:r>
    </w:p>
    <w:p w14:paraId="44A57766" w14:textId="77777777" w:rsidR="0016091E" w:rsidRPr="00A24932" w:rsidRDefault="0016091E">
      <w:pPr>
        <w:spacing w:line="360" w:lineRule="auto"/>
        <w:rPr>
          <w:sz w:val="24"/>
          <w:szCs w:val="24"/>
        </w:rPr>
      </w:pPr>
    </w:p>
    <w:p w14:paraId="1AE25ECC" w14:textId="77777777" w:rsidR="0016091E" w:rsidRPr="00A24932" w:rsidRDefault="009C4F32">
      <w:pPr>
        <w:spacing w:line="360" w:lineRule="auto"/>
        <w:rPr>
          <w:b/>
          <w:bCs/>
          <w:sz w:val="24"/>
          <w:szCs w:val="24"/>
        </w:rPr>
      </w:pPr>
      <w:r w:rsidRPr="00A24932">
        <w:rPr>
          <w:b/>
          <w:bCs/>
          <w:sz w:val="24"/>
          <w:szCs w:val="24"/>
        </w:rPr>
        <w:t>What, then, might we do?</w:t>
      </w:r>
    </w:p>
    <w:p w14:paraId="795B6A4F" w14:textId="77777777" w:rsidR="0016091E" w:rsidRPr="00A24932" w:rsidRDefault="0016091E">
      <w:pPr>
        <w:shd w:val="clear" w:color="auto" w:fill="FFFFFF"/>
        <w:spacing w:after="160" w:line="360" w:lineRule="auto"/>
        <w:rPr>
          <w:b/>
          <w:bCs/>
          <w:sz w:val="24"/>
          <w:szCs w:val="24"/>
        </w:rPr>
      </w:pPr>
    </w:p>
    <w:p w14:paraId="430A4D5D" w14:textId="77777777" w:rsidR="0016091E" w:rsidRPr="00A24932" w:rsidRDefault="009C4F32">
      <w:pPr>
        <w:shd w:val="clear" w:color="auto" w:fill="FFFFFF"/>
        <w:spacing w:after="160" w:line="360" w:lineRule="auto"/>
        <w:rPr>
          <w:sz w:val="24"/>
          <w:szCs w:val="24"/>
        </w:rPr>
      </w:pPr>
      <w:r w:rsidRPr="00A24932">
        <w:rPr>
          <w:sz w:val="24"/>
          <w:szCs w:val="24"/>
        </w:rPr>
        <w:t>One response is to help workers bear the costs of transition through education, retraining, wage insurance, stronger unemployment protection, and portable benefits (</w:t>
      </w:r>
      <w:proofErr w:type="spellStart"/>
      <w:r w:rsidRPr="00A24932">
        <w:rPr>
          <w:sz w:val="24"/>
          <w:szCs w:val="24"/>
        </w:rPr>
        <w:t>Brollo</w:t>
      </w:r>
      <w:proofErr w:type="spellEnd"/>
      <w:r w:rsidRPr="00A24932">
        <w:rPr>
          <w:sz w:val="24"/>
          <w:szCs w:val="24"/>
        </w:rPr>
        <w:t xml:space="preserve"> et al., 2024). A second is to preserve competition so that the gains from AI are not captured by a small number of dominant firms and can spread through lower costs, new businesses, and wider access to the technology (OECD, 2025). A third is to broaden participation in the returns themselves through employee ownership or profit-sharing, pension-based ownership, tax policy, or a public investment fund (OpenAI, 2026). Senator Bernie Sanders, for example, has introduced legislation that would </w:t>
      </w:r>
      <w:r w:rsidRPr="00A24932">
        <w:rPr>
          <w:sz w:val="24"/>
          <w:szCs w:val="24"/>
        </w:rPr>
        <w:lastRenderedPageBreak/>
        <w:t xml:space="preserve">create an American AI Sovereign Wealth Fund, financed through a one-time equity tax on the largest AI companies, whose returns would support direct payments and other public benefits (Office of Senator Bernie Sanders, 2026). </w:t>
      </w:r>
    </w:p>
    <w:p w14:paraId="7D46BB94" w14:textId="77777777" w:rsidR="0016091E" w:rsidRPr="00A24932" w:rsidRDefault="009C4F32">
      <w:pPr>
        <w:shd w:val="clear" w:color="auto" w:fill="FFFFFF"/>
        <w:spacing w:after="160" w:line="360" w:lineRule="auto"/>
        <w:rPr>
          <w:sz w:val="24"/>
          <w:szCs w:val="24"/>
        </w:rPr>
      </w:pPr>
      <w:r w:rsidRPr="00A24932">
        <w:rPr>
          <w:sz w:val="24"/>
          <w:szCs w:val="24"/>
        </w:rPr>
        <w:t xml:space="preserve">Each of these proposals raises difficult questions. Retraining programs have </w:t>
      </w:r>
      <w:proofErr w:type="gramStart"/>
      <w:r w:rsidRPr="00A24932">
        <w:rPr>
          <w:sz w:val="24"/>
          <w:szCs w:val="24"/>
        </w:rPr>
        <w:t>a mixed record</w:t>
      </w:r>
      <w:proofErr w:type="gramEnd"/>
      <w:r w:rsidRPr="00A24932">
        <w:rPr>
          <w:sz w:val="24"/>
          <w:szCs w:val="24"/>
        </w:rPr>
        <w:t>. Regulation can protect the public, but it can also entrench the largest firms if only they can afford to comply. A sovereign wealth fund would have to be insulated from political favoritism and managed for the long term. The point is not that there is one obvious policy. It is that the distribution of AI’s benefits will be shaped by institutions and our policy decisions rather than by technology alone.</w:t>
      </w:r>
    </w:p>
    <w:p w14:paraId="1D9711F5" w14:textId="77777777" w:rsidR="0016091E" w:rsidRPr="00A24932" w:rsidRDefault="009C4F32">
      <w:pPr>
        <w:spacing w:line="360" w:lineRule="auto"/>
        <w:rPr>
          <w:sz w:val="24"/>
          <w:szCs w:val="24"/>
        </w:rPr>
      </w:pPr>
      <w:r w:rsidRPr="00A24932">
        <w:rPr>
          <w:sz w:val="24"/>
          <w:szCs w:val="24"/>
        </w:rPr>
        <w:t xml:space="preserve">There are ample reasons to be </w:t>
      </w:r>
      <w:proofErr w:type="spellStart"/>
      <w:r w:rsidRPr="00A24932">
        <w:rPr>
          <w:sz w:val="24"/>
          <w:szCs w:val="24"/>
        </w:rPr>
        <w:t>sceptical</w:t>
      </w:r>
      <w:proofErr w:type="spellEnd"/>
      <w:r w:rsidRPr="00A24932">
        <w:rPr>
          <w:sz w:val="24"/>
          <w:szCs w:val="24"/>
        </w:rPr>
        <w:t xml:space="preserve"> of significant progress along these lines. Governmental and political dysfunction, extreme polarization, and disinformation campaigns by both domestic and foreign actors often leave us paralyzed and unmoored to reality. It is entirely possible that we will allow economic power to become more concentrated while relying on resentment, distraction, or coercion to preserve the social order. </w:t>
      </w:r>
    </w:p>
    <w:p w14:paraId="47989AC7" w14:textId="77777777" w:rsidR="0016091E" w:rsidRPr="00A24932" w:rsidRDefault="0016091E">
      <w:pPr>
        <w:spacing w:line="360" w:lineRule="auto"/>
        <w:rPr>
          <w:sz w:val="24"/>
          <w:szCs w:val="24"/>
        </w:rPr>
      </w:pPr>
    </w:p>
    <w:p w14:paraId="447695AA" w14:textId="77777777" w:rsidR="0016091E" w:rsidRPr="00A24932" w:rsidRDefault="009C4F32">
      <w:pPr>
        <w:spacing w:line="360" w:lineRule="auto"/>
        <w:rPr>
          <w:sz w:val="24"/>
          <w:szCs w:val="24"/>
        </w:rPr>
      </w:pPr>
      <w:r w:rsidRPr="00A24932">
        <w:rPr>
          <w:sz w:val="24"/>
          <w:szCs w:val="24"/>
        </w:rPr>
        <w:t xml:space="preserve">It might be argued that I am too pessimistic. Afterall, earlier technological revolutions also displaced workers and created enormous fortunes, yet industrialization, for instance, </w:t>
      </w:r>
      <w:r w:rsidRPr="00A24932">
        <w:rPr>
          <w:i/>
          <w:iCs/>
          <w:sz w:val="24"/>
          <w:szCs w:val="24"/>
        </w:rPr>
        <w:t xml:space="preserve">eventually </w:t>
      </w:r>
      <w:r w:rsidRPr="00A24932">
        <w:rPr>
          <w:sz w:val="24"/>
          <w:szCs w:val="24"/>
        </w:rPr>
        <w:t>raised productivity, reduced the prices of many goods, created new occupations, and improved average living standards. However, the transition was long and often brutal, and notably its gains were shaped by labor organization, public education, regulation, social insurance, and democratic reform. Economic historians continue to debate just how quickly ordinary workers benefited (Acemoglu &amp; Johnson, 2024). The lesson is not that capitalism automatically adapts successfully, but that it can and that adaptation is partly a political achievement, and not just a result of technological innovation.</w:t>
      </w:r>
    </w:p>
    <w:p w14:paraId="14587EA4" w14:textId="77777777" w:rsidR="0016091E" w:rsidRPr="00A24932" w:rsidRDefault="0016091E">
      <w:pPr>
        <w:spacing w:line="360" w:lineRule="auto"/>
        <w:rPr>
          <w:sz w:val="24"/>
          <w:szCs w:val="24"/>
        </w:rPr>
      </w:pPr>
    </w:p>
    <w:p w14:paraId="21FF11ED" w14:textId="77777777" w:rsidR="0016091E" w:rsidRPr="00A24932" w:rsidRDefault="009C4F32">
      <w:pPr>
        <w:shd w:val="clear" w:color="auto" w:fill="FFFFFF"/>
        <w:spacing w:after="160" w:line="360" w:lineRule="auto"/>
        <w:rPr>
          <w:sz w:val="24"/>
          <w:szCs w:val="24"/>
        </w:rPr>
      </w:pPr>
      <w:r w:rsidRPr="00A24932">
        <w:rPr>
          <w:sz w:val="24"/>
          <w:szCs w:val="24"/>
        </w:rPr>
        <w:t xml:space="preserve">There is still much that we do not know. We do not know whether AI will be the boon that techno-optimists promise. We do not know precisely which jobs will be transformed or how quickly. We do not know how concentrated its ownership will remain, how widely </w:t>
      </w:r>
      <w:r w:rsidRPr="00A24932">
        <w:rPr>
          <w:sz w:val="24"/>
          <w:szCs w:val="24"/>
        </w:rPr>
        <w:lastRenderedPageBreak/>
        <w:t>its benefits will be spread, or how much inequality a democratic society can sustain before cooperation begins to break down.</w:t>
      </w:r>
    </w:p>
    <w:p w14:paraId="515F7B5A" w14:textId="1284441C" w:rsidR="0016091E" w:rsidRPr="00A24932" w:rsidRDefault="009C4F32">
      <w:pPr>
        <w:shd w:val="clear" w:color="auto" w:fill="FFFFFF"/>
        <w:spacing w:after="160" w:line="360" w:lineRule="auto"/>
        <w:rPr>
          <w:sz w:val="24"/>
          <w:szCs w:val="24"/>
        </w:rPr>
      </w:pPr>
      <w:r w:rsidRPr="00A24932">
        <w:rPr>
          <w:sz w:val="24"/>
          <w:szCs w:val="24"/>
        </w:rPr>
        <w:t xml:space="preserve">What seems clear is that we need a serious public discussion about how AI can serve the public good. There </w:t>
      </w:r>
      <w:r w:rsidRPr="00A24932">
        <w:rPr>
          <w:i/>
          <w:iCs/>
          <w:sz w:val="24"/>
          <w:szCs w:val="24"/>
        </w:rPr>
        <w:t xml:space="preserve">is </w:t>
      </w:r>
      <w:r w:rsidRPr="00A24932">
        <w:rPr>
          <w:sz w:val="24"/>
          <w:szCs w:val="24"/>
        </w:rPr>
        <w:t>growing recognition that such a discussion is necessary, but much of it is focused narrowly upon the construction of data centers, and there is little consensus about what an effective AI policy should look like, much less about how the wealth it creates should be shared. Technological change is likely to move faster than political agreement. Still, the future of economic society need not simply happen to us. Within limits, it will reflect the institutions we build and the choices we make.</w:t>
      </w:r>
    </w:p>
    <w:p w14:paraId="570C05C2" w14:textId="77777777" w:rsidR="0016091E" w:rsidRPr="00A24932" w:rsidRDefault="0016091E">
      <w:pPr>
        <w:shd w:val="clear" w:color="auto" w:fill="FFFFFF"/>
        <w:spacing w:after="160" w:line="360" w:lineRule="auto"/>
        <w:rPr>
          <w:sz w:val="24"/>
          <w:szCs w:val="24"/>
        </w:rPr>
      </w:pPr>
    </w:p>
    <w:p w14:paraId="0345CA0F" w14:textId="77777777" w:rsidR="0016091E" w:rsidRPr="00A24932" w:rsidRDefault="009C4F32">
      <w:pPr>
        <w:shd w:val="clear" w:color="auto" w:fill="FFFFFF"/>
        <w:spacing w:after="160" w:line="360" w:lineRule="auto"/>
        <w:rPr>
          <w:sz w:val="24"/>
          <w:szCs w:val="24"/>
        </w:rPr>
      </w:pPr>
      <w:r w:rsidRPr="00A24932">
        <w:rPr>
          <w:sz w:val="24"/>
          <w:szCs w:val="24"/>
        </w:rPr>
        <w:t>Michael D. Redmond</w:t>
      </w:r>
    </w:p>
    <w:p w14:paraId="2765481D" w14:textId="77777777" w:rsidR="0016091E" w:rsidRPr="00A24932" w:rsidRDefault="009C4F32">
      <w:pPr>
        <w:shd w:val="clear" w:color="auto" w:fill="FFFFFF"/>
        <w:spacing w:after="160" w:line="360" w:lineRule="auto"/>
        <w:rPr>
          <w:sz w:val="24"/>
          <w:szCs w:val="24"/>
        </w:rPr>
      </w:pPr>
      <w:r w:rsidRPr="00A24932">
        <w:rPr>
          <w:sz w:val="24"/>
          <w:szCs w:val="24"/>
        </w:rPr>
        <w:t>August 30, 2026</w:t>
      </w:r>
    </w:p>
    <w:p w14:paraId="738C4FE2" w14:textId="77777777" w:rsidR="0016091E" w:rsidRPr="00A24932" w:rsidRDefault="009C4F32">
      <w:pPr>
        <w:rPr>
          <w:sz w:val="24"/>
          <w:szCs w:val="24"/>
        </w:rPr>
      </w:pPr>
      <w:r w:rsidRPr="00A24932">
        <w:rPr>
          <w:sz w:val="24"/>
          <w:szCs w:val="24"/>
        </w:rPr>
        <w:br w:type="page"/>
      </w:r>
    </w:p>
    <w:p w14:paraId="68E18FA7" w14:textId="77777777" w:rsidR="0016091E" w:rsidRPr="00A24932" w:rsidRDefault="009C4F32">
      <w:pPr>
        <w:spacing w:line="480" w:lineRule="auto"/>
        <w:jc w:val="center"/>
        <w:rPr>
          <w:sz w:val="24"/>
          <w:szCs w:val="24"/>
        </w:rPr>
      </w:pPr>
      <w:r w:rsidRPr="00A24932">
        <w:rPr>
          <w:b/>
          <w:sz w:val="24"/>
          <w:szCs w:val="24"/>
        </w:rPr>
        <w:lastRenderedPageBreak/>
        <w:t>References</w:t>
      </w:r>
    </w:p>
    <w:p w14:paraId="3050F1EE" w14:textId="77777777" w:rsidR="0016091E" w:rsidRPr="00A24932" w:rsidRDefault="009C4F32">
      <w:pPr>
        <w:spacing w:line="480" w:lineRule="auto"/>
        <w:ind w:left="720" w:hanging="720"/>
        <w:rPr>
          <w:sz w:val="24"/>
          <w:szCs w:val="24"/>
        </w:rPr>
      </w:pPr>
      <w:r w:rsidRPr="00A24932">
        <w:rPr>
          <w:sz w:val="24"/>
          <w:szCs w:val="24"/>
        </w:rPr>
        <w:t xml:space="preserve">Acemoglu, D., &amp; Johnson, S. (2024, May). </w:t>
      </w:r>
      <w:r w:rsidRPr="00A24932">
        <w:rPr>
          <w:i/>
          <w:sz w:val="24"/>
          <w:szCs w:val="24"/>
        </w:rPr>
        <w:t>Learning from Ricardo and Thompson: Machinery and labor in the early Industrial Revolution, and in the age of AI (NBER Working Paper No. 32416)</w:t>
      </w:r>
      <w:r w:rsidRPr="00A24932">
        <w:rPr>
          <w:sz w:val="24"/>
          <w:szCs w:val="24"/>
        </w:rPr>
        <w:t xml:space="preserve">. National Bureau of Economic Research. </w:t>
      </w:r>
      <w:hyperlink r:id="rId6">
        <w:r w:rsidRPr="00A24932">
          <w:rPr>
            <w:color w:val="0563C1"/>
            <w:sz w:val="24"/>
            <w:szCs w:val="24"/>
            <w:u w:val="single"/>
          </w:rPr>
          <w:t>https://doi.org/10.3386/w32416</w:t>
        </w:r>
      </w:hyperlink>
    </w:p>
    <w:p w14:paraId="2659C27B" w14:textId="77777777" w:rsidR="00173A80" w:rsidRPr="00173A80" w:rsidRDefault="00173A80" w:rsidP="00173A80">
      <w:pPr>
        <w:spacing w:line="480" w:lineRule="auto"/>
        <w:ind w:left="720" w:hanging="720"/>
        <w:rPr>
          <w:sz w:val="24"/>
          <w:szCs w:val="24"/>
          <w:lang w:val="en-US"/>
        </w:rPr>
      </w:pPr>
      <w:r w:rsidRPr="00173A80">
        <w:rPr>
          <w:sz w:val="24"/>
          <w:szCs w:val="24"/>
          <w:lang w:val="en-US"/>
        </w:rPr>
        <w:t xml:space="preserve">Board of Governors of the Federal Reserve System (U.S.). (n.d.). </w:t>
      </w:r>
      <w:r w:rsidRPr="00173A80">
        <w:rPr>
          <w:i/>
          <w:iCs/>
          <w:sz w:val="24"/>
          <w:szCs w:val="24"/>
          <w:lang w:val="en-US"/>
        </w:rPr>
        <w:t>Share of net worth held by the top 1% (99th to 100th wealth percentiles) [WFRBST01134]</w:t>
      </w:r>
      <w:r w:rsidRPr="00173A80">
        <w:rPr>
          <w:sz w:val="24"/>
          <w:szCs w:val="24"/>
          <w:lang w:val="en-US"/>
        </w:rPr>
        <w:t xml:space="preserve"> [Data set]. FRED, Federal Reserve Bank of St. Louis. Retrieved August 31, 2026, from </w:t>
      </w:r>
      <w:hyperlink r:id="rId7" w:tgtFrame="_new" w:history="1">
        <w:r w:rsidRPr="00173A80">
          <w:rPr>
            <w:rStyle w:val="Hyperlink"/>
            <w:sz w:val="24"/>
            <w:szCs w:val="24"/>
            <w:lang w:val="en-US"/>
          </w:rPr>
          <w:t>https://fred.stlouisfed.org/series/WFRBST01134</w:t>
        </w:r>
      </w:hyperlink>
    </w:p>
    <w:p w14:paraId="5C86B58F" w14:textId="77777777" w:rsidR="00173A80" w:rsidRPr="00173A80" w:rsidRDefault="00173A80" w:rsidP="00173A80">
      <w:pPr>
        <w:spacing w:line="480" w:lineRule="auto"/>
        <w:ind w:left="720" w:hanging="720"/>
        <w:rPr>
          <w:sz w:val="24"/>
          <w:szCs w:val="24"/>
          <w:lang w:val="en-US"/>
        </w:rPr>
      </w:pPr>
      <w:r w:rsidRPr="00173A80">
        <w:rPr>
          <w:sz w:val="24"/>
          <w:szCs w:val="24"/>
          <w:lang w:val="en-US"/>
        </w:rPr>
        <w:t xml:space="preserve">Board of Governors of the Federal Reserve System (U.S.). (2026). </w:t>
      </w:r>
      <w:r w:rsidRPr="00173A80">
        <w:rPr>
          <w:i/>
          <w:iCs/>
          <w:sz w:val="24"/>
          <w:szCs w:val="24"/>
          <w:lang w:val="en-US"/>
        </w:rPr>
        <w:t>Share of net worth held by the bottom 50% (1st to 50th wealth percentiles) [WFRBSB50215]</w:t>
      </w:r>
      <w:r w:rsidRPr="00173A80">
        <w:rPr>
          <w:sz w:val="24"/>
          <w:szCs w:val="24"/>
          <w:lang w:val="en-US"/>
        </w:rPr>
        <w:t xml:space="preserve"> [Data set]. FRED, Federal Reserve Bank of St. Louis. Retrieved August 31, 2026, from </w:t>
      </w:r>
      <w:hyperlink r:id="rId8" w:tgtFrame="_new" w:history="1">
        <w:r w:rsidRPr="00173A80">
          <w:rPr>
            <w:rStyle w:val="Hyperlink"/>
            <w:sz w:val="24"/>
            <w:szCs w:val="24"/>
            <w:lang w:val="en-US"/>
          </w:rPr>
          <w:t>https://fred.stlouisfed.org/series/WFRBSB50215</w:t>
        </w:r>
      </w:hyperlink>
    </w:p>
    <w:p w14:paraId="2D1B878E" w14:textId="77777777" w:rsidR="0016091E" w:rsidRDefault="009C4F32">
      <w:pPr>
        <w:spacing w:line="480" w:lineRule="auto"/>
        <w:ind w:left="720" w:hanging="720"/>
      </w:pPr>
      <w:r w:rsidRPr="00A24932">
        <w:rPr>
          <w:sz w:val="24"/>
          <w:szCs w:val="24"/>
          <w:lang w:val="es-ES"/>
        </w:rPr>
        <w:t xml:space="preserve">Brollo, F., </w:t>
      </w:r>
      <w:proofErr w:type="spellStart"/>
      <w:r w:rsidRPr="00A24932">
        <w:rPr>
          <w:sz w:val="24"/>
          <w:szCs w:val="24"/>
          <w:lang w:val="es-ES"/>
        </w:rPr>
        <w:t>Dabla</w:t>
      </w:r>
      <w:proofErr w:type="spellEnd"/>
      <w:r w:rsidRPr="00A24932">
        <w:rPr>
          <w:sz w:val="24"/>
          <w:szCs w:val="24"/>
          <w:lang w:val="es-ES"/>
        </w:rPr>
        <w:t xml:space="preserve">-Norris, E., de </w:t>
      </w:r>
      <w:proofErr w:type="spellStart"/>
      <w:r w:rsidRPr="00A24932">
        <w:rPr>
          <w:sz w:val="24"/>
          <w:szCs w:val="24"/>
          <w:lang w:val="es-ES"/>
        </w:rPr>
        <w:t>Mooij</w:t>
      </w:r>
      <w:proofErr w:type="spellEnd"/>
      <w:r w:rsidRPr="00A24932">
        <w:rPr>
          <w:sz w:val="24"/>
          <w:szCs w:val="24"/>
          <w:lang w:val="es-ES"/>
        </w:rPr>
        <w:t xml:space="preserve">, R., </w:t>
      </w:r>
      <w:proofErr w:type="spellStart"/>
      <w:r w:rsidRPr="00A24932">
        <w:rPr>
          <w:sz w:val="24"/>
          <w:szCs w:val="24"/>
          <w:lang w:val="es-ES"/>
        </w:rPr>
        <w:t>Garcia</w:t>
      </w:r>
      <w:proofErr w:type="spellEnd"/>
      <w:r w:rsidRPr="00A24932">
        <w:rPr>
          <w:sz w:val="24"/>
          <w:szCs w:val="24"/>
          <w:lang w:val="es-ES"/>
        </w:rPr>
        <w:t xml:space="preserve">-Macia, D., </w:t>
      </w:r>
      <w:proofErr w:type="spellStart"/>
      <w:r w:rsidRPr="00A24932">
        <w:rPr>
          <w:sz w:val="24"/>
          <w:szCs w:val="24"/>
          <w:lang w:val="es-ES"/>
        </w:rPr>
        <w:t>Hanappi</w:t>
      </w:r>
      <w:proofErr w:type="spellEnd"/>
      <w:r w:rsidRPr="00A24932">
        <w:rPr>
          <w:sz w:val="24"/>
          <w:szCs w:val="24"/>
          <w:lang w:val="es-ES"/>
        </w:rPr>
        <w:t xml:space="preserve">, T., Liu, L., &amp; Nguyen, A. D. M. (2024). </w:t>
      </w:r>
      <w:r w:rsidRPr="00A24932">
        <w:rPr>
          <w:i/>
          <w:sz w:val="24"/>
          <w:szCs w:val="24"/>
        </w:rPr>
        <w:t>Broadening the gains from generative AI: The role of fiscal policies (IMF Staff Discussion Note No. 2024/002)</w:t>
      </w:r>
      <w:r w:rsidRPr="00A24932">
        <w:rPr>
          <w:sz w:val="24"/>
          <w:szCs w:val="24"/>
        </w:rPr>
        <w:t xml:space="preserve">. International Monetary Fund. </w:t>
      </w:r>
      <w:hyperlink r:id="rId9">
        <w:r w:rsidRPr="00A24932">
          <w:rPr>
            <w:color w:val="0563C1"/>
            <w:sz w:val="24"/>
            <w:szCs w:val="24"/>
            <w:u w:val="single"/>
          </w:rPr>
          <w:t>https://doi.org/10.5089/9798400277177.006</w:t>
        </w:r>
      </w:hyperlink>
    </w:p>
    <w:p w14:paraId="27AEAD60" w14:textId="2F65C26E" w:rsidR="004A4FF2" w:rsidRDefault="004A4FF2" w:rsidP="008E34AD">
      <w:pPr>
        <w:spacing w:line="480" w:lineRule="auto"/>
        <w:ind w:left="720" w:hanging="720"/>
        <w:rPr>
          <w:sz w:val="24"/>
          <w:szCs w:val="24"/>
          <w:lang w:val="en-US"/>
        </w:rPr>
      </w:pPr>
      <w:r w:rsidRPr="004A4FF2">
        <w:rPr>
          <w:sz w:val="24"/>
          <w:szCs w:val="24"/>
        </w:rPr>
        <w:t xml:space="preserve">Federal Reserve Bank of St. Louis. (2026). </w:t>
      </w:r>
      <w:r w:rsidRPr="004A4FF2">
        <w:rPr>
          <w:i/>
          <w:iCs/>
          <w:sz w:val="24"/>
          <w:szCs w:val="24"/>
        </w:rPr>
        <w:t xml:space="preserve">Shares of </w:t>
      </w:r>
      <w:proofErr w:type="gramStart"/>
      <w:r w:rsidRPr="004A4FF2">
        <w:rPr>
          <w:i/>
          <w:iCs/>
          <w:sz w:val="24"/>
          <w:szCs w:val="24"/>
        </w:rPr>
        <w:t>wealth by wealth</w:t>
      </w:r>
      <w:proofErr w:type="gramEnd"/>
      <w:r w:rsidRPr="004A4FF2">
        <w:rPr>
          <w:i/>
          <w:iCs/>
          <w:sz w:val="24"/>
          <w:szCs w:val="24"/>
        </w:rPr>
        <w:t xml:space="preserve"> percentile groups: Q1 2026</w:t>
      </w:r>
      <w:r w:rsidRPr="004A4FF2">
        <w:rPr>
          <w:sz w:val="24"/>
          <w:szCs w:val="24"/>
        </w:rPr>
        <w:t xml:space="preserve"> [Data table]. FRED. </w:t>
      </w:r>
      <w:hyperlink r:id="rId10" w:tgtFrame="_new" w:history="1">
        <w:r w:rsidRPr="004A4FF2">
          <w:rPr>
            <w:rStyle w:val="Hyperlink"/>
            <w:sz w:val="24"/>
            <w:szCs w:val="24"/>
          </w:rPr>
          <w:t>https://fred.stlouisfed.org/release/tables?eid=813804&amp;rid=453</w:t>
        </w:r>
      </w:hyperlink>
    </w:p>
    <w:p w14:paraId="334009B4" w14:textId="360CE4B4" w:rsidR="008E34AD" w:rsidRPr="008E34AD" w:rsidRDefault="008E34AD" w:rsidP="008E34AD">
      <w:pPr>
        <w:spacing w:line="480" w:lineRule="auto"/>
        <w:ind w:left="720" w:hanging="720"/>
        <w:rPr>
          <w:sz w:val="24"/>
          <w:szCs w:val="24"/>
          <w:lang w:val="en-US"/>
        </w:rPr>
      </w:pPr>
      <w:proofErr w:type="spellStart"/>
      <w:r w:rsidRPr="008E34AD">
        <w:rPr>
          <w:sz w:val="24"/>
          <w:szCs w:val="24"/>
          <w:lang w:val="en-US"/>
        </w:rPr>
        <w:t>Gardels</w:t>
      </w:r>
      <w:proofErr w:type="spellEnd"/>
      <w:r w:rsidRPr="008E34AD">
        <w:rPr>
          <w:sz w:val="24"/>
          <w:szCs w:val="24"/>
          <w:lang w:val="en-US"/>
        </w:rPr>
        <w:t>, N. (2026, February 6). </w:t>
      </w:r>
      <w:r w:rsidRPr="008E34AD">
        <w:rPr>
          <w:i/>
          <w:iCs/>
          <w:sz w:val="24"/>
          <w:szCs w:val="24"/>
          <w:lang w:val="en-US"/>
        </w:rPr>
        <w:t>Extreme inequality presages the revolt against it</w:t>
      </w:r>
      <w:r w:rsidRPr="008E34AD">
        <w:rPr>
          <w:sz w:val="24"/>
          <w:szCs w:val="24"/>
          <w:lang w:val="en-US"/>
        </w:rPr>
        <w:t>. </w:t>
      </w:r>
      <w:r w:rsidRPr="008E34AD">
        <w:rPr>
          <w:i/>
          <w:iCs/>
          <w:sz w:val="24"/>
          <w:szCs w:val="24"/>
          <w:lang w:val="en-US"/>
        </w:rPr>
        <w:t>Noema Magazine</w:t>
      </w:r>
      <w:r w:rsidRPr="008E34AD">
        <w:rPr>
          <w:sz w:val="24"/>
          <w:szCs w:val="24"/>
          <w:lang w:val="en-US"/>
        </w:rPr>
        <w:t xml:space="preserve">. </w:t>
      </w:r>
      <w:hyperlink r:id="rId11" w:history="1">
        <w:r w:rsidRPr="008E34AD">
          <w:rPr>
            <w:rStyle w:val="Hyperlink"/>
            <w:sz w:val="24"/>
            <w:szCs w:val="24"/>
            <w:lang w:val="en-US"/>
          </w:rPr>
          <w:t>https://www.noemamag.com/extreme-inequality-presages-the-revolt-against-it/</w:t>
        </w:r>
      </w:hyperlink>
    </w:p>
    <w:p w14:paraId="142C1F77" w14:textId="77777777" w:rsidR="0016091E" w:rsidRPr="00A24932" w:rsidRDefault="009C4F32">
      <w:pPr>
        <w:spacing w:line="480" w:lineRule="auto"/>
        <w:ind w:left="720" w:hanging="720"/>
        <w:rPr>
          <w:sz w:val="24"/>
          <w:szCs w:val="24"/>
        </w:rPr>
      </w:pPr>
      <w:r w:rsidRPr="00A24932">
        <w:rPr>
          <w:sz w:val="24"/>
          <w:szCs w:val="24"/>
        </w:rPr>
        <w:lastRenderedPageBreak/>
        <w:t xml:space="preserve">Gmyrek, P., Berg, J., Kamiński, K., Konopczyński, F., </w:t>
      </w:r>
      <w:proofErr w:type="spellStart"/>
      <w:r w:rsidRPr="00A24932">
        <w:rPr>
          <w:sz w:val="24"/>
          <w:szCs w:val="24"/>
        </w:rPr>
        <w:t>Ładna</w:t>
      </w:r>
      <w:proofErr w:type="spellEnd"/>
      <w:r w:rsidRPr="00A24932">
        <w:rPr>
          <w:sz w:val="24"/>
          <w:szCs w:val="24"/>
        </w:rPr>
        <w:t xml:space="preserve">, A., </w:t>
      </w:r>
      <w:proofErr w:type="spellStart"/>
      <w:r w:rsidRPr="00A24932">
        <w:rPr>
          <w:sz w:val="24"/>
          <w:szCs w:val="24"/>
        </w:rPr>
        <w:t>Nafradi</w:t>
      </w:r>
      <w:proofErr w:type="spellEnd"/>
      <w:r w:rsidRPr="00A24932">
        <w:rPr>
          <w:sz w:val="24"/>
          <w:szCs w:val="24"/>
        </w:rPr>
        <w:t xml:space="preserve">, B., </w:t>
      </w:r>
      <w:proofErr w:type="spellStart"/>
      <w:r w:rsidRPr="00A24932">
        <w:rPr>
          <w:sz w:val="24"/>
          <w:szCs w:val="24"/>
        </w:rPr>
        <w:t>Rosłaniec</w:t>
      </w:r>
      <w:proofErr w:type="spellEnd"/>
      <w:r w:rsidRPr="00A24932">
        <w:rPr>
          <w:sz w:val="24"/>
          <w:szCs w:val="24"/>
        </w:rPr>
        <w:t xml:space="preserve">, K., &amp; </w:t>
      </w:r>
      <w:proofErr w:type="spellStart"/>
      <w:r w:rsidRPr="00A24932">
        <w:rPr>
          <w:sz w:val="24"/>
          <w:szCs w:val="24"/>
        </w:rPr>
        <w:t>Troszyński</w:t>
      </w:r>
      <w:proofErr w:type="spellEnd"/>
      <w:r w:rsidRPr="00A24932">
        <w:rPr>
          <w:sz w:val="24"/>
          <w:szCs w:val="24"/>
        </w:rPr>
        <w:t xml:space="preserve">, M. (2025). </w:t>
      </w:r>
      <w:r w:rsidRPr="00A24932">
        <w:rPr>
          <w:i/>
          <w:sz w:val="24"/>
          <w:szCs w:val="24"/>
        </w:rPr>
        <w:t>Generative AI and jobs: A refined global index of occupational exposure (ILO Working Paper No. 140)</w:t>
      </w:r>
      <w:r w:rsidRPr="00A24932">
        <w:rPr>
          <w:sz w:val="24"/>
          <w:szCs w:val="24"/>
        </w:rPr>
        <w:t xml:space="preserve">. International </w:t>
      </w:r>
      <w:proofErr w:type="spellStart"/>
      <w:r w:rsidRPr="00A24932">
        <w:rPr>
          <w:sz w:val="24"/>
          <w:szCs w:val="24"/>
        </w:rPr>
        <w:t>Labour</w:t>
      </w:r>
      <w:proofErr w:type="spellEnd"/>
      <w:r w:rsidRPr="00A24932">
        <w:rPr>
          <w:sz w:val="24"/>
          <w:szCs w:val="24"/>
        </w:rPr>
        <w:t xml:space="preserve"> Organization. </w:t>
      </w:r>
      <w:hyperlink r:id="rId12">
        <w:r w:rsidRPr="00A24932">
          <w:rPr>
            <w:color w:val="0563C1"/>
            <w:sz w:val="24"/>
            <w:szCs w:val="24"/>
            <w:u w:val="single"/>
          </w:rPr>
          <w:t>https://doi.org/10.54394/HETP0387</w:t>
        </w:r>
      </w:hyperlink>
    </w:p>
    <w:p w14:paraId="2BC24E17" w14:textId="146DFDA9" w:rsidR="007D4458" w:rsidRPr="00A24932" w:rsidRDefault="007D4458">
      <w:pPr>
        <w:spacing w:line="480" w:lineRule="auto"/>
        <w:ind w:left="720" w:hanging="720"/>
        <w:rPr>
          <w:sz w:val="24"/>
          <w:szCs w:val="24"/>
        </w:rPr>
      </w:pPr>
      <w:r w:rsidRPr="00A24932">
        <w:rPr>
          <w:sz w:val="24"/>
          <w:szCs w:val="24"/>
        </w:rPr>
        <w:t xml:space="preserve">Graham, J. R. (1996). Is a group of economists better than one? </w:t>
      </w:r>
      <w:proofErr w:type="gramStart"/>
      <w:r w:rsidRPr="00A24932">
        <w:rPr>
          <w:sz w:val="24"/>
          <w:szCs w:val="24"/>
        </w:rPr>
        <w:t>Than</w:t>
      </w:r>
      <w:proofErr w:type="gramEnd"/>
      <w:r w:rsidRPr="00A24932">
        <w:rPr>
          <w:sz w:val="24"/>
          <w:szCs w:val="24"/>
        </w:rPr>
        <w:t xml:space="preserve"> none? </w:t>
      </w:r>
      <w:r w:rsidRPr="00A24932">
        <w:rPr>
          <w:i/>
          <w:iCs/>
          <w:sz w:val="24"/>
          <w:szCs w:val="24"/>
        </w:rPr>
        <w:t>The Journal of Business, 69</w:t>
      </w:r>
      <w:r w:rsidRPr="00A24932">
        <w:rPr>
          <w:sz w:val="24"/>
          <w:szCs w:val="24"/>
        </w:rPr>
        <w:t xml:space="preserve">(2), 193–232. </w:t>
      </w:r>
      <w:hyperlink r:id="rId13" w:history="1">
        <w:r w:rsidRPr="00A24932">
          <w:rPr>
            <w:rStyle w:val="Hyperlink"/>
            <w:sz w:val="24"/>
            <w:szCs w:val="24"/>
          </w:rPr>
          <w:t>https://doi.org/10.1086/209688</w:t>
        </w:r>
      </w:hyperlink>
    </w:p>
    <w:p w14:paraId="7BBFD9A4" w14:textId="77777777" w:rsidR="0016091E" w:rsidRPr="00A24932" w:rsidRDefault="009C4F32">
      <w:pPr>
        <w:spacing w:line="480" w:lineRule="auto"/>
        <w:ind w:left="720" w:hanging="720"/>
        <w:rPr>
          <w:sz w:val="24"/>
          <w:szCs w:val="24"/>
        </w:rPr>
      </w:pPr>
      <w:proofErr w:type="spellStart"/>
      <w:r w:rsidRPr="00A24932">
        <w:rPr>
          <w:sz w:val="24"/>
          <w:szCs w:val="24"/>
        </w:rPr>
        <w:t>Organisation</w:t>
      </w:r>
      <w:proofErr w:type="spellEnd"/>
      <w:r w:rsidRPr="00A24932">
        <w:rPr>
          <w:sz w:val="24"/>
          <w:szCs w:val="24"/>
        </w:rPr>
        <w:t xml:space="preserve"> for Economic Co-operation and Development. (2025). </w:t>
      </w:r>
      <w:r w:rsidRPr="00A24932">
        <w:rPr>
          <w:i/>
          <w:sz w:val="24"/>
          <w:szCs w:val="24"/>
        </w:rPr>
        <w:t>Artificial intelligence and competitive dynamics in downstream markets (OECD Roundtables on Competition Policy Papers No. 331)</w:t>
      </w:r>
      <w:r w:rsidRPr="00A24932">
        <w:rPr>
          <w:sz w:val="24"/>
          <w:szCs w:val="24"/>
        </w:rPr>
        <w:t xml:space="preserve">. </w:t>
      </w:r>
      <w:hyperlink r:id="rId14">
        <w:r w:rsidRPr="00A24932">
          <w:rPr>
            <w:color w:val="0563C1"/>
            <w:sz w:val="24"/>
            <w:szCs w:val="24"/>
            <w:u w:val="single"/>
          </w:rPr>
          <w:t>https://doi.org/10.1787/ccf0624a-en</w:t>
        </w:r>
      </w:hyperlink>
    </w:p>
    <w:p w14:paraId="0A0D5860" w14:textId="77777777" w:rsidR="0016091E" w:rsidRPr="00A24932" w:rsidRDefault="009C4F32">
      <w:pPr>
        <w:spacing w:line="480" w:lineRule="auto"/>
        <w:ind w:left="720" w:hanging="720"/>
        <w:rPr>
          <w:sz w:val="24"/>
          <w:szCs w:val="24"/>
        </w:rPr>
      </w:pPr>
      <w:proofErr w:type="spellStart"/>
      <w:r w:rsidRPr="00A24932">
        <w:rPr>
          <w:sz w:val="24"/>
          <w:szCs w:val="24"/>
        </w:rPr>
        <w:t>Organisation</w:t>
      </w:r>
      <w:proofErr w:type="spellEnd"/>
      <w:r w:rsidRPr="00A24932">
        <w:rPr>
          <w:sz w:val="24"/>
          <w:szCs w:val="24"/>
        </w:rPr>
        <w:t xml:space="preserve"> for Economic Co-operation and Development. (2026). </w:t>
      </w:r>
      <w:r w:rsidRPr="00A24932">
        <w:rPr>
          <w:i/>
          <w:sz w:val="24"/>
          <w:szCs w:val="24"/>
        </w:rPr>
        <w:t>OECD survey on drivers of trust in public institutions 2026 results: Navigating rising expectations and new horizons</w:t>
      </w:r>
      <w:r w:rsidRPr="00A24932">
        <w:rPr>
          <w:sz w:val="24"/>
          <w:szCs w:val="24"/>
        </w:rPr>
        <w:t xml:space="preserve">. </w:t>
      </w:r>
      <w:hyperlink r:id="rId15">
        <w:r w:rsidRPr="00A24932">
          <w:rPr>
            <w:color w:val="0563C1"/>
            <w:sz w:val="24"/>
            <w:szCs w:val="24"/>
            <w:u w:val="single"/>
          </w:rPr>
          <w:t>https://doi.org/10.1787/9eb63fec-en</w:t>
        </w:r>
      </w:hyperlink>
    </w:p>
    <w:p w14:paraId="3D040EA7" w14:textId="77777777" w:rsidR="0016091E" w:rsidRPr="00A24932" w:rsidRDefault="009C4F32">
      <w:pPr>
        <w:spacing w:line="480" w:lineRule="auto"/>
        <w:ind w:left="720" w:hanging="720"/>
        <w:rPr>
          <w:sz w:val="24"/>
          <w:szCs w:val="24"/>
        </w:rPr>
      </w:pPr>
      <w:r w:rsidRPr="00A24932">
        <w:rPr>
          <w:sz w:val="24"/>
          <w:szCs w:val="24"/>
        </w:rPr>
        <w:t xml:space="preserve">Office of Senator Bernie Sanders. (2026, June 18). </w:t>
      </w:r>
      <w:r w:rsidRPr="00A24932">
        <w:rPr>
          <w:i/>
          <w:sz w:val="24"/>
          <w:szCs w:val="24"/>
        </w:rPr>
        <w:t>Sanders introduces legislation to create $7 trillion AI sovereign wealth fund</w:t>
      </w:r>
      <w:r w:rsidRPr="00A24932">
        <w:rPr>
          <w:sz w:val="24"/>
          <w:szCs w:val="24"/>
        </w:rPr>
        <w:t xml:space="preserve">. </w:t>
      </w:r>
      <w:hyperlink r:id="rId16">
        <w:r w:rsidRPr="00A24932">
          <w:rPr>
            <w:color w:val="0563C1"/>
            <w:sz w:val="24"/>
            <w:szCs w:val="24"/>
            <w:u w:val="single"/>
          </w:rPr>
          <w:t>https://www.sanders.senate.gov/press-releases/news-sanders-introduces-legislation-to-create-7-trillion-ai-sovereign-wealth-fund/</w:t>
        </w:r>
      </w:hyperlink>
    </w:p>
    <w:p w14:paraId="5FB2E3D9" w14:textId="77777777" w:rsidR="0016091E" w:rsidRPr="00A24932" w:rsidRDefault="009C4F32">
      <w:pPr>
        <w:spacing w:line="480" w:lineRule="auto"/>
        <w:ind w:left="720" w:hanging="720"/>
        <w:rPr>
          <w:sz w:val="24"/>
          <w:szCs w:val="24"/>
        </w:rPr>
      </w:pPr>
      <w:r w:rsidRPr="00A24932">
        <w:rPr>
          <w:sz w:val="24"/>
          <w:szCs w:val="24"/>
        </w:rPr>
        <w:t xml:space="preserve">OpenAI. (2026, August 17). </w:t>
      </w:r>
      <w:r w:rsidRPr="00A24932">
        <w:rPr>
          <w:i/>
          <w:sz w:val="24"/>
          <w:szCs w:val="24"/>
        </w:rPr>
        <w:t>New policy ideas for the Intelligence Age</w:t>
      </w:r>
      <w:r w:rsidRPr="00A24932">
        <w:rPr>
          <w:sz w:val="24"/>
          <w:szCs w:val="24"/>
        </w:rPr>
        <w:t xml:space="preserve">. </w:t>
      </w:r>
      <w:hyperlink r:id="rId17">
        <w:r w:rsidRPr="00A24932">
          <w:rPr>
            <w:color w:val="0563C1"/>
            <w:sz w:val="24"/>
            <w:szCs w:val="24"/>
            <w:u w:val="single"/>
          </w:rPr>
          <w:t>https://openai.com/index/new-policy-ideas-for-the-intelligence-age/</w:t>
        </w:r>
      </w:hyperlink>
    </w:p>
    <w:p w14:paraId="6CDBEB19" w14:textId="77777777" w:rsidR="0016091E" w:rsidRPr="00A24932" w:rsidRDefault="009C4F32">
      <w:pPr>
        <w:spacing w:line="480" w:lineRule="auto"/>
        <w:ind w:left="720" w:hanging="720"/>
        <w:rPr>
          <w:sz w:val="24"/>
          <w:szCs w:val="24"/>
        </w:rPr>
      </w:pPr>
      <w:r w:rsidRPr="00A24932">
        <w:rPr>
          <w:sz w:val="24"/>
          <w:szCs w:val="24"/>
        </w:rPr>
        <w:t xml:space="preserve">Rockall, E. J., Tavares, M. M., &amp; </w:t>
      </w:r>
      <w:proofErr w:type="spellStart"/>
      <w:r w:rsidRPr="00A24932">
        <w:rPr>
          <w:sz w:val="24"/>
          <w:szCs w:val="24"/>
        </w:rPr>
        <w:t>Pizzinelli</w:t>
      </w:r>
      <w:proofErr w:type="spellEnd"/>
      <w:r w:rsidRPr="00A24932">
        <w:rPr>
          <w:sz w:val="24"/>
          <w:szCs w:val="24"/>
        </w:rPr>
        <w:t xml:space="preserve">, C. (2025). </w:t>
      </w:r>
      <w:r w:rsidRPr="00A24932">
        <w:rPr>
          <w:i/>
          <w:sz w:val="24"/>
          <w:szCs w:val="24"/>
        </w:rPr>
        <w:t>AI adoption and inequality (IMF Working Paper No. 2025/068)</w:t>
      </w:r>
      <w:r w:rsidRPr="00A24932">
        <w:rPr>
          <w:sz w:val="24"/>
          <w:szCs w:val="24"/>
        </w:rPr>
        <w:t xml:space="preserve">. International Monetary Fund. </w:t>
      </w:r>
      <w:hyperlink r:id="rId18">
        <w:r w:rsidRPr="00A24932">
          <w:rPr>
            <w:color w:val="0563C1"/>
            <w:sz w:val="24"/>
            <w:szCs w:val="24"/>
            <w:u w:val="single"/>
          </w:rPr>
          <w:t>https://doi.org/10.5089/9798229006828.001</w:t>
        </w:r>
      </w:hyperlink>
    </w:p>
    <w:sectPr w:rsidR="0016091E" w:rsidRPr="00A24932">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D599" w14:textId="77777777" w:rsidR="00496100" w:rsidRDefault="00496100">
      <w:pPr>
        <w:spacing w:line="240" w:lineRule="auto"/>
      </w:pPr>
      <w:r>
        <w:separator/>
      </w:r>
    </w:p>
  </w:endnote>
  <w:endnote w:type="continuationSeparator" w:id="0">
    <w:p w14:paraId="04379DB7" w14:textId="77777777" w:rsidR="00496100" w:rsidRDefault="004961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E86C0D7-874A-41C2-9FE5-3286C1A14D09}"/>
  </w:font>
  <w:font w:name="Cambria">
    <w:panose1 w:val="02040503050406030204"/>
    <w:charset w:val="00"/>
    <w:family w:val="roman"/>
    <w:pitch w:val="variable"/>
    <w:sig w:usb0="E00006FF" w:usb1="420024FF" w:usb2="02000000" w:usb3="00000000" w:csb0="0000019F" w:csb1="00000000"/>
    <w:embedRegular r:id="rId2" w:fontKey="{B67645B0-17A0-4E07-9F05-1FE0394903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75EC" w14:textId="77777777" w:rsidR="0016091E" w:rsidRDefault="009C4F32">
    <w:pPr>
      <w:jc w:val="right"/>
    </w:pPr>
    <w:r>
      <w:rPr>
        <w:sz w:val="24"/>
        <w:szCs w:val="24"/>
      </w:rPr>
      <w:fldChar w:fldCharType="begin"/>
    </w:r>
    <w:r>
      <w:rPr>
        <w:sz w:val="24"/>
        <w:szCs w:val="24"/>
      </w:rPr>
      <w:instrText>PAGE</w:instrText>
    </w:r>
    <w:r>
      <w:rPr>
        <w:sz w:val="24"/>
        <w:szCs w:val="24"/>
      </w:rPr>
      <w:fldChar w:fldCharType="separate"/>
    </w:r>
    <w:r w:rsidR="001A680B">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E74D4" w14:textId="77777777" w:rsidR="00496100" w:rsidRDefault="00496100">
      <w:pPr>
        <w:spacing w:line="240" w:lineRule="auto"/>
      </w:pPr>
      <w:r>
        <w:separator/>
      </w:r>
    </w:p>
  </w:footnote>
  <w:footnote w:type="continuationSeparator" w:id="0">
    <w:p w14:paraId="1F85224B" w14:textId="77777777" w:rsidR="00496100" w:rsidRDefault="0049610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1E"/>
    <w:rsid w:val="00030110"/>
    <w:rsid w:val="000D64F1"/>
    <w:rsid w:val="0016091E"/>
    <w:rsid w:val="00173A80"/>
    <w:rsid w:val="001A680B"/>
    <w:rsid w:val="002938E0"/>
    <w:rsid w:val="00496100"/>
    <w:rsid w:val="004A4FF2"/>
    <w:rsid w:val="005C63BC"/>
    <w:rsid w:val="007D4458"/>
    <w:rsid w:val="007D6844"/>
    <w:rsid w:val="008B446C"/>
    <w:rsid w:val="008D6BFA"/>
    <w:rsid w:val="008E34AD"/>
    <w:rsid w:val="009A7648"/>
    <w:rsid w:val="009C4F32"/>
    <w:rsid w:val="00A24932"/>
    <w:rsid w:val="00A77E9B"/>
    <w:rsid w:val="00EE0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17DC"/>
  <w15:docId w15:val="{2C93EBB4-BB05-4C5A-A59F-C7438FE2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D4458"/>
    <w:rPr>
      <w:color w:val="0000FF" w:themeColor="hyperlink"/>
      <w:u w:val="single"/>
    </w:rPr>
  </w:style>
  <w:style w:type="character" w:styleId="UnresolvedMention">
    <w:name w:val="Unresolved Mention"/>
    <w:basedOn w:val="DefaultParagraphFont"/>
    <w:uiPriority w:val="99"/>
    <w:semiHidden/>
    <w:unhideWhenUsed/>
    <w:rsid w:val="007D4458"/>
    <w:rPr>
      <w:color w:val="605E5C"/>
      <w:shd w:val="clear" w:color="auto" w:fill="E1DFDD"/>
    </w:rPr>
  </w:style>
  <w:style w:type="character" w:styleId="FollowedHyperlink">
    <w:name w:val="FollowedHyperlink"/>
    <w:basedOn w:val="DefaultParagraphFont"/>
    <w:uiPriority w:val="99"/>
    <w:semiHidden/>
    <w:unhideWhenUsed/>
    <w:rsid w:val="007D44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red.stlouisfed.org/series/WFRBSB50215" TargetMode="External"/><Relationship Id="rId13" Type="http://schemas.openxmlformats.org/officeDocument/2006/relationships/hyperlink" Target="https://doi.org/10.1086/209688" TargetMode="External"/><Relationship Id="rId18" Type="http://schemas.openxmlformats.org/officeDocument/2006/relationships/hyperlink" Target="https://doi.org/10.5089/9798229006828.001"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fred.stlouisfed.org/series/WFRBST01134" TargetMode="External"/><Relationship Id="rId12" Type="http://schemas.openxmlformats.org/officeDocument/2006/relationships/hyperlink" Target="https://doi.org/10.54394/HETP0387" TargetMode="External"/><Relationship Id="rId17" Type="http://schemas.openxmlformats.org/officeDocument/2006/relationships/hyperlink" Target="https://openai.com/index/new-policy-ideas-for-the-intelligence-age/" TargetMode="External"/><Relationship Id="rId2" Type="http://schemas.openxmlformats.org/officeDocument/2006/relationships/settings" Target="settings.xml"/><Relationship Id="rId16" Type="http://schemas.openxmlformats.org/officeDocument/2006/relationships/hyperlink" Target="https://www.sanders.senate.gov/press-releases/news-sanders-introduces-legislation-to-create-7-trillion-ai-sovereign-wealth-fun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3386/w32416" TargetMode="External"/><Relationship Id="rId11" Type="http://schemas.openxmlformats.org/officeDocument/2006/relationships/hyperlink" Target="https://www.noemamag.com/extreme-inequality-presages-the-revolt-against-it/" TargetMode="External"/><Relationship Id="rId5" Type="http://schemas.openxmlformats.org/officeDocument/2006/relationships/endnotes" Target="endnotes.xml"/><Relationship Id="rId15" Type="http://schemas.openxmlformats.org/officeDocument/2006/relationships/hyperlink" Target="https://doi.org/10.1787/9eb63fec-en" TargetMode="External"/><Relationship Id="rId10" Type="http://schemas.openxmlformats.org/officeDocument/2006/relationships/hyperlink" Target="https://fred.stlouisfed.org/release/tables?eid=813804&amp;rid=453&amp;utm_source=chatgpt.co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doi.org/10.5089/9798400277177.006" TargetMode="External"/><Relationship Id="rId14" Type="http://schemas.openxmlformats.org/officeDocument/2006/relationships/hyperlink" Target="https://doi.org/10.1787/ccf0624a-en"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1952</Words>
  <Characters>11422</Characters>
  <Application>Microsoft Office Word</Application>
  <DocSecurity>0</DocSecurity>
  <Lines>193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Redmond</cp:lastModifiedBy>
  <cp:revision>10</cp:revision>
  <dcterms:created xsi:type="dcterms:W3CDTF">2026-08-31T15:41:00Z</dcterms:created>
  <dcterms:modified xsi:type="dcterms:W3CDTF">2026-09-02T14:08:00Z</dcterms:modified>
</cp:coreProperties>
</file>