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3B40A" w14:textId="72345CB4" w:rsidR="00FA3E61" w:rsidRPr="00EB1109" w:rsidRDefault="00FA3E61" w:rsidP="00FA3E61">
      <w:pPr>
        <w:pStyle w:val="Heading1"/>
      </w:pPr>
      <w:bookmarkStart w:id="0" w:name="_Toc344728820"/>
      <w:bookmarkStart w:id="1" w:name="_Toc344729318"/>
      <w:bookmarkStart w:id="2" w:name="_Toc345084150"/>
      <w:bookmarkStart w:id="3" w:name="_Toc235269840"/>
      <w:r>
        <w:rPr>
          <w:lang w:val="en-US"/>
        </w:rPr>
        <w:t>Software as a Service</w:t>
      </w:r>
      <w:bookmarkEnd w:id="0"/>
      <w:bookmarkEnd w:id="1"/>
      <w:r>
        <w:rPr>
          <w:lang w:val="en-US"/>
        </w:rPr>
        <w:t xml:space="preserve"> Agreement</w:t>
      </w:r>
      <w:bookmarkEnd w:id="2"/>
      <w:bookmarkEnd w:id="3"/>
    </w:p>
    <w:p w14:paraId="1F8E9922" w14:textId="77777777" w:rsidR="00FA3E61" w:rsidRPr="00EB1109" w:rsidRDefault="00FA3E61" w:rsidP="00FA3E61"/>
    <w:p w14:paraId="3C957B5A" w14:textId="7BAE8BC1" w:rsidR="00FA3E61" w:rsidRPr="00EB1109" w:rsidRDefault="00FA3E61" w:rsidP="00FA3E61">
      <w:r>
        <w:t>The SaaS Agreement does not constitute, or substitute for, legal advice. The SaaS Agreement is provided “AS-IS” without warranty of any kind. ALL EXPRESS OR IMPLIED REPRESENTATIONS AND WARRANTIES, INCLUDING ANY IMPLIED WARRANTY OF MERCHANTABILITY, FITNESS FOR A PARTICULAR PURPOSE, OR NON-INFRINGEMENT, ARE HEREBY EXCLUDED. THE AUTHOR SHALL NOT BE LIABLE FOR ANY DAMAGES ARISING OUT OF OR SUFFERED AS A RESULT OF THE USE OF THIS BOOK OR THE INCLUDED SAAS AGREEMENT.</w:t>
      </w:r>
    </w:p>
    <w:p w14:paraId="4DAA08E8" w14:textId="77777777" w:rsidR="00FA3E61" w:rsidRPr="00EB1109" w:rsidRDefault="00FA3E61" w:rsidP="00FA3E61">
      <w:pPr>
        <w:rPr>
          <w:rFonts w:cs="Arial"/>
        </w:rPr>
      </w:pPr>
    </w:p>
    <w:p w14:paraId="0F2484A0" w14:textId="77777777" w:rsidR="00FA3E61" w:rsidRPr="00EB1109" w:rsidRDefault="00FA3E61" w:rsidP="00FA3E61"/>
    <w:p w14:paraId="0700A786" w14:textId="77777777" w:rsidR="00FA3E61" w:rsidRPr="00EB1109" w:rsidRDefault="00FA3E61" w:rsidP="00FA3E61">
      <w:pPr>
        <w:pStyle w:val="LegalHeader"/>
        <w:spacing w:after="120"/>
        <w:rPr>
          <w:rFonts w:cs="Arial"/>
          <w:sz w:val="20"/>
        </w:rPr>
      </w:pPr>
      <w:r>
        <w:rPr>
          <w:rFonts w:cs="Arial"/>
          <w:sz w:val="20"/>
        </w:rPr>
        <w:t>MASTER SOFTWARE AS A SERVICE AGREEMENT</w:t>
      </w:r>
    </w:p>
    <w:p w14:paraId="3F277867" w14:textId="1FCA51DF" w:rsidR="00FA3E61" w:rsidRPr="00EB1109" w:rsidRDefault="00FA3E61" w:rsidP="00FA3E61">
      <w:pPr>
        <w:pStyle w:val="LegalRecitals"/>
        <w:spacing w:before="240" w:line="240" w:lineRule="auto"/>
        <w:ind w:firstLine="0"/>
        <w:jc w:val="both"/>
        <w:rPr>
          <w:b w:val="0"/>
          <w:szCs w:val="20"/>
        </w:rPr>
      </w:pPr>
      <w:r>
        <w:rPr>
          <w:b w:val="0"/>
          <w:szCs w:val="20"/>
        </w:rPr>
        <w:t>This Master Software as a Service Agreement is entered into, to be effective as of [Effective Date] (“Effective Date”), by and between [CUSTOMER NAME], a [state/jurisdiction] [corporation / limited liability company], located at [Customer Address] (“Customer”) and [SERVICE PROVIDER NAME], a [state/jurisdiction] [corporation / limited liability company], located at [Service Provider Address] (“Service Provider”). Customer and Service Provider are each referred to herein as a “Party” and collectively as the “Parties.”</w:t>
      </w:r>
    </w:p>
    <w:p w14:paraId="6842CE26" w14:textId="0DB793C4" w:rsidR="00FA3E61" w:rsidRPr="00EB1109" w:rsidRDefault="00CB1CBF" w:rsidP="00FA3E61">
      <w:pPr>
        <w:spacing w:before="240" w:after="120" w:line="240" w:lineRule="auto"/>
        <w:jc w:val="center"/>
        <w:rPr>
          <w:rFonts w:ascii="Arial" w:hAnsi="Arial" w:cs="Arial"/>
          <w:b/>
          <w:bCs/>
          <w:sz w:val="20"/>
          <w:szCs w:val="20"/>
        </w:rPr>
      </w:pPr>
      <w:r>
        <w:rPr>
          <w:rFonts w:ascii="Arial" w:hAnsi="Arial" w:cs="Arial"/>
          <w:b/>
          <w:bCs/>
          <w:sz w:val="20"/>
          <w:szCs w:val="20"/>
        </w:rPr>
        <w:t>RECITALS</w:t>
      </w:r>
    </w:p>
    <w:p w14:paraId="65EB73A0" w14:textId="0C4DAECC" w:rsidR="00FA3E61" w:rsidRPr="00EB1109" w:rsidRDefault="00FA3E61" w:rsidP="00FA3E61">
      <w:pPr>
        <w:pStyle w:val="LegalRecitals"/>
        <w:spacing w:before="240" w:line="240" w:lineRule="auto"/>
        <w:ind w:firstLine="0"/>
        <w:jc w:val="both"/>
        <w:rPr>
          <w:b w:val="0"/>
          <w:szCs w:val="20"/>
        </w:rPr>
      </w:pPr>
      <w:proofErr w:type="gramStart"/>
      <w:r>
        <w:rPr>
          <w:b w:val="0"/>
          <w:szCs w:val="20"/>
        </w:rPr>
        <w:t>WHEREAS,</w:t>
      </w:r>
      <w:proofErr w:type="gramEnd"/>
      <w:r>
        <w:rPr>
          <w:b w:val="0"/>
          <w:szCs w:val="20"/>
        </w:rPr>
        <w:t xml:space="preserve"> Customer requires cloud-based software as a service and related services (the “Services,” as further defined in Section 2 (Definitions)) with respect to certain of its business and information technology requirements;</w:t>
      </w:r>
    </w:p>
    <w:p w14:paraId="14BFA994" w14:textId="77777777" w:rsidR="00FA3E61" w:rsidRPr="00EB1109" w:rsidRDefault="00FA3E61" w:rsidP="00FA3E61">
      <w:pPr>
        <w:pStyle w:val="LegalRecitals"/>
        <w:spacing w:before="240" w:line="240" w:lineRule="auto"/>
        <w:ind w:firstLine="0"/>
        <w:jc w:val="both"/>
        <w:rPr>
          <w:b w:val="0"/>
          <w:szCs w:val="20"/>
        </w:rPr>
      </w:pPr>
      <w:proofErr w:type="gramStart"/>
      <w:r>
        <w:rPr>
          <w:b w:val="0"/>
          <w:szCs w:val="20"/>
        </w:rPr>
        <w:t>WHEREAS,</w:t>
      </w:r>
      <w:proofErr w:type="gramEnd"/>
      <w:r>
        <w:rPr>
          <w:b w:val="0"/>
          <w:szCs w:val="20"/>
        </w:rPr>
        <w:t xml:space="preserve"> Customer conducted a selection process and requested a proposal from Service Provider for the Services;</w:t>
      </w:r>
    </w:p>
    <w:p w14:paraId="17D94E30" w14:textId="77777777" w:rsidR="00FA3E61" w:rsidRPr="00EB1109" w:rsidRDefault="00FA3E61" w:rsidP="00FA3E61">
      <w:pPr>
        <w:pStyle w:val="LegalRecitals"/>
        <w:spacing w:before="240" w:line="240" w:lineRule="auto"/>
        <w:ind w:firstLine="0"/>
        <w:jc w:val="both"/>
        <w:rPr>
          <w:b w:val="0"/>
          <w:szCs w:val="20"/>
        </w:rPr>
      </w:pPr>
      <w:proofErr w:type="gramStart"/>
      <w:r>
        <w:rPr>
          <w:b w:val="0"/>
          <w:szCs w:val="20"/>
        </w:rPr>
        <w:t>WHEREAS,</w:t>
      </w:r>
      <w:proofErr w:type="gramEnd"/>
      <w:r>
        <w:rPr>
          <w:b w:val="0"/>
          <w:szCs w:val="20"/>
        </w:rPr>
        <w:t xml:space="preserve"> Service Provider is in the business of providing the Services and has represented that it has the requisite experience, expertise, and resources to provide the Services;</w:t>
      </w:r>
    </w:p>
    <w:p w14:paraId="06993C7E" w14:textId="77777777" w:rsidR="00FA3E61" w:rsidRPr="00EB1109" w:rsidRDefault="00FA3E61" w:rsidP="00FA3E61">
      <w:pPr>
        <w:pStyle w:val="LegalRecitals"/>
        <w:spacing w:before="240" w:line="240" w:lineRule="auto"/>
        <w:ind w:firstLine="0"/>
        <w:jc w:val="both"/>
        <w:rPr>
          <w:b w:val="0"/>
          <w:szCs w:val="20"/>
        </w:rPr>
      </w:pPr>
      <w:proofErr w:type="gramStart"/>
      <w:r>
        <w:rPr>
          <w:b w:val="0"/>
          <w:szCs w:val="20"/>
        </w:rPr>
        <w:t>WHEREAS,</w:t>
      </w:r>
      <w:proofErr w:type="gramEnd"/>
      <w:r>
        <w:rPr>
          <w:b w:val="0"/>
          <w:szCs w:val="20"/>
        </w:rPr>
        <w:t xml:space="preserve"> Service Provider submitted a proposal to Customer to perform the Services;</w:t>
      </w:r>
    </w:p>
    <w:p w14:paraId="3FB251F7" w14:textId="0BE6B981" w:rsidR="00FA3E61" w:rsidRPr="00EB1109" w:rsidRDefault="00FA3E61" w:rsidP="00FA3E61">
      <w:pPr>
        <w:pStyle w:val="LegalRecitals"/>
        <w:spacing w:before="240" w:line="240" w:lineRule="auto"/>
        <w:ind w:firstLine="0"/>
        <w:jc w:val="both"/>
        <w:rPr>
          <w:b w:val="0"/>
          <w:szCs w:val="20"/>
        </w:rPr>
      </w:pPr>
      <w:proofErr w:type="gramStart"/>
      <w:r>
        <w:rPr>
          <w:b w:val="0"/>
          <w:szCs w:val="20"/>
        </w:rPr>
        <w:t>WHEREAS</w:t>
      </w:r>
      <w:proofErr w:type="gramEnd"/>
      <w:r>
        <w:rPr>
          <w:b w:val="0"/>
          <w:szCs w:val="20"/>
        </w:rPr>
        <w:t>, based on Service Provider’s proposal and representations relating to the Services, Customer has selected Service Provider to provide the Services;</w:t>
      </w:r>
    </w:p>
    <w:p w14:paraId="36FF404E" w14:textId="6FFEBDDD" w:rsidR="00FA3E61" w:rsidRPr="00EB1109" w:rsidRDefault="00FA3E61" w:rsidP="00FA3E61">
      <w:pPr>
        <w:pStyle w:val="LegalRecitals"/>
        <w:spacing w:before="240" w:line="240" w:lineRule="auto"/>
        <w:ind w:firstLine="0"/>
        <w:jc w:val="both"/>
        <w:rPr>
          <w:b w:val="0"/>
          <w:szCs w:val="20"/>
        </w:rPr>
      </w:pPr>
      <w:proofErr w:type="gramStart"/>
      <w:r>
        <w:rPr>
          <w:b w:val="0"/>
          <w:szCs w:val="20"/>
        </w:rPr>
        <w:t>WHEREAS,</w:t>
      </w:r>
      <w:proofErr w:type="gramEnd"/>
      <w:r>
        <w:rPr>
          <w:b w:val="0"/>
          <w:szCs w:val="20"/>
        </w:rPr>
        <w:t xml:space="preserve"> Service Provider wishes to perform the Services and acknowledges that the successful performance of the Services is critical to the operation of Customer’s business; and</w:t>
      </w:r>
    </w:p>
    <w:p w14:paraId="7952C66D" w14:textId="77777777" w:rsidR="00FA3E61" w:rsidRPr="00EB1109" w:rsidRDefault="00FA3E61" w:rsidP="00FA3E61">
      <w:pPr>
        <w:pStyle w:val="LegalRecitals"/>
        <w:spacing w:before="240" w:line="240" w:lineRule="auto"/>
        <w:ind w:firstLine="0"/>
        <w:jc w:val="both"/>
        <w:rPr>
          <w:b w:val="0"/>
          <w:szCs w:val="20"/>
        </w:rPr>
      </w:pPr>
      <w:r>
        <w:rPr>
          <w:b w:val="0"/>
          <w:szCs w:val="20"/>
        </w:rPr>
        <w:t>WHEREAS, Service Provider has reviewed this Agreement, including all Addenda hereto, and has agreed to provide the Services to Customer, all on the terms and conditions set forth herein.</w:t>
      </w:r>
    </w:p>
    <w:p w14:paraId="7793387C" w14:textId="77777777" w:rsidR="00FA3E61" w:rsidRPr="00EB1109" w:rsidRDefault="00FA3E61" w:rsidP="00FA3E61">
      <w:pPr>
        <w:pStyle w:val="LegalRecitals"/>
        <w:spacing w:before="240" w:line="240" w:lineRule="auto"/>
        <w:ind w:firstLine="0"/>
        <w:jc w:val="both"/>
        <w:rPr>
          <w:b w:val="0"/>
          <w:szCs w:val="20"/>
        </w:rPr>
      </w:pPr>
      <w:r>
        <w:rPr>
          <w:b w:val="0"/>
          <w:szCs w:val="20"/>
        </w:rPr>
        <w:t>NOW, THEREFORE, in consideration of the mutual covenants, representations, and obligations set forth herein, and for other good and valuable consideration, the receipt and sufficiency of which are hereby acknowledged, the Parties agree as follows:</w:t>
      </w:r>
    </w:p>
    <w:p w14:paraId="44FC47DB" w14:textId="2FB3AC75" w:rsidR="00FA3E61" w:rsidRPr="00EB1109" w:rsidRDefault="00FA3E61" w:rsidP="00FA3E61">
      <w:pPr>
        <w:pStyle w:val="LegalLevel1"/>
        <w:numPr>
          <w:ilvl w:val="0"/>
          <w:numId w:val="15"/>
        </w:numPr>
        <w:tabs>
          <w:tab w:val="num" w:pos="1939"/>
        </w:tabs>
        <w:spacing w:before="240" w:line="240" w:lineRule="auto"/>
        <w:rPr>
          <w:sz w:val="20"/>
          <w:szCs w:val="20"/>
        </w:rPr>
      </w:pPr>
      <w:r>
        <w:rPr>
          <w:sz w:val="20"/>
          <w:szCs w:val="20"/>
          <w:u w:val="single"/>
        </w:rPr>
        <w:t>Agreement Structure; Order of Precedence</w:t>
      </w:r>
      <w:r>
        <w:rPr>
          <w:sz w:val="20"/>
          <w:szCs w:val="20"/>
        </w:rPr>
        <w:t>.</w:t>
      </w:r>
    </w:p>
    <w:p w14:paraId="1D5D8563" w14:textId="7B3FB43F" w:rsidR="00FA3E61" w:rsidRPr="00EB1109" w:rsidRDefault="00FA3E61" w:rsidP="00FA3E61">
      <w:pPr>
        <w:pStyle w:val="LegalLevel2"/>
        <w:numPr>
          <w:ilvl w:val="1"/>
          <w:numId w:val="4"/>
        </w:numPr>
        <w:spacing w:before="240" w:line="240" w:lineRule="auto"/>
        <w:rPr>
          <w:sz w:val="20"/>
          <w:szCs w:val="20"/>
        </w:rPr>
      </w:pPr>
      <w:r>
        <w:rPr>
          <w:sz w:val="20"/>
          <w:szCs w:val="20"/>
          <w:u w:val="single"/>
        </w:rPr>
        <w:t>Structure</w:t>
      </w:r>
      <w:r>
        <w:rPr>
          <w:sz w:val="20"/>
          <w:szCs w:val="20"/>
        </w:rPr>
        <w:t xml:space="preserve">. This Agreement consists of the following components, each of which is incorporated herein by reference: (a) this Master Software as a Service Agreement (the “Master Agreement”); (b) Addendum A – Insurance Addendum (“Insurance Addendum”); (c) Addendum B – Data Processing Addendum (“Data Processing Addendum”); (d) Addendum C – Data Security Addendum (“Data Security Addendum”); (e) Addendum D – Business Continuity and Disaster Recovery Addendum (“BC/DR Addendum”); (f) Addendum E – Provisions Related to Artificial Intelligence Features (“AI Addendum”); and (g) one or more Order Forms (sequentially numbered) </w:t>
      </w:r>
      <w:r>
        <w:rPr>
          <w:sz w:val="20"/>
          <w:szCs w:val="20"/>
        </w:rPr>
        <w:lastRenderedPageBreak/>
        <w:t>executed by the Parties, each in the form of the Exhibit A – Order Form attached hereto or other order form containing substantially similar information and each identified as an Exhibit A – Order Form (each, an “Order Form”). Each Order Form may also incorporate one or more Addenda specific to the Services described therein, including a Service Level Addendum to Exhibit A – Order Form (“Service Level Addendum”). Collectively, this Master Agreement, all Addenda, and all Order Forms and associated Addenda are referred to as the “Agreement.”</w:t>
      </w:r>
    </w:p>
    <w:p w14:paraId="27D2DEDD" w14:textId="747A59BC" w:rsidR="00FA3E61" w:rsidRPr="00EB1109" w:rsidRDefault="00FA3E61" w:rsidP="00FA3E61">
      <w:pPr>
        <w:pStyle w:val="LegalLevel2"/>
        <w:numPr>
          <w:ilvl w:val="1"/>
          <w:numId w:val="4"/>
        </w:numPr>
        <w:spacing w:before="240" w:line="240" w:lineRule="auto"/>
        <w:rPr>
          <w:sz w:val="20"/>
          <w:szCs w:val="20"/>
        </w:rPr>
      </w:pPr>
      <w:r>
        <w:rPr>
          <w:sz w:val="20"/>
          <w:szCs w:val="20"/>
          <w:u w:val="single"/>
        </w:rPr>
        <w:t>Order of Precedence</w:t>
      </w:r>
      <w:r>
        <w:rPr>
          <w:sz w:val="20"/>
          <w:szCs w:val="20"/>
        </w:rPr>
        <w:t>. In the event of any conflict or inconsistency among the components of this Agreement, the following order of precedence shall apply, with the first-listed component prevailing: (a) this Master Agreement; (b) the applicable Addendum, but only with respect to the subject matter addressed by such Addendum; (c) the applicable Order Form; and (d) any other documents incorporated by reference. Notwithstanding the foregoing, where an Addendum addresses a subject matter with greater specificity than this Master Agreement, the Addendum shall be deemed to supplement (rather than conflict with) this Master Agreement on that subject matter.</w:t>
      </w:r>
    </w:p>
    <w:p w14:paraId="5F30E425" w14:textId="14D172AB" w:rsidR="00FA3E61" w:rsidRPr="00506E39" w:rsidRDefault="00FA3E61" w:rsidP="00506E39">
      <w:pPr>
        <w:pStyle w:val="LegalLevel2"/>
        <w:numPr>
          <w:ilvl w:val="1"/>
          <w:numId w:val="4"/>
        </w:numPr>
        <w:spacing w:before="240" w:line="240" w:lineRule="auto"/>
        <w:rPr>
          <w:sz w:val="20"/>
          <w:szCs w:val="20"/>
        </w:rPr>
      </w:pPr>
      <w:r>
        <w:rPr>
          <w:sz w:val="20"/>
          <w:szCs w:val="20"/>
          <w:u w:val="single"/>
        </w:rPr>
        <w:t>Hyperlink Change Restriction</w:t>
      </w:r>
      <w:r>
        <w:rPr>
          <w:sz w:val="20"/>
          <w:szCs w:val="20"/>
        </w:rPr>
        <w:t xml:space="preserve">. Service Provider shall not materially modify any document, policy, or terms that are incorporated into this Agreement by hyperlink reference (including acceptable use policies, privacy policies, and fee schedules) without providing </w:t>
      </w:r>
      <w:proofErr w:type="gramStart"/>
      <w:r>
        <w:rPr>
          <w:sz w:val="20"/>
          <w:szCs w:val="20"/>
        </w:rPr>
        <w:t>Customer</w:t>
      </w:r>
      <w:proofErr w:type="gramEnd"/>
      <w:r>
        <w:rPr>
          <w:sz w:val="20"/>
          <w:szCs w:val="20"/>
        </w:rPr>
        <w:t xml:space="preserve"> not less than sixty (60) </w:t>
      </w:r>
      <w:proofErr w:type="gramStart"/>
      <w:r>
        <w:rPr>
          <w:sz w:val="20"/>
          <w:szCs w:val="20"/>
        </w:rPr>
        <w:t>days’</w:t>
      </w:r>
      <w:proofErr w:type="gramEnd"/>
      <w:r>
        <w:rPr>
          <w:sz w:val="20"/>
          <w:szCs w:val="20"/>
        </w:rPr>
        <w:t xml:space="preserve"> prior written notice and obtaining Customer’s prior written consent to such material modification. Any material modification made in violation of this Section shall be void and unenforceable as against Customer. [Alternative: “1.3 </w:t>
      </w:r>
      <w:r>
        <w:rPr>
          <w:sz w:val="20"/>
          <w:szCs w:val="20"/>
          <w:u w:val="single"/>
        </w:rPr>
        <w:t>Hyperlink Change Restriction</w:t>
      </w:r>
      <w:r>
        <w:rPr>
          <w:sz w:val="20"/>
          <w:szCs w:val="20"/>
        </w:rPr>
        <w:t>. Service Provider shall not modify any document, policy, or terms incorporated into this Agreement by hyperlink reference (including acceptable use policies, privacy policies, and fee schedules) in a manner that reduces Service Provider’s obligations or increases Customer’s obligations without providing Customer not less than sixty (60) days’ prior written notice and obtaining Customer’s prior written consent to such modification. Modifications that increase Service Provider’s obligations or reduce Customer’s obligations shall require not less than thirty (30) days’ prior written notice to Customer but shall not require Customer’s prior written consent. Any modification made in violation of this Section shall be void and unenforceable as against Customer.”]</w:t>
      </w:r>
    </w:p>
    <w:p w14:paraId="71AD43C5" w14:textId="093124D9" w:rsidR="00FA3E61" w:rsidRPr="00EB1109" w:rsidRDefault="00FA3E61" w:rsidP="00FA3E61">
      <w:pPr>
        <w:pStyle w:val="LegalLevel2"/>
        <w:numPr>
          <w:ilvl w:val="1"/>
          <w:numId w:val="4"/>
        </w:numPr>
        <w:spacing w:before="240" w:line="240" w:lineRule="auto"/>
        <w:rPr>
          <w:sz w:val="20"/>
          <w:szCs w:val="20"/>
        </w:rPr>
      </w:pPr>
      <w:r>
        <w:rPr>
          <w:sz w:val="20"/>
          <w:szCs w:val="20"/>
          <w:u w:val="single"/>
        </w:rPr>
        <w:t>Click-Through and Supplemental Terms</w:t>
      </w:r>
      <w:r>
        <w:rPr>
          <w:sz w:val="20"/>
          <w:szCs w:val="20"/>
        </w:rPr>
        <w:t xml:space="preserve">. To the extent that access to or use of the Services requires acceptance of click-through terms, supplemental terms, or end-user license agreements presented by Service Provider or its </w:t>
      </w:r>
      <w:proofErr w:type="gramStart"/>
      <w:r>
        <w:rPr>
          <w:sz w:val="20"/>
          <w:szCs w:val="20"/>
        </w:rPr>
        <w:t>third party</w:t>
      </w:r>
      <w:proofErr w:type="gramEnd"/>
      <w:r>
        <w:rPr>
          <w:sz w:val="20"/>
          <w:szCs w:val="20"/>
        </w:rPr>
        <w:t xml:space="preserve"> licensors (“Supplemental Terms”), such Supplemental Terms are not binding and shall have no force or effect as to the Services, this Agreement, or the applicable Order Form. [Alternative: “such Supplemental Terms are hereby subordinated to this Agreement. In the event of any conflict between Supplemental Terms and this Agreement, this Agreement shall govern. Service Provider shall not require acceptance of Supplemental Terms that impose obligations on Customer or Authorized Users that are inconsistent with or more restrictive than the terms of this Agreement without Customer’s prior written consent. Where an Authorized User is required to “click through” or otherwise accept or be made subject to any online terms and conditions in accessing or using the Services, such terms and conditions are not binding and shall have no force or effect as to the Services, this Agreement, or the applicable Order Form.”]</w:t>
      </w:r>
    </w:p>
    <w:p w14:paraId="1F0DBEBA"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Definitions</w:t>
      </w:r>
      <w:r>
        <w:rPr>
          <w:sz w:val="20"/>
          <w:szCs w:val="20"/>
        </w:rPr>
        <w:t>. As used in this Agreement, the following terms shall have the meanings set forth below. Capitalized terms used but not defined in this Section shall have the meanings ascribed to them elsewhere in this Agreement.</w:t>
      </w:r>
    </w:p>
    <w:p w14:paraId="5360898D" w14:textId="3D5F455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“Addendum” (and “Addenda” collectively) means any addendum to this Agreement (including to an Order Form and any addendum attached thereto) identified in Section 1.1 (Structure).</w:t>
      </w:r>
    </w:p>
    <w:p w14:paraId="3989B56C" w14:textId="0AF3F06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“Affiliates” means, with respect to a Party, any entity that directly or indirectly controls, is controlled by, or is under common control with such Party, where “control” means the ownership of more than fifty percent (50%) of the voting securities or equivalent ownership interest of such entity.</w:t>
      </w:r>
    </w:p>
    <w:p w14:paraId="7301C9D9" w14:textId="630B4E49"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“Agentic AI Features” has the meaning set forth in the AI Addendum.</w:t>
      </w:r>
    </w:p>
    <w:p w14:paraId="26A96CF7" w14:textId="7777777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“Agreement” has the meaning set forth in Section 1.1 (Structure).</w:t>
      </w:r>
    </w:p>
    <w:p w14:paraId="4CC5FF32" w14:textId="43C726E1" w:rsidR="002D1EA9" w:rsidRDefault="002D1EA9">
      <w:pPr>
        <w:spacing w:before="240" w:after="120" w:line="240" w:lineRule="auto"/>
        <w:ind w:left="720"/>
        <w:rPr>
          <w:rFonts w:ascii="Arial" w:hAnsi="Arial" w:cs="Arial"/>
          <w:sz w:val="20"/>
          <w:szCs w:val="20"/>
        </w:rPr>
      </w:pPr>
      <w:r>
        <w:rPr>
          <w:rFonts w:ascii="Arial" w:hAnsi="Arial" w:cs="Arial"/>
          <w:sz w:val="20"/>
          <w:szCs w:val="20"/>
        </w:rPr>
        <w:lastRenderedPageBreak/>
        <w:t>“AI Addendum” has the meaning set forth in Section 1.1 (Structure).</w:t>
      </w:r>
    </w:p>
    <w:p w14:paraId="62DBF53B" w14:textId="7AA2DD98"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“AI Features” means any feature, functionality, component, algorithm, model, model weights, configuration, or associated software of the Services that utilizes artificial intelligence (“AI”), machine learning, deep learning, natural language processing, computer vision, generative AI, large language models, or similar technologies to process data, generate outputs, make predictions, or provide recommendations, whether embedded in the Services at the Effective Date or introduced thereafter.</w:t>
      </w:r>
    </w:p>
    <w:p w14:paraId="2B5BD0FF" w14:textId="2E13EEFC"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“AI Regulatory Authority” has the meaning set forth in the AI Addendum.</w:t>
      </w:r>
    </w:p>
    <w:p w14:paraId="7C6D8413" w14:textId="76AFA88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“Applicable Law” means all federal, state, local, and foreign laws, statutes, regulations, ordinances, rules, orders, and governmental requirements applicable to a Party’s performance under this Agreement, including data protection and privacy laws, regulations, and rules of jurisdictions in which data subjects are located.</w:t>
      </w:r>
    </w:p>
    <w:p w14:paraId="1070CB03" w14:textId="1E9C81D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“Authorized Systems” means non-human electronic agents, software agents, bots, robotic process automation tools, AI agents, and other automated systems that are authorized by Customer to access or interact with the Services on behalf of Customer or its Authorized Users, as identified in the applicable Order Form.</w:t>
      </w:r>
    </w:p>
    <w:p w14:paraId="5228DA2D" w14:textId="22F7A42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“Authorized Users” means Customer’s and its Affiliates’ employees, contractors, consultants, agents, and other individuals authorized by Customer to access and use the Services under the rights granted to Customer pursuant to this Agreement.</w:t>
      </w:r>
    </w:p>
    <w:p w14:paraId="0446D102" w14:textId="123A1E5D" w:rsidR="002D1EA9" w:rsidRPr="00EB1109" w:rsidRDefault="002D1EA9" w:rsidP="00FA3E61">
      <w:pPr>
        <w:spacing w:before="240" w:after="120" w:line="240" w:lineRule="auto"/>
        <w:ind w:left="720"/>
        <w:rPr>
          <w:rFonts w:ascii="Arial" w:hAnsi="Arial" w:cs="Arial"/>
          <w:sz w:val="20"/>
          <w:szCs w:val="20"/>
        </w:rPr>
      </w:pPr>
      <w:proofErr w:type="gramStart"/>
      <w:r>
        <w:rPr>
          <w:rFonts w:ascii="Arial" w:hAnsi="Arial" w:cs="Arial"/>
          <w:sz w:val="20"/>
          <w:szCs w:val="20"/>
        </w:rPr>
        <w:t>“Availability” has the</w:t>
      </w:r>
      <w:proofErr w:type="gramEnd"/>
      <w:r>
        <w:rPr>
          <w:rFonts w:ascii="Arial" w:hAnsi="Arial" w:cs="Arial"/>
          <w:sz w:val="20"/>
          <w:szCs w:val="20"/>
        </w:rPr>
        <w:t xml:space="preserve"> meaning set forth in the applicable Service Level Addendum.</w:t>
      </w:r>
    </w:p>
    <w:p w14:paraId="2BCCF958" w14:textId="02925772" w:rsidR="002D1EA9" w:rsidRDefault="002D1EA9">
      <w:pPr>
        <w:spacing w:before="240" w:after="120" w:line="240" w:lineRule="auto"/>
        <w:ind w:left="720"/>
        <w:rPr>
          <w:rFonts w:ascii="Arial" w:hAnsi="Arial" w:cs="Arial"/>
          <w:sz w:val="20"/>
          <w:szCs w:val="20"/>
        </w:rPr>
      </w:pPr>
      <w:r>
        <w:rPr>
          <w:rFonts w:ascii="Arial" w:hAnsi="Arial" w:cs="Arial"/>
          <w:sz w:val="20"/>
          <w:szCs w:val="20"/>
        </w:rPr>
        <w:t>“Backup Infrastructure” has the meaning set forth in the BC/DR Addendum.</w:t>
      </w:r>
    </w:p>
    <w:p w14:paraId="7186609C" w14:textId="590B70EA" w:rsidR="002D1EA9" w:rsidRDefault="002D1EA9">
      <w:pPr>
        <w:spacing w:before="240" w:after="120" w:line="240" w:lineRule="auto"/>
        <w:ind w:left="720"/>
        <w:rPr>
          <w:rFonts w:ascii="Arial" w:hAnsi="Arial" w:cs="Arial"/>
          <w:sz w:val="20"/>
          <w:szCs w:val="20"/>
        </w:rPr>
      </w:pPr>
      <w:r>
        <w:rPr>
          <w:rFonts w:ascii="Arial" w:hAnsi="Arial" w:cs="Arial"/>
          <w:sz w:val="20"/>
          <w:szCs w:val="20"/>
        </w:rPr>
        <w:t>“Backups” has the meaning set forth in the BC/DR Addendum.</w:t>
      </w:r>
    </w:p>
    <w:p w14:paraId="4B3530FD" w14:textId="26F7ABB5" w:rsidR="002D1EA9" w:rsidRDefault="002D1EA9">
      <w:pPr>
        <w:spacing w:before="240" w:after="120" w:line="240" w:lineRule="auto"/>
        <w:ind w:left="720"/>
        <w:rPr>
          <w:rFonts w:ascii="Arial" w:hAnsi="Arial" w:cs="Arial"/>
          <w:sz w:val="20"/>
          <w:szCs w:val="20"/>
        </w:rPr>
      </w:pPr>
      <w:r>
        <w:rPr>
          <w:rFonts w:ascii="Arial" w:hAnsi="Arial" w:cs="Arial"/>
          <w:sz w:val="20"/>
          <w:szCs w:val="20"/>
        </w:rPr>
        <w:t>“BC/DR Addendum” has the meaning set forth in Section 1.1 (Structure).</w:t>
      </w:r>
    </w:p>
    <w:p w14:paraId="52A53E8A" w14:textId="3CEA4776" w:rsidR="002D1EA9" w:rsidRDefault="002D1EA9">
      <w:pPr>
        <w:spacing w:before="240" w:after="120" w:line="240" w:lineRule="auto"/>
        <w:ind w:left="720"/>
        <w:rPr>
          <w:rFonts w:ascii="Arial" w:hAnsi="Arial" w:cs="Arial"/>
          <w:sz w:val="20"/>
          <w:szCs w:val="20"/>
        </w:rPr>
      </w:pPr>
      <w:r>
        <w:rPr>
          <w:rFonts w:ascii="Arial" w:hAnsi="Arial" w:cs="Arial"/>
          <w:sz w:val="20"/>
          <w:szCs w:val="20"/>
        </w:rPr>
        <w:t>“BC/DR Deficiency” has the meaning set forth in Section 9.4 (Audit and Documentation Access) of the BC/DR Addendum.</w:t>
      </w:r>
    </w:p>
    <w:p w14:paraId="285D0BCD" w14:textId="40AF59B8"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“Becoming Aware” has the meaning set forth in the Data Security Addendum.</w:t>
      </w:r>
    </w:p>
    <w:p w14:paraId="149A7EE2" w14:textId="2211C416" w:rsidR="002D1EA9" w:rsidRDefault="002D1EA9">
      <w:pPr>
        <w:spacing w:before="240" w:after="120" w:line="240" w:lineRule="auto"/>
        <w:ind w:left="720"/>
        <w:rPr>
          <w:rFonts w:ascii="Arial" w:hAnsi="Arial" w:cs="Arial"/>
          <w:sz w:val="20"/>
          <w:szCs w:val="20"/>
        </w:rPr>
      </w:pPr>
      <w:r>
        <w:rPr>
          <w:rFonts w:ascii="Arial" w:hAnsi="Arial" w:cs="Arial"/>
          <w:sz w:val="20"/>
          <w:szCs w:val="20"/>
        </w:rPr>
        <w:t>“Benchmarking Methodology” has the meaning set forth in Section 11.10 (Third Party Billing Benchmarking).</w:t>
      </w:r>
    </w:p>
    <w:p w14:paraId="06025B8D" w14:textId="6A94871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“Business Continuity Plan” or “BCP” has the meaning set forth in the BC/DR Addendum.</w:t>
      </w:r>
    </w:p>
    <w:p w14:paraId="237EF396" w14:textId="5F0EBEF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“Business Day” means any day other than a Saturday, Sunday, or federal holiday observed in [State].</w:t>
      </w:r>
    </w:p>
    <w:p w14:paraId="58538048" w14:textId="3612638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“Business Hours” means [8:00 a.m.] to [6:00 p.m.], [Eastern Time], on Business Days, or as otherwise specified in the applicable Order Form.</w:t>
      </w:r>
    </w:p>
    <w:p w14:paraId="166D2C3E" w14:textId="6CE15467" w:rsidR="002D1EA9" w:rsidRDefault="002D1EA9">
      <w:pPr>
        <w:spacing w:before="240" w:after="120" w:line="240" w:lineRule="auto"/>
        <w:ind w:left="720"/>
        <w:rPr>
          <w:rFonts w:ascii="Arial" w:hAnsi="Arial" w:cs="Arial"/>
          <w:sz w:val="20"/>
          <w:szCs w:val="20"/>
        </w:rPr>
      </w:pPr>
      <w:r>
        <w:rPr>
          <w:rFonts w:ascii="Arial" w:hAnsi="Arial" w:cs="Arial"/>
          <w:sz w:val="20"/>
          <w:szCs w:val="20"/>
        </w:rPr>
        <w:t>“Business Impact Analysis” or “BIA” has the meaning set forth in the BC/DR Addendum.</w:t>
      </w:r>
    </w:p>
    <w:p w14:paraId="7546F114" w14:textId="1B6FF26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“Change of Control” means (a) a merger, consolidation, or reorganization involving a Party in which such Party is not the surviving entity; (b) the acquisition by any person or group of persons of beneficial ownership of more than fifty percent (50%) of the outstanding voting securities of a Party; or (c) the sale or transfer of all or substantially all of a Party’s assets.</w:t>
      </w:r>
    </w:p>
    <w:p w14:paraId="3D9B9310" w14:textId="30B3EE9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“Claim” and “Claims” have the meanings set forth in Section 16.1 (General Indemnification).</w:t>
      </w:r>
    </w:p>
    <w:p w14:paraId="14659DF6" w14:textId="4F3F9C5A" w:rsidR="002D1EA9" w:rsidRDefault="002D1EA9">
      <w:pPr>
        <w:spacing w:before="240" w:after="120" w:line="240" w:lineRule="auto"/>
        <w:ind w:left="720"/>
        <w:rPr>
          <w:rFonts w:ascii="Arial" w:hAnsi="Arial" w:cs="Arial"/>
          <w:sz w:val="20"/>
          <w:szCs w:val="20"/>
        </w:rPr>
      </w:pPr>
      <w:r>
        <w:rPr>
          <w:rFonts w:ascii="Arial" w:hAnsi="Arial" w:cs="Arial"/>
          <w:sz w:val="20"/>
          <w:szCs w:val="20"/>
        </w:rPr>
        <w:t>“Clean Recovery Environment” has the meaning set forth in the BC/DR Addendum.</w:t>
      </w:r>
    </w:p>
    <w:p w14:paraId="1969B558" w14:textId="7038031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lastRenderedPageBreak/>
        <w:t>“Combined Data Set” has the meaning set forth in the AI Addendum.</w:t>
      </w:r>
    </w:p>
    <w:p w14:paraId="075EB5AF" w14:textId="75582857" w:rsidR="002D1EA9" w:rsidRDefault="002D1EA9">
      <w:pPr>
        <w:spacing w:before="240" w:after="120" w:line="240" w:lineRule="auto"/>
        <w:ind w:left="720"/>
        <w:rPr>
          <w:rFonts w:ascii="Arial" w:hAnsi="Arial" w:cs="Arial"/>
          <w:sz w:val="20"/>
          <w:szCs w:val="20"/>
        </w:rPr>
      </w:pPr>
      <w:r>
        <w:rPr>
          <w:rFonts w:ascii="Arial" w:hAnsi="Arial" w:cs="Arial"/>
          <w:sz w:val="20"/>
          <w:szCs w:val="20"/>
        </w:rPr>
        <w:t>“Concentration Risk” has the meaning set forth in the BC/DR Addendum.</w:t>
      </w:r>
    </w:p>
    <w:p w14:paraId="576C9D57" w14:textId="521081B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“Confidential Information” has the meaning set forth in Section 7.1 (Definition).</w:t>
      </w:r>
    </w:p>
    <w:p w14:paraId="7CDCF73B" w14:textId="7EEF710B"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“Controller” has the meaning set forth in Part 2 of the Data Processing Addendum.</w:t>
      </w:r>
    </w:p>
    <w:p w14:paraId="44059077" w14:textId="5D96C4C1" w:rsidR="002D1EA9" w:rsidRDefault="002D1EA9">
      <w:pPr>
        <w:spacing w:before="240" w:after="120" w:line="240" w:lineRule="auto"/>
        <w:ind w:left="720"/>
        <w:rPr>
          <w:rFonts w:ascii="Arial" w:hAnsi="Arial" w:cs="Arial"/>
          <w:sz w:val="20"/>
          <w:szCs w:val="20"/>
        </w:rPr>
      </w:pPr>
      <w:r>
        <w:rPr>
          <w:rFonts w:ascii="Arial" w:hAnsi="Arial" w:cs="Arial"/>
          <w:sz w:val="20"/>
          <w:szCs w:val="20"/>
        </w:rPr>
        <w:t>“Corrective Action Plan” or “CAP” means a written remediation plan that identifies: (a) each deficiency, finding, or material performance issue addressed; (b) the root cause; (c) the specific corrective actions or remediation steps to be taken; (d) the responsible Service Provider personnel; (e) target completion dates for each corrective action, which, where applicable, shall be consistent with any severity-based remediation timelines required under the Data Security Addendum or any other applicable Addendum; and (f) the metrics by which successful remediation will be measured.</w:t>
      </w:r>
    </w:p>
    <w:p w14:paraId="2483ECCA" w14:textId="516F2126"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“Customer Data Set” has the meaning set forth in the AI Addendum.</w:t>
      </w:r>
    </w:p>
    <w:p w14:paraId="741FC6C3" w14:textId="4E1EB28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“Customer Data” means: (a) all data, information, content, records, and files that Customer or its Authorized Users or Authorized Systems provide, submit, upload, transmit, or make available to or through the Services; (b) all data derived from, generated by, or created through the Processing of data described in clause (a), including metadata, analytics, reports, and AI-generated outputs; and (c) all Personal Data Processed by Service Provider on behalf of Customer in connection with the Services. Customer Data does not include Usage Data or any data that Service Provider (a) owned or possessed prior to the Effective Date, or (b) developed or acquired independently of this Agreement and without reference to, use of, or derivation from Customer Data.</w:t>
      </w:r>
    </w:p>
    <w:p w14:paraId="02192EB0" w14:textId="0AB2AB13" w:rsidR="002D1EA9" w:rsidRPr="00EB1109" w:rsidRDefault="002D1EA9" w:rsidP="00FA3E61">
      <w:pPr>
        <w:spacing w:before="240" w:after="120" w:line="240" w:lineRule="auto"/>
        <w:ind w:left="720"/>
        <w:rPr>
          <w:rFonts w:ascii="Arial" w:hAnsi="Arial" w:cs="Arial"/>
          <w:sz w:val="20"/>
          <w:szCs w:val="20"/>
        </w:rPr>
      </w:pPr>
      <w:proofErr w:type="gramStart"/>
      <w:r>
        <w:rPr>
          <w:rFonts w:ascii="Arial" w:hAnsi="Arial" w:cs="Arial"/>
          <w:sz w:val="20"/>
          <w:szCs w:val="20"/>
        </w:rPr>
        <w:t>“Customer Feedback” has the</w:t>
      </w:r>
      <w:proofErr w:type="gramEnd"/>
      <w:r>
        <w:rPr>
          <w:rFonts w:ascii="Arial" w:hAnsi="Arial" w:cs="Arial"/>
          <w:sz w:val="20"/>
          <w:szCs w:val="20"/>
        </w:rPr>
        <w:t xml:space="preserve"> meaning set forth in Section 3.4.6 (Customer Feedback).</w:t>
      </w:r>
    </w:p>
    <w:p w14:paraId="1B20D58E" w14:textId="0359B1D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“Customer Indemnified Parties” has the meaning set forth in Section 16.1 (General Indemnification).</w:t>
      </w:r>
    </w:p>
    <w:p w14:paraId="55AD643B" w14:textId="78C94BA1" w:rsidR="002D1EA9" w:rsidRDefault="002D1EA9" w:rsidP="00FA3E61">
      <w:pPr>
        <w:spacing w:before="240" w:after="120" w:line="240" w:lineRule="auto"/>
        <w:ind w:left="720"/>
        <w:rPr>
          <w:rFonts w:ascii="Arial" w:hAnsi="Arial" w:cs="Arial"/>
          <w:sz w:val="20"/>
          <w:szCs w:val="20"/>
        </w:rPr>
      </w:pPr>
      <w:r>
        <w:rPr>
          <w:rFonts w:ascii="Arial" w:hAnsi="Arial" w:cs="Arial"/>
          <w:sz w:val="20"/>
          <w:szCs w:val="20"/>
        </w:rPr>
        <w:t>“Customer Intellectual Property” has the meaning set forth in Section 19.2 (Customer Intellectual Property).</w:t>
      </w:r>
    </w:p>
    <w:p w14:paraId="77EB0C63" w14:textId="7777777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“Customer” has the meaning set forth in the preamble of this Agreement.</w:t>
      </w:r>
    </w:p>
    <w:p w14:paraId="0F4733D2" w14:textId="5F2599C5"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“Cyber Incident” has the meaning set forth in the BC/DR Addendum.</w:t>
      </w:r>
    </w:p>
    <w:p w14:paraId="399BAA86" w14:textId="423945C8"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“Data Breach” means any Security Incident that results in the confirmed unauthorized access to, acquisition of, disclosure of, or loss of Customer Data or Personal Data.</w:t>
      </w:r>
    </w:p>
    <w:p w14:paraId="23E9A91A" w14:textId="14190F76" w:rsidR="002D1EA9" w:rsidRDefault="002D1EA9">
      <w:pPr>
        <w:spacing w:before="240" w:after="120" w:line="240" w:lineRule="auto"/>
        <w:ind w:left="720"/>
        <w:rPr>
          <w:rFonts w:ascii="Arial" w:hAnsi="Arial" w:cs="Arial"/>
          <w:sz w:val="20"/>
          <w:szCs w:val="20"/>
        </w:rPr>
      </w:pPr>
      <w:r>
        <w:rPr>
          <w:rFonts w:ascii="Arial" w:hAnsi="Arial" w:cs="Arial"/>
          <w:sz w:val="20"/>
          <w:szCs w:val="20"/>
        </w:rPr>
        <w:t>“Data Processing Addendum” has the meaning set forth in Section 1.1 (Structure).</w:t>
      </w:r>
    </w:p>
    <w:p w14:paraId="56091CCA" w14:textId="2124BFEF"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“Data Protection Laws” has the meaning set forth in Part 2 of the Data Processing Addendum.</w:t>
      </w:r>
    </w:p>
    <w:p w14:paraId="36A26320" w14:textId="19E3E4E8" w:rsidR="002D1EA9" w:rsidRDefault="002D1EA9">
      <w:pPr>
        <w:spacing w:before="240" w:after="120" w:line="240" w:lineRule="auto"/>
        <w:ind w:left="720"/>
        <w:rPr>
          <w:rFonts w:ascii="Arial" w:hAnsi="Arial" w:cs="Arial"/>
          <w:sz w:val="20"/>
          <w:szCs w:val="20"/>
        </w:rPr>
      </w:pPr>
      <w:r>
        <w:rPr>
          <w:rFonts w:ascii="Arial" w:hAnsi="Arial" w:cs="Arial"/>
          <w:sz w:val="20"/>
          <w:szCs w:val="20"/>
        </w:rPr>
        <w:t>“Data Security Addendum” has the meaning set forth in Section 1.1 (Structure).</w:t>
      </w:r>
    </w:p>
    <w:p w14:paraId="0EC19221" w14:textId="3B41E19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“Data Subject” has the meaning set forth in Part 2 of the Data Processing Addendum.</w:t>
      </w:r>
    </w:p>
    <w:p w14:paraId="330FA4C0" w14:textId="69C34648" w:rsidR="002D1EA9" w:rsidRDefault="002D1EA9">
      <w:pPr>
        <w:spacing w:before="240" w:after="120" w:line="240" w:lineRule="auto"/>
        <w:ind w:left="720"/>
        <w:rPr>
          <w:rFonts w:ascii="Arial" w:hAnsi="Arial" w:cs="Arial"/>
          <w:sz w:val="20"/>
          <w:szCs w:val="20"/>
        </w:rPr>
      </w:pPr>
      <w:r>
        <w:rPr>
          <w:rFonts w:ascii="Arial" w:hAnsi="Arial" w:cs="Arial"/>
          <w:sz w:val="20"/>
          <w:szCs w:val="20"/>
        </w:rPr>
        <w:t>“Deposit Materials” has the meaning set forth in Section 3.12 (Escrow), if included.</w:t>
      </w:r>
    </w:p>
    <w:p w14:paraId="7A302C65" w14:textId="036C29D4" w:rsidR="002D1EA9" w:rsidRDefault="002D1EA9">
      <w:pPr>
        <w:spacing w:before="240" w:after="120" w:line="240" w:lineRule="auto"/>
        <w:ind w:left="720"/>
        <w:rPr>
          <w:rFonts w:ascii="Arial" w:hAnsi="Arial" w:cs="Arial"/>
          <w:sz w:val="20"/>
          <w:szCs w:val="20"/>
        </w:rPr>
      </w:pPr>
      <w:r>
        <w:rPr>
          <w:rFonts w:ascii="Arial" w:hAnsi="Arial" w:cs="Arial"/>
          <w:sz w:val="20"/>
          <w:szCs w:val="20"/>
        </w:rPr>
        <w:t>“Direct Competitor” has the meaning set forth in Section 10.5 (Competitive Restrictions), if included.</w:t>
      </w:r>
    </w:p>
    <w:p w14:paraId="252405F2" w14:textId="37516E1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“Disaster Recovery Plan” or “DRP” has the meaning set forth in the BC/DR Addendum.</w:t>
      </w:r>
    </w:p>
    <w:p w14:paraId="7204D413" w14:textId="4EF8FE5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“Disaster” has the meaning set forth in the BC/DR Addendum.</w:t>
      </w:r>
    </w:p>
    <w:p w14:paraId="3E48E1D3" w14:textId="4141AB4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“Disclosing Party” has the meaning set forth in Section 7.1 (Definition).</w:t>
      </w:r>
    </w:p>
    <w:p w14:paraId="0D0C3E7C" w14:textId="0F5425E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lastRenderedPageBreak/>
        <w:t>“Dispute Notice” has the meaning set forth in Section 21.1 (Informal Negotiation).</w:t>
      </w:r>
    </w:p>
    <w:p w14:paraId="29C5E4EE" w14:textId="7777777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“Dispute” has the meaning set forth in Section 21.1 (Informal Negotiation).</w:t>
      </w:r>
    </w:p>
    <w:p w14:paraId="27EC35AF" w14:textId="1BCF855F"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“Disruptive Event” has the meaning set forth in the BC/DR Addendum.</w:t>
      </w:r>
    </w:p>
    <w:p w14:paraId="2BD44F65" w14:textId="033C496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“Documentation” means all user manuals, online help files, technical documentation, specifications, training materials, and other written or electronic materials provided by Service Provider that describe the features, functions, and operation of the Services, as updated from time to time.</w:t>
      </w:r>
    </w:p>
    <w:p w14:paraId="0AF6A0D9" w14:textId="570A5641"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“Downtime” has the meaning set forth in the applicable Service Level Addendum.</w:t>
      </w:r>
    </w:p>
    <w:p w14:paraId="32855F6D" w14:textId="70022D2E" w:rsidR="002D1EA9" w:rsidRDefault="002D1EA9">
      <w:pPr>
        <w:spacing w:before="240" w:after="120" w:line="240" w:lineRule="auto"/>
        <w:ind w:left="720"/>
        <w:rPr>
          <w:rFonts w:ascii="Arial" w:hAnsi="Arial" w:cs="Arial"/>
          <w:sz w:val="20"/>
          <w:szCs w:val="20"/>
        </w:rPr>
      </w:pPr>
      <w:r>
        <w:rPr>
          <w:rFonts w:ascii="Arial" w:hAnsi="Arial" w:cs="Arial"/>
          <w:sz w:val="20"/>
          <w:szCs w:val="20"/>
        </w:rPr>
        <w:t>“DR Governance Contact” has the meaning set forth in the BC/DR Addendum.</w:t>
      </w:r>
    </w:p>
    <w:p w14:paraId="41AAB416" w14:textId="032D82D5"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“Drift” has the meaning set forth in the AI Addendum.</w:t>
      </w:r>
    </w:p>
    <w:p w14:paraId="4CCB8184" w14:textId="0400E12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“Effective Date” has the meaning set forth in the preamble of this Agreement.</w:t>
      </w:r>
    </w:p>
    <w:p w14:paraId="36347068" w14:textId="05A672B6" w:rsidR="002D1EA9" w:rsidRDefault="002D1EA9">
      <w:pPr>
        <w:spacing w:before="240" w:after="120" w:line="240" w:lineRule="auto"/>
        <w:ind w:left="720"/>
        <w:rPr>
          <w:rFonts w:ascii="Arial" w:hAnsi="Arial" w:cs="Arial"/>
          <w:sz w:val="20"/>
          <w:szCs w:val="20"/>
        </w:rPr>
      </w:pPr>
      <w:r>
        <w:rPr>
          <w:rFonts w:ascii="Arial" w:hAnsi="Arial" w:cs="Arial"/>
          <w:sz w:val="20"/>
          <w:szCs w:val="20"/>
        </w:rPr>
        <w:t>“Eligible Minutes” has the meaning set forth in the applicable Service Level Addendum.</w:t>
      </w:r>
    </w:p>
    <w:p w14:paraId="14C91C40" w14:textId="443A9AB9"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 xml:space="preserve">“Emergency Downtime” means any unscheduled period of unavailability of the Services initiated by Service Provider in response to: (a) a critical security vulnerability requiring immediate remediation; (b) an imminent threat to the integrity, confidentiality, or availability of Customer Data; or (c) a compliance-mandated remediation that cannot reasonably be deferred to a Scheduled Downtime window. Emergency Downtime shall be excluded from Downtime calculations under the applicable Service Level </w:t>
      </w:r>
      <w:proofErr w:type="gramStart"/>
      <w:r>
        <w:rPr>
          <w:rFonts w:ascii="Arial" w:hAnsi="Arial" w:cs="Arial"/>
          <w:sz w:val="20"/>
          <w:szCs w:val="20"/>
        </w:rPr>
        <w:t>Addendum only</w:t>
      </w:r>
      <w:proofErr w:type="gramEnd"/>
      <w:r>
        <w:rPr>
          <w:rFonts w:ascii="Arial" w:hAnsi="Arial" w:cs="Arial"/>
          <w:sz w:val="20"/>
          <w:szCs w:val="20"/>
        </w:rPr>
        <w:t xml:space="preserve"> if Service Provider complies with the notice and reporting requirements of Section 3.4.1 (Maintenance and Updates) and the qualifying trigger is bona fide; otherwise, Emergency Downtime shall be treated as Downtime for all purposes under the Service Level Addendum.</w:t>
      </w:r>
    </w:p>
    <w:p w14:paraId="024D8E42" w14:textId="174E729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“Extended Transition Period” has the meaning set forth in Section 13.2 (Transition Period).</w:t>
      </w:r>
    </w:p>
    <w:p w14:paraId="745726A2" w14:textId="22FF1E3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“External Consumer Data and Information Sources” or “ECDIS” has the meaning set forth in the AI Addendum.</w:t>
      </w:r>
    </w:p>
    <w:p w14:paraId="4E71F895" w14:textId="303622F5"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“Fees” has the meaning set forth in Section 11.1 (Fees).</w:t>
      </w:r>
    </w:p>
    <w:p w14:paraId="055A53E9" w14:textId="27E7CCB9"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“Force Majeure Event” has the meaning set forth in Section 20.1 (Excused Performance).</w:t>
      </w:r>
    </w:p>
    <w:p w14:paraId="7551B4B5" w14:textId="02A5A62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“General Cap” has the meaning set forth in Section 17.1 (General Cap).</w:t>
      </w:r>
    </w:p>
    <w:p w14:paraId="5A8E8441" w14:textId="4F5FA04F"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“Hallucination” has the meaning set forth in the AI Addendum.</w:t>
      </w:r>
    </w:p>
    <w:p w14:paraId="28749F3C" w14:textId="693466E1"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“Highly Sensitive Data” has the meaning designated in the applicable Order Form.</w:t>
      </w:r>
    </w:p>
    <w:p w14:paraId="1D0D90AC" w14:textId="4B55BC49"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“Immutable Backup” has the meaning set forth in the BC/DR Addendum.</w:t>
      </w:r>
    </w:p>
    <w:p w14:paraId="2C73E217" w14:textId="05CE7A6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“Incident” means any event or condition, whether reported by Customer, detected by Service Provider’s monitoring systems, or otherwise identified, that results in or may result in an interruption to, degradation of, or failure to meet the agreed functionality or performance of the Services. Incidents shall be classified in accordance with the priority levels set forth in the applicable Order Form and shall be subject to the response, resolution, escalation, and reporting obligations set forth in Section 3.5 (Support Services) and the applicable Service Level Addendum.</w:t>
      </w:r>
    </w:p>
    <w:p w14:paraId="74B54A65" w14:textId="5D3B4B4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“Indemnified Party” has the meaning set forth in Section 16.3 (Indemnification Procedures).</w:t>
      </w:r>
    </w:p>
    <w:p w14:paraId="69F3EDD0" w14:textId="46C334D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“Indemnifying Party” has the meaning set forth in Section 16.3 (Indemnification Procedures).</w:t>
      </w:r>
    </w:p>
    <w:p w14:paraId="4DF73EC5" w14:textId="49CFCED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lastRenderedPageBreak/>
        <w:t>“Indemnitee” has the meaning set forth in Section 16.1 (General Indemnification).</w:t>
      </w:r>
    </w:p>
    <w:p w14:paraId="212FEF39" w14:textId="5CBCCB5A"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“Initial Term” means, with respect to an Order Form, the initial Services term specified in such Order Form.</w:t>
      </w:r>
    </w:p>
    <w:p w14:paraId="46F92783" w14:textId="0362FC8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“Inputs” has the meaning set forth in the AI Addendum.</w:t>
      </w:r>
    </w:p>
    <w:p w14:paraId="5F6DA335" w14:textId="077DFC3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“Insolvency Event” means, with respect to a Party, (a) the filing of a voluntary petition in bankruptcy; (b) the filing of an involuntary petition in bankruptcy that is not dismissed within sixty (60) days; (c) the appointment of a receiver, trustee, or custodian for substantially all of such Party’s assets; (d) an assignment for the benefit of creditors; or (e) the admission in writing of an inability to pay debts as they become due.</w:t>
      </w:r>
    </w:p>
    <w:p w14:paraId="0C1B0133" w14:textId="57148CA4" w:rsidR="002D1EA9" w:rsidRDefault="002D1EA9">
      <w:pPr>
        <w:spacing w:before="240" w:after="120" w:line="240" w:lineRule="auto"/>
        <w:ind w:left="720"/>
        <w:rPr>
          <w:rFonts w:ascii="Arial" w:hAnsi="Arial" w:cs="Arial"/>
          <w:sz w:val="20"/>
          <w:szCs w:val="20"/>
        </w:rPr>
      </w:pPr>
      <w:r>
        <w:rPr>
          <w:rFonts w:ascii="Arial" w:hAnsi="Arial" w:cs="Arial"/>
          <w:sz w:val="20"/>
          <w:szCs w:val="20"/>
        </w:rPr>
        <w:t>“Insurance Addendum” has the meaning set forth in Section 1.1 (Structure).</w:t>
      </w:r>
    </w:p>
    <w:p w14:paraId="0309A5F2" w14:textId="695669DF"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“Intellectual Property” means all patents, copyrights, trademarks, service marks, trade names, trade secrets, moral rights, rights of publicity, and all other intellectual property of any kind recognized under Applicable Law, including all applications, registrations, renewals, and extensions thereof.</w:t>
      </w:r>
    </w:p>
    <w:p w14:paraId="242FF308" w14:textId="356268F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“Key Personnel” means the individuals designated by a Party in the applicable Order Form as key to the performance or receipt of the Services, as further described in Section 8.3 (Key Personnel).</w:t>
      </w:r>
    </w:p>
    <w:p w14:paraId="5E8B43A3" w14:textId="1B619AEF"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“Master Agreement” has the meaning set forth in Section 1.1 (Structure).</w:t>
      </w:r>
    </w:p>
    <w:p w14:paraId="1FAEAADE" w14:textId="0A81761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“Material Change” has the meaning set forth in Section 3.4.2 (Material Changes).</w:t>
      </w:r>
    </w:p>
    <w:p w14:paraId="0ADDDAA6" w14:textId="23710AA9" w:rsidR="002D1EA9" w:rsidRDefault="002D1EA9">
      <w:pPr>
        <w:spacing w:before="240" w:after="120" w:line="240" w:lineRule="auto"/>
        <w:ind w:left="720"/>
        <w:rPr>
          <w:rFonts w:ascii="Arial" w:hAnsi="Arial" w:cs="Arial"/>
          <w:sz w:val="20"/>
          <w:szCs w:val="20"/>
        </w:rPr>
      </w:pPr>
      <w:r>
        <w:rPr>
          <w:rFonts w:ascii="Arial" w:hAnsi="Arial" w:cs="Arial"/>
          <w:sz w:val="20"/>
          <w:szCs w:val="20"/>
        </w:rPr>
        <w:t>“Material Deficiency” has the meaning set forth in the Data Security Addendum.</w:t>
      </w:r>
    </w:p>
    <w:p w14:paraId="7C19B72B" w14:textId="5EDC5874" w:rsidR="002D1EA9" w:rsidRDefault="002D1EA9">
      <w:pPr>
        <w:spacing w:before="240" w:after="120" w:line="240" w:lineRule="auto"/>
        <w:ind w:left="720"/>
        <w:rPr>
          <w:rFonts w:ascii="Arial" w:hAnsi="Arial" w:cs="Arial"/>
          <w:sz w:val="20"/>
          <w:szCs w:val="20"/>
        </w:rPr>
      </w:pPr>
      <w:r>
        <w:rPr>
          <w:rFonts w:ascii="Arial" w:hAnsi="Arial" w:cs="Arial"/>
          <w:sz w:val="20"/>
          <w:szCs w:val="20"/>
        </w:rPr>
        <w:t>“Material Security Change” has the meaning set forth in the Data Security Addendum.</w:t>
      </w:r>
    </w:p>
    <w:p w14:paraId="0194D48D" w14:textId="4358E54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“Maximum Tolerable Downtime” or “MTD” has the meaning set forth in the BC/DR Addendum.</w:t>
      </w:r>
    </w:p>
    <w:p w14:paraId="45AAD64D" w14:textId="360E6AD9"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“Measurement Period” has the meaning set forth in the applicable Service Level Addendum.</w:t>
      </w:r>
    </w:p>
    <w:p w14:paraId="45EC20D7" w14:textId="6187FF66" w:rsidR="002D1EA9" w:rsidRDefault="002D1EA9">
      <w:pPr>
        <w:spacing w:before="240" w:after="120" w:line="240" w:lineRule="auto"/>
        <w:ind w:left="720"/>
        <w:rPr>
          <w:rFonts w:ascii="Arial" w:hAnsi="Arial" w:cs="Arial"/>
          <w:sz w:val="20"/>
          <w:szCs w:val="20"/>
        </w:rPr>
      </w:pPr>
      <w:r>
        <w:rPr>
          <w:rFonts w:ascii="Arial" w:hAnsi="Arial" w:cs="Arial"/>
          <w:sz w:val="20"/>
          <w:szCs w:val="20"/>
        </w:rPr>
        <w:t>“Minimum Commitment” has the meaning set forth in Section 11.3 (Consumption-Based Pricing).</w:t>
      </w:r>
    </w:p>
    <w:p w14:paraId="0EB4A762" w14:textId="5D83739A" w:rsidR="002D1EA9" w:rsidRDefault="002D1EA9">
      <w:pPr>
        <w:spacing w:before="240" w:after="120" w:line="240" w:lineRule="auto"/>
        <w:ind w:left="720"/>
        <w:rPr>
          <w:rFonts w:ascii="Arial" w:hAnsi="Arial" w:cs="Arial"/>
          <w:sz w:val="20"/>
          <w:szCs w:val="20"/>
        </w:rPr>
      </w:pPr>
      <w:r>
        <w:rPr>
          <w:rFonts w:ascii="Arial" w:hAnsi="Arial" w:cs="Arial"/>
          <w:sz w:val="20"/>
          <w:szCs w:val="20"/>
        </w:rPr>
        <w:t>“Minimum Recovery Level” has the meaning set forth in the BC/DR Addendum.</w:t>
      </w:r>
    </w:p>
    <w:p w14:paraId="438614D2" w14:textId="64E3B064" w:rsidR="002D1EA9" w:rsidRDefault="002D1EA9">
      <w:pPr>
        <w:spacing w:before="240" w:after="120" w:line="240" w:lineRule="auto"/>
        <w:ind w:left="720"/>
        <w:rPr>
          <w:rFonts w:ascii="Arial" w:hAnsi="Arial" w:cs="Arial"/>
          <w:sz w:val="20"/>
          <w:szCs w:val="20"/>
        </w:rPr>
      </w:pPr>
      <w:r>
        <w:rPr>
          <w:rFonts w:ascii="Arial" w:hAnsi="Arial" w:cs="Arial"/>
          <w:sz w:val="20"/>
          <w:szCs w:val="20"/>
        </w:rPr>
        <w:t>“Monthly Fees” has the meaning set forth in the applicable Service Level Addendum.</w:t>
      </w:r>
    </w:p>
    <w:p w14:paraId="09D99B4D" w14:textId="0DF2DBD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“Order Form” has the meaning set forth in Section 1.1 (Structure).</w:t>
      </w:r>
    </w:p>
    <w:p w14:paraId="7C2798BC" w14:textId="34526E0A"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“Outputs” has the meaning set forth in the AI Addendum.</w:t>
      </w:r>
    </w:p>
    <w:p w14:paraId="161B543E" w14:textId="7777777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“Party” and “Parties” have the meanings set forth in the preamble of this Agreement.</w:t>
      </w:r>
    </w:p>
    <w:p w14:paraId="317B9063" w14:textId="744F3F14" w:rsidR="002D1EA9" w:rsidRDefault="002D1EA9">
      <w:pPr>
        <w:spacing w:before="240" w:after="120" w:line="240" w:lineRule="auto"/>
        <w:ind w:left="720"/>
        <w:rPr>
          <w:rFonts w:ascii="Arial" w:hAnsi="Arial" w:cs="Arial"/>
          <w:sz w:val="20"/>
          <w:szCs w:val="20"/>
        </w:rPr>
      </w:pPr>
      <w:r>
        <w:rPr>
          <w:rFonts w:ascii="Arial" w:hAnsi="Arial" w:cs="Arial"/>
          <w:sz w:val="20"/>
          <w:szCs w:val="20"/>
        </w:rPr>
        <w:t>“Personal Data Breach” has the meaning set forth in Part 2 of the Data Processing Addendum.</w:t>
      </w:r>
    </w:p>
    <w:p w14:paraId="6C5EF2D7" w14:textId="21375576"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“Personal Data” means any information that identifies, relates to, describes, is reasonably capable of being associated with, or could reasonably be linked, directly or indirectly, to an identified or identifiable natural person or household, as defined under Applicable Law, including “personal data” under the GDPR, “personal information” under the CCPA/CPRA, and equivalent terms under other Data Protection Laws.</w:t>
      </w:r>
    </w:p>
    <w:p w14:paraId="119709E2" w14:textId="62D6552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“Post-Incident Report” has the meaning set forth in the BC/DR Addendum.</w:t>
      </w:r>
    </w:p>
    <w:p w14:paraId="6A62EC9B" w14:textId="5B73DC9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“Processing” (and “Process”) has the meaning set forth in Part 1 of the Data Processing Addendum.</w:t>
      </w:r>
    </w:p>
    <w:p w14:paraId="701BD76A" w14:textId="7379C099" w:rsidR="002D1EA9" w:rsidRPr="00EB1109" w:rsidRDefault="002D1EA9" w:rsidP="00FA3E61">
      <w:pPr>
        <w:spacing w:before="240" w:after="120" w:line="240" w:lineRule="auto"/>
        <w:ind w:left="720"/>
        <w:rPr>
          <w:rFonts w:ascii="Arial" w:hAnsi="Arial" w:cs="Arial"/>
          <w:sz w:val="20"/>
          <w:szCs w:val="20"/>
        </w:rPr>
      </w:pPr>
      <w:proofErr w:type="gramStart"/>
      <w:r>
        <w:rPr>
          <w:rFonts w:ascii="Arial" w:hAnsi="Arial" w:cs="Arial"/>
          <w:sz w:val="20"/>
          <w:szCs w:val="20"/>
        </w:rPr>
        <w:t>“Processor” has the</w:t>
      </w:r>
      <w:proofErr w:type="gramEnd"/>
      <w:r>
        <w:rPr>
          <w:rFonts w:ascii="Arial" w:hAnsi="Arial" w:cs="Arial"/>
          <w:sz w:val="20"/>
          <w:szCs w:val="20"/>
        </w:rPr>
        <w:t xml:space="preserve"> meaning set forth in Part 2 of the Data Processing Addendum.</w:t>
      </w:r>
    </w:p>
    <w:p w14:paraId="7723E6EE" w14:textId="20DE9F5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lastRenderedPageBreak/>
        <w:t>“QBR” has the meaning set forth in Section 8.1.2 (Quarterly Business Reviews).</w:t>
      </w:r>
    </w:p>
    <w:p w14:paraId="375F282E" w14:textId="179302C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“Receiving Party” has the meaning set forth in Section 7.1 (Definition).</w:t>
      </w:r>
    </w:p>
    <w:p w14:paraId="58953FF5" w14:textId="7AFB052C"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“Recovery Point Objective” or “RPO” has the meaning set forth in the BC/DR Addendum.</w:t>
      </w:r>
    </w:p>
    <w:p w14:paraId="70C36C46" w14:textId="72EC91D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“Recovery Time Objective” or “RTO” has the meaning set forth in the BC/DR Addendum.</w:t>
      </w:r>
    </w:p>
    <w:p w14:paraId="141DA435" w14:textId="009BEA5A"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“Renewal Term” means, with respect to an Order Form, each renewal term for such Order Form under Section 12.2.1 (</w:t>
      </w:r>
      <w:proofErr w:type="gramStart"/>
      <w:r>
        <w:rPr>
          <w:rFonts w:ascii="Arial" w:hAnsi="Arial" w:cs="Arial"/>
          <w:sz w:val="20"/>
          <w:szCs w:val="20"/>
        </w:rPr>
        <w:t>Auto-Renewal</w:t>
      </w:r>
      <w:proofErr w:type="gramEnd"/>
      <w:r>
        <w:rPr>
          <w:rFonts w:ascii="Arial" w:hAnsi="Arial" w:cs="Arial"/>
          <w:sz w:val="20"/>
          <w:szCs w:val="20"/>
        </w:rPr>
        <w:t xml:space="preserve"> of Order Forms).</w:t>
      </w:r>
    </w:p>
    <w:p w14:paraId="50313296" w14:textId="01094900" w:rsidR="002D1EA9" w:rsidRDefault="002D1EA9">
      <w:pPr>
        <w:spacing w:before="240" w:after="120" w:line="240" w:lineRule="auto"/>
        <w:ind w:left="720"/>
        <w:rPr>
          <w:rFonts w:ascii="Arial" w:hAnsi="Arial" w:cs="Arial"/>
          <w:sz w:val="20"/>
          <w:szCs w:val="20"/>
        </w:rPr>
      </w:pPr>
      <w:r>
        <w:rPr>
          <w:rFonts w:ascii="Arial" w:hAnsi="Arial" w:cs="Arial"/>
          <w:sz w:val="20"/>
          <w:szCs w:val="20"/>
        </w:rPr>
        <w:t>“Resolution” has the meaning set forth in the applicable Service Level Addendum.</w:t>
      </w:r>
    </w:p>
    <w:p w14:paraId="0A6E7A37" w14:textId="739470F5" w:rsidR="002D1EA9" w:rsidRDefault="002D1EA9">
      <w:pPr>
        <w:spacing w:before="240" w:after="120" w:line="240" w:lineRule="auto"/>
        <w:ind w:left="720"/>
        <w:rPr>
          <w:rFonts w:ascii="Arial" w:hAnsi="Arial" w:cs="Arial"/>
          <w:sz w:val="20"/>
          <w:szCs w:val="20"/>
        </w:rPr>
      </w:pPr>
      <w:r>
        <w:rPr>
          <w:rFonts w:ascii="Arial" w:hAnsi="Arial" w:cs="Arial"/>
          <w:sz w:val="20"/>
          <w:szCs w:val="20"/>
        </w:rPr>
        <w:t>“Response” has the meaning set forth in the applicable Service Level Addendum.</w:t>
      </w:r>
    </w:p>
    <w:p w14:paraId="4B533BAA" w14:textId="4CAC6818"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“Scheduled Downtime” means any planned period of unavailability of the Services for maintenance, updates, upgrades, patches, or other routine operational activities, conducted in accordance with the Scheduled Downtime parameters set forth in the applicable Order Form, including the designated maintenance window, maximum permitted duration, and minimum advance notice requirements. Scheduled Downtime that complies with the parameters set forth in the applicable Order Form shall be excluded from Downtime calculations under the applicable Service Level Addendum. Scheduled Downtime that exceeds the permitted window, exceeds the maximum duration, or for which insufficient notice was provided shall be treated as Downtime for all purposes under the Service Level Addendum.</w:t>
      </w:r>
    </w:p>
    <w:p w14:paraId="5324BEA0" w14:textId="736CE5CB" w:rsidR="002D1EA9" w:rsidRPr="00EB1109" w:rsidRDefault="002D1EA9" w:rsidP="00FA3E61">
      <w:pPr>
        <w:spacing w:before="240" w:after="120" w:line="240" w:lineRule="auto"/>
        <w:ind w:left="720"/>
        <w:rPr>
          <w:rFonts w:ascii="Arial" w:hAnsi="Arial" w:cs="Arial"/>
          <w:sz w:val="20"/>
          <w:szCs w:val="20"/>
        </w:rPr>
      </w:pPr>
      <w:proofErr w:type="gramStart"/>
      <w:r>
        <w:rPr>
          <w:rFonts w:ascii="Arial" w:hAnsi="Arial" w:cs="Arial"/>
          <w:sz w:val="20"/>
          <w:szCs w:val="20"/>
        </w:rPr>
        <w:t>“Security Incident” has the</w:t>
      </w:r>
      <w:proofErr w:type="gramEnd"/>
      <w:r>
        <w:rPr>
          <w:rFonts w:ascii="Arial" w:hAnsi="Arial" w:cs="Arial"/>
          <w:sz w:val="20"/>
          <w:szCs w:val="20"/>
        </w:rPr>
        <w:t xml:space="preserve"> meaning set forth in the Data Security Addendum.</w:t>
      </w:r>
    </w:p>
    <w:p w14:paraId="43B1E01C" w14:textId="4AF438D6"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“Security Program” has the meaning set forth in the Data Security Addendum.</w:t>
      </w:r>
    </w:p>
    <w:p w14:paraId="19EF5FCD" w14:textId="163548C1"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 Credits” has the meaning set forth in Section 9.2 (Service Credits; Cure).</w:t>
      </w:r>
    </w:p>
    <w:p w14:paraId="0F3AF5D8" w14:textId="26B1285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 Level Addendum” has the meaning set forth in Section 1.1 (Structure).</w:t>
      </w:r>
    </w:p>
    <w:p w14:paraId="63F6260D" w14:textId="7564938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 Levels” has the meaning set forth in Section 9.1 (Service Level Commitments).</w:t>
      </w:r>
    </w:p>
    <w:p w14:paraId="751E9E9B" w14:textId="5222FA7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 Provider Data Set” has the meaning set forth in the AI Addendum.</w:t>
      </w:r>
    </w:p>
    <w:p w14:paraId="32B79100" w14:textId="7EE34F52"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 Provider IP” has the meaning set forth in Section 19.1 (Service Provider Intellectual Property).</w:t>
      </w:r>
    </w:p>
    <w:p w14:paraId="47428E08" w14:textId="7777777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 Provider” has the meaning set forth in the preamble of this Agreement.</w:t>
      </w:r>
    </w:p>
    <w:p w14:paraId="5F4FAB5C" w14:textId="3BF16F73"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“Services” means the software as a service applications, platforms, application programming interfaces (“APIs”), integrations, AI Features (if any), and related services described in the applicable Order Form, including all updates, upgrades, enhancements, and modifications thereto provided by Service Provider during the applicable Order Form term, together with all associated Documentation.</w:t>
      </w:r>
    </w:p>
    <w:p w14:paraId="0E6DDC30" w14:textId="4525DF19"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“Standard Contractual Clauses” or “SCCs” has the meaning set forth in Part 2 of the Data Processing Addendum.</w:t>
      </w:r>
    </w:p>
    <w:p w14:paraId="27A4E944" w14:textId="1BEED15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“Subcontractor” means any third party engaged by Service Provider to perform services, provide resources, or otherwise support the delivery or operation of the Services under this Agreement, other than a Sub-processor. For the avoidance of doubt, “Subcontractors” are distinct from “Sub-processors” as that term is used in the Data Processing Addendum.</w:t>
      </w:r>
    </w:p>
    <w:p w14:paraId="7C95A8A5" w14:textId="3E78F19D"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“Sub-processor” has the meaning set forth in Part 1 of the Data Processing Addendum.</w:t>
      </w:r>
    </w:p>
    <w:p w14:paraId="1473C512" w14:textId="004301AF"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“Successor Service Provider” has the meaning set forth in Section 13.1 (Obligation to Provide Transition Assistance).</w:t>
      </w:r>
    </w:p>
    <w:p w14:paraId="385BF238" w14:textId="641FE09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lastRenderedPageBreak/>
        <w:t>“Supervisory Authority” has the meaning set forth in Part 2 of the Data Processing Addendum.</w:t>
      </w:r>
    </w:p>
    <w:p w14:paraId="3A682E67" w14:textId="35F786C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“Supplemental Terms” has the meaning set forth in Section 1.4 (Click-Through and Supplemental Terms).</w:t>
      </w:r>
    </w:p>
    <w:p w14:paraId="49C8FA03" w14:textId="31B6AE0E"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“Tail Period” has the meaning set forth in Section 1 (Required Coverage Types and Minimum Amounts) of the Insurance Addendum.</w:t>
      </w:r>
    </w:p>
    <w:p w14:paraId="3E2C21B4" w14:textId="48401A9D" w:rsidR="002D1EA9" w:rsidRDefault="002D1EA9">
      <w:pPr>
        <w:spacing w:before="240" w:after="120" w:line="240" w:lineRule="auto"/>
        <w:ind w:left="720"/>
        <w:rPr>
          <w:rFonts w:ascii="Arial" w:hAnsi="Arial" w:cs="Arial"/>
          <w:sz w:val="20"/>
          <w:szCs w:val="20"/>
        </w:rPr>
      </w:pPr>
      <w:r>
        <w:rPr>
          <w:rFonts w:ascii="Arial" w:hAnsi="Arial" w:cs="Arial"/>
          <w:sz w:val="20"/>
          <w:szCs w:val="20"/>
        </w:rPr>
        <w:t>“Technical Support” has the meaning set forth in Section 3.5.1 (Technical Support).</w:t>
      </w:r>
    </w:p>
    <w:p w14:paraId="3E15BD59" w14:textId="40CE5980"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“Term” means, with respect to an Order Form, the Initial Term and any Renewal Terms of such Order Form.</w:t>
      </w:r>
    </w:p>
    <w:p w14:paraId="630DD9B2" w14:textId="25FD39E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“Transfer Impact Assessment” has the meaning set forth in Part 2 of the Data Processing Addendum.</w:t>
      </w:r>
    </w:p>
    <w:p w14:paraId="25655DC1" w14:textId="7EA2A788"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“Transition Assistance Services” has the meaning set forth in Section 13.1 (Obligation to Provide Transition Assistance).</w:t>
      </w:r>
    </w:p>
    <w:p w14:paraId="3CCA71A8" w14:textId="41020617"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“Transition Period” has the meaning set forth in Section 13.2 (Transition Period).</w:t>
      </w:r>
    </w:p>
    <w:p w14:paraId="3D770AE1" w14:textId="46EA2CF4"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“UK International Data Transfer Agreement” or “UK IDTA” has the meaning set forth in Part 2 of the Data Processing Addendum.</w:t>
      </w:r>
    </w:p>
    <w:p w14:paraId="1AE93335" w14:textId="269F4B4A"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“Usage Data” means aggregated, de-identified, and anonymized data regarding the technical performance and operation of the Services that cannot, alone or in combination with other data, be used to identify Customer, any Authorized User, any Authorized System, or any individual. For the avoidance of doubt, Usage Data shall not include: (a) Customer Data or any data from which Customer Data can be derived or reconstructed; (b) the Intellectual Property of Customer; or (c) the Confidential Information of Customer.</w:t>
      </w:r>
    </w:p>
    <w:p w14:paraId="7F5E2715" w14:textId="4818174C"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“Virus” means any computer code, program, or programming device that is intentionally designed to disrupt, disable, harm, or otherwise impede the operation of any software or hardware, including worms, Trojan horses, backdoors, time bombs, drop-dead devices, and other malicious code.</w:t>
      </w:r>
    </w:p>
    <w:p w14:paraId="5A0E3E9F" w14:textId="1669C1C6" w:rsidR="002D1EA9" w:rsidRPr="00EB1109" w:rsidRDefault="002D1EA9" w:rsidP="00FA3E61">
      <w:pPr>
        <w:spacing w:before="240" w:after="120" w:line="240" w:lineRule="auto"/>
        <w:ind w:left="720"/>
        <w:rPr>
          <w:rFonts w:ascii="Arial" w:hAnsi="Arial" w:cs="Arial"/>
          <w:sz w:val="20"/>
          <w:szCs w:val="20"/>
        </w:rPr>
      </w:pPr>
      <w:r>
        <w:rPr>
          <w:rFonts w:ascii="Arial" w:hAnsi="Arial" w:cs="Arial"/>
          <w:sz w:val="20"/>
          <w:szCs w:val="20"/>
        </w:rPr>
        <w:t>“Vital Records” has the meaning set forth in the BC/DR Addendum.</w:t>
      </w:r>
    </w:p>
    <w:p w14:paraId="6F854C79" w14:textId="72147170" w:rsidR="002D1EA9" w:rsidRDefault="002D1EA9">
      <w:pPr>
        <w:spacing w:before="240" w:after="120" w:line="240" w:lineRule="auto"/>
        <w:ind w:left="720"/>
        <w:rPr>
          <w:rFonts w:ascii="Arial" w:hAnsi="Arial" w:cs="Arial"/>
          <w:sz w:val="20"/>
          <w:szCs w:val="20"/>
        </w:rPr>
      </w:pPr>
      <w:r>
        <w:rPr>
          <w:rFonts w:ascii="Arial" w:hAnsi="Arial" w:cs="Arial"/>
          <w:sz w:val="20"/>
          <w:szCs w:val="20"/>
        </w:rPr>
        <w:t>“Zero-Day Vulnerability” has the meaning set forth in the Data Security Addendum.</w:t>
      </w:r>
    </w:p>
    <w:p w14:paraId="449E012F"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The Services</w:t>
      </w:r>
      <w:r>
        <w:rPr>
          <w:sz w:val="20"/>
          <w:szCs w:val="20"/>
        </w:rPr>
        <w:t>.</w:t>
      </w:r>
    </w:p>
    <w:p w14:paraId="7CA04F3F" w14:textId="1550CBDA" w:rsidR="00FA3E61" w:rsidRPr="00EB1109" w:rsidRDefault="00FA3E61" w:rsidP="00FA3E61">
      <w:pPr>
        <w:pStyle w:val="LegalLevel2"/>
        <w:numPr>
          <w:ilvl w:val="1"/>
          <w:numId w:val="4"/>
        </w:numPr>
        <w:spacing w:before="240" w:line="240" w:lineRule="auto"/>
        <w:rPr>
          <w:sz w:val="20"/>
          <w:szCs w:val="20"/>
        </w:rPr>
      </w:pPr>
      <w:r>
        <w:rPr>
          <w:sz w:val="20"/>
          <w:szCs w:val="20"/>
          <w:u w:val="single"/>
        </w:rPr>
        <w:t>Description of Services</w:t>
      </w:r>
      <w:r>
        <w:rPr>
          <w:sz w:val="20"/>
          <w:szCs w:val="20"/>
        </w:rPr>
        <w:t>. Service Provider shall provide to Customer the Services described in the applicable Order Form, in accordance with the terms and conditions of this Agreement. The Services shall include all functionality, features, and components necessary for Customer to use the Services for their intended purpose, whether or not specifically enumerated in the Order Form, provided that such functionality, features, and components were available as of the date such Order Form was executed or were represented by Service Provider in connection with the procurement process.</w:t>
      </w:r>
    </w:p>
    <w:p w14:paraId="2D0D28A9" w14:textId="171BF7C7"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 Components</w:t>
      </w:r>
      <w:r>
        <w:rPr>
          <w:sz w:val="20"/>
          <w:szCs w:val="20"/>
        </w:rPr>
        <w:t>. The Services may include, as described in the applicable Order Form: (a) hosted software applications accessible via web browser, mobile application, or other client; (b) application programming interfaces (“APIs”) and integration services; (c) platform and marketplace components; (d) data storage, processing, and hosting services; (e) AI Features; and (f) such other components as described in the Order Form or the Documentation. All components of the Services shall be subject to the terms and conditions of this Agreement.</w:t>
      </w:r>
    </w:p>
    <w:p w14:paraId="6CDDB023" w14:textId="5C573AFD" w:rsidR="00FA3E61" w:rsidRPr="00EB1109" w:rsidRDefault="00FA3E61" w:rsidP="00FA3E61">
      <w:pPr>
        <w:pStyle w:val="LegalLevel2"/>
        <w:numPr>
          <w:ilvl w:val="1"/>
          <w:numId w:val="4"/>
        </w:numPr>
        <w:spacing w:before="240" w:line="240" w:lineRule="auto"/>
        <w:rPr>
          <w:sz w:val="20"/>
          <w:szCs w:val="20"/>
        </w:rPr>
      </w:pPr>
      <w:r>
        <w:rPr>
          <w:sz w:val="20"/>
          <w:szCs w:val="20"/>
          <w:u w:val="single"/>
        </w:rPr>
        <w:t>Documentation</w:t>
      </w:r>
      <w:r>
        <w:rPr>
          <w:sz w:val="20"/>
          <w:szCs w:val="20"/>
        </w:rPr>
        <w:t xml:space="preserve">. Service Provider shall provide and maintain complete, accurate, and current Documentation for the Services. Documentation shall be made available electronically to all Authorized Users at no additional charge. Service Provider </w:t>
      </w:r>
      <w:proofErr w:type="gramStart"/>
      <w:r>
        <w:rPr>
          <w:sz w:val="20"/>
          <w:szCs w:val="20"/>
        </w:rPr>
        <w:t>shall</w:t>
      </w:r>
      <w:proofErr w:type="gramEnd"/>
      <w:r>
        <w:rPr>
          <w:sz w:val="20"/>
          <w:szCs w:val="20"/>
        </w:rPr>
        <w:t xml:space="preserve"> update the Documentation to </w:t>
      </w:r>
      <w:proofErr w:type="gramStart"/>
      <w:r>
        <w:rPr>
          <w:sz w:val="20"/>
          <w:szCs w:val="20"/>
        </w:rPr>
        <w:t>reflect</w:t>
      </w:r>
      <w:proofErr w:type="gramEnd"/>
      <w:r>
        <w:rPr>
          <w:sz w:val="20"/>
          <w:szCs w:val="20"/>
        </w:rPr>
        <w:t xml:space="preserve"> any material changes to the Services within thirty (30) days of such change. The Documentation shall be understandable by a typical end user and shall provide Authorized Users </w:t>
      </w:r>
      <w:r>
        <w:rPr>
          <w:sz w:val="20"/>
          <w:szCs w:val="20"/>
        </w:rPr>
        <w:lastRenderedPageBreak/>
        <w:t>with sufficient instruction such that an Authorized User can become self-reliant with respect to access and use of the Services. Customer shall have the right to make any number of additional copies of the Documentation at no additional charge.</w:t>
      </w:r>
    </w:p>
    <w:p w14:paraId="0FBB1944"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Services Evolution</w:t>
      </w:r>
      <w:r>
        <w:rPr>
          <w:sz w:val="20"/>
          <w:szCs w:val="20"/>
        </w:rPr>
        <w:t>.</w:t>
      </w:r>
    </w:p>
    <w:p w14:paraId="17C50492" w14:textId="226CB1CC"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Maintenance and Updates</w:t>
      </w:r>
      <w:r>
        <w:rPr>
          <w:sz w:val="20"/>
          <w:szCs w:val="20"/>
        </w:rPr>
        <w:t>. Service Provider shall maintain the Services in good working order and shall provide all updates, upgrades, patches, and enhancements released generally to Service Provider’s customer base at no additional cost to Customer during the applicable Order Form term. Service Provider shall perform routine maintenance of the Services during Scheduled Downtime windows only, in accordance with the parameters set forth in the applicable Order Form. In the event Service Provider must initiate Emergency Downtime, Service Provider shall notify Customer as soon as practicable, and in no event later than one (1) hour after initiating Emergency Downtime, and shall use commercially reasonable efforts to minimize the duration of such Emergency Downtime. Within one (1) calendar day following the conclusion of any Emergency Downtime period, Service Provider shall deliver to Customer a written post-implementation report describing: (</w:t>
      </w:r>
      <w:proofErr w:type="spellStart"/>
      <w:r>
        <w:rPr>
          <w:sz w:val="20"/>
          <w:szCs w:val="20"/>
        </w:rPr>
        <w:t>i</w:t>
      </w:r>
      <w:proofErr w:type="spellEnd"/>
      <w:r>
        <w:rPr>
          <w:sz w:val="20"/>
          <w:szCs w:val="20"/>
        </w:rPr>
        <w:t>) the qualifying trigger that necessitated the Emergency Downtime; (ii) all actions taken during the Emergency Downtime period; (iii) the actual duration of the Emergency Downtime; and (iv) any follow-on remediation steps required or planned. Failure to deliver the notice required by this Section within one (1) hour, or the post-implementation report within one (1) calendar day, shall cause the applicable Emergency Downtime to be treated as Downtime for all purposes under the Service Level Addendum.</w:t>
      </w:r>
    </w:p>
    <w:p w14:paraId="7C4D17B9" w14:textId="1F0458D4"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Material Changes</w:t>
      </w:r>
      <w:r>
        <w:rPr>
          <w:sz w:val="20"/>
          <w:szCs w:val="20"/>
        </w:rPr>
        <w:t>. Service Provider shall not make any change to the Services that materially diminishes the features, functionality, performance, security, or availability of the Services as compared to the Services at the time the applicable Order Form was executed (“Material Change”) without providing Customer not less than one hundred eighty (180) days’ prior written notice and obtaining Customer’s prior written consent. In the event Customer does not consent to a proposed Material Change, Customer may terminate the applicable Order Form without penalty and shall be entitled to a pro rata refund of any prepaid Fees attributable to the unexpired portion of the then-current term of the applicable Order Form. Service Provider shall continue to provide the Services in their then-current form during the notice period.</w:t>
      </w:r>
    </w:p>
    <w:p w14:paraId="3494075F" w14:textId="6C27760E"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Changes in Functionality</w:t>
      </w:r>
      <w:r>
        <w:rPr>
          <w:sz w:val="20"/>
          <w:szCs w:val="20"/>
        </w:rPr>
        <w:t>. Service Provider shall not reduce or eliminate functionality in the Services. Where Service Provider has reduced or eliminated functionality in the Services, Customer, at Customer’s sole election, shall: (a) with the cooperation of Service Provider, mutually determine the value of the reduced or eliminated functionality and, upon a determination of value, Service Provider will immediately adjust the Fees accordingly on a prospective basis; or (b) have the right to immediately terminate the applicable Order Form, be entitled to a pro rata refund of prepaid Fees attributable to the unexpired portion of the then-current term of the affected Order Form, and be entitled to Transition Assistance Services in accordance with Section 13 (Transition Assistance Services).</w:t>
      </w:r>
    </w:p>
    <w:p w14:paraId="2DEBA865" w14:textId="40E8FB42"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Successor and Replacement Services</w:t>
      </w:r>
      <w:r>
        <w:rPr>
          <w:sz w:val="20"/>
          <w:szCs w:val="20"/>
        </w:rPr>
        <w:t xml:space="preserve">. Where Service Provider has reduced, eliminated, discontinued, or deprecated functionality in the Services and has introduced replacement or successor functionality that performs substantially the same function as the reduced, eliminated, discontinued, or deprecated functionality, Customer shall have an additional license and subscription right to use and access such replacement or successor functionality, at no additional charge, with the same rights, obligations, and limitations as for the Services. Such replacement or successor functionality shall then be deemed a part of the “Services” under this Agreement and the applicable Order Form. Service Provider shall not circumvent this Section by rebranding, reclassifying, re-tiering, reorganizing, repackaging, re-designating, or obfuscating the Services or any component thereof under a different product name, </w:t>
      </w:r>
      <w:r>
        <w:rPr>
          <w:sz w:val="20"/>
          <w:szCs w:val="20"/>
        </w:rPr>
        <w:lastRenderedPageBreak/>
        <w:t>stock-keeping unit (“SKU”), service tier, commercial designation, or bundling structure. Any such successor, replacement, rebranded, or reclassified service that performs substantially the same function as the reduced, eliminated, discontinued, or deprecated functionality of the Services shall be deemed a continuation of the Services for all purposes under this Agreement.</w:t>
      </w:r>
    </w:p>
    <w:p w14:paraId="44A7FF36" w14:textId="44FBFCB3"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Permitted Updates</w:t>
      </w:r>
      <w:r>
        <w:rPr>
          <w:sz w:val="20"/>
          <w:szCs w:val="20"/>
        </w:rPr>
        <w:t>. Sections 3.4.2 (Material Changes) and 3.4.3 (Changes in Functionality) do not apply to updates, patches, bug fixes, or enhancements that do not constitute a Material Change and do not reduce or eliminate functionality.</w:t>
      </w:r>
    </w:p>
    <w:p w14:paraId="7BF69042" w14:textId="1A9B196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Customer Feedback</w:t>
      </w:r>
      <w:r>
        <w:rPr>
          <w:sz w:val="20"/>
          <w:szCs w:val="20"/>
        </w:rPr>
        <w:t xml:space="preserve">. Service Provider shall maintain a mechanism through which Customer may submit feedback, suggestions, and enhancement requests regarding the Services, including proposed changes to functionality, performance, and usability (collectively, “Customer Feedback”). Service Provider shall </w:t>
      </w:r>
      <w:proofErr w:type="gramStart"/>
      <w:r>
        <w:rPr>
          <w:sz w:val="20"/>
          <w:szCs w:val="20"/>
        </w:rPr>
        <w:t>give good-faith consideration to</w:t>
      </w:r>
      <w:proofErr w:type="gramEnd"/>
      <w:r>
        <w:rPr>
          <w:sz w:val="20"/>
          <w:szCs w:val="20"/>
        </w:rPr>
        <w:t xml:space="preserve"> implementing Customer Feedback in a future release of the Services. Nothing in this Section shall obligate Service Provider to implement any Customer Feedback; provided, however, that Service Provider’s decision not to implement Customer Feedback shall not relieve Service Provider of any of its other obligations under this Agreement, including its obligations under Sections 3.4.1 (Maintenance and Updates), 3.4.2 (Material Changes), 3.4.3 (Changes in Functionality), 3.4.4 (Successor and Replacement Services), and 3.4.5 (Permitted Updates). Customer hereby assigns to Service Provider all </w:t>
      </w:r>
      <w:proofErr w:type="gramStart"/>
      <w:r>
        <w:rPr>
          <w:sz w:val="20"/>
          <w:szCs w:val="20"/>
        </w:rPr>
        <w:t>right</w:t>
      </w:r>
      <w:proofErr w:type="gramEnd"/>
      <w:r>
        <w:rPr>
          <w:sz w:val="20"/>
          <w:szCs w:val="20"/>
        </w:rPr>
        <w:t xml:space="preserve">, </w:t>
      </w:r>
      <w:proofErr w:type="gramStart"/>
      <w:r>
        <w:rPr>
          <w:sz w:val="20"/>
          <w:szCs w:val="20"/>
        </w:rPr>
        <w:t>title</w:t>
      </w:r>
      <w:proofErr w:type="gramEnd"/>
      <w:r>
        <w:rPr>
          <w:sz w:val="20"/>
          <w:szCs w:val="20"/>
        </w:rPr>
        <w:t xml:space="preserve">, and </w:t>
      </w:r>
      <w:proofErr w:type="gramStart"/>
      <w:r>
        <w:rPr>
          <w:sz w:val="20"/>
          <w:szCs w:val="20"/>
        </w:rPr>
        <w:t>interest</w:t>
      </w:r>
      <w:proofErr w:type="gramEnd"/>
      <w:r>
        <w:rPr>
          <w:sz w:val="20"/>
          <w:szCs w:val="20"/>
        </w:rPr>
        <w:t xml:space="preserve"> in and to any Customer Feedback, and Service Provider shall be free to use, incorporate, and otherwise exploit Customer Feedback for any purpose without obligation or compensation to Customer. Notwithstanding the foregoing, Customer Feedback shall not include Customer Data, Customer Confidential Information, Customer Intellectual Property, Customer-specific configurations, implementation-specific materials, or any information that identifies Customer, Authorized Users, Customer’s systems, Customer’s business processes, or Customer’s data.</w:t>
      </w:r>
    </w:p>
    <w:p w14:paraId="3D09256B" w14:textId="435F84DD"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Sunsetting Protection</w:t>
      </w:r>
      <w:r>
        <w:rPr>
          <w:sz w:val="20"/>
          <w:szCs w:val="20"/>
        </w:rPr>
        <w:t>. Service Provider shall not discontinue, end-of-life, sunset, or materially reduce investment in the Services (or any material component thereof) without providing Customer not less than eighteen (18) months’ prior written notice. During such notice period, Service Provider shall: (a) continue to provide the Services, support, and maintenance in accordance with this Agreement; and (b) provide Transition Assistance Services in accordance with Section 13 (Transition Assistance Services) at no additional cost to Customer. Customer may terminate this Agreement or the applicable Order Form without penalty upon receipt of such notice and shall be entitled to a pro rata refund of any prepaid Fees attributable to the unexpired portion of the then-current term of each applicable Order Form.</w:t>
      </w:r>
    </w:p>
    <w:p w14:paraId="22ED5403"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Support Services</w:t>
      </w:r>
      <w:r>
        <w:rPr>
          <w:sz w:val="20"/>
          <w:szCs w:val="20"/>
        </w:rPr>
        <w:t>.</w:t>
      </w:r>
    </w:p>
    <w:p w14:paraId="05BCBE47" w14:textId="30FF3C3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Technical Support</w:t>
      </w:r>
      <w:r>
        <w:rPr>
          <w:sz w:val="20"/>
          <w:szCs w:val="20"/>
        </w:rPr>
        <w:t>. As a part of the Services, Service Provider shall provide Customer with technical support (“Technical Support”) in accordance with the Technical Support parameters set forth in the applicable Order Form. Technical Support shall include the handling of Incidents, general service inquiries, configuration assistance, and such other support activities as described in the applicable Order Form.</w:t>
      </w:r>
    </w:p>
    <w:p w14:paraId="34DC4C56" w14:textId="769B7DE3"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Minimum Requirements</w:t>
      </w:r>
      <w:r>
        <w:rPr>
          <w:sz w:val="20"/>
          <w:szCs w:val="20"/>
        </w:rPr>
        <w:t>. Regardless of the Technical Support tier selected in the applicable Order Form, Service Provider shall provide, at minimum: (a) a dedicated support channel accessible during Business Hours; (b) a ticketing or case management system for tracking support requests and Incidents, with unique ticket identifiers and timestamps; (c) escalation procedures for unresolved issues; and (d) designated support contacts with sufficient technical expertise to resolve issues in a timely manner.</w:t>
      </w:r>
    </w:p>
    <w:p w14:paraId="02694EF8" w14:textId="46396DAB"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lastRenderedPageBreak/>
        <w:t>Customer Escalation Rights</w:t>
      </w:r>
      <w:r>
        <w:rPr>
          <w:sz w:val="20"/>
          <w:szCs w:val="20"/>
        </w:rPr>
        <w:t>. Customer may escalate the priority classification of an Incident if Customer reasonably determines that the classification assigned by Service Provider is insufficient given the impact on Customer’s operations. Service Provider shall re-evaluate and, if warranted, reclassify the Incident within one (1) hour of Customer’s escalation request.</w:t>
      </w:r>
    </w:p>
    <w:p w14:paraId="1D073DC3" w14:textId="2682F482"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Management Escalation</w:t>
      </w:r>
      <w:r>
        <w:rPr>
          <w:sz w:val="20"/>
          <w:szCs w:val="20"/>
        </w:rPr>
        <w:t>. Where a P1 or P2 Incident remains unresolved beyond the applicable target resolution time set forth in the applicable Order Form, Service Provider shall escalate the failure through progressively senior levels of Service Provider management as follows: (a) within four (4) hours of such failure, Service Provider’s designated account manager (as designated under Section 8.3 (Key Personnel)) shall be engaged and made directly available to Customer; (b) within eight (8) hours of such failure, Service Provider’s director or vice president-level management shall be engaged and made directly available to Customer; and (c) within twelve (12) hours of such failure, a senior executive of Service Provider shall be engaged and made directly available to Customer’s designated management. At each escalation level, Service Provider shall provide increasing levels of technical expertise and management involvement until the failure is resolved, and Customer may accelerate escalation to the next level at any time.</w:t>
      </w:r>
    </w:p>
    <w:p w14:paraId="39D92820" w14:textId="08EAE7B0"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Status Updates</w:t>
      </w:r>
      <w:r>
        <w:rPr>
          <w:sz w:val="20"/>
          <w:szCs w:val="20"/>
        </w:rPr>
        <w:t xml:space="preserve">. Service Provider shall provide status updates during active Incident resolution at the following intervals, unless the applicable Order Form specifies different intervals: P1: every thirty (30) minutes; P2: every two (2) hours; P3: daily; P4: as reasonably requested by Customer. Each status update shall include: (a) </w:t>
      </w:r>
      <w:proofErr w:type="gramStart"/>
      <w:r>
        <w:rPr>
          <w:sz w:val="20"/>
          <w:szCs w:val="20"/>
        </w:rPr>
        <w:t>current status</w:t>
      </w:r>
      <w:proofErr w:type="gramEnd"/>
      <w:r>
        <w:rPr>
          <w:sz w:val="20"/>
          <w:szCs w:val="20"/>
        </w:rPr>
        <w:t xml:space="preserve"> of the Incident; (b) actions taken since the prior update; (c) estimated time to resolution; and (d) any changes to the priority classification.</w:t>
      </w:r>
    </w:p>
    <w:p w14:paraId="5AE52CA3" w14:textId="2D33B1E4" w:rsidR="00FA3E61" w:rsidRPr="00EB1109" w:rsidRDefault="00FA3E61" w:rsidP="00FA3E61">
      <w:pPr>
        <w:pStyle w:val="LegalLevel2"/>
        <w:numPr>
          <w:ilvl w:val="1"/>
          <w:numId w:val="4"/>
        </w:numPr>
        <w:spacing w:before="240" w:line="240" w:lineRule="auto"/>
        <w:rPr>
          <w:sz w:val="20"/>
          <w:szCs w:val="20"/>
        </w:rPr>
      </w:pPr>
      <w:r>
        <w:rPr>
          <w:sz w:val="20"/>
          <w:szCs w:val="20"/>
          <w:u w:val="single"/>
        </w:rPr>
        <w:t>Development and Test Environments</w:t>
      </w:r>
      <w:r>
        <w:rPr>
          <w:sz w:val="20"/>
          <w:szCs w:val="20"/>
        </w:rPr>
        <w:t>. In addition to production use of the Services, Customer is entitled to one development and one test environment for use by Authorized Users at no additional charge. Such non-production environments shall have the same data storage and processing capacities as the production environment. Service Provider shall cooperate with Customer’s requests in managing the non-production environments, such as refreshing Customer Data upon request.</w:t>
      </w:r>
    </w:p>
    <w:p w14:paraId="24EE6154" w14:textId="2BAE6373" w:rsidR="00FA3E61" w:rsidRPr="00EB1109" w:rsidRDefault="00FA3E61" w:rsidP="00FA3E61">
      <w:pPr>
        <w:pStyle w:val="LegalLevel2"/>
        <w:numPr>
          <w:ilvl w:val="1"/>
          <w:numId w:val="4"/>
        </w:numPr>
        <w:spacing w:before="240" w:line="240" w:lineRule="auto"/>
        <w:rPr>
          <w:sz w:val="20"/>
          <w:szCs w:val="20"/>
        </w:rPr>
      </w:pPr>
      <w:r>
        <w:rPr>
          <w:sz w:val="20"/>
          <w:szCs w:val="20"/>
          <w:u w:val="single"/>
        </w:rPr>
        <w:t>Business Continuity and Disaster Recovery</w:t>
      </w:r>
      <w:r>
        <w:rPr>
          <w:sz w:val="20"/>
          <w:szCs w:val="20"/>
        </w:rPr>
        <w:t>. As a part of the Services, Service Provider shall provide disaster recovery and business continuity services in accordance with the BC/DR Addendum.</w:t>
      </w:r>
    </w:p>
    <w:p w14:paraId="68188D82" w14:textId="5C2A0712" w:rsidR="00FA3E61" w:rsidRPr="00EB1109" w:rsidRDefault="00FA3E61" w:rsidP="00FA3E61">
      <w:pPr>
        <w:pStyle w:val="LegalLevel2"/>
        <w:numPr>
          <w:ilvl w:val="1"/>
          <w:numId w:val="4"/>
        </w:numPr>
        <w:spacing w:before="240" w:line="240" w:lineRule="auto"/>
        <w:rPr>
          <w:sz w:val="20"/>
          <w:szCs w:val="20"/>
        </w:rPr>
      </w:pPr>
      <w:r>
        <w:rPr>
          <w:sz w:val="20"/>
          <w:szCs w:val="20"/>
          <w:u w:val="single"/>
        </w:rPr>
        <w:t>Data Storage</w:t>
      </w:r>
      <w:r>
        <w:rPr>
          <w:sz w:val="20"/>
          <w:szCs w:val="20"/>
        </w:rPr>
        <w:t>. Where an Order Form includes data storage as a separate component of the Services, this Section shall apply. The Services shall include the applicable allocation of base data storage described in the Order Form. Service Provider shall immediately notify Customer when Customer has reached eighty percent (80%) of Customer’s then-current data storage maximum. Within five (5) calendar days of Customer’s request, Service Provider shall make additional data storage available to Customer at the rates described in the Order Form.</w:t>
      </w:r>
    </w:p>
    <w:p w14:paraId="10F9A4B2" w14:textId="593596C0" w:rsidR="00FA3E61" w:rsidRPr="00EB1109" w:rsidRDefault="00FA3E61" w:rsidP="00FA3E61">
      <w:pPr>
        <w:pStyle w:val="LegalLevel2"/>
        <w:numPr>
          <w:ilvl w:val="1"/>
          <w:numId w:val="4"/>
        </w:numPr>
        <w:spacing w:before="240" w:line="240" w:lineRule="auto"/>
        <w:rPr>
          <w:sz w:val="20"/>
          <w:szCs w:val="20"/>
        </w:rPr>
      </w:pPr>
      <w:r>
        <w:rPr>
          <w:sz w:val="20"/>
          <w:szCs w:val="20"/>
          <w:u w:val="single"/>
        </w:rPr>
        <w:t>AI Features</w:t>
      </w:r>
      <w:r>
        <w:rPr>
          <w:sz w:val="20"/>
          <w:szCs w:val="20"/>
        </w:rPr>
        <w:t>. Service Provider shall disclose all AI Features embedded in, utilized by, or accessible through the Services in the applicable Order Form and shall provide prior written notice to Customer before introducing any new AI Feature. Where the Services include AI Features, Service Provider shall comply with the terms and conditions of the AI Addendum. [Alternative: “Service Provider represents and warrants that the Services do not include, and Service Provider shall not introduce, any AI Feature without the prior written consent of Customer. If the Parties agree to the introduction of an AI Feature, the Parties shall negotiate in good faith and execute an addendum to this Agreement addressing, at minimum: (a) ownership of inputs and outputs; (b) restrictions on use of Customer Data for training; (c) fairness, bias, and non-discrimination obligations; (d) transparency and explainability; and (e) human oversight requirements.”]</w:t>
      </w:r>
    </w:p>
    <w:p w14:paraId="54300CCA" w14:textId="31847EC9" w:rsidR="00FA3E61" w:rsidRPr="00EB1109" w:rsidRDefault="00254B3A" w:rsidP="00FA3E61">
      <w:pPr>
        <w:pStyle w:val="LegalLevel2"/>
        <w:numPr>
          <w:ilvl w:val="1"/>
          <w:numId w:val="4"/>
        </w:numPr>
        <w:spacing w:before="240" w:line="240" w:lineRule="auto"/>
        <w:rPr>
          <w:sz w:val="20"/>
          <w:szCs w:val="20"/>
        </w:rPr>
      </w:pPr>
      <w:r>
        <w:rPr>
          <w:sz w:val="20"/>
          <w:szCs w:val="20"/>
          <w:u w:val="single"/>
        </w:rPr>
        <w:t>Third Party Components and Open-Source Transparency</w:t>
      </w:r>
      <w:r>
        <w:rPr>
          <w:sz w:val="20"/>
          <w:szCs w:val="20"/>
        </w:rPr>
        <w:t xml:space="preserve">. Service Provider shall disclose to Customer, prior to the execution of an Order Form, upon request, and no less frequently than </w:t>
      </w:r>
      <w:r>
        <w:rPr>
          <w:sz w:val="20"/>
          <w:szCs w:val="20"/>
        </w:rPr>
        <w:lastRenderedPageBreak/>
        <w:t xml:space="preserve">annually: (a) all </w:t>
      </w:r>
      <w:proofErr w:type="gramStart"/>
      <w:r>
        <w:rPr>
          <w:sz w:val="20"/>
          <w:szCs w:val="20"/>
        </w:rPr>
        <w:t>third party</w:t>
      </w:r>
      <w:proofErr w:type="gramEnd"/>
      <w:r>
        <w:rPr>
          <w:sz w:val="20"/>
          <w:szCs w:val="20"/>
        </w:rPr>
        <w:t xml:space="preserve"> software components embedded in or material to the operation of the Services; and (b) all open-source software components utilized in the Services, including the applicable license for each such component. Service Provider shall not incorporate into the Services any component licensed under a copyleft or similar open-source license in a manner that would impose any obligation on Customer or require Customer to disclose, distribute, or license any Customer Data or Customer’s proprietary materials under such open-source license.</w:t>
      </w:r>
    </w:p>
    <w:p w14:paraId="52679033" w14:textId="0AF84618" w:rsidR="00FA3E61" w:rsidRPr="00EB1109" w:rsidRDefault="00FA3E61" w:rsidP="00FA3E61">
      <w:pPr>
        <w:pStyle w:val="LegalLevel2"/>
        <w:numPr>
          <w:ilvl w:val="1"/>
          <w:numId w:val="4"/>
        </w:numPr>
        <w:spacing w:before="240" w:line="240" w:lineRule="auto"/>
        <w:rPr>
          <w:sz w:val="20"/>
          <w:szCs w:val="20"/>
        </w:rPr>
      </w:pPr>
      <w:r>
        <w:rPr>
          <w:sz w:val="20"/>
          <w:szCs w:val="20"/>
          <w:u w:val="single"/>
        </w:rPr>
        <w:t>Offensive or Disparaging Content</w:t>
      </w:r>
      <w:r>
        <w:rPr>
          <w:sz w:val="20"/>
          <w:szCs w:val="20"/>
        </w:rPr>
        <w:t xml:space="preserve">. Service Provider shall not use the Services, Documentation, or any communications related to this Agreement to display, transmit, or promote content that is offensive, disparaging, defamatory, or discriminatory with respect to Customer, its Affiliates, Authorized Users, or their respective products and services. Where the Services include AI Features capable of generating content, Service Provider </w:t>
      </w:r>
      <w:proofErr w:type="gramStart"/>
      <w:r>
        <w:rPr>
          <w:sz w:val="20"/>
          <w:szCs w:val="20"/>
        </w:rPr>
        <w:t>shall</w:t>
      </w:r>
      <w:proofErr w:type="gramEnd"/>
      <w:r>
        <w:rPr>
          <w:sz w:val="20"/>
          <w:szCs w:val="20"/>
        </w:rPr>
        <w:t xml:space="preserve"> implement reasonable safeguards to prevent the generation of offensive or disparaging content directed at Customer or its Authorized Users.</w:t>
      </w:r>
    </w:p>
    <w:p w14:paraId="6A13E72A" w14:textId="044CB6C8" w:rsidR="00FA3E61" w:rsidRPr="00EB1109" w:rsidRDefault="00FA3E61" w:rsidP="00FA3E61">
      <w:pPr>
        <w:spacing w:before="240" w:after="120" w:line="240" w:lineRule="auto"/>
        <w:ind w:left="1440"/>
        <w:rPr>
          <w:rFonts w:ascii="Arial" w:hAnsi="Arial" w:cs="Arial"/>
          <w:sz w:val="20"/>
          <w:szCs w:val="20"/>
        </w:rPr>
      </w:pPr>
      <w:r>
        <w:rPr>
          <w:rFonts w:ascii="Arial" w:hAnsi="Arial" w:cs="Arial"/>
          <w:sz w:val="20"/>
          <w:szCs w:val="20"/>
        </w:rPr>
        <w:t xml:space="preserve">[Optional: “3.12 </w:t>
      </w:r>
      <w:r>
        <w:rPr>
          <w:rFonts w:ascii="Arial" w:hAnsi="Arial" w:cs="Arial"/>
          <w:sz w:val="20"/>
          <w:szCs w:val="20"/>
          <w:u w:val="single"/>
        </w:rPr>
        <w:t>Escrow</w:t>
      </w:r>
      <w:r>
        <w:rPr>
          <w:rFonts w:ascii="Arial" w:hAnsi="Arial" w:cs="Arial"/>
          <w:sz w:val="20"/>
          <w:szCs w:val="20"/>
        </w:rPr>
        <w:t>. Upon Customer’s request, Service Provider shall enter into a SaaS escrow agreement with a mutually agreed third party escrow agent, at Customer’s expense, providing for the deposit of the following materials (collectively, “Deposit Materials”): (a) current source code for the Services; (b) object code and compiled binaries; (c) all third party component dependencies and associated license information; (d) database schemas, configuration files, and deployment documentation sufficient to enable a reasonably skilled third party to compile, deploy, and operate the Services; and (e) Customer Data in the format specified in Section 14 (Data Return and Destruction). Release conditions shall include, at minimum: (</w:t>
      </w:r>
      <w:proofErr w:type="spellStart"/>
      <w:r>
        <w:rPr>
          <w:rFonts w:ascii="Arial" w:hAnsi="Arial" w:cs="Arial"/>
          <w:sz w:val="20"/>
          <w:szCs w:val="20"/>
        </w:rPr>
        <w:t>i</w:t>
      </w:r>
      <w:proofErr w:type="spellEnd"/>
      <w:r>
        <w:rPr>
          <w:rFonts w:ascii="Arial" w:hAnsi="Arial" w:cs="Arial"/>
          <w:sz w:val="20"/>
          <w:szCs w:val="20"/>
        </w:rPr>
        <w:t xml:space="preserve">) an Insolvency Event with respect to Service Provider; (ii) Service Provider’s material breach of this Agreement that remains uncured beyond the applicable cure period; and (iii) discontinuation of the Services or Service Provider’s written notification that it will cease to support the Services. Service Provider </w:t>
      </w:r>
      <w:proofErr w:type="gramStart"/>
      <w:r>
        <w:rPr>
          <w:rFonts w:ascii="Arial" w:hAnsi="Arial" w:cs="Arial"/>
          <w:sz w:val="20"/>
          <w:szCs w:val="20"/>
        </w:rPr>
        <w:t>shall</w:t>
      </w:r>
      <w:proofErr w:type="gramEnd"/>
      <w:r>
        <w:rPr>
          <w:rFonts w:ascii="Arial" w:hAnsi="Arial" w:cs="Arial"/>
          <w:sz w:val="20"/>
          <w:szCs w:val="20"/>
        </w:rPr>
        <w:t xml:space="preserve"> update the Deposit Materials no less frequently than quarterly, or upon any material release, whichever is sooner. The specific terms and conditions of the escrow arrangement, including verification procedures, shall be set forth in a separate escrow agreement.”]</w:t>
      </w:r>
    </w:p>
    <w:p w14:paraId="18983304"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Access and Use of the Services</w:t>
      </w:r>
      <w:r>
        <w:rPr>
          <w:sz w:val="20"/>
          <w:szCs w:val="20"/>
        </w:rPr>
        <w:t>.</w:t>
      </w:r>
    </w:p>
    <w:p w14:paraId="21E9E47D" w14:textId="76098DA4" w:rsidR="00FA3E61" w:rsidRPr="00EB1109" w:rsidRDefault="00FA3E61" w:rsidP="00FA3E61">
      <w:pPr>
        <w:pStyle w:val="LegalLevel2"/>
        <w:numPr>
          <w:ilvl w:val="1"/>
          <w:numId w:val="4"/>
        </w:numPr>
        <w:spacing w:before="240" w:line="240" w:lineRule="auto"/>
        <w:rPr>
          <w:sz w:val="20"/>
          <w:szCs w:val="20"/>
        </w:rPr>
      </w:pPr>
      <w:r>
        <w:rPr>
          <w:sz w:val="20"/>
          <w:szCs w:val="20"/>
          <w:u w:val="single"/>
        </w:rPr>
        <w:t>Authorized Users; Authorized Uses</w:t>
      </w:r>
      <w:r>
        <w:rPr>
          <w:sz w:val="20"/>
          <w:szCs w:val="20"/>
        </w:rPr>
        <w:t>. Subject to the terms and conditions of this Agreement and the applicable Order Form, Service Provider grants Customer an irrevocable (except as otherwise provided herein), non-exclusive, non-transferable (except as permitted under Section 22.16 (Assignment)), royalty-free, and worldwide right during the applicable Order Form term for any Authorized User to access and use the Services. Other than those limitations expressly described in an Order Form, Authorized Users will have no other limitations on their access or use of the Services. The number and categories of Authorized Users, and any applicable access tiers or restrictions, shall be set forth in the applicable Order Form.</w:t>
      </w:r>
    </w:p>
    <w:p w14:paraId="24EF668E" w14:textId="4C5478C0" w:rsidR="00FA3E61" w:rsidRPr="00EB1109" w:rsidRDefault="00FA3E61" w:rsidP="00FA3E61">
      <w:pPr>
        <w:pStyle w:val="LegalLevel2"/>
        <w:numPr>
          <w:ilvl w:val="1"/>
          <w:numId w:val="4"/>
        </w:numPr>
        <w:spacing w:before="240" w:line="240" w:lineRule="auto"/>
        <w:rPr>
          <w:sz w:val="20"/>
          <w:szCs w:val="20"/>
        </w:rPr>
      </w:pPr>
      <w:r>
        <w:rPr>
          <w:sz w:val="20"/>
          <w:szCs w:val="20"/>
          <w:u w:val="single"/>
        </w:rPr>
        <w:t>Authorized Systems</w:t>
      </w:r>
      <w:r>
        <w:rPr>
          <w:sz w:val="20"/>
          <w:szCs w:val="20"/>
        </w:rPr>
        <w:t xml:space="preserve">. Subject to the terms and conditions of this Agreement and the applicable Order Form, Customer may permit Authorized Systems to access and interact with the Services via API or </w:t>
      </w:r>
      <w:proofErr w:type="gramStart"/>
      <w:r>
        <w:rPr>
          <w:sz w:val="20"/>
          <w:szCs w:val="20"/>
        </w:rPr>
        <w:t>other</w:t>
      </w:r>
      <w:proofErr w:type="gramEnd"/>
      <w:r>
        <w:rPr>
          <w:sz w:val="20"/>
          <w:szCs w:val="20"/>
        </w:rPr>
        <w:t xml:space="preserve"> programmatic interface. Service Provider shall not restrict, degrade, or discriminate against access by Authorized Systems except as expressly set forth in the applicable Order Form. Authentication and credential requirements for Authorized Systems shall be as specified in the Data Security Addendum.</w:t>
      </w:r>
    </w:p>
    <w:p w14:paraId="0F3E1295" w14:textId="4F610C6D" w:rsidR="00FA3E61" w:rsidRPr="00EB1109" w:rsidRDefault="00FA3E61" w:rsidP="00FA3E61">
      <w:pPr>
        <w:pStyle w:val="LegalLevel2"/>
        <w:numPr>
          <w:ilvl w:val="1"/>
          <w:numId w:val="4"/>
        </w:numPr>
        <w:spacing w:before="240" w:line="240" w:lineRule="auto"/>
        <w:rPr>
          <w:sz w:val="20"/>
          <w:szCs w:val="20"/>
        </w:rPr>
      </w:pPr>
      <w:r>
        <w:rPr>
          <w:sz w:val="20"/>
          <w:szCs w:val="20"/>
          <w:u w:val="single"/>
        </w:rPr>
        <w:t>Acceptable Use</w:t>
      </w:r>
      <w:r>
        <w:rPr>
          <w:sz w:val="20"/>
          <w:szCs w:val="20"/>
        </w:rPr>
        <w:t xml:space="preserve">. Customer shall use, and shall cause its Authorized Users and Authorized Systems to use, the Services in compliance with Applicable Law and this Agreement. Without limiting the foregoing, Customer shall not, and shall not permit any Authorized User or Authorized System to: (a) share access credentials with any person who is not an Authorized User; (b) use the Services for any purpose that violates Applicable Law; (c) intentionally interfere with, disrupt, or impose an unreasonable burden on the Services or the networks or servers connected thereto; (d) attempt to circumvent, disable, or otherwise interfere with any security-related features of the Services, including authentication, access control, or encryption mechanisms; or (e) reverse engineer, decompile, disassemble, or otherwise attempt to derive the source code or underlying algorithms of the Services (except to the extent that such restriction is expressly prohibited by Applicable Law). </w:t>
      </w:r>
      <w:r>
        <w:rPr>
          <w:sz w:val="20"/>
          <w:szCs w:val="20"/>
        </w:rPr>
        <w:lastRenderedPageBreak/>
        <w:t>Service Provider’s acceptable use policy, if any, is incorporated herein by reference; provided, however, that (</w:t>
      </w:r>
      <w:proofErr w:type="spellStart"/>
      <w:r>
        <w:rPr>
          <w:sz w:val="20"/>
          <w:szCs w:val="20"/>
        </w:rPr>
        <w:t>i</w:t>
      </w:r>
      <w:proofErr w:type="spellEnd"/>
      <w:r>
        <w:rPr>
          <w:sz w:val="20"/>
          <w:szCs w:val="20"/>
        </w:rPr>
        <w:t>) such policy shall be subject to Section 1.3 (Hyperlink Change Restriction); (ii) in the event of a conflict between such policy and this Agreement (including the restrictions set forth in this Section 4.3 (Acceptable Use)), this Agreement shall prevail; and (iii) Service Provider shall not enforce such policy in a manner that unreasonably interferes with Customer’s use of the Services for their intended purpose.</w:t>
      </w:r>
    </w:p>
    <w:p w14:paraId="5B5B8C0F" w14:textId="779144D8" w:rsidR="00FA3E61" w:rsidRPr="00EB1109" w:rsidRDefault="00FA3E61" w:rsidP="00FA3E61">
      <w:pPr>
        <w:pStyle w:val="LegalLevel2"/>
        <w:numPr>
          <w:ilvl w:val="1"/>
          <w:numId w:val="4"/>
        </w:numPr>
        <w:spacing w:before="240" w:line="240" w:lineRule="auto"/>
        <w:rPr>
          <w:sz w:val="20"/>
          <w:szCs w:val="20"/>
        </w:rPr>
      </w:pPr>
      <w:r>
        <w:rPr>
          <w:sz w:val="20"/>
          <w:szCs w:val="20"/>
          <w:u w:val="single"/>
        </w:rPr>
        <w:t>Accessibility</w:t>
      </w:r>
      <w:r>
        <w:rPr>
          <w:sz w:val="20"/>
          <w:szCs w:val="20"/>
        </w:rPr>
        <w:t xml:space="preserve">. Where the Services include user-facing interfaces, Service Provider shall design, develop, and maintain such interfaces in substantial conformance with the then-current version of the Web Content Accessibility Guidelines (WCAG) published by the World Wide Web Consortium (W3C) at the Level AA conformance level, and in compliance with applicable accessibility laws including the Americans with Disabilities Act (ADA) and Section 508 of the Rehabilitation Act, as applicable. Service Provider shall, </w:t>
      </w:r>
      <w:proofErr w:type="gramStart"/>
      <w:r>
        <w:rPr>
          <w:sz w:val="20"/>
          <w:szCs w:val="20"/>
        </w:rPr>
        <w:t>upon Customer’s</w:t>
      </w:r>
      <w:proofErr w:type="gramEnd"/>
      <w:r>
        <w:rPr>
          <w:sz w:val="20"/>
          <w:szCs w:val="20"/>
        </w:rPr>
        <w:t xml:space="preserve"> request and no less frequently than annually, deliver to Customer a current Voluntary Product Accessibility Template (VPAT) documenting the conformance of the Services against the applicable WCAG version and conformance level, prepared in accordance with the Information Technology Industry Council’s reporting format or its successor.</w:t>
      </w:r>
    </w:p>
    <w:p w14:paraId="6219028C" w14:textId="1B0AF7B3"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Customer Data</w:t>
      </w:r>
      <w:r>
        <w:rPr>
          <w:sz w:val="20"/>
          <w:szCs w:val="20"/>
        </w:rPr>
        <w:t>.</w:t>
      </w:r>
    </w:p>
    <w:p w14:paraId="7483B2A9" w14:textId="42B499DB" w:rsidR="00FA3E61" w:rsidRPr="00EB1109" w:rsidRDefault="00FA3E61" w:rsidP="00FA3E61">
      <w:pPr>
        <w:pStyle w:val="LegalLevel2"/>
        <w:numPr>
          <w:ilvl w:val="1"/>
          <w:numId w:val="4"/>
        </w:numPr>
        <w:spacing w:before="240" w:line="240" w:lineRule="auto"/>
        <w:rPr>
          <w:sz w:val="20"/>
          <w:szCs w:val="20"/>
        </w:rPr>
      </w:pPr>
      <w:r>
        <w:rPr>
          <w:sz w:val="20"/>
          <w:szCs w:val="20"/>
          <w:u w:val="single"/>
        </w:rPr>
        <w:t>Ownership</w:t>
      </w:r>
      <w:r>
        <w:rPr>
          <w:sz w:val="20"/>
          <w:szCs w:val="20"/>
        </w:rPr>
        <w:t xml:space="preserve">. As </w:t>
      </w:r>
      <w:proofErr w:type="gramStart"/>
      <w:r>
        <w:rPr>
          <w:sz w:val="20"/>
          <w:szCs w:val="20"/>
        </w:rPr>
        <w:t>between</w:t>
      </w:r>
      <w:proofErr w:type="gramEnd"/>
      <w:r>
        <w:rPr>
          <w:sz w:val="20"/>
          <w:szCs w:val="20"/>
        </w:rPr>
        <w:t xml:space="preserve"> the Parties, Customer is and shall remain the sole and exclusive owner of all Customer Data. Nothing in this Agreement shall be construed to grant Service Provider any right, title, or interest in or to Customer Data, except the limited license expressly set forth in Section 5.2 (Permitted Use of Customer Data). Service Provider acknowledges that Customer Data may include Personal Data and data subject to regulatory requirements, and that Customer’s ownership rights extend to all such data regardless of the jurisdiction in which data subjects are located.</w:t>
      </w:r>
    </w:p>
    <w:p w14:paraId="7B69FC9F" w14:textId="257F3490" w:rsidR="00FA3E61" w:rsidRPr="00EB1109" w:rsidRDefault="00FA3E61" w:rsidP="00FA3E61">
      <w:pPr>
        <w:pStyle w:val="LegalLevel2"/>
        <w:numPr>
          <w:ilvl w:val="1"/>
          <w:numId w:val="4"/>
        </w:numPr>
        <w:spacing w:before="240" w:line="240" w:lineRule="auto"/>
        <w:rPr>
          <w:sz w:val="20"/>
          <w:szCs w:val="20"/>
        </w:rPr>
      </w:pPr>
      <w:r>
        <w:rPr>
          <w:sz w:val="20"/>
          <w:szCs w:val="20"/>
          <w:u w:val="single"/>
        </w:rPr>
        <w:t>Permitted Use of Customer Data</w:t>
      </w:r>
      <w:r>
        <w:rPr>
          <w:sz w:val="20"/>
          <w:szCs w:val="20"/>
        </w:rPr>
        <w:t>. Service Provider shall Process Customer Data solely for the purpose of providing the Services to Customer in accordance with this Agreement and Customer’s documented instructions. Service Provider shall not use Customer Data for any other purpose, including: (a) training, improving, or developing machine learning or AI models (whether for Service Provider’s own benefit, the benefit of third parties, or general product improvement); (b) benchmarking, analytics, or statistical analysis for Service Provider’s own purposes; (c) marketing, advertising, or profiling; or (d) sale, sharing, or disclosure to any third party except as strictly necessary to perform the Services and in compliance with this Agreement. Any use of Customer Data beyond the scope of this Section requires Customer’s prior written consent.</w:t>
      </w:r>
    </w:p>
    <w:p w14:paraId="2C0D4A16" w14:textId="1C102F2A" w:rsidR="00FA3E61" w:rsidRPr="00EB1109" w:rsidRDefault="00FA3E61" w:rsidP="00FA3E61">
      <w:pPr>
        <w:pStyle w:val="LegalLevel2"/>
        <w:numPr>
          <w:ilvl w:val="1"/>
          <w:numId w:val="4"/>
        </w:numPr>
        <w:spacing w:before="240" w:line="240" w:lineRule="auto"/>
        <w:rPr>
          <w:sz w:val="20"/>
          <w:szCs w:val="20"/>
        </w:rPr>
      </w:pPr>
      <w:r>
        <w:rPr>
          <w:sz w:val="20"/>
          <w:szCs w:val="20"/>
          <w:u w:val="single"/>
        </w:rPr>
        <w:t>Usage Data</w:t>
      </w:r>
      <w:r>
        <w:rPr>
          <w:sz w:val="20"/>
          <w:szCs w:val="20"/>
        </w:rPr>
        <w:t xml:space="preserve">. Service Provider may collect, use, and disclose Usage Data solely for the purposes of operating, improving, and securing the Services; </w:t>
      </w:r>
      <w:proofErr w:type="gramStart"/>
      <w:r>
        <w:rPr>
          <w:sz w:val="20"/>
          <w:szCs w:val="20"/>
        </w:rPr>
        <w:t>provided that</w:t>
      </w:r>
      <w:proofErr w:type="gramEnd"/>
      <w:r>
        <w:rPr>
          <w:sz w:val="20"/>
          <w:szCs w:val="20"/>
        </w:rPr>
        <w:t xml:space="preserve"> Service Provider shall not sell, share, or disclose Usage Data to any third party.</w:t>
      </w:r>
    </w:p>
    <w:p w14:paraId="14DFFE3E" w14:textId="7FC299CC" w:rsidR="00FA3E61" w:rsidRPr="00EB1109" w:rsidRDefault="00FA3E61" w:rsidP="00FA3E61">
      <w:pPr>
        <w:pStyle w:val="LegalLevel2"/>
        <w:numPr>
          <w:ilvl w:val="1"/>
          <w:numId w:val="4"/>
        </w:numPr>
        <w:spacing w:before="240" w:line="240" w:lineRule="auto"/>
        <w:rPr>
          <w:sz w:val="20"/>
          <w:szCs w:val="20"/>
        </w:rPr>
      </w:pPr>
      <w:r>
        <w:rPr>
          <w:sz w:val="20"/>
          <w:szCs w:val="20"/>
          <w:u w:val="single"/>
        </w:rPr>
        <w:t>Data Processing Locations</w:t>
      </w:r>
      <w:r>
        <w:rPr>
          <w:sz w:val="20"/>
          <w:szCs w:val="20"/>
        </w:rPr>
        <w:t xml:space="preserve">. Service Provider shall Process, store, and maintain all Customer Data within the United States unless otherwise specified in the applicable Order Form. Requirements for data location, cross-border data transfers, and changes in data processing location shall </w:t>
      </w:r>
      <w:proofErr w:type="gramStart"/>
      <w:r>
        <w:rPr>
          <w:sz w:val="20"/>
          <w:szCs w:val="20"/>
        </w:rPr>
        <w:t>be as</w:t>
      </w:r>
      <w:proofErr w:type="gramEnd"/>
      <w:r>
        <w:rPr>
          <w:sz w:val="20"/>
          <w:szCs w:val="20"/>
        </w:rPr>
        <w:t xml:space="preserve"> set forth in the Data Processing Addendum and the Data Security Addendum.</w:t>
      </w:r>
    </w:p>
    <w:p w14:paraId="7029589A" w14:textId="09654460" w:rsidR="00FA3E61" w:rsidRPr="00EB1109" w:rsidRDefault="00FA3E61" w:rsidP="00FA3E61">
      <w:pPr>
        <w:pStyle w:val="LegalLevel2"/>
        <w:numPr>
          <w:ilvl w:val="1"/>
          <w:numId w:val="4"/>
        </w:numPr>
        <w:spacing w:before="240" w:line="240" w:lineRule="auto"/>
        <w:rPr>
          <w:sz w:val="20"/>
          <w:szCs w:val="20"/>
        </w:rPr>
      </w:pPr>
      <w:r>
        <w:rPr>
          <w:sz w:val="20"/>
          <w:szCs w:val="20"/>
          <w:u w:val="single"/>
        </w:rPr>
        <w:t>Data Extraction and Portability</w:t>
      </w:r>
      <w:r>
        <w:rPr>
          <w:sz w:val="20"/>
          <w:szCs w:val="20"/>
        </w:rPr>
        <w:t xml:space="preserve">. At any time during the applicable Order Form term and for the period set forth in Section 14 (Data Return and Destruction), Customer shall have the right to extract, download, or export Customer Data in an </w:t>
      </w:r>
      <w:proofErr w:type="gramStart"/>
      <w:r>
        <w:rPr>
          <w:sz w:val="20"/>
          <w:szCs w:val="20"/>
        </w:rPr>
        <w:t>industry-standard</w:t>
      </w:r>
      <w:proofErr w:type="gramEnd"/>
      <w:r>
        <w:rPr>
          <w:sz w:val="20"/>
          <w:szCs w:val="20"/>
        </w:rPr>
        <w:t xml:space="preserve">, machine-readable, interoperable, and non-proprietary format. Service Provider shall provide Customer with API access or other programmatic means sufficient to enable Customer to exercise its data extraction and portability rights without dependency on Service Provider’s cooperation. </w:t>
      </w:r>
      <w:proofErr w:type="gramStart"/>
      <w:r>
        <w:rPr>
          <w:sz w:val="20"/>
          <w:szCs w:val="20"/>
        </w:rPr>
        <w:t>Customer’s</w:t>
      </w:r>
      <w:proofErr w:type="gramEnd"/>
      <w:r>
        <w:rPr>
          <w:sz w:val="20"/>
          <w:szCs w:val="20"/>
        </w:rPr>
        <w:t xml:space="preserve"> exercise of such data extraction and portability rights shall be subject to Service Provider’s reasonable, published, and non-discriminatory rate limits and security controls, provided that such rate limits and controls shall not render Customer’s extraction rights impracticable and shall not be more restrictive than those generally applied to other enterprise customers of the Services. Service Provider shall not impose any fee, penalty, or technical restriction (other than the foregoing </w:t>
      </w:r>
      <w:r>
        <w:rPr>
          <w:sz w:val="20"/>
          <w:szCs w:val="20"/>
        </w:rPr>
        <w:lastRenderedPageBreak/>
        <w:t>reasonable rate limits and security controls) on Customer’s exercise of its data extraction and portability rights.</w:t>
      </w:r>
    </w:p>
    <w:p w14:paraId="58CD61FB" w14:textId="3A746229" w:rsidR="001630AA" w:rsidRDefault="007348D0" w:rsidP="005C133A">
      <w:pPr>
        <w:pStyle w:val="LegalLevel2"/>
        <w:numPr>
          <w:ilvl w:val="0"/>
          <w:numId w:val="0"/>
        </w:numPr>
        <w:spacing w:before="240" w:line="240" w:lineRule="auto"/>
        <w:ind w:left="1440"/>
        <w:rPr>
          <w:sz w:val="20"/>
          <w:szCs w:val="20"/>
        </w:rPr>
      </w:pPr>
      <w:r>
        <w:rPr>
          <w:sz w:val="20"/>
          <w:szCs w:val="20"/>
          <w:u w:val="single"/>
        </w:rPr>
        <w:t>[</w:t>
      </w:r>
      <w:r w:rsidRPr="005C133A">
        <w:rPr>
          <w:sz w:val="20"/>
          <w:szCs w:val="20"/>
        </w:rPr>
        <w:t xml:space="preserve">Optional: </w:t>
      </w:r>
      <w:r w:rsidR="005C133A">
        <w:rPr>
          <w:sz w:val="20"/>
          <w:szCs w:val="20"/>
        </w:rPr>
        <w:t>“</w:t>
      </w:r>
      <w:r w:rsidRPr="005C133A">
        <w:rPr>
          <w:sz w:val="20"/>
          <w:szCs w:val="20"/>
          <w:u w:val="single"/>
        </w:rPr>
        <w:t>EU Data Act Switching</w:t>
      </w:r>
      <w:r w:rsidRPr="005C133A">
        <w:rPr>
          <w:sz w:val="20"/>
          <w:szCs w:val="20"/>
        </w:rPr>
        <w:t>. Notwithstanding anything to the contrary in this Agreement, where Regulation (EU) 2023/2854 (the EU Data Act) applies to the Services, Service Provider shall comply with all applicable switching obligations for data processing services, including obligations concerning contractual transparency, exportable data and digital assets, switching procedures and timelines, service continuity and security, open interfaces, and information concerning formats and technical limitations. Service Provider shall not imp</w:t>
      </w:r>
      <w:r w:rsidRPr="005C133A">
        <w:rPr>
          <w:sz w:val="20"/>
          <w:szCs w:val="20"/>
        </w:rPr>
        <w:t>ose any switching charge prohibited by Applicable Law and, from January 12, 2027, shall not impose switching charges within the meaning of Article 29 of Regulation (EU) 2023/2854. To the extent of any conflict between this Section and the transition pricing or timing provisions of this Agreement, this Section shall control where the EU Data Act applies.</w:t>
      </w:r>
      <w:r w:rsidR="005C133A">
        <w:rPr>
          <w:sz w:val="20"/>
          <w:szCs w:val="20"/>
        </w:rPr>
        <w:t>”</w:t>
      </w:r>
      <w:r w:rsidRPr="005C133A">
        <w:rPr>
          <w:sz w:val="20"/>
          <w:szCs w:val="20"/>
        </w:rPr>
        <w:t>]</w:t>
      </w:r>
    </w:p>
    <w:p w14:paraId="7D39021B" w14:textId="7201D4CA" w:rsidR="00FA3E61" w:rsidRPr="00EB1109" w:rsidRDefault="00FA3E61" w:rsidP="00FA3E61">
      <w:pPr>
        <w:pStyle w:val="LegalLevel2"/>
        <w:numPr>
          <w:ilvl w:val="1"/>
          <w:numId w:val="4"/>
        </w:numPr>
        <w:spacing w:before="240" w:line="240" w:lineRule="auto"/>
        <w:rPr>
          <w:sz w:val="20"/>
          <w:szCs w:val="20"/>
        </w:rPr>
      </w:pPr>
      <w:r>
        <w:rPr>
          <w:sz w:val="20"/>
          <w:szCs w:val="20"/>
          <w:u w:val="single"/>
        </w:rPr>
        <w:t>Survival</w:t>
      </w:r>
      <w:r>
        <w:rPr>
          <w:sz w:val="20"/>
          <w:szCs w:val="20"/>
        </w:rPr>
        <w:t>. Sections 5.1 (Ownership) and 5.2 (Permitted Use of Customer Data) shall survive the termination or expiration of this Agreement or any Order Form. The obligations set forth in Section 5.2 (Permitted Use of Customer Data) shall continue for so long as Service Provider retains, has access to, or otherwise possesses any Customer Data. Customer’s ownership rights set forth in Section 5.1 (Ownership) shall survive indefinitely.</w:t>
      </w:r>
    </w:p>
    <w:p w14:paraId="0F12B0E2"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Privacy and Information Security</w:t>
      </w:r>
      <w:r>
        <w:rPr>
          <w:sz w:val="20"/>
          <w:szCs w:val="20"/>
        </w:rPr>
        <w:t>.</w:t>
      </w:r>
    </w:p>
    <w:p w14:paraId="5B18974E" w14:textId="0421F66D" w:rsidR="00FA3E61" w:rsidRPr="00EB1109" w:rsidRDefault="00FA3E61" w:rsidP="00FA3E61">
      <w:pPr>
        <w:pStyle w:val="LegalLevel2"/>
        <w:numPr>
          <w:ilvl w:val="1"/>
          <w:numId w:val="4"/>
        </w:numPr>
        <w:spacing w:before="240" w:line="240" w:lineRule="auto"/>
        <w:rPr>
          <w:sz w:val="20"/>
          <w:szCs w:val="20"/>
        </w:rPr>
      </w:pPr>
      <w:r>
        <w:rPr>
          <w:sz w:val="20"/>
          <w:szCs w:val="20"/>
          <w:u w:val="single"/>
        </w:rPr>
        <w:t>Information Security</w:t>
      </w:r>
      <w:r>
        <w:rPr>
          <w:sz w:val="20"/>
          <w:szCs w:val="20"/>
        </w:rPr>
        <w:t>. Service Provider shall implement and maintain safeguards that [Alternative: “are reasonably designed to”]: (a) ensure the security, confidentiality, integrity, and availability of Customer Data; (b) protect against anticipated threats or hazards to the security of Customer Data; (c) protect against unauthorized or unlawful disclosure, loss, destruction, transfer, modification, alteration, access to, or use of Customer Data; and (d) ensure compliance with Applicable Law. The specific security controls, standards, audit rights, breach notification procedures, and incident response obligations are set forth in the Data Security Addendum.</w:t>
      </w:r>
    </w:p>
    <w:p w14:paraId="597176EF" w14:textId="289EDEF6" w:rsidR="00FA3E61" w:rsidRPr="00EB1109" w:rsidRDefault="00FA3E61" w:rsidP="00FA3E61">
      <w:pPr>
        <w:pStyle w:val="LegalLevel2"/>
        <w:numPr>
          <w:ilvl w:val="1"/>
          <w:numId w:val="4"/>
        </w:numPr>
        <w:spacing w:before="240" w:line="240" w:lineRule="auto"/>
        <w:rPr>
          <w:sz w:val="20"/>
          <w:szCs w:val="20"/>
        </w:rPr>
      </w:pPr>
      <w:r>
        <w:rPr>
          <w:sz w:val="20"/>
          <w:szCs w:val="20"/>
          <w:u w:val="single"/>
        </w:rPr>
        <w:t>Data Processing</w:t>
      </w:r>
      <w:r>
        <w:rPr>
          <w:sz w:val="20"/>
          <w:szCs w:val="20"/>
        </w:rPr>
        <w:t>. The Processing of Customer Data in connection with the Services shall be governed by the Data Processing Addendum. Part 1 (Processing Governance) of the Data Processing Addendum applies to all Customer Data Processed in connection with the Services. Part 2 (Personal Data Provisions) of the Data Processing Addendum applies if and to the extent that Service Provider Processes Personal Data on behalf of Customer, and addresses the roles of the Parties, Data Protection Laws, data subject rights, data protection impact assessments, and cross-border transfer mechanisms for Personal Data.</w:t>
      </w:r>
    </w:p>
    <w:p w14:paraId="5EDE4414" w14:textId="030D097E" w:rsidR="00BE1450" w:rsidRPr="00552A09" w:rsidRDefault="00FA3E61" w:rsidP="00552A09">
      <w:pPr>
        <w:pStyle w:val="LegalLevel2"/>
        <w:numPr>
          <w:ilvl w:val="1"/>
          <w:numId w:val="4"/>
        </w:numPr>
        <w:spacing w:before="240" w:line="240" w:lineRule="auto"/>
        <w:rPr>
          <w:sz w:val="20"/>
          <w:szCs w:val="20"/>
        </w:rPr>
      </w:pPr>
      <w:r>
        <w:rPr>
          <w:sz w:val="20"/>
          <w:szCs w:val="20"/>
          <w:u w:val="single"/>
        </w:rPr>
        <w:t>Termination for Deficiencies</w:t>
      </w:r>
      <w:r>
        <w:rPr>
          <w:sz w:val="20"/>
          <w:szCs w:val="20"/>
        </w:rPr>
        <w:t>. In the event that Customer determines, in its reasonable judgment, that Service Provider’s data privacy program or Security Program is materially deficient or that Service Provider has failed to remediate a Material Deficiency identified through audit or assessment within the timeframes specified in the Data Security Addendum, Customer may terminate this Agreement or the applicable Order Form immediately upon written notice to Service Provider without penalty and shall be entitled to a pro rata refund of any prepaid Fees attributable to the unexpired portion of the then-current term of each applicable Order Form.</w:t>
      </w:r>
    </w:p>
    <w:p w14:paraId="3C523E4B" w14:textId="5F13C104"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Confidential Information</w:t>
      </w:r>
      <w:r>
        <w:rPr>
          <w:sz w:val="20"/>
          <w:szCs w:val="20"/>
        </w:rPr>
        <w:t>.</w:t>
      </w:r>
    </w:p>
    <w:p w14:paraId="3A2C9DAF" w14:textId="2DB57B19" w:rsidR="00FA3E61" w:rsidRPr="00EB1109" w:rsidRDefault="00FA3E61" w:rsidP="00FA3E61">
      <w:pPr>
        <w:pStyle w:val="LegalLevel2"/>
        <w:numPr>
          <w:ilvl w:val="1"/>
          <w:numId w:val="4"/>
        </w:numPr>
        <w:spacing w:before="240" w:line="240" w:lineRule="auto"/>
        <w:rPr>
          <w:sz w:val="20"/>
          <w:szCs w:val="20"/>
        </w:rPr>
      </w:pPr>
      <w:r>
        <w:rPr>
          <w:sz w:val="20"/>
          <w:szCs w:val="20"/>
          <w:u w:val="single"/>
        </w:rPr>
        <w:t>Definition</w:t>
      </w:r>
      <w:r>
        <w:rPr>
          <w:sz w:val="20"/>
          <w:szCs w:val="20"/>
        </w:rPr>
        <w:t xml:space="preserve">. “Confidential Information” means all non-public information disclosed by or on behalf of one Party (“Disclosing Party”) to the other Party (“Receiving Party”), whether orally, in writing, electronically, or otherwise, that is designated as confidential or that a reasonable person would understand to be confidential given the nature of the information and the circumstances of disclosure. Confidential Information includes, without limitation: (a) all Customer Data (which shall be deemed Confidential Information of Customer regardless of marking or designation); (b) Personal Data; (c) trade secrets, business plans, financial information, pricing, and customer information; (d) the terms and conditions of this Agreement; (e) technical information, source code, </w:t>
      </w:r>
      <w:r>
        <w:rPr>
          <w:sz w:val="20"/>
          <w:szCs w:val="20"/>
        </w:rPr>
        <w:lastRenderedPageBreak/>
        <w:t>algorithms, and know-how related to the Services; and (f) any data provided to or used in connection with AI, including training data, model configurations, and outputs.</w:t>
      </w:r>
    </w:p>
    <w:p w14:paraId="5CAA25A1" w14:textId="4FB94F43" w:rsidR="00FA3E61" w:rsidRPr="00EB1109" w:rsidRDefault="00FA3E61" w:rsidP="00FA3E61">
      <w:pPr>
        <w:pStyle w:val="LegalLevel2"/>
        <w:numPr>
          <w:ilvl w:val="1"/>
          <w:numId w:val="4"/>
        </w:numPr>
        <w:spacing w:before="240" w:line="240" w:lineRule="auto"/>
        <w:rPr>
          <w:sz w:val="20"/>
          <w:szCs w:val="20"/>
        </w:rPr>
      </w:pPr>
      <w:r>
        <w:rPr>
          <w:sz w:val="20"/>
          <w:szCs w:val="20"/>
          <w:u w:val="single"/>
        </w:rPr>
        <w:t>Obligations of Confidentiality</w:t>
      </w:r>
      <w:r>
        <w:rPr>
          <w:sz w:val="20"/>
          <w:szCs w:val="20"/>
        </w:rPr>
        <w:t>. The Receiving Party shall: (a) hold the Disclosing Party’s Confidential Information in strict confidence; (b) not disclose such Confidential Information to any third party except as expressly permitted herein or with the Disclosing Party’s prior written consent; (c) use such Confidential Information solely for the purposes of performing its obligations or exercising its rights under this Agreement; and (d) protect such Confidential Information using at least the same degree of care it uses to protect its own Confidential Information, but in no event less than reasonable care. The Receiving Party may disclose Confidential Information to its employees, contractors, and agents who have a need to know and are bound by confidentiality obligations no less protective than those set forth herein. Confidential Information shall not include information that: (</w:t>
      </w:r>
      <w:proofErr w:type="spellStart"/>
      <w:r>
        <w:rPr>
          <w:sz w:val="20"/>
          <w:szCs w:val="20"/>
        </w:rPr>
        <w:t>i</w:t>
      </w:r>
      <w:proofErr w:type="spellEnd"/>
      <w:r>
        <w:rPr>
          <w:sz w:val="20"/>
          <w:szCs w:val="20"/>
        </w:rPr>
        <w:t>) is or becomes publicly available through no fault of the Receiving Party; (ii) was known to the Receiving Party prior to disclosure without obligation of confidentiality; (iii) is independently developed by the Receiving Party without reference to the Disclosing Party’s Confidential Information; or (iv) is rightfully received from a third party without restriction on disclosure.</w:t>
      </w:r>
    </w:p>
    <w:p w14:paraId="06727047" w14:textId="04970E5A" w:rsidR="00FA3E61" w:rsidRPr="00EB1109" w:rsidRDefault="00FA3E61" w:rsidP="00FA3E61">
      <w:pPr>
        <w:pStyle w:val="LegalLevel2"/>
        <w:numPr>
          <w:ilvl w:val="1"/>
          <w:numId w:val="4"/>
        </w:numPr>
        <w:spacing w:before="240" w:line="240" w:lineRule="auto"/>
        <w:rPr>
          <w:sz w:val="20"/>
          <w:szCs w:val="20"/>
        </w:rPr>
      </w:pPr>
      <w:r>
        <w:rPr>
          <w:sz w:val="20"/>
          <w:szCs w:val="20"/>
          <w:u w:val="single"/>
        </w:rPr>
        <w:t>Cooperation to Prevent Disclosure</w:t>
      </w:r>
      <w:r>
        <w:rPr>
          <w:sz w:val="20"/>
          <w:szCs w:val="20"/>
        </w:rPr>
        <w:t>. Each Party shall use its best efforts to assist the other Party in identifying and preventing any unauthorized use or disclosure of Confidential Information. The Receiving Party shall promptly notify the Disclosing Party of any unauthorized use or disclosure of Confidential Information of which it becomes aware and shall cooperate with the Disclosing Party in remediating such unauthorized use or disclosure.</w:t>
      </w:r>
    </w:p>
    <w:p w14:paraId="6F49FEA6" w14:textId="145BDE18" w:rsidR="00FA3E61" w:rsidRPr="00EB1109" w:rsidRDefault="00FA3E61" w:rsidP="00FA3E61">
      <w:pPr>
        <w:pStyle w:val="LegalLevel2"/>
        <w:numPr>
          <w:ilvl w:val="1"/>
          <w:numId w:val="4"/>
        </w:numPr>
        <w:spacing w:before="240" w:line="240" w:lineRule="auto"/>
        <w:rPr>
          <w:sz w:val="20"/>
          <w:szCs w:val="20"/>
        </w:rPr>
      </w:pPr>
      <w:r>
        <w:rPr>
          <w:sz w:val="20"/>
          <w:szCs w:val="20"/>
          <w:u w:val="single"/>
        </w:rPr>
        <w:t>Compelled Disclosure</w:t>
      </w:r>
      <w:r>
        <w:rPr>
          <w:sz w:val="20"/>
          <w:szCs w:val="20"/>
        </w:rPr>
        <w:t>. If the Receiving Party is compelled by law, regulation, or court order to disclose Confidential Information, the Receiving Party shall (a) provide the Disclosing Party with prompt written notice prior to such disclosure (to the extent legally permissible); (b) reasonably cooperate with the Disclosing Party in seeking a protective order or other appropriate remedy; and (c) disclose only the minimum amount of Confidential Information required by law.</w:t>
      </w:r>
    </w:p>
    <w:p w14:paraId="04BB229D" w14:textId="4DA54A72" w:rsidR="00FA3E61" w:rsidRPr="00EB1109" w:rsidRDefault="00FA3E61" w:rsidP="00FA3E61">
      <w:pPr>
        <w:pStyle w:val="LegalLevel2"/>
        <w:numPr>
          <w:ilvl w:val="1"/>
          <w:numId w:val="4"/>
        </w:numPr>
        <w:spacing w:before="240" w:line="240" w:lineRule="auto"/>
        <w:rPr>
          <w:sz w:val="20"/>
          <w:szCs w:val="20"/>
        </w:rPr>
      </w:pPr>
      <w:r>
        <w:rPr>
          <w:sz w:val="20"/>
          <w:szCs w:val="20"/>
          <w:u w:val="single"/>
        </w:rPr>
        <w:t>Remedies for Breach</w:t>
      </w:r>
      <w:r>
        <w:rPr>
          <w:sz w:val="20"/>
          <w:szCs w:val="20"/>
        </w:rPr>
        <w:t>. Each Party acknowledges that a breach of this Section 7 (Confidential Information) may cause irreparable harm to the Disclosing Party for which monetary damages would be an inadequate remedy. Accordingly, the Disclosing Party shall be entitled to seek equitable relief, including injunction and specific performance, in addition to all other remedies available at law or in equity, without the necessity of proving actual damages or posting a bond.</w:t>
      </w:r>
    </w:p>
    <w:p w14:paraId="1A2BA1B3" w14:textId="1829DB5C" w:rsidR="00FA3E61" w:rsidRPr="00EB1109" w:rsidRDefault="00FA3E61" w:rsidP="00FA3E61">
      <w:pPr>
        <w:pStyle w:val="LegalLevel2"/>
        <w:numPr>
          <w:ilvl w:val="1"/>
          <w:numId w:val="4"/>
        </w:numPr>
        <w:spacing w:before="240" w:line="240" w:lineRule="auto"/>
        <w:rPr>
          <w:sz w:val="20"/>
          <w:szCs w:val="20"/>
        </w:rPr>
      </w:pPr>
      <w:r>
        <w:rPr>
          <w:sz w:val="20"/>
          <w:szCs w:val="20"/>
          <w:u w:val="single"/>
        </w:rPr>
        <w:t>Return or Destruction upon Termination</w:t>
      </w:r>
      <w:r>
        <w:rPr>
          <w:sz w:val="20"/>
          <w:szCs w:val="20"/>
        </w:rPr>
        <w:t>. Upon termination or expiration of this Agreement or any Order Form, with respect to Confidential Information associated with the terminated or expired Agreement or Order Form, the Receiving Party shall, at the Disclosing Party’s election, promptly return or destroy such Confidential Information of the Disclosing Party, including all copies, extracts, and derivatives thereof, and shall certify such return or destruction in writing. The obligations with respect to return and destruction of Customer Data shall be governed by Section 14 (Data Return and Destruction).</w:t>
      </w:r>
    </w:p>
    <w:p w14:paraId="16E72081" w14:textId="4F786F0F" w:rsidR="00FA3E61" w:rsidRPr="00EB1109" w:rsidRDefault="00FA3E61" w:rsidP="00FA3E61">
      <w:pPr>
        <w:pStyle w:val="LegalLevel2"/>
        <w:numPr>
          <w:ilvl w:val="1"/>
          <w:numId w:val="4"/>
        </w:numPr>
        <w:spacing w:before="240" w:line="240" w:lineRule="auto"/>
        <w:rPr>
          <w:sz w:val="20"/>
          <w:szCs w:val="20"/>
        </w:rPr>
      </w:pPr>
      <w:r>
        <w:rPr>
          <w:sz w:val="20"/>
          <w:szCs w:val="20"/>
          <w:u w:val="single"/>
        </w:rPr>
        <w:t>Survival</w:t>
      </w:r>
      <w:r>
        <w:rPr>
          <w:sz w:val="20"/>
          <w:szCs w:val="20"/>
        </w:rPr>
        <w:t>. The obligations of confidentiality set forth in this Section 7 (Confidential Information) shall survive the termination or expiration of this Agreement for a period of five (5) years following the effective date of such termination or expiration; provided, however, that with respect to any Confidential Information that constitutes a trade secret under Applicable Law, such obligations shall survive for so long as such information remains a trade secret. The obligations set forth in Section 7.6 (Return or Destruction upon Termination) shall survive termination or expiration and shall be performed in accordance with the timeframes specified therein and in Section 14 (Data Return and Destruction).</w:t>
      </w:r>
    </w:p>
    <w:p w14:paraId="357D9DD9"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Contract Governance and Performance Management</w:t>
      </w:r>
      <w:r>
        <w:rPr>
          <w:sz w:val="20"/>
          <w:szCs w:val="20"/>
        </w:rPr>
        <w:t>.</w:t>
      </w:r>
    </w:p>
    <w:p w14:paraId="2F1D5397"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Governance Structure</w:t>
      </w:r>
      <w:r>
        <w:rPr>
          <w:sz w:val="20"/>
          <w:szCs w:val="20"/>
        </w:rPr>
        <w:t>. The Parties shall establish and maintain a tiered governance structure to oversee the performance of this Agreement as follows:</w:t>
      </w:r>
    </w:p>
    <w:p w14:paraId="131CA5D2" w14:textId="5A496A44"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lastRenderedPageBreak/>
        <w:t>Operational Reviews</w:t>
      </w:r>
      <w:r>
        <w:rPr>
          <w:sz w:val="20"/>
          <w:szCs w:val="20"/>
        </w:rPr>
        <w:t>. The Parties shall conduct monthly operational reviews to address day-to-day service delivery, including: (a) open incidents and problem tickets; (b) support request volumes and resolution timelines; (c) upcoming maintenance activities; and (d) near-term change requests. Operational reviews shall be attended by each Party’s designated account manager and such operational personnel as the Parties deem appropriate.</w:t>
      </w:r>
    </w:p>
    <w:p w14:paraId="4D121439" w14:textId="7EB9A88D"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Quarterly Business Reviews</w:t>
      </w:r>
      <w:r>
        <w:rPr>
          <w:sz w:val="20"/>
          <w:szCs w:val="20"/>
        </w:rPr>
        <w:t>. The Parties shall conduct quarterly business reviews (“QBRs”) to assess Service Provider’s performance against the Service Levels, key performance indicators, and other metrics established in this Agreement, the applicable Order Form, and the Service Level Addendum. Each QBR shall address, at minimum: (a) Service Level achievement and trending, including root cause analysis for any Service Level failures during the preceding quarter; (b) open incidents, problem tickets, and resolution timelines; (c) security posture, including the status of any audit findings, remediation plans, or Security Incidents; (d) roadmap alignment and upcoming changes to the Services that may affect Customer; (e) staffing and resource adequacy; (f) customer satisfaction results, if applicable under Section 8.6 (Customer Satisfaction); and (g) continuous improvement initiatives and action items from prior reviews. QBRs shall be attended by each Party’s account manager and such management-level personnel as Customer may reasonably request.</w:t>
      </w:r>
    </w:p>
    <w:p w14:paraId="499EAB9E" w14:textId="3D43919C"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Executive Reviews</w:t>
      </w:r>
      <w:r>
        <w:rPr>
          <w:sz w:val="20"/>
          <w:szCs w:val="20"/>
        </w:rPr>
        <w:t>. The Parties shall conduct semi-annual executive reviews to address the strategic direction of the relationship, including: (a) long-term roadmap alignment; (b) contract performance trends; (c) material risk items; and (d) renewal and expansion planning. Executive reviews shall be attended by senior executives of each Party with decision-making authority over the relationship.</w:t>
      </w:r>
    </w:p>
    <w:p w14:paraId="672AAF3A"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Ad Hoc Reviews</w:t>
      </w:r>
      <w:r>
        <w:rPr>
          <w:sz w:val="20"/>
          <w:szCs w:val="20"/>
        </w:rPr>
        <w:t>. In addition to the reviews described above, Customer may request ad hoc performance reviews at any time upon reasonable notice, and Service Provider shall cooperate with such requests.</w:t>
      </w:r>
    </w:p>
    <w:p w14:paraId="3CEBAEEF" w14:textId="26109006" w:rsidR="006944BC" w:rsidRPr="00F6782E" w:rsidRDefault="00FA3E61" w:rsidP="00F6782E">
      <w:pPr>
        <w:pStyle w:val="LegalLevel2"/>
        <w:numPr>
          <w:ilvl w:val="1"/>
          <w:numId w:val="4"/>
        </w:numPr>
        <w:spacing w:before="240" w:line="240" w:lineRule="auto"/>
        <w:rPr>
          <w:sz w:val="20"/>
          <w:szCs w:val="20"/>
        </w:rPr>
      </w:pPr>
      <w:r>
        <w:rPr>
          <w:sz w:val="20"/>
          <w:szCs w:val="20"/>
          <w:u w:val="single"/>
        </w:rPr>
        <w:t>Performance Reporting and Meeting Documentation</w:t>
      </w:r>
      <w:r>
        <w:rPr>
          <w:sz w:val="20"/>
          <w:szCs w:val="20"/>
        </w:rPr>
        <w:t xml:space="preserve">. Service Provider shall prepare and distribute a written performance report to Customer not less than five (5) Business Days in advance of each QBR. Within ten (10) Business Days following each governance review conducted under Section 8.1 (Governance Structure), Service Provider shall prepare and circulate to Customer written meeting minutes summarizing the matters discussed, decisions reached, and action items assigned (including responsible party and target completion date). </w:t>
      </w:r>
      <w:proofErr w:type="gramStart"/>
      <w:r>
        <w:rPr>
          <w:sz w:val="20"/>
          <w:szCs w:val="20"/>
        </w:rPr>
        <w:t>Customer</w:t>
      </w:r>
      <w:proofErr w:type="gramEnd"/>
      <w:r>
        <w:rPr>
          <w:sz w:val="20"/>
          <w:szCs w:val="20"/>
        </w:rPr>
        <w:t xml:space="preserve"> shall have ten (10) Business Days following receipt of such meeting minutes to provide comments or corrections, and in the absence of timely objection, the meeting minutes shall be deemed accepted.</w:t>
      </w:r>
    </w:p>
    <w:p w14:paraId="3C90BEA6" w14:textId="647204A1" w:rsidR="00FA3E61" w:rsidRPr="00EB1109" w:rsidRDefault="00FA3E61" w:rsidP="00FA3E61">
      <w:pPr>
        <w:pStyle w:val="LegalLevel2"/>
        <w:numPr>
          <w:ilvl w:val="1"/>
          <w:numId w:val="4"/>
        </w:numPr>
        <w:spacing w:before="240" w:line="240" w:lineRule="auto"/>
        <w:rPr>
          <w:sz w:val="20"/>
          <w:szCs w:val="20"/>
        </w:rPr>
      </w:pPr>
      <w:r>
        <w:rPr>
          <w:sz w:val="20"/>
          <w:szCs w:val="20"/>
          <w:u w:val="single"/>
        </w:rPr>
        <w:t>Key Personnel</w:t>
      </w:r>
      <w:r>
        <w:rPr>
          <w:sz w:val="20"/>
          <w:szCs w:val="20"/>
        </w:rPr>
        <w:t>.</w:t>
      </w:r>
    </w:p>
    <w:p w14:paraId="17EEBB34" w14:textId="7C22F26A"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Designation</w:t>
      </w:r>
      <w:r>
        <w:rPr>
          <w:sz w:val="20"/>
          <w:szCs w:val="20"/>
        </w:rPr>
        <w:t>. Service Provider shall assign and maintain the Key Personnel identified in the applicable Order Form for the duration of the applicable Order Form term, unless otherwise specified in the applicable Order Form. Key Personnel shall include, at a minimum, a designated account manager who shall serve as Customer’s primary point of contact for all matters arising under this Agreement. Key Personnel shall possess the qualifications, experience, and seniority commensurate with their respective roles as described in the applicable Order Form.</w:t>
      </w:r>
    </w:p>
    <w:p w14:paraId="3C9065A6" w14:textId="4A66BBDB"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Non-Removal</w:t>
      </w:r>
      <w:r>
        <w:rPr>
          <w:sz w:val="20"/>
          <w:szCs w:val="20"/>
        </w:rPr>
        <w:t>. Service Provider shall not reassign, replace, or remove any Key Personnel from the engagement without providing Customer not less than thirty (30) days’ prior written notice, except where removal is required by law or regulation, or results from the Key Personnel individual’s voluntary resignation or termination for cause. In the event of a Key Personnel departure that does not permit thirty (30) days’ notice, Service Provider shall notify Customer as promptly as practicable and in no event later than five (5) Business Days after such departure.</w:t>
      </w:r>
    </w:p>
    <w:p w14:paraId="0A986E25" w14:textId="086E5C82"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lastRenderedPageBreak/>
        <w:t>Replacement</w:t>
      </w:r>
      <w:r>
        <w:rPr>
          <w:sz w:val="20"/>
          <w:szCs w:val="20"/>
        </w:rPr>
        <w:t xml:space="preserve">. Any replacement for Key Personnel shall possess qualifications and experience at least equivalent to those of the individual being replaced. Service Provider shall provide Customer with the proposed </w:t>
      </w:r>
      <w:proofErr w:type="gramStart"/>
      <w:r>
        <w:rPr>
          <w:sz w:val="20"/>
          <w:szCs w:val="20"/>
        </w:rPr>
        <w:t>replacement’s</w:t>
      </w:r>
      <w:proofErr w:type="gramEnd"/>
      <w:r>
        <w:rPr>
          <w:sz w:val="20"/>
          <w:szCs w:val="20"/>
        </w:rPr>
        <w:t xml:space="preserve"> qualifications for Customer’s review and reasonable approval prior to assignment. Service Provider shall ensure a handover period of not less than fifteen (15) Business Days during which the departing and incoming Key Personnel (where practicable) shall work concurrently to </w:t>
      </w:r>
      <w:proofErr w:type="gramStart"/>
      <w:r>
        <w:rPr>
          <w:sz w:val="20"/>
          <w:szCs w:val="20"/>
        </w:rPr>
        <w:t>effect</w:t>
      </w:r>
      <w:proofErr w:type="gramEnd"/>
      <w:r>
        <w:rPr>
          <w:sz w:val="20"/>
          <w:szCs w:val="20"/>
        </w:rPr>
        <w:t xml:space="preserve"> an orderly handover. Replacement of Key Personnel shall not relieve Service Provider of any obligation under this Agreement.</w:t>
      </w:r>
    </w:p>
    <w:p w14:paraId="14C636F1" w14:textId="79C8B6DA"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Customer Key Personnel</w:t>
      </w:r>
      <w:r>
        <w:rPr>
          <w:sz w:val="20"/>
          <w:szCs w:val="20"/>
        </w:rPr>
        <w:t xml:space="preserve">. Customer shall designate an account manager and </w:t>
      </w:r>
      <w:proofErr w:type="gramStart"/>
      <w:r>
        <w:rPr>
          <w:sz w:val="20"/>
          <w:szCs w:val="20"/>
        </w:rPr>
        <w:t>such other</w:t>
      </w:r>
      <w:proofErr w:type="gramEnd"/>
      <w:r>
        <w:rPr>
          <w:sz w:val="20"/>
          <w:szCs w:val="20"/>
        </w:rPr>
        <w:t xml:space="preserve"> Key Personnel as identified in the applicable Order Form. Customer shall notify Service Provider of any changes to Customer’s Key Personnel within a commercially reasonable timeframe.</w:t>
      </w:r>
    </w:p>
    <w:p w14:paraId="1336898E" w14:textId="68CB493B" w:rsidR="00FA3E61" w:rsidRPr="00EB1109" w:rsidRDefault="00FA3E61" w:rsidP="00FA3E61">
      <w:pPr>
        <w:pStyle w:val="LegalLevel2"/>
        <w:numPr>
          <w:ilvl w:val="1"/>
          <w:numId w:val="4"/>
        </w:numPr>
        <w:spacing w:before="240" w:line="240" w:lineRule="auto"/>
        <w:rPr>
          <w:sz w:val="20"/>
          <w:szCs w:val="20"/>
        </w:rPr>
      </w:pPr>
      <w:r>
        <w:rPr>
          <w:sz w:val="20"/>
          <w:szCs w:val="20"/>
          <w:u w:val="single"/>
        </w:rPr>
        <w:t>Corrective Action Plans</w:t>
      </w:r>
      <w:r>
        <w:rPr>
          <w:sz w:val="20"/>
          <w:szCs w:val="20"/>
        </w:rPr>
        <w:t>. Where a QBR, performance review, or other governance interaction identifies material performance deficiencies, Service Provider shall deliver a written CAP to Customer within fifteen (15) Business Days. The Parties shall track remediation progress at each subsequent governance review until the deficiency is resolved. Failure to deliver a CAP within the required timeframe, or failure to achieve the corrective actions within the timelines specified in an accepted CAP, shall constitute a material breach of this Agreement.</w:t>
      </w:r>
    </w:p>
    <w:p w14:paraId="2E47C36F" w14:textId="59C5530B" w:rsidR="00FA3E61" w:rsidRPr="00EB1109" w:rsidRDefault="00FA3E61" w:rsidP="00FA3E61">
      <w:pPr>
        <w:pStyle w:val="LegalLevel2"/>
        <w:numPr>
          <w:ilvl w:val="1"/>
          <w:numId w:val="4"/>
        </w:numPr>
        <w:spacing w:before="240" w:line="240" w:lineRule="auto"/>
        <w:rPr>
          <w:sz w:val="20"/>
          <w:szCs w:val="20"/>
        </w:rPr>
      </w:pPr>
      <w:r>
        <w:rPr>
          <w:sz w:val="20"/>
          <w:szCs w:val="20"/>
          <w:u w:val="single"/>
        </w:rPr>
        <w:t>Vendor Management Cooperation</w:t>
      </w:r>
      <w:r>
        <w:rPr>
          <w:sz w:val="20"/>
          <w:szCs w:val="20"/>
        </w:rPr>
        <w:t>. Service Provider shall cooperate with Customer’s vendor management processes, scorecards, and risk assessment frameworks, and shall provide such information as Customer may reasonably request in connection with its vendor risk management program. Service Provider shall participate in Customer’s vendor risk assessments, respond to Customer’s vendor questionnaires and information requests within the timeframes reasonably specified by Customer, and make appropriate Service Provider personnel available for meetings with Customer’s vendor management or risk management teams.</w:t>
      </w:r>
    </w:p>
    <w:p w14:paraId="122151AB" w14:textId="1F9848D6"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Satisfaction</w:t>
      </w:r>
      <w:r>
        <w:rPr>
          <w:sz w:val="20"/>
          <w:szCs w:val="20"/>
        </w:rPr>
        <w:t>. Upon Customer’s request, Service Provider shall cooperate with periodic customer satisfaction surveys of Authorized Users or Customer’s designated stakeholders. The scope, methodology, and frequency of such surveys shall be as mutually agreed by the Parties. Survey results shall be reported at the next scheduled QBR and, where results indicate material dissatisfaction, shall be addressed through the Corrective Action Plan process set forth in Section 8.4 (Corrective Action Plans).</w:t>
      </w:r>
    </w:p>
    <w:p w14:paraId="2346C685" w14:textId="77E4CBDE" w:rsidR="00FA3E61" w:rsidRPr="00EB1109" w:rsidRDefault="00FA3E61" w:rsidP="00FA3E61">
      <w:pPr>
        <w:pStyle w:val="LegalLevel2"/>
        <w:numPr>
          <w:ilvl w:val="1"/>
          <w:numId w:val="4"/>
        </w:numPr>
        <w:spacing w:before="240" w:line="240" w:lineRule="auto"/>
        <w:rPr>
          <w:sz w:val="20"/>
          <w:szCs w:val="20"/>
        </w:rPr>
      </w:pPr>
      <w:r>
        <w:rPr>
          <w:sz w:val="20"/>
          <w:szCs w:val="20"/>
          <w:u w:val="single"/>
        </w:rPr>
        <w:t>Continuous Improvement</w:t>
      </w:r>
      <w:r>
        <w:rPr>
          <w:sz w:val="20"/>
          <w:szCs w:val="20"/>
        </w:rPr>
        <w:t>. Service Provider shall use commercially reasonable efforts to improve the performance, reliability, efficiency, and quality of the Services during the applicable Order Form term. Without limiting the foregoing, Service Provider shall: (a) identify and implement improvements to the Services in the ordinary course consistent with industry practice; (b) present a continuous improvement plan at each executive review under Section 8.1.3 (Executive Reviews), including proposed initiatives, measurable objectives, and timelines; and (c) report on continuous improvement progress and outcomes at each QBR. For the avoidance of doubt, nothing in this Section shall relieve Service Provider of its obligations to meet the Service Levels or diminish Customer’s remedies for any failure to meet the Service Levels.</w:t>
      </w:r>
    </w:p>
    <w:p w14:paraId="6D3A9509" w14:textId="577A57D7" w:rsidR="00FA3E61" w:rsidRDefault="00FA3E61" w:rsidP="00FA3E61">
      <w:pPr>
        <w:pStyle w:val="LegalLevel2"/>
        <w:numPr>
          <w:ilvl w:val="1"/>
          <w:numId w:val="4"/>
        </w:numPr>
        <w:spacing w:before="240" w:line="240" w:lineRule="auto"/>
        <w:rPr>
          <w:sz w:val="20"/>
          <w:szCs w:val="20"/>
        </w:rPr>
      </w:pPr>
      <w:r>
        <w:rPr>
          <w:sz w:val="20"/>
          <w:szCs w:val="20"/>
          <w:u w:val="single"/>
        </w:rPr>
        <w:t>Technology Roadmap and Innovation</w:t>
      </w:r>
      <w:r>
        <w:rPr>
          <w:sz w:val="20"/>
          <w:szCs w:val="20"/>
        </w:rPr>
        <w:t xml:space="preserve">. Service Provider shall share its product and technology roadmap with Customer at least annually, and at each executive review under Section 8.1.3 (Executive Reviews). Such roadmap shall identify planned new features, enhancements, architectural changes, deprecations, and end-of-life timelines for any components of the Services. Service Provider shall provide Customer with a reasonable opportunity to provide input on roadmap priorities and shall </w:t>
      </w:r>
      <w:proofErr w:type="gramStart"/>
      <w:r>
        <w:rPr>
          <w:sz w:val="20"/>
          <w:szCs w:val="20"/>
        </w:rPr>
        <w:t>give good-faith consideration to</w:t>
      </w:r>
      <w:proofErr w:type="gramEnd"/>
      <w:r>
        <w:rPr>
          <w:sz w:val="20"/>
          <w:szCs w:val="20"/>
        </w:rPr>
        <w:t xml:space="preserve"> Customer’s input. This Section operates in conjunction with Section 3.4.6 (Customer Feedback) and does not limit Customer’s rights under Section 3.4 (Services Evolution).</w:t>
      </w:r>
    </w:p>
    <w:p w14:paraId="3B721E1F" w14:textId="77777777" w:rsidR="001A7C36" w:rsidRDefault="001A7C36" w:rsidP="001A7C36">
      <w:pPr>
        <w:pStyle w:val="LegalLevel2"/>
        <w:numPr>
          <w:ilvl w:val="0"/>
          <w:numId w:val="0"/>
        </w:numPr>
        <w:spacing w:before="240" w:line="240" w:lineRule="auto"/>
        <w:ind w:left="1440"/>
        <w:rPr>
          <w:sz w:val="20"/>
          <w:szCs w:val="20"/>
          <w:u w:val="single"/>
        </w:rPr>
      </w:pPr>
    </w:p>
    <w:p w14:paraId="55A40389" w14:textId="77777777" w:rsidR="001A7C36" w:rsidRPr="00EB1109" w:rsidRDefault="001A7C36" w:rsidP="001A7C36">
      <w:pPr>
        <w:pStyle w:val="LegalLevel2"/>
        <w:numPr>
          <w:ilvl w:val="0"/>
          <w:numId w:val="0"/>
        </w:numPr>
        <w:spacing w:before="240" w:line="240" w:lineRule="auto"/>
        <w:ind w:left="1440"/>
        <w:rPr>
          <w:sz w:val="20"/>
          <w:szCs w:val="20"/>
        </w:rPr>
      </w:pPr>
    </w:p>
    <w:p w14:paraId="7B74675D" w14:textId="0B88B112"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Service Levels</w:t>
      </w:r>
      <w:r>
        <w:rPr>
          <w:sz w:val="20"/>
          <w:szCs w:val="20"/>
        </w:rPr>
        <w:t>.</w:t>
      </w:r>
    </w:p>
    <w:p w14:paraId="3BAE469C" w14:textId="3C4D2390"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 Level Commitments</w:t>
      </w:r>
      <w:r>
        <w:rPr>
          <w:sz w:val="20"/>
          <w:szCs w:val="20"/>
        </w:rPr>
        <w:t>. Service Provider shall perform the Services in accordance with the Service Levels set forth in the Service Level Addendum to the applicable Order Form (the “Service Levels”). Service Level metrics, targets, measurement methodologies, exclusions, reporting obligations, credit calculations, and escalation procedures shall be as specified in the Service Level Addendum. In the absence of an executed Service Level Addendum for a particular Order Form, Service Provider shall perform the Services in accordance with industry standards for comparable services.</w:t>
      </w:r>
    </w:p>
    <w:p w14:paraId="27D790D6" w14:textId="317005F6"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 Credits; Cure</w:t>
      </w:r>
      <w:r>
        <w:rPr>
          <w:sz w:val="20"/>
          <w:szCs w:val="20"/>
        </w:rPr>
        <w:t xml:space="preserve">. </w:t>
      </w:r>
      <w:proofErr w:type="gramStart"/>
      <w:r>
        <w:rPr>
          <w:sz w:val="20"/>
          <w:szCs w:val="20"/>
        </w:rPr>
        <w:t>In the event that</w:t>
      </w:r>
      <w:proofErr w:type="gramEnd"/>
      <w:r>
        <w:rPr>
          <w:sz w:val="20"/>
          <w:szCs w:val="20"/>
        </w:rPr>
        <w:t xml:space="preserve"> Service Provider fails to meet any Service Level, Customer shall be entitled to Service Level credits (“Service Credits”) as calculated in accordance with the Service Level Addendum. Service Credits shall be applied against future invoices or, at Customer’s election, refunded to Customer. Service Credits represent a genuine pre-estimate of Customer’s loss and are not a penalty. In no case shall Customer be required to notify Service Provider that a Service Credit is due as a condition of payment of the same. Where Service Provider fails to provide a report for a Service Level in the applicable timeframe, the Service Level shall be deemed to be completely failed for the </w:t>
      </w:r>
      <w:proofErr w:type="gramStart"/>
      <w:r>
        <w:rPr>
          <w:sz w:val="20"/>
          <w:szCs w:val="20"/>
        </w:rPr>
        <w:t>purposes</w:t>
      </w:r>
      <w:proofErr w:type="gramEnd"/>
      <w:r>
        <w:rPr>
          <w:sz w:val="20"/>
          <w:szCs w:val="20"/>
        </w:rPr>
        <w:t xml:space="preserve"> of calculating a Service Credit. The receipt of Service Credits shall not be Customer’s sole or exclusive remedy for a Service Level failure. Notwithstanding the foregoing, Service Provider shall use its best efforts to ensure that any unmet Service Level is subsequently met and shall use its best efforts to minimize the impact or duration of any outage, interruption, or degradation of the Services.</w:t>
      </w:r>
    </w:p>
    <w:p w14:paraId="13DC2422" w14:textId="6AD86006" w:rsidR="00FA3E61" w:rsidRPr="00EB1109" w:rsidRDefault="00FA3E61" w:rsidP="00FA3E61">
      <w:pPr>
        <w:pStyle w:val="LegalLevel2"/>
        <w:numPr>
          <w:ilvl w:val="1"/>
          <w:numId w:val="4"/>
        </w:numPr>
        <w:spacing w:before="240" w:line="240" w:lineRule="auto"/>
        <w:rPr>
          <w:sz w:val="20"/>
          <w:szCs w:val="20"/>
        </w:rPr>
      </w:pPr>
      <w:r>
        <w:rPr>
          <w:sz w:val="20"/>
          <w:szCs w:val="20"/>
          <w:u w:val="single"/>
        </w:rPr>
        <w:t xml:space="preserve">Termination </w:t>
      </w:r>
      <w:proofErr w:type="gramStart"/>
      <w:r>
        <w:rPr>
          <w:sz w:val="20"/>
          <w:szCs w:val="20"/>
          <w:u w:val="single"/>
        </w:rPr>
        <w:t>for</w:t>
      </w:r>
      <w:proofErr w:type="gramEnd"/>
      <w:r>
        <w:rPr>
          <w:sz w:val="20"/>
          <w:szCs w:val="20"/>
          <w:u w:val="single"/>
        </w:rPr>
        <w:t xml:space="preserve"> Material and Repeated Failures</w:t>
      </w:r>
      <w:r>
        <w:rPr>
          <w:sz w:val="20"/>
          <w:szCs w:val="20"/>
        </w:rPr>
        <w:t>. Customer shall have, in addition to any other rights and remedies under this Agreement or at law, the right to immediately terminate this Agreement or an Order Form, and be entitled to a pro rata refund of prepaid Fees attributable to the unexpired portion of the then-current term of each affected Order Form, where Service Provider fails to meet any Service Level: (a) to such an extent that Customer’s ability, as solely determined by Customer, to use the Services is materially disrupted, Force Majeure Events excepted; or (b) for four (4) months out of any twelve (12) month period.</w:t>
      </w:r>
    </w:p>
    <w:p w14:paraId="7F62DD47" w14:textId="7CFB234F" w:rsidR="00FA3E61" w:rsidRPr="00EB1109" w:rsidRDefault="00FA3E61" w:rsidP="00FA3E61">
      <w:pPr>
        <w:pStyle w:val="LegalLevel2"/>
        <w:numPr>
          <w:ilvl w:val="1"/>
          <w:numId w:val="4"/>
        </w:numPr>
        <w:spacing w:before="240" w:line="240" w:lineRule="auto"/>
        <w:rPr>
          <w:sz w:val="20"/>
          <w:szCs w:val="20"/>
        </w:rPr>
      </w:pPr>
      <w:r>
        <w:rPr>
          <w:sz w:val="20"/>
          <w:szCs w:val="20"/>
          <w:u w:val="single"/>
        </w:rPr>
        <w:t>Time Is of the Essence</w:t>
      </w:r>
      <w:r>
        <w:rPr>
          <w:sz w:val="20"/>
          <w:szCs w:val="20"/>
        </w:rPr>
        <w:t>. Service Provider acknowledges that time is of the essence with respect to its performance obligations under this Agreement, including Service Level commitments, notification deadlines, cure periods, and data return timelines.</w:t>
      </w:r>
    </w:p>
    <w:p w14:paraId="0ECFDE16" w14:textId="4871FA83" w:rsidR="00FA3E61" w:rsidRPr="00EB1109" w:rsidRDefault="00FA3E61" w:rsidP="00FA3E61">
      <w:pPr>
        <w:pStyle w:val="LegalLevel2"/>
        <w:numPr>
          <w:ilvl w:val="1"/>
          <w:numId w:val="4"/>
        </w:numPr>
        <w:spacing w:before="240" w:line="240" w:lineRule="auto"/>
        <w:rPr>
          <w:sz w:val="20"/>
          <w:szCs w:val="20"/>
        </w:rPr>
      </w:pPr>
      <w:r>
        <w:rPr>
          <w:sz w:val="20"/>
          <w:szCs w:val="20"/>
          <w:u w:val="single"/>
        </w:rPr>
        <w:t>Audit of Service Levels</w:t>
      </w:r>
      <w:r>
        <w:rPr>
          <w:sz w:val="20"/>
          <w:szCs w:val="20"/>
        </w:rPr>
        <w:t>. No more than quarterly, Customer or Customer’s agent shall have the right to audit Service Provider’s books, records, and measurement and auditing tools to verify Service Level achievement and to determine correct payment of any Service Credit. Where it is determined that any Service Credit was due to Customer but not paid, Service Provider shall immediately owe to Customer the applicable Service Credit.</w:t>
      </w:r>
    </w:p>
    <w:p w14:paraId="5787BE0B"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Subcontractors</w:t>
      </w:r>
      <w:r>
        <w:rPr>
          <w:sz w:val="20"/>
          <w:szCs w:val="20"/>
        </w:rPr>
        <w:t>.</w:t>
      </w:r>
    </w:p>
    <w:p w14:paraId="0D9293DA" w14:textId="322072A9" w:rsidR="00FA3E61" w:rsidRPr="00EB1109" w:rsidRDefault="00FA3E61" w:rsidP="00FA3E61">
      <w:pPr>
        <w:pStyle w:val="LegalLevel2"/>
        <w:numPr>
          <w:ilvl w:val="1"/>
          <w:numId w:val="4"/>
        </w:numPr>
        <w:spacing w:before="240" w:line="240" w:lineRule="auto"/>
        <w:rPr>
          <w:sz w:val="20"/>
          <w:szCs w:val="20"/>
        </w:rPr>
      </w:pPr>
      <w:r>
        <w:rPr>
          <w:sz w:val="20"/>
          <w:szCs w:val="20"/>
          <w:u w:val="single"/>
        </w:rPr>
        <w:t>Consent and Approved List</w:t>
      </w:r>
      <w:r>
        <w:rPr>
          <w:sz w:val="20"/>
          <w:szCs w:val="20"/>
        </w:rPr>
        <w:t>. Service Provider shall not subcontract any material portion of its obligations under this Agreement without Customer’s prior written consent. For purposes of this Section, a “material portion” means any subcontracting arrangement involving: (a) access to, Processing of, or storage of Customer Data; (b) the performance of Services directly used by Authorized Users or Authorized Systems; or (c) any obligation with a value exceeding ten percent (10%) of the annual Fees under any single Order Form. Service Provider shall notify Customer in writing not less than thirty (30) days prior to engaging any new Subcontractor or materially changing the scope of an existing Subcontractor’s engagement, regardless of whether prior written consent is required. Customer may object to any proposed Subcontractor on reasonable grounds, and Service Provider shall not engage such Subcontractor if Customer objects. Service Provider shall maintain an approved Subcontractor list, which shall be provided to Customer upon request and updated within five (5) Business Days of any change.</w:t>
      </w:r>
    </w:p>
    <w:p w14:paraId="4B3EBC3B" w14:textId="21DB9536"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Flow-Down Obligations</w:t>
      </w:r>
      <w:r>
        <w:rPr>
          <w:sz w:val="20"/>
          <w:szCs w:val="20"/>
        </w:rPr>
        <w:t>. Service Provider shall ensure that all Subcontractors are bound by written agreements containing obligations no less protective of Customer and Customer Data than those set forth in this Agreement. Service Provider shall conduct appropriate due diligence on Subcontractors prior to engagement and on an ongoing basis.</w:t>
      </w:r>
    </w:p>
    <w:p w14:paraId="40C7F974" w14:textId="7FF80DF5" w:rsidR="00FA3E61" w:rsidRPr="00EB1109" w:rsidRDefault="00FA3E61" w:rsidP="00FA3E61">
      <w:pPr>
        <w:pStyle w:val="LegalLevel2"/>
        <w:numPr>
          <w:ilvl w:val="1"/>
          <w:numId w:val="4"/>
        </w:numPr>
        <w:spacing w:before="240" w:line="240" w:lineRule="auto"/>
        <w:rPr>
          <w:sz w:val="20"/>
          <w:szCs w:val="20"/>
        </w:rPr>
      </w:pPr>
      <w:r>
        <w:rPr>
          <w:sz w:val="20"/>
          <w:szCs w:val="20"/>
          <w:u w:val="single"/>
        </w:rPr>
        <w:t>Liability for Subcontractor Acts</w:t>
      </w:r>
      <w:r>
        <w:rPr>
          <w:sz w:val="20"/>
          <w:szCs w:val="20"/>
        </w:rPr>
        <w:t>. Service Provider shall be fully responsible and liable for all acts, omissions, errors, and negligence of its Subcontractors to the same extent as if such acts, omissions, errors, and negligence were those of Service Provider itself. The use of Subcontractors shall not relieve Service Provider of any of its obligations under this Agreement.</w:t>
      </w:r>
    </w:p>
    <w:p w14:paraId="52B99EB2" w14:textId="41398B24" w:rsidR="00FA3E61" w:rsidRPr="00EB1109" w:rsidRDefault="00FA3E61" w:rsidP="00FA3E61">
      <w:pPr>
        <w:pStyle w:val="LegalLevel2"/>
        <w:numPr>
          <w:ilvl w:val="1"/>
          <w:numId w:val="4"/>
        </w:numPr>
        <w:spacing w:before="240" w:line="240" w:lineRule="auto"/>
        <w:rPr>
          <w:sz w:val="20"/>
          <w:szCs w:val="20"/>
        </w:rPr>
      </w:pPr>
      <w:r>
        <w:rPr>
          <w:sz w:val="20"/>
          <w:szCs w:val="20"/>
          <w:u w:val="single"/>
        </w:rPr>
        <w:t>Sub-processors</w:t>
      </w:r>
      <w:r>
        <w:rPr>
          <w:sz w:val="20"/>
          <w:szCs w:val="20"/>
        </w:rPr>
        <w:t>. For the purposes of this Agreement, “Subcontractors” are distinct from “Sub-processors” as that term is used in Data Protection Laws. The management of Sub-processors (including prior authorization, notification, objection mechanisms, and flow-down of data processing obligations) shall be governed by Part 1 of the Data Processing Addendum (and, where Personal Data is involved, the supplemental provisions of Part 2 of the Data Processing Addendum).</w:t>
      </w:r>
    </w:p>
    <w:p w14:paraId="3609FE69" w14:textId="0598E8A0" w:rsidR="00FA3E61" w:rsidRPr="00EB1109" w:rsidRDefault="00FA3E61" w:rsidP="00FA3E61">
      <w:pPr>
        <w:spacing w:before="240" w:after="120" w:line="240" w:lineRule="auto"/>
        <w:ind w:left="1440"/>
        <w:rPr>
          <w:rFonts w:ascii="Arial" w:hAnsi="Arial" w:cs="Arial"/>
          <w:sz w:val="20"/>
          <w:szCs w:val="20"/>
        </w:rPr>
      </w:pPr>
      <w:r>
        <w:rPr>
          <w:rFonts w:ascii="Arial" w:hAnsi="Arial" w:cs="Arial"/>
          <w:sz w:val="20"/>
          <w:szCs w:val="20"/>
        </w:rPr>
        <w:t xml:space="preserve">[Optional: “10.5 </w:t>
      </w:r>
      <w:r>
        <w:rPr>
          <w:rFonts w:ascii="Arial" w:hAnsi="Arial" w:cs="Arial"/>
          <w:sz w:val="20"/>
          <w:szCs w:val="20"/>
          <w:u w:val="single"/>
        </w:rPr>
        <w:t>Competitive Restrictions</w:t>
      </w:r>
      <w:r>
        <w:rPr>
          <w:rFonts w:ascii="Arial" w:hAnsi="Arial" w:cs="Arial"/>
          <w:sz w:val="20"/>
          <w:szCs w:val="20"/>
        </w:rPr>
        <w:t xml:space="preserve">. Where Customer has identified the Services as involving Highly Sensitive Data (as designated in the applicable Order Form), Service Provider shall not, without Customer’s prior written consent: (a) host, Process, or store Customer Data on the same physical infrastructure (including shared servers, storage arrays, or database instances) as data belonging to any Direct Competitor of Customer; or (b) assign personnel who have had access to Customer Data or Customer’s Confidential Information to perform services for any Direct Competitor of Customer within twelve (12) months following such access. “Direct Competitor” means any entity identified as such in the applicable Order Form, as updated by Customer upon reasonable written notice not more than once per calendar year (provided that the updated list shall not exceed ten (10) entities). Service Provider shall implement reasonable administrative, technical, and organizational safeguards to enforce the restrictions in this Section, including access controls, personnel assignment protocols, and data segregation measures as described in the Data Security Addendum. This Section shall not require Service Provider to decline or terminate engagements with Direct Competitors </w:t>
      </w:r>
      <w:proofErr w:type="gramStart"/>
      <w:r>
        <w:rPr>
          <w:rFonts w:ascii="Arial" w:hAnsi="Arial" w:cs="Arial"/>
          <w:sz w:val="20"/>
          <w:szCs w:val="20"/>
        </w:rPr>
        <w:t>entered into</w:t>
      </w:r>
      <w:proofErr w:type="gramEnd"/>
      <w:r>
        <w:rPr>
          <w:rFonts w:ascii="Arial" w:hAnsi="Arial" w:cs="Arial"/>
          <w:sz w:val="20"/>
          <w:szCs w:val="20"/>
        </w:rPr>
        <w:t xml:space="preserve"> prior to the Effective Date, but Service Provider shall implement the safeguards described herein with respect to any such pre-existing engagements within ninety (90) days of the Effective Date.”]</w:t>
      </w:r>
    </w:p>
    <w:p w14:paraId="3871E3A1" w14:textId="562105E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Fees and Billing</w:t>
      </w:r>
      <w:r>
        <w:rPr>
          <w:sz w:val="20"/>
          <w:szCs w:val="20"/>
        </w:rPr>
        <w:t>.</w:t>
      </w:r>
    </w:p>
    <w:p w14:paraId="04365708" w14:textId="72E440F3" w:rsidR="00FA3E61" w:rsidRPr="00EB1109" w:rsidRDefault="00FA3E61" w:rsidP="00FA3E61">
      <w:pPr>
        <w:pStyle w:val="LegalLevel2"/>
        <w:numPr>
          <w:ilvl w:val="1"/>
          <w:numId w:val="4"/>
        </w:numPr>
        <w:spacing w:before="240" w:line="240" w:lineRule="auto"/>
        <w:rPr>
          <w:sz w:val="20"/>
          <w:szCs w:val="20"/>
        </w:rPr>
      </w:pPr>
      <w:r>
        <w:rPr>
          <w:sz w:val="20"/>
          <w:szCs w:val="20"/>
          <w:u w:val="single"/>
        </w:rPr>
        <w:t>Fees</w:t>
      </w:r>
      <w:r>
        <w:rPr>
          <w:sz w:val="20"/>
          <w:szCs w:val="20"/>
        </w:rPr>
        <w:t>. Customer shall pay Service Provider the fees set forth in the applicable Order Form (“Fees”). Unless otherwise specified in the Order Form, Fees shall be invoiced in arrears on a quarterly basis and shall be due and payable within thirty (30) days of Customer’s receipt of a correct and undisputed invoice. Service Provider shall not charge Customer for any services, features, or functionality not expressly set forth in the applicable Order Form unless agreed to in writing by the Parties.</w:t>
      </w:r>
    </w:p>
    <w:p w14:paraId="33B58295" w14:textId="3CE968D0" w:rsidR="00FA3E61" w:rsidRPr="00EB1109" w:rsidRDefault="00FA3E61" w:rsidP="00FA3E61">
      <w:pPr>
        <w:pStyle w:val="LegalLevel2"/>
        <w:numPr>
          <w:ilvl w:val="1"/>
          <w:numId w:val="4"/>
        </w:numPr>
        <w:spacing w:before="240" w:line="240" w:lineRule="auto"/>
        <w:rPr>
          <w:sz w:val="20"/>
          <w:szCs w:val="20"/>
        </w:rPr>
      </w:pPr>
      <w:r>
        <w:rPr>
          <w:sz w:val="20"/>
          <w:szCs w:val="20"/>
          <w:u w:val="single"/>
        </w:rPr>
        <w:t>Authorized User Compliance and True-Up</w:t>
      </w:r>
      <w:r>
        <w:rPr>
          <w:sz w:val="20"/>
          <w:szCs w:val="20"/>
        </w:rPr>
        <w:t xml:space="preserve">. Service Provider shall have no right to conduct an on-site or remote audit of Customer’s systems, networks, or facilities to verify the number of Authorized Users. No more than once per twelve-month period, Service Provider may request from Customer a written certification of compliance with the permitted number of Authorized Users for an applicable Order Form, and Customer shall provide such certification within thirty (30) Business Days of the request. Where Customer’s certification or Customer’s own review reveals that the actual number of users exceeds the permitted number of Authorized Users, Customer, at Customer’s sole election, shall within thirty (30) Business Days: (a) reduce the actual number of users so as to be in compliance with the permitted number of Authorized Users, in which case no additional Fees shall be due to Service Provider; or (b) acquire the appropriate number of additional Authorized Users at the per-user rate specified in the applicable Order Form, prorated for the remainder of the then-current term of the applicable Order Form, so as to be in compliance with the permitted number of Authorized Users. </w:t>
      </w:r>
      <w:proofErr w:type="gramStart"/>
      <w:r>
        <w:rPr>
          <w:sz w:val="20"/>
          <w:szCs w:val="20"/>
        </w:rPr>
        <w:t>Customer</w:t>
      </w:r>
      <w:proofErr w:type="gramEnd"/>
      <w:r>
        <w:rPr>
          <w:sz w:val="20"/>
          <w:szCs w:val="20"/>
        </w:rPr>
        <w:t xml:space="preserve"> may add Authorized Users at any time at the per-user rate set forth in the applicable Order Form, prorated for the remainder of the then-current term of the applicable Order Form. Customer may reduce the number of Authorized Users at the next renewal date upon not less than thirty (30) days’ prior written notice. Any true-up process under this Section </w:t>
      </w:r>
      <w:r>
        <w:rPr>
          <w:sz w:val="20"/>
          <w:szCs w:val="20"/>
        </w:rPr>
        <w:lastRenderedPageBreak/>
        <w:t>shall be conducted at Service Provider’s expense and shall not unreasonably interfere with Customer’s business operations. The certification, compliance, and true-up procedures in this Section shall apply equally to any usage metric, capacity metric, Authorized System limit, concurrent-user limit, transaction volume, consumption metric, or other pricing or access metric specified in the applicable Order Form.</w:t>
      </w:r>
    </w:p>
    <w:p w14:paraId="46611B12" w14:textId="0513C1D5" w:rsidR="00FA3E61" w:rsidRPr="004F3A0E" w:rsidRDefault="00FA3E61" w:rsidP="00172239">
      <w:pPr>
        <w:pStyle w:val="LegalLevel2"/>
        <w:numPr>
          <w:ilvl w:val="1"/>
          <w:numId w:val="4"/>
        </w:numPr>
        <w:spacing w:before="240" w:line="240" w:lineRule="auto"/>
        <w:rPr>
          <w:sz w:val="20"/>
          <w:szCs w:val="20"/>
        </w:rPr>
      </w:pPr>
      <w:r>
        <w:rPr>
          <w:sz w:val="20"/>
          <w:szCs w:val="20"/>
          <w:u w:val="single"/>
        </w:rPr>
        <w:t>Consumption-Based Pricing</w:t>
      </w:r>
      <w:r>
        <w:rPr>
          <w:sz w:val="20"/>
          <w:szCs w:val="20"/>
        </w:rPr>
        <w:t xml:space="preserve">. Where the applicable Order Form provides for consumption-based, usage-based, or hybrid pricing: (a) Service Provider shall provide Customer with transparent, auditable measurement of consumption metrics; (b) Service Provider shall provide real-time or near-real-time usage dashboards and configurable usage alerts; (c) Service Provider shall not increase consumption rates during the applicable Order Form term except as expressly permitted in the Order Form, and in no event more frequently than once per twelve-month period upon not less than ninety (90) days’ prior written notice; and (d) any volume commitment reconciliation shall be conducted in accordance with the methodology set forth in the Order Form. [Alternative: “11.3 </w:t>
      </w:r>
      <w:r>
        <w:rPr>
          <w:sz w:val="20"/>
          <w:szCs w:val="20"/>
          <w:u w:val="single"/>
        </w:rPr>
        <w:t>Tiered Pricing / Minimum Commitment</w:t>
      </w:r>
      <w:r>
        <w:rPr>
          <w:sz w:val="20"/>
          <w:szCs w:val="20"/>
        </w:rPr>
        <w:t>. The Services are provided on a tiered basis, with such tiers as further described in the applicable Order Form. Customer agrees to license the initial number of Authorized Users described in such Order Form (the “Minimum Commitment”). Customer may increase or decrease the number of Authorized Users on an as-requested basis; provided, however, that Customer shall maintain the Minimum Commitment unless the Parties otherwise agree to adjust the Minimum Commitment. Should Customer elect to change the number of Authorized Users, Service Provider shall adjust the Authorized Users to the corresponding tier described in the Order Form and adjust the prospective Fees accordingly no later than five (5) Business Days from Customer’s written request.”]</w:t>
      </w:r>
    </w:p>
    <w:p w14:paraId="165855C3" w14:textId="6B7EB190" w:rsidR="00FA3E61" w:rsidRPr="00EB1109" w:rsidRDefault="00FA3E61" w:rsidP="00FA3E61">
      <w:pPr>
        <w:pStyle w:val="LegalLevel2"/>
        <w:numPr>
          <w:ilvl w:val="1"/>
          <w:numId w:val="4"/>
        </w:numPr>
        <w:spacing w:before="240" w:line="240" w:lineRule="auto"/>
        <w:rPr>
          <w:sz w:val="20"/>
          <w:szCs w:val="20"/>
        </w:rPr>
      </w:pPr>
      <w:r>
        <w:rPr>
          <w:sz w:val="20"/>
          <w:szCs w:val="20"/>
          <w:u w:val="single"/>
        </w:rPr>
        <w:t>Credits</w:t>
      </w:r>
      <w:r>
        <w:rPr>
          <w:sz w:val="20"/>
          <w:szCs w:val="20"/>
        </w:rPr>
        <w:t>. Any Service Credits, billing adjustments, or other credits owed to Customer shall be applied to the next invoice following determination of the credit amount. If any credit or other amount owed to Customer by Service Provider remains unpaid or unapplied for more than thirty (30) days after becoming due, Customer may offset such amount against any current or future Fees payable to Service Provider, upon written notice to Service Provider specifying the basis and amount of the offset. Upon termination or expiration of this Agreement or the applicable Order Form, any outstanding credits associated with the terminated or expired Agreement or Order Form shall be refunded to Customer within thirty (30) days.</w:t>
      </w:r>
    </w:p>
    <w:p w14:paraId="55DED39C" w14:textId="225C1061" w:rsidR="00FA3E61" w:rsidRPr="00EB1109" w:rsidRDefault="00FA3E61" w:rsidP="00FA3E61">
      <w:pPr>
        <w:pStyle w:val="LegalLevel2"/>
        <w:numPr>
          <w:ilvl w:val="1"/>
          <w:numId w:val="4"/>
        </w:numPr>
        <w:spacing w:before="240" w:line="240" w:lineRule="auto"/>
        <w:rPr>
          <w:sz w:val="20"/>
          <w:szCs w:val="20"/>
        </w:rPr>
      </w:pPr>
      <w:r>
        <w:rPr>
          <w:sz w:val="20"/>
          <w:szCs w:val="20"/>
          <w:u w:val="single"/>
        </w:rPr>
        <w:t>Invoicing Requirements</w:t>
      </w:r>
      <w:r>
        <w:rPr>
          <w:sz w:val="20"/>
          <w:szCs w:val="20"/>
        </w:rPr>
        <w:t>. Each invoice submitted by Service Provider shall contain, at minimum: (a) Customer’s purchase order number (if any) and Service Provider’s invoice number; (b) a description of the Services for which an amount is due; (c) the Fees or portion thereof that are due, with sufficient detail to enable Customer to verify the calculation; (d) applicable taxes, separately stated; (e) any Service Credits or other credits applied; and (f) total amount due. Service Provider shall submit invoices electronically to the address or system specified in the applicable Order Form. An invoice that does not substantially comply with the requirements of this Section shall not be deemed a correct invoice for purposes of Section 11.1 (Fees), and the payment due date shall not commence until a compliant invoice is received by Customer.</w:t>
      </w:r>
    </w:p>
    <w:p w14:paraId="6068E33C" w14:textId="7606DF6F" w:rsidR="00FA3E61" w:rsidRPr="00EB1109" w:rsidRDefault="00FA3E61" w:rsidP="00FA3E61">
      <w:pPr>
        <w:pStyle w:val="LegalLevel2"/>
        <w:numPr>
          <w:ilvl w:val="1"/>
          <w:numId w:val="4"/>
        </w:numPr>
        <w:spacing w:before="240" w:line="240" w:lineRule="auto"/>
        <w:rPr>
          <w:sz w:val="20"/>
          <w:szCs w:val="20"/>
        </w:rPr>
      </w:pPr>
      <w:r>
        <w:rPr>
          <w:sz w:val="20"/>
          <w:szCs w:val="20"/>
          <w:u w:val="single"/>
        </w:rPr>
        <w:t>Non-Binding Invoice Terms</w:t>
      </w:r>
      <w:r>
        <w:rPr>
          <w:sz w:val="20"/>
          <w:szCs w:val="20"/>
        </w:rPr>
        <w:t>. Any terms, conditions, or other provisions printed on or accompanying a Service Provider invoice, acknowledgment, or other correspondence shall be deemed to be solely for the convenience of Service Provider, and no such term or condition shall be binding upon Customer or deemed to modify this Agreement, regardless of whether Customer pays the invoice or fails to object to such terms.</w:t>
      </w:r>
    </w:p>
    <w:p w14:paraId="32E24D4A" w14:textId="538E2A4A" w:rsidR="00FA3E61" w:rsidRPr="00EB1109" w:rsidRDefault="00FA3E61" w:rsidP="00FA3E61">
      <w:pPr>
        <w:pStyle w:val="LegalLevel2"/>
        <w:numPr>
          <w:ilvl w:val="1"/>
          <w:numId w:val="4"/>
        </w:numPr>
        <w:spacing w:before="240" w:line="240" w:lineRule="auto"/>
        <w:rPr>
          <w:sz w:val="20"/>
          <w:szCs w:val="20"/>
        </w:rPr>
      </w:pPr>
      <w:r>
        <w:rPr>
          <w:sz w:val="20"/>
          <w:szCs w:val="20"/>
          <w:u w:val="single"/>
        </w:rPr>
        <w:t>Taxes</w:t>
      </w:r>
      <w:r>
        <w:rPr>
          <w:sz w:val="20"/>
          <w:szCs w:val="20"/>
        </w:rPr>
        <w:t xml:space="preserve">. The Fees set forth in the applicable Order Form are exclusive of all taxes. Each Party shall be responsible for taxes based on its own income. Service Provider shall be responsible for all taxes, assessments, and governmental charges imposed on Service Provider </w:t>
      </w:r>
      <w:proofErr w:type="gramStart"/>
      <w:r>
        <w:rPr>
          <w:sz w:val="20"/>
          <w:szCs w:val="20"/>
        </w:rPr>
        <w:t>as a result of</w:t>
      </w:r>
      <w:proofErr w:type="gramEnd"/>
      <w:r>
        <w:rPr>
          <w:sz w:val="20"/>
          <w:szCs w:val="20"/>
        </w:rPr>
        <w:t xml:space="preserve"> this Agreement, including employment taxes arising from Service Provider’s personnel. Customer shall be responsible for all sales, use, value-added, goods and services, and similar transactional taxes imposed on the Services, </w:t>
      </w:r>
      <w:proofErr w:type="gramStart"/>
      <w:r>
        <w:rPr>
          <w:sz w:val="20"/>
          <w:szCs w:val="20"/>
        </w:rPr>
        <w:t>provided that</w:t>
      </w:r>
      <w:proofErr w:type="gramEnd"/>
      <w:r>
        <w:rPr>
          <w:sz w:val="20"/>
          <w:szCs w:val="20"/>
        </w:rPr>
        <w:t xml:space="preserve"> Service Provider shall separately state such taxes on each invoice and shall not invoice Customer for any tax for which Customer has provided a valid exemption certificate. In the event Customer is required by Applicable Law to withhold taxes from payments to Service Provider, Customer shall deduct such withholding taxes from the applicable </w:t>
      </w:r>
      <w:r>
        <w:rPr>
          <w:sz w:val="20"/>
          <w:szCs w:val="20"/>
        </w:rPr>
        <w:lastRenderedPageBreak/>
        <w:t>payment and shall provide Service Provider with documentation of the withholding sufficient for Service Provider to claim a foreign tax credit or refund. Service Provider shall reasonably cooperate with Customer to minimize tax obligations to the extent permitted by law.</w:t>
      </w:r>
    </w:p>
    <w:p w14:paraId="2EBBD737" w14:textId="7262530E" w:rsidR="00FA3E61" w:rsidRPr="00EB1109" w:rsidRDefault="00FA3E61" w:rsidP="00FA3E61">
      <w:pPr>
        <w:pStyle w:val="LegalLevel2"/>
        <w:numPr>
          <w:ilvl w:val="1"/>
          <w:numId w:val="4"/>
        </w:numPr>
        <w:spacing w:before="240" w:line="240" w:lineRule="auto"/>
        <w:rPr>
          <w:sz w:val="20"/>
          <w:szCs w:val="20"/>
        </w:rPr>
      </w:pPr>
      <w:r>
        <w:rPr>
          <w:sz w:val="20"/>
          <w:szCs w:val="20"/>
          <w:u w:val="single"/>
        </w:rPr>
        <w:t>Billing Disputes and No Suspension</w:t>
      </w:r>
      <w:r>
        <w:rPr>
          <w:sz w:val="20"/>
          <w:szCs w:val="20"/>
        </w:rPr>
        <w:t xml:space="preserve">. In the event of a good-faith billing dispute, Customer shall pay all undisputed amounts when due and shall provide Service Provider with written notice of the disputed amount and the basis for the dispute. Service Provider shall not suspend, degrade, or terminate the Services or Customer’s access thereto during the pendency of a good-faith billing dispute. The Parties shall cooperate in good faith to resolve any billing dispute within thirty (30) days of notice. Without limiting the foregoing, Service Provider shall not suspend, degrade, limit, or terminate the Services or Customer’s access to Customer Data during any bona fide dispute between the Parties (whether relating to fees, performance, alleged breach, or otherwise), </w:t>
      </w:r>
      <w:proofErr w:type="gramStart"/>
      <w:r>
        <w:rPr>
          <w:sz w:val="20"/>
          <w:szCs w:val="20"/>
        </w:rPr>
        <w:t>provided that</w:t>
      </w:r>
      <w:proofErr w:type="gramEnd"/>
      <w:r>
        <w:rPr>
          <w:sz w:val="20"/>
          <w:szCs w:val="20"/>
        </w:rPr>
        <w:t xml:space="preserve"> Customer continues to pay undisputed amounts when due. This Section shall not limit Service Provider’s right to terminate this Agreement following completion of the notice and cure procedures set forth in Section 12.3 (Termination for Cause).</w:t>
      </w:r>
    </w:p>
    <w:p w14:paraId="773C2FD2" w14:textId="41192F34" w:rsidR="00FA3E61" w:rsidRPr="00EB1109" w:rsidRDefault="00FA3E61" w:rsidP="00FA3E61">
      <w:pPr>
        <w:pStyle w:val="LegalLevel2"/>
        <w:numPr>
          <w:ilvl w:val="1"/>
          <w:numId w:val="4"/>
        </w:numPr>
        <w:spacing w:before="240" w:line="240" w:lineRule="auto"/>
        <w:rPr>
          <w:sz w:val="20"/>
          <w:szCs w:val="20"/>
        </w:rPr>
      </w:pPr>
      <w:r>
        <w:rPr>
          <w:sz w:val="20"/>
          <w:szCs w:val="20"/>
          <w:u w:val="single"/>
        </w:rPr>
        <w:t>Auditable Records and Billing Reviews</w:t>
      </w:r>
      <w:r>
        <w:rPr>
          <w:sz w:val="20"/>
          <w:szCs w:val="20"/>
        </w:rPr>
        <w:t xml:space="preserve">. Service Provider shall maintain complete and accurate records of all charges, consumption metrics, and billing calculations for not less than three (3) years following the period to which they relate. Customer or its designated </w:t>
      </w:r>
      <w:proofErr w:type="gramStart"/>
      <w:r>
        <w:rPr>
          <w:sz w:val="20"/>
          <w:szCs w:val="20"/>
        </w:rPr>
        <w:t>third party</w:t>
      </w:r>
      <w:proofErr w:type="gramEnd"/>
      <w:r>
        <w:rPr>
          <w:sz w:val="20"/>
          <w:szCs w:val="20"/>
        </w:rPr>
        <w:t xml:space="preserve"> auditor may, upon not less than fifteen (15) Business Days’ prior written notice, conduct an audit of Service Provider’s billing records no more than once per twelve-month period. If an audit reveals an overcharge of more than five percent (5%), Service Provider shall reimburse Customer for the reasonable costs of the audit in addition to refunding the overcharge.</w:t>
      </w:r>
    </w:p>
    <w:p w14:paraId="5B037922" w14:textId="1A7C2F92" w:rsidR="00FA3E61" w:rsidRPr="00EB1109" w:rsidRDefault="00254B3A" w:rsidP="00FA3E61">
      <w:pPr>
        <w:pStyle w:val="LegalLevel2"/>
        <w:numPr>
          <w:ilvl w:val="1"/>
          <w:numId w:val="4"/>
        </w:numPr>
        <w:spacing w:before="240" w:line="240" w:lineRule="auto"/>
        <w:rPr>
          <w:sz w:val="20"/>
          <w:szCs w:val="20"/>
        </w:rPr>
      </w:pPr>
      <w:r>
        <w:rPr>
          <w:sz w:val="20"/>
          <w:szCs w:val="20"/>
          <w:u w:val="single"/>
        </w:rPr>
        <w:t>Third Party Billing Benchmarking</w:t>
      </w:r>
      <w:r>
        <w:rPr>
          <w:sz w:val="20"/>
          <w:szCs w:val="20"/>
        </w:rPr>
        <w:t xml:space="preserve">. No more than once per contract year, Customer shall be entitled to engage a qualified independent third party to conduct a benchmarking review of the Fees charged by Service Provider. For purposes of such review, Customer shall be entitled to disclose to the third party this Agreement, any Order Form, and any other data pertaining to Fees paid or payable by Customer to Service Provider, notwithstanding any confidentiality obligations in Section 7 (Confidential Information), subject to such third party’s execution of a non-disclosure agreement with Service Provider. The benchmarking review shall compare the Fees against competitive market rates for services of comparable scope, functionality, term length, volume, implementation complexity, and support level, from a peer set of no fewer than three (3) similarly situated providers (the “Benchmarking Methodology”). If the benchmarking review, applying </w:t>
      </w:r>
      <w:proofErr w:type="gramStart"/>
      <w:r>
        <w:rPr>
          <w:sz w:val="20"/>
          <w:szCs w:val="20"/>
        </w:rPr>
        <w:t>the Benchmarking</w:t>
      </w:r>
      <w:proofErr w:type="gramEnd"/>
      <w:r>
        <w:rPr>
          <w:sz w:val="20"/>
          <w:szCs w:val="20"/>
        </w:rPr>
        <w:t xml:space="preserve"> Methodology, determines that the Fees exceed the competitive market rate for comparable services by more than ten percent (10%), the Parties shall negotiate in good faith to adjust the Fees to a competitive level, effective as of the next billing period following the determination. If the Parties are unable to agree on adjusted Fees within sixty (60) days of the benchmarking determination, Customer may terminate the applicable Order Form upon thirty (30) days’ written notice. Service Provider shall not unreasonably withhold cooperation with any such benchmarking review.</w:t>
      </w:r>
    </w:p>
    <w:p w14:paraId="532A9E7B" w14:textId="0B2B283F" w:rsidR="00F6782E" w:rsidRDefault="00FA3E61" w:rsidP="00B42018">
      <w:pPr>
        <w:spacing w:before="240" w:after="120" w:line="240" w:lineRule="auto"/>
        <w:ind w:left="1440"/>
        <w:rPr>
          <w:rFonts w:ascii="Arial" w:hAnsi="Arial" w:cs="Arial"/>
          <w:sz w:val="20"/>
          <w:szCs w:val="20"/>
        </w:rPr>
      </w:pPr>
      <w:r>
        <w:rPr>
          <w:rFonts w:ascii="Arial" w:hAnsi="Arial" w:cs="Arial"/>
          <w:sz w:val="20"/>
          <w:szCs w:val="20"/>
        </w:rPr>
        <w:t xml:space="preserve">[Optional: “11.11 </w:t>
      </w:r>
      <w:r>
        <w:rPr>
          <w:rFonts w:ascii="Arial" w:hAnsi="Arial" w:cs="Arial"/>
          <w:sz w:val="20"/>
          <w:szCs w:val="20"/>
          <w:u w:val="single"/>
        </w:rPr>
        <w:t>Most Favored Customer</w:t>
      </w:r>
      <w:r>
        <w:rPr>
          <w:rFonts w:ascii="Arial" w:hAnsi="Arial" w:cs="Arial"/>
          <w:sz w:val="20"/>
          <w:szCs w:val="20"/>
        </w:rPr>
        <w:t>. Service Provider represents and warrants that the Fees, pricing terms, discount structures, and material commercial terms (including Service Levels, support response times, and contractual protections) set forth in this Agreement and each Order Form are no less favorable than those offered by Service Provider to any other similarly situated customer receiving substantially comparable Services in terms of scope, volume, and commitment. If at any time while this Master Agreement or any Order Form remains in effect, Service Provider offers more favorable terms to another customer for substantially comparable Services, Service Provider shall promptly notify Customer and, at Customer’s election, extend such more favorable terms to Customer effective as of the date such terms were first offered to the other customer. For purposes of this Section, “similarly situated customer” means a customer with a comparable annual commitment value (within twenty percent (20%) above or below Customer’s annual Fees) and comparable scope of Services. Service Provider shall certify compliance with this Section annually, upon Customer’s written request, through an officer-level attestation.”]</w:t>
      </w:r>
    </w:p>
    <w:p w14:paraId="32C34164" w14:textId="77777777" w:rsidR="001065EB" w:rsidRPr="00EB1109" w:rsidRDefault="001065EB" w:rsidP="00B42018">
      <w:pPr>
        <w:spacing w:before="240" w:after="120" w:line="240" w:lineRule="auto"/>
        <w:ind w:left="1440"/>
        <w:rPr>
          <w:rFonts w:ascii="Arial" w:hAnsi="Arial" w:cs="Arial"/>
          <w:sz w:val="20"/>
          <w:szCs w:val="20"/>
        </w:rPr>
      </w:pPr>
    </w:p>
    <w:p w14:paraId="693D8155"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Term, Renewal, and Termination</w:t>
      </w:r>
      <w:r>
        <w:rPr>
          <w:sz w:val="20"/>
          <w:szCs w:val="20"/>
        </w:rPr>
        <w:t>.</w:t>
      </w:r>
    </w:p>
    <w:p w14:paraId="77977729" w14:textId="3579D473" w:rsidR="00FA3E61" w:rsidRPr="00EB1109" w:rsidRDefault="007361C6" w:rsidP="00FA3E61">
      <w:pPr>
        <w:pStyle w:val="LegalLevel2"/>
        <w:numPr>
          <w:ilvl w:val="1"/>
          <w:numId w:val="4"/>
        </w:numPr>
        <w:spacing w:before="240" w:line="240" w:lineRule="auto"/>
        <w:rPr>
          <w:sz w:val="20"/>
          <w:szCs w:val="20"/>
        </w:rPr>
      </w:pPr>
      <w:r>
        <w:rPr>
          <w:sz w:val="20"/>
          <w:szCs w:val="20"/>
          <w:u w:val="single"/>
        </w:rPr>
        <w:t>Term of Master Agreement; Order Form Terms</w:t>
      </w:r>
      <w:r>
        <w:rPr>
          <w:sz w:val="20"/>
          <w:szCs w:val="20"/>
        </w:rPr>
        <w:t>. This Master Agreement shall commence on the Effective Date and shall continue in effect until terminated in accordance with this Section 12 (Term, Renewal, and Termination). Each Order Form shall commence on the effective date specified in such Order Form and shall continue for the Initial Term set forth in such Order Form, unless earlier terminated in accordance with this Section 12 (Term, Renewal, and Termination), Section 6.3 (Termination for Deficiencies), Section 9.3 (Termination for Material and Repeated Failures), Part 1, Sections 6.3 (Customer Objection) and 7.2 (Inability to Ensure Protection) of the Data Processing Addendum, Section 13 (Customer Rights and Remedies) of the BC/DR Addendum, or any other termination right expressly applicable to such Order Form. Termination or expiration of one Order Form shall not terminate this Master Agreement or any other Order Form unless expressly stated in the applicable termination notice or agreed by the Parties in writing. Termination or expiration of this Master Agreement shall terminate all then-current Order Forms, except as expressly agreed by the Parties in writing (including in connection with Transition Assistance Services under Section 13 (Transition Assistance Services)).</w:t>
      </w:r>
    </w:p>
    <w:p w14:paraId="08C36592"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Renewals</w:t>
      </w:r>
      <w:r>
        <w:rPr>
          <w:sz w:val="20"/>
          <w:szCs w:val="20"/>
        </w:rPr>
        <w:t>.</w:t>
      </w:r>
    </w:p>
    <w:p w14:paraId="4B1C4750" w14:textId="044AABDF" w:rsidR="00FA3E61" w:rsidRPr="00EB1109" w:rsidRDefault="00381521" w:rsidP="00FA3E61">
      <w:pPr>
        <w:pStyle w:val="LegalLevel3"/>
        <w:numPr>
          <w:ilvl w:val="2"/>
          <w:numId w:val="4"/>
        </w:numPr>
        <w:tabs>
          <w:tab w:val="clear" w:pos="1939"/>
        </w:tabs>
        <w:spacing w:before="240" w:after="120" w:line="240" w:lineRule="auto"/>
        <w:rPr>
          <w:sz w:val="20"/>
          <w:szCs w:val="20"/>
        </w:rPr>
      </w:pPr>
      <w:r>
        <w:rPr>
          <w:sz w:val="20"/>
          <w:szCs w:val="20"/>
          <w:u w:val="single"/>
        </w:rPr>
        <w:t>Auto-Renewal of Order Forms</w:t>
      </w:r>
      <w:r>
        <w:rPr>
          <w:sz w:val="20"/>
          <w:szCs w:val="20"/>
        </w:rPr>
        <w:t>. Unless otherwise specified in the applicable Order Form, each Order Form shall automatically renew for successive one (1) year terms unless Customer provides written notice of non-renewal not less than ninety (90) days prior to the expiration of the then-current Order Form term. [Alternative: “Unless otherwise specified in the applicable Order Form, each Order Form shall automatically renew for successive one (1) year terms unless either Party provides written notice of non-renewal not less than ninety (90) days, in the case of Customer, or one (1) year, in the case of Service Provider, prior to the expiration of the then-current Order Form term.”]</w:t>
      </w:r>
    </w:p>
    <w:p w14:paraId="766F82E3" w14:textId="6AE9CC67" w:rsidR="00FA3E61" w:rsidRPr="00EB1109" w:rsidRDefault="00F054A5" w:rsidP="00FA3E61">
      <w:pPr>
        <w:pStyle w:val="LegalLevel3"/>
        <w:numPr>
          <w:ilvl w:val="2"/>
          <w:numId w:val="4"/>
        </w:numPr>
        <w:tabs>
          <w:tab w:val="clear" w:pos="1939"/>
        </w:tabs>
        <w:spacing w:before="240" w:after="120" w:line="240" w:lineRule="auto"/>
        <w:rPr>
          <w:sz w:val="20"/>
          <w:szCs w:val="20"/>
        </w:rPr>
      </w:pPr>
      <w:r>
        <w:rPr>
          <w:sz w:val="20"/>
          <w:szCs w:val="20"/>
          <w:u w:val="single"/>
        </w:rPr>
        <w:t>Renewal Term Fees Cap</w:t>
      </w:r>
      <w:r>
        <w:rPr>
          <w:sz w:val="20"/>
          <w:szCs w:val="20"/>
        </w:rPr>
        <w:t>. Fees for any Renewal Term shall not increase by more than the Fee Escalation Cap specified in the applicable Order Form. If the applicable Order Form does not specify a Fee Escalation Cap, Fees for any Renewal Term shall not increase by more than the lesser of: (a) three percent (3%); or (b) the percentage increase in the Consumer Price Index for All Urban Consumers, U.S. City Average, All Items (CPI-U, 1982-84=100, not seasonally adjusted), as published by the U.S. Bureau of Labor Statistics, measured over the twelve (12) month period ending ninety (90) days prior to the commencement of the applicable Renewal Term, in each case applied to the Fees in effect during the immediately preceding Order Form term. The foregoing cap shall apply to all categories of Fees under this Agreement, including subscription Fees, per-unit rates, usage-based rates, and any other recurring charges. For the avoidance of doubt, Service Provider shall not increase any per-unit rate, usage-based rate, consumption metric price, or other unit pricing during the then-current Order Form term. If the CPI-U is discontinued or substantially revised, the Parties shall use the successor or most comparable index published by the U.S. Bureau of Labor Statistics. Service Provider shall provide Customer with written notice of any Fee increase not less than one hundred twenty (120) days prior to the commencement of the applicable Renewal Term.</w:t>
      </w:r>
    </w:p>
    <w:p w14:paraId="2EFD3C0C" w14:textId="26537F42" w:rsidR="00FA3E61" w:rsidRPr="00EB1109" w:rsidRDefault="00FA3E61" w:rsidP="00FA3E61">
      <w:pPr>
        <w:pStyle w:val="LegalLevel2"/>
        <w:numPr>
          <w:ilvl w:val="1"/>
          <w:numId w:val="4"/>
        </w:numPr>
        <w:spacing w:before="240" w:line="240" w:lineRule="auto"/>
        <w:rPr>
          <w:sz w:val="20"/>
          <w:szCs w:val="20"/>
        </w:rPr>
      </w:pPr>
      <w:r>
        <w:rPr>
          <w:sz w:val="20"/>
          <w:szCs w:val="20"/>
          <w:u w:val="single"/>
        </w:rPr>
        <w:t>Termination for Cause</w:t>
      </w:r>
      <w:r>
        <w:rPr>
          <w:sz w:val="20"/>
          <w:szCs w:val="20"/>
        </w:rPr>
        <w:t>.</w:t>
      </w:r>
    </w:p>
    <w:p w14:paraId="43F55C52" w14:textId="6C45D9EB" w:rsidR="00FA3E61" w:rsidRPr="00EB1109" w:rsidRDefault="006D7735" w:rsidP="00FA3E61">
      <w:pPr>
        <w:pStyle w:val="LegalLevel3"/>
        <w:numPr>
          <w:ilvl w:val="2"/>
          <w:numId w:val="4"/>
        </w:numPr>
        <w:tabs>
          <w:tab w:val="clear" w:pos="1939"/>
        </w:tabs>
        <w:spacing w:before="240" w:after="120" w:line="240" w:lineRule="auto"/>
        <w:rPr>
          <w:sz w:val="20"/>
          <w:szCs w:val="20"/>
        </w:rPr>
      </w:pPr>
      <w:r>
        <w:rPr>
          <w:sz w:val="20"/>
          <w:szCs w:val="20"/>
          <w:u w:val="single"/>
        </w:rPr>
        <w:t>Standard Cure-Based Termination</w:t>
      </w:r>
      <w:r>
        <w:rPr>
          <w:sz w:val="20"/>
          <w:szCs w:val="20"/>
        </w:rPr>
        <w:t>. Either Party may terminate an Order Form upon written notice if the other Party materially breaches this Agreement or such Order Form and fails to cure such breach within thirty (30) days after receiving written notice specifying the nature of the breach. Either Party may terminate this Agreement only if the uncured material breach materially affects this Agreement as a whole or all then-current Order Forms.</w:t>
      </w:r>
    </w:p>
    <w:p w14:paraId="36E385F7" w14:textId="6E12FE47" w:rsidR="00FA3E61" w:rsidRPr="00EB1109" w:rsidRDefault="00481CA1" w:rsidP="00FA3E61">
      <w:pPr>
        <w:pStyle w:val="LegalLevel3"/>
        <w:numPr>
          <w:ilvl w:val="2"/>
          <w:numId w:val="4"/>
        </w:numPr>
        <w:tabs>
          <w:tab w:val="clear" w:pos="1939"/>
        </w:tabs>
        <w:spacing w:before="240" w:after="120" w:line="240" w:lineRule="auto"/>
        <w:rPr>
          <w:sz w:val="20"/>
          <w:szCs w:val="20"/>
        </w:rPr>
      </w:pPr>
      <w:r>
        <w:rPr>
          <w:sz w:val="20"/>
          <w:szCs w:val="20"/>
          <w:u w:val="single"/>
        </w:rPr>
        <w:lastRenderedPageBreak/>
        <w:t>Immediate Termination</w:t>
      </w:r>
      <w:r>
        <w:rPr>
          <w:sz w:val="20"/>
          <w:szCs w:val="20"/>
        </w:rPr>
        <w:t>. Without limiting Customer’s other rights of termination as provided for in this Agreement, Customer may terminate this Agreement or the applicable Order Form immediately upon written notice, without opportunity to cure, upon the occurrence of any of the following: (a) a Data Breach involving Customer Data or a Security Incident that materially compromises the confidentiality, integrity, or availability of Customer Data; (b) an Insolvency Event with respect to Service Provider; (c) a Change of Control of Service Provider where the acquiring entity is a direct competitor of Customer (as reasonably determined by Customer) or where such Change of Control results in a material adverse change to Service Provider’s capability, certifications, security posture, or ability to perform its obligations under this Agreement; (d) Service Provider’s failure to maintain insurance coverage as required by this Agreement or the Insurance Addendum, or Service Provider’s failure to provide certificates of insurance or additional insured endorsements within fifteen (15) calendar days of Customer’s written request as required by Section 3 (Additional Insured and Certificate of Insurance) of the Insurance Addendum; or (e) Service Provider’s material violation of Applicable Law related to data privacy, information security, or the Processing of Personal Data.</w:t>
      </w:r>
    </w:p>
    <w:p w14:paraId="519715D8" w14:textId="67039499" w:rsidR="00FA3E61" w:rsidRPr="00EB1109" w:rsidRDefault="00FA3E61" w:rsidP="00FA3E61">
      <w:pPr>
        <w:pStyle w:val="LegalLevel2"/>
        <w:numPr>
          <w:ilvl w:val="1"/>
          <w:numId w:val="4"/>
        </w:numPr>
        <w:spacing w:before="240" w:line="240" w:lineRule="auto"/>
        <w:rPr>
          <w:sz w:val="20"/>
          <w:szCs w:val="20"/>
        </w:rPr>
      </w:pPr>
      <w:r>
        <w:rPr>
          <w:sz w:val="20"/>
          <w:szCs w:val="20"/>
          <w:u w:val="single"/>
        </w:rPr>
        <w:t>Termination for Convenience by Customer</w:t>
      </w:r>
      <w:r>
        <w:rPr>
          <w:sz w:val="20"/>
          <w:szCs w:val="20"/>
        </w:rPr>
        <w:t>. Customer may terminate this Agreement or any Order Form for convenience upon not less than ninety (90) days’ prior written notice to Service Provider. The financial consequences of a termination for convenience shall be governed by Section 12.5 (Payments upon Termination).</w:t>
      </w:r>
    </w:p>
    <w:p w14:paraId="2C2DD364"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Payments upon Termination</w:t>
      </w:r>
      <w:r>
        <w:rPr>
          <w:sz w:val="20"/>
          <w:szCs w:val="20"/>
        </w:rPr>
        <w:t>.</w:t>
      </w:r>
    </w:p>
    <w:p w14:paraId="50687246" w14:textId="09B3DAB9" w:rsidR="00FA3E61" w:rsidRPr="0020494C" w:rsidRDefault="00C8680F" w:rsidP="0020494C">
      <w:pPr>
        <w:pStyle w:val="LegalLevel3"/>
        <w:numPr>
          <w:ilvl w:val="2"/>
          <w:numId w:val="4"/>
        </w:numPr>
        <w:tabs>
          <w:tab w:val="clear" w:pos="1939"/>
        </w:tabs>
        <w:spacing w:before="240" w:after="120" w:line="240" w:lineRule="auto"/>
        <w:rPr>
          <w:sz w:val="20"/>
          <w:szCs w:val="20"/>
        </w:rPr>
      </w:pPr>
      <w:r>
        <w:rPr>
          <w:sz w:val="20"/>
          <w:szCs w:val="20"/>
          <w:u w:val="single"/>
        </w:rPr>
        <w:t>Termination Payment Structure</w:t>
      </w:r>
      <w:r>
        <w:rPr>
          <w:sz w:val="20"/>
          <w:szCs w:val="20"/>
        </w:rPr>
        <w:t xml:space="preserve">. If Customer terminates this Agreement or an Order Form for convenience pursuant to Section 12.4 (Termination for Convenience by Customer), Customer shall pay all Fees accrued under the terminated Agreement or Order Form through the effective date of termination and shall be entitled to a pro rata refund of prepaid Fees under the terminated Agreement or Order Form attributable to the period following the effective date of termination, without any early termination fee or penalty. If this Agreement or an Order Form is terminated by Service Provider for Customer’s material breach pursuant to Section 12.3 (Termination for Cause), Customer shall not be entitled to a refund of prepaid Fees under the terminated Agreement or Order Form; provided, however, that Service Provider shall not be entitled to recover Fees that would have become due for the remainder of the then-current term of any applicable Order Form unless such Order Form expressly includes an early termination fee. [Alternative A (Declining ETF Schedule): “12.5.1 </w:t>
      </w:r>
      <w:r>
        <w:rPr>
          <w:sz w:val="20"/>
          <w:szCs w:val="20"/>
          <w:u w:val="single"/>
        </w:rPr>
        <w:t>Termination Payment Structure</w:t>
      </w:r>
      <w:r>
        <w:rPr>
          <w:sz w:val="20"/>
          <w:szCs w:val="20"/>
        </w:rPr>
        <w:t xml:space="preserve">. If Customer terminates this Agreement or an Order Form for convenience pursuant to Section 12.4 (Termination for Convenience by Customer), Customer shall pay all Fees accrued under the terminated Agreement or Order Form through the effective date of termination. In addition, Customer shall pay to Service Provider an early termination fee, calculated separately for each applicable Order Form, equal to the following percentage of the Fees that would have become due for the remainder of the then-current term of such Order Form: (a) if the applicable Order Form is terminated during the first year of its then-current term, [seventy-five percent (75%)]; (b) if the applicable Order Form is terminated during the second year of its then-current term, [fifty percent (50%)]; or (c) if the applicable Order Form is terminated during the third or any subsequent year of its then-current term, [twenty-five percent (25%)]. Any prepaid Fees under the terminated Agreement or Order Form </w:t>
      </w:r>
      <w:proofErr w:type="gramStart"/>
      <w:r>
        <w:rPr>
          <w:sz w:val="20"/>
          <w:szCs w:val="20"/>
        </w:rPr>
        <w:t>in excess of</w:t>
      </w:r>
      <w:proofErr w:type="gramEnd"/>
      <w:r>
        <w:rPr>
          <w:sz w:val="20"/>
          <w:szCs w:val="20"/>
        </w:rPr>
        <w:t xml:space="preserve"> the applicable early termination fee shall be refunded to Customer within thirty (30) days of the effective date of termination. If this Agreement or an Order Form is terminated by Service Provider for Customer’s material breach pursuant to Section 12.3 (Termination for Cause), Customer shall not be entitled to a refund of prepaid Fees under the terminated Agreement or Order Form, and all Fees that would have become due for the remainder of the then-current term of each applicable Order Form shall be deemed earned by Service Provider and shall become immediately due and payable.”] [Alternative B (Unrecovered Concessions ETF): “12.5.1 </w:t>
      </w:r>
      <w:r>
        <w:rPr>
          <w:sz w:val="20"/>
          <w:szCs w:val="20"/>
          <w:u w:val="single"/>
        </w:rPr>
        <w:t xml:space="preserve">Termination </w:t>
      </w:r>
      <w:r>
        <w:rPr>
          <w:sz w:val="20"/>
          <w:szCs w:val="20"/>
          <w:u w:val="single"/>
        </w:rPr>
        <w:lastRenderedPageBreak/>
        <w:t>Payment Structure</w:t>
      </w:r>
      <w:r>
        <w:rPr>
          <w:sz w:val="20"/>
          <w:szCs w:val="20"/>
        </w:rPr>
        <w:t xml:space="preserve">. If Customer terminates this Agreement or an Order Form for convenience pursuant to Section 12.4 (Termination for Convenience by Customer), Customer shall pay all Fees accrued under the terminated Agreement or Order Form through the effective date of termination. In addition, Customer shall pay to Service Provider an early termination fee not to exceed the unamortized portion of any implementation discounts, onboarding fee waivers, or committed-term pricing concessions expressly identified in the applicable Order Form, calculated on a straight-line basis over the Initial Term of the applicable Order Form. Customer shall be entitled to a </w:t>
      </w:r>
      <w:proofErr w:type="gramStart"/>
      <w:r>
        <w:rPr>
          <w:sz w:val="20"/>
          <w:szCs w:val="20"/>
        </w:rPr>
        <w:t>pro rata</w:t>
      </w:r>
      <w:proofErr w:type="gramEnd"/>
      <w:r>
        <w:rPr>
          <w:sz w:val="20"/>
          <w:szCs w:val="20"/>
        </w:rPr>
        <w:t xml:space="preserve"> refund of prepaid Fees under the terminated Agreement or Order Form attributable to the period following the effective date of termination, net of any such early termination fee. If this Agreement or an Order Form is terminated by Service Provider for Customer’s material breach pursuant to Section 12.3 (Termination for Cause), Customer shall not be entitled to a refund of prepaid Fees under the terminated Agreement or Order Form, and all Fees that would have become due for the remainder of the then-current term of each applicable Order Form shall be deemed earned by Service Provider and shall become immediately due and payable.”]</w:t>
      </w:r>
    </w:p>
    <w:p w14:paraId="51F4CAC9" w14:textId="07A4331E" w:rsidR="00FA3E61" w:rsidRPr="00EB1109" w:rsidRDefault="008C01B9" w:rsidP="00FA3E61">
      <w:pPr>
        <w:pStyle w:val="LegalLevel3"/>
        <w:numPr>
          <w:ilvl w:val="2"/>
          <w:numId w:val="4"/>
        </w:numPr>
        <w:tabs>
          <w:tab w:val="clear" w:pos="1939"/>
        </w:tabs>
        <w:spacing w:before="240" w:after="120" w:line="240" w:lineRule="auto"/>
        <w:rPr>
          <w:sz w:val="20"/>
          <w:szCs w:val="20"/>
        </w:rPr>
      </w:pPr>
      <w:r>
        <w:rPr>
          <w:sz w:val="20"/>
          <w:szCs w:val="20"/>
          <w:u w:val="single"/>
        </w:rPr>
        <w:t>All-Other-Reasons Refund</w:t>
      </w:r>
      <w:r>
        <w:rPr>
          <w:sz w:val="20"/>
          <w:szCs w:val="20"/>
        </w:rPr>
        <w:t>. Except as provided in Section 12.5.1 (Termination Payment Structure), if this Agreement or an Order Form is terminated for any other reason, Customer shall be entitled to a pro rata refund of prepaid Fees under the terminated Agreement or Order Form attributable to the period following the effective date of termination.</w:t>
      </w:r>
    </w:p>
    <w:p w14:paraId="37145551" w14:textId="441D0C43" w:rsidR="00FA3E61" w:rsidRPr="00EB1109" w:rsidRDefault="00FE2C39" w:rsidP="00FA3E61">
      <w:pPr>
        <w:pStyle w:val="LegalLevel3"/>
        <w:numPr>
          <w:ilvl w:val="2"/>
          <w:numId w:val="4"/>
        </w:numPr>
        <w:tabs>
          <w:tab w:val="clear" w:pos="1939"/>
        </w:tabs>
        <w:spacing w:before="240" w:after="120" w:line="240" w:lineRule="auto"/>
        <w:rPr>
          <w:sz w:val="20"/>
          <w:szCs w:val="20"/>
        </w:rPr>
      </w:pPr>
      <w:r>
        <w:rPr>
          <w:sz w:val="20"/>
          <w:szCs w:val="20"/>
          <w:u w:val="single"/>
        </w:rPr>
        <w:t>Service Credits upon Termination</w:t>
      </w:r>
      <w:r>
        <w:rPr>
          <w:sz w:val="20"/>
          <w:szCs w:val="20"/>
        </w:rPr>
        <w:t>. In any case of termination, any Service Credits or other credits associated with the terminated Agreement or Order Form shall be refunded within thirty (30) days of the effective date of termination.</w:t>
      </w:r>
    </w:p>
    <w:p w14:paraId="2219C52A" w14:textId="296C498C" w:rsidR="00FA3E61" w:rsidRPr="00EB1109" w:rsidRDefault="00FA3E61" w:rsidP="00FA3E61">
      <w:pPr>
        <w:pStyle w:val="LegalLevel2"/>
        <w:numPr>
          <w:ilvl w:val="1"/>
          <w:numId w:val="4"/>
        </w:numPr>
        <w:spacing w:before="240" w:line="240" w:lineRule="auto"/>
        <w:rPr>
          <w:sz w:val="20"/>
          <w:szCs w:val="20"/>
        </w:rPr>
      </w:pPr>
      <w:r>
        <w:rPr>
          <w:sz w:val="20"/>
          <w:szCs w:val="20"/>
          <w:u w:val="single"/>
        </w:rPr>
        <w:t>Effects of Termination</w:t>
      </w:r>
      <w:r>
        <w:rPr>
          <w:sz w:val="20"/>
          <w:szCs w:val="20"/>
        </w:rPr>
        <w:t>. Upon the effective date of termination or expiration of this Agreement or any Order Form:</w:t>
      </w:r>
    </w:p>
    <w:p w14:paraId="51ADB3B3" w14:textId="67E89B52"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Service Provider shall immediately cease providing the Services under the terminated or expired Agreement or Order Form, and Customer’s right to access the Services under the terminated or expired Agreement or Order Form shall terminate, except as necessary to facilitate the transition obligations set forth in Section 13 (Transition Assistance Services).</w:t>
      </w:r>
    </w:p>
    <w:p w14:paraId="0FD3B2E5" w14:textId="619B95D8"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Service Provider shall provide Transition Assistance Services in accordance with Section 13 (Transition Assistance Services).</w:t>
      </w:r>
    </w:p>
    <w:p w14:paraId="4782BF00" w14:textId="4492800C"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Service Provider shall return or destroy all Customer Data associated with the terminated or expired Agreement or Order Form in accordance with Section 14 (Data Return and Destruction).</w:t>
      </w:r>
    </w:p>
    <w:p w14:paraId="7DE64B99" w14:textId="43471291"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Each Party shall return or destroy the other Party’s Confidential Information in accordance with Section 7.6 (Return or Destruction upon Termination).</w:t>
      </w:r>
    </w:p>
    <w:p w14:paraId="06EF1C4E"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All payment obligations shall be settled in accordance with Section 12.5 (Payments upon Termination).</w:t>
      </w:r>
    </w:p>
    <w:p w14:paraId="65BCBE6B" w14:textId="0AE2177A" w:rsidR="00DD2A4C" w:rsidRPr="00B42018" w:rsidRDefault="00FA3E61" w:rsidP="00B42018">
      <w:pPr>
        <w:pStyle w:val="LegalLevel3"/>
        <w:numPr>
          <w:ilvl w:val="2"/>
          <w:numId w:val="4"/>
        </w:numPr>
        <w:tabs>
          <w:tab w:val="clear" w:pos="1939"/>
        </w:tabs>
        <w:spacing w:before="240" w:after="120" w:line="240" w:lineRule="auto"/>
        <w:rPr>
          <w:sz w:val="20"/>
          <w:szCs w:val="20"/>
        </w:rPr>
      </w:pPr>
      <w:r>
        <w:rPr>
          <w:sz w:val="20"/>
          <w:szCs w:val="20"/>
        </w:rPr>
        <w:t>Termination or expiration shall not release either Party from any obligation that accrued prior to the effective date of termination or expiration, as applicable.</w:t>
      </w:r>
    </w:p>
    <w:p w14:paraId="6E25FB9D" w14:textId="18A02616"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Transition Assistance Services</w:t>
      </w:r>
      <w:r>
        <w:rPr>
          <w:sz w:val="20"/>
          <w:szCs w:val="20"/>
        </w:rPr>
        <w:t>.</w:t>
      </w:r>
    </w:p>
    <w:p w14:paraId="4232A0CF" w14:textId="37494CBC" w:rsidR="00FA3E61" w:rsidRPr="00EB1109" w:rsidRDefault="00FA3E61" w:rsidP="00FA3E61">
      <w:pPr>
        <w:pStyle w:val="LegalLevel2"/>
        <w:numPr>
          <w:ilvl w:val="1"/>
          <w:numId w:val="4"/>
        </w:numPr>
        <w:spacing w:before="240" w:line="240" w:lineRule="auto"/>
        <w:rPr>
          <w:sz w:val="20"/>
          <w:szCs w:val="20"/>
        </w:rPr>
      </w:pPr>
      <w:r>
        <w:rPr>
          <w:sz w:val="20"/>
          <w:szCs w:val="20"/>
          <w:u w:val="single"/>
        </w:rPr>
        <w:t>Obligation to Provide Transition Assistance</w:t>
      </w:r>
      <w:r>
        <w:rPr>
          <w:sz w:val="20"/>
          <w:szCs w:val="20"/>
        </w:rPr>
        <w:t xml:space="preserve">. Provided that neither this Agreement nor the applicable Order Form has been terminated by Service Provider due to Customer’s failure to pay undisputed amounts when due, upon termination or expiration of this Agreement or any Order Form </w:t>
      </w:r>
      <w:r>
        <w:rPr>
          <w:sz w:val="20"/>
          <w:szCs w:val="20"/>
        </w:rPr>
        <w:lastRenderedPageBreak/>
        <w:t xml:space="preserve">for any reason, Service Provider shall provide to Customer and/or to the service provider selected by Customer (such service provider, the “Successor Service Provider”) reasonable assistance requested by Customer to effect the orderly transition of the Services, in whole or in part, to Customer or to the Successor Service Provider (such assistance, the “Transition Assistance Services”). [Alternative: “13.1 </w:t>
      </w:r>
      <w:r>
        <w:rPr>
          <w:sz w:val="20"/>
          <w:szCs w:val="20"/>
          <w:u w:val="single"/>
        </w:rPr>
        <w:t>Obligation to Provide Transition Assistance</w:t>
      </w:r>
      <w:r>
        <w:rPr>
          <w:sz w:val="20"/>
          <w:szCs w:val="20"/>
        </w:rPr>
        <w:t>. Upon termination or expiration of this Agreement or any Order Form for any reason, Service Provider shall provide to Customer and/or to the service provider selected by Customer (such service provider, the “Successor Service Provider”) reasonable assistance requested by Customer to effect the orderly transition of the Services, in whole or in part, to Customer or to the Successor Service Provider (such assistance, the “Transition Assistance Services”). Service Provider may not refuse or delay Transition Assistance Services under any circumstances, including Customer’s material breach of this Agreement; provided, however, that if Customer is in material breach of this Agreement at the time Transition Assistance Services are requested, Service Provider may require Customer to make advance payment for such Transition Assistance Services, and Service Provider shall provide Customer with a reasonable estimate of such costs within five (5) Business Days of Customer’s request.”]</w:t>
      </w:r>
    </w:p>
    <w:p w14:paraId="360C3EE9" w14:textId="20A9AA7D" w:rsidR="00FA3E61" w:rsidRPr="00EB1109" w:rsidRDefault="00FA3E61" w:rsidP="00FA3E61">
      <w:pPr>
        <w:pStyle w:val="LegalLevel2"/>
        <w:numPr>
          <w:ilvl w:val="1"/>
          <w:numId w:val="4"/>
        </w:numPr>
        <w:spacing w:before="240" w:line="240" w:lineRule="auto"/>
        <w:rPr>
          <w:sz w:val="20"/>
          <w:szCs w:val="20"/>
        </w:rPr>
      </w:pPr>
      <w:r>
        <w:rPr>
          <w:sz w:val="20"/>
          <w:szCs w:val="20"/>
          <w:u w:val="single"/>
        </w:rPr>
        <w:t>Transition Period</w:t>
      </w:r>
      <w:r>
        <w:rPr>
          <w:sz w:val="20"/>
          <w:szCs w:val="20"/>
        </w:rPr>
        <w:t>. Service Provider shall provide Transition Assistance Services for a period of not less than ninety (90) days following the effective date of termination or expiration (the “Transition Period”). During the Transition Period, Service Provider shall continue to provide Customer with access to the affected Services on substantially the same terms as were in effect immediately prior to termination or expiration, including compliance with the applicable Service Level Addendum. If Customer terminates this Agreement or an affected Order Form under Section 12.3 (Termination for Cause), Section 3.4.2 (Material Changes), Section 3.4.3 (Changes in Functionality), Section 3.4.7 (Sunsetting Protection), Section 6.3 (Termination for Deficiencies), Section 9.3 (Termination for Material and Repeated Failures), Section 16.2 (Intellectual Property Indemnification), Part 1, Section 6.3 (Customer Objection) of the Data Processing Addendum, Part 1, Section 7.2 (Inability to Ensure Protection) of the Data Processing Addendum, or any other Service Provider-caused termination right, Customer may elect to extend the Transition Period for up to six (6) months from the effective date of termination (the “Extended Transition Period”). All applicable terms and conditions of this Agreement shall apply during the Extended Transition Period.</w:t>
      </w:r>
    </w:p>
    <w:p w14:paraId="0ED642B2" w14:textId="385E47DD" w:rsidR="00FA3E61" w:rsidRPr="00EB1109" w:rsidRDefault="00FA3E61" w:rsidP="00FA3E61">
      <w:pPr>
        <w:pStyle w:val="LegalLevel2"/>
        <w:numPr>
          <w:ilvl w:val="1"/>
          <w:numId w:val="4"/>
        </w:numPr>
        <w:spacing w:before="240" w:line="240" w:lineRule="auto"/>
        <w:rPr>
          <w:sz w:val="20"/>
          <w:szCs w:val="20"/>
        </w:rPr>
      </w:pPr>
      <w:r>
        <w:rPr>
          <w:sz w:val="20"/>
          <w:szCs w:val="20"/>
          <w:u w:val="single"/>
        </w:rPr>
        <w:t>Transition Pricing</w:t>
      </w:r>
      <w:r>
        <w:rPr>
          <w:sz w:val="20"/>
          <w:szCs w:val="20"/>
        </w:rPr>
        <w:t>. Unless otherwise specified in this Section, Transition Assistance Services shall be provided on a time-and-materials basis at rates not to exceed the rates charged by Service Provider for comparable services during the twelve (12) months immediately preceding the effective date of termination or expiration, as applicable. Notwithstanding the foregoing, Transition Assistance Services shall be provided at no additional cost to Customer where termination or expiration results from any of the following: (a) Service Provider’s material breach of this Agreement pursuant to Section 12.3.1 (Standard Cure-Based Termination); (b) a Data Breach involving Customer Data or a Security Incident that materially compromises the confidentiality, integrity, or availability of Customer Data pursuant to Section 12.3.2(a) (Immediate Termination); (c) Service Provider’s failure to maintain insurance coverage as required by this Agreement or the Insurance Addendum pursuant to Section 12.3.2(d) (Immediate Termination); (d) Service Provider’s material violation of Applicable Law related to data privacy, information security, or the Processing of Personal Data pursuant to Section 12.3.2(e) (Immediate Termination); (e) Service Provider’s inability to remedy an Intellectual Property infringement claim resulting in termination of the affected Services pursuant to Section 16.2(c) (Intellectual Property Indemnification); (f) Service Level failures resulting in termination pursuant to Section 9.3 (Termination for Material and Repeated Failures); (g) material deficiencies in Service Provider’s data privacy or Security Program resulting in termination pursuant to Section 6.3 (Termination for Deficiencies); (h) Service Provider’s reduction or elimination of functionality in the Services resulting in termination pursuant to Section 3.4.3 (Changes in Functionality); (</w:t>
      </w:r>
      <w:proofErr w:type="spellStart"/>
      <w:r>
        <w:rPr>
          <w:sz w:val="20"/>
          <w:szCs w:val="20"/>
        </w:rPr>
        <w:t>i</w:t>
      </w:r>
      <w:proofErr w:type="spellEnd"/>
      <w:r>
        <w:rPr>
          <w:sz w:val="20"/>
          <w:szCs w:val="20"/>
        </w:rPr>
        <w:t>) Service Provider’s discontinuation, end-of-life, or sunsetting of the Services (or any material component thereof) pursuant to Section 3.4.7 (Sunsetting Protection); or (j) any other Service Provider-caused termination right. Where Customer elects an Extended Transition Period pursuant to Section 13.2 (Transition Period), the Fees during the Extended Transition Period shall be reduced by twenty percent (20%) from the Fees in effect immediately prior to termination or expiration, as applicable.</w:t>
      </w:r>
    </w:p>
    <w:p w14:paraId="4CC9562B"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Transition Manager and Plan</w:t>
      </w:r>
      <w:r>
        <w:rPr>
          <w:sz w:val="20"/>
          <w:szCs w:val="20"/>
        </w:rPr>
        <w:t>.</w:t>
      </w:r>
    </w:p>
    <w:p w14:paraId="62FB8F9A" w14:textId="1F92FC01" w:rsidR="00FA3E61" w:rsidRPr="00EB1109" w:rsidRDefault="004B07EF" w:rsidP="00FA3E61">
      <w:pPr>
        <w:pStyle w:val="LegalLevel3"/>
        <w:numPr>
          <w:ilvl w:val="2"/>
          <w:numId w:val="4"/>
        </w:numPr>
        <w:tabs>
          <w:tab w:val="clear" w:pos="1939"/>
        </w:tabs>
        <w:spacing w:before="240" w:after="120" w:line="240" w:lineRule="auto"/>
        <w:rPr>
          <w:sz w:val="20"/>
          <w:szCs w:val="20"/>
        </w:rPr>
      </w:pPr>
      <w:r>
        <w:rPr>
          <w:sz w:val="20"/>
          <w:szCs w:val="20"/>
          <w:u w:val="single"/>
        </w:rPr>
        <w:t>Transition Manager Designation</w:t>
      </w:r>
      <w:r>
        <w:rPr>
          <w:sz w:val="20"/>
          <w:szCs w:val="20"/>
        </w:rPr>
        <w:t>. Each Party shall designate a transition manager within five (5) Business Days of notice of termination or, in the case of expiration, no later than ninety (90) days prior to the expiration date. Each transition manager shall: (a) serve as the single point of contact for their respective Party’s transition activities; (b) have sufficient authority to make decisions and allocate resources in connection with the transition; and (c) oversee and coordinate the transition activities of their respective teams. The designation of transition managers and the development of a transition plan are not conditions precedent to the commencement of Transition Assistance Services, and Service Provider’s obligation to provide Transition Assistance Services shall begin immediately upon request by Customer regardless of whether a transition manager has been designated or a transition plan has been completed.</w:t>
      </w:r>
    </w:p>
    <w:p w14:paraId="67C0FAEF" w14:textId="2950DCFA" w:rsidR="00FA3E61" w:rsidRPr="00EB1109" w:rsidRDefault="004B07EF" w:rsidP="00FA3E61">
      <w:pPr>
        <w:pStyle w:val="LegalLevel3"/>
        <w:numPr>
          <w:ilvl w:val="2"/>
          <w:numId w:val="4"/>
        </w:numPr>
        <w:tabs>
          <w:tab w:val="clear" w:pos="1939"/>
        </w:tabs>
        <w:spacing w:before="240" w:after="120" w:line="240" w:lineRule="auto"/>
        <w:rPr>
          <w:sz w:val="20"/>
          <w:szCs w:val="20"/>
        </w:rPr>
      </w:pPr>
      <w:r>
        <w:rPr>
          <w:sz w:val="20"/>
          <w:szCs w:val="20"/>
          <w:u w:val="single"/>
        </w:rPr>
        <w:t>Transition Plan</w:t>
      </w:r>
      <w:r>
        <w:rPr>
          <w:sz w:val="20"/>
          <w:szCs w:val="20"/>
        </w:rPr>
        <w:t>. Where a preliminary transition plan has been delivered pursuant to Section 13.6 (Preliminary Transition Planning), the Parties shall activate and update such plan within five (5) Business Days of notice of termination or, in the case of expiration, no later than ninety (90) days prior to the expiration date. Where no preliminary transition plan exists, the Parties shall cooperate to develop a transition plan within fifteen (15) Business Days of notice of termination or, in the case of expiration, no later than ninety (90) days prior to the expiration date. The transition plan shall address, at minimum: (a) data migration timelines and procedures; (b) knowledge transfer requirements; (c) cooperation with the Successor Service Provider; (d) parallel operation, if applicable; and (e) a schedule for the orderly wind-down of the Services.</w:t>
      </w:r>
    </w:p>
    <w:p w14:paraId="7167838E" w14:textId="334CA6F4" w:rsidR="00FA3E61" w:rsidRPr="00EB1109" w:rsidRDefault="00FA3E61" w:rsidP="00FA3E61">
      <w:pPr>
        <w:pStyle w:val="LegalLevel2"/>
        <w:numPr>
          <w:ilvl w:val="1"/>
          <w:numId w:val="4"/>
        </w:numPr>
        <w:spacing w:before="240" w:line="240" w:lineRule="auto"/>
        <w:rPr>
          <w:sz w:val="20"/>
          <w:szCs w:val="20"/>
        </w:rPr>
      </w:pPr>
      <w:r>
        <w:rPr>
          <w:sz w:val="20"/>
          <w:szCs w:val="20"/>
          <w:u w:val="single"/>
        </w:rPr>
        <w:t>Scope of Transition Assistance Services</w:t>
      </w:r>
      <w:r>
        <w:rPr>
          <w:sz w:val="20"/>
          <w:szCs w:val="20"/>
        </w:rPr>
        <w:t>. Transition Assistance Services may include, without limitation: (a) development and execution of the transition plan described in Section 13.4 (Transition Manager and Plan); (b) transfer of Customer Data to the Successor Service Provider in a format reasonably requested by Customer or the Successor Service Provider; (c) using commercially reasonable efforts to assist Customer in acquiring any necessary rights to legally and physically access and use any third party technologies and documentation then being used by Service Provider in connection with the Services; (d) using commercially reasonable efforts to make available to Customer, pursuant to mutually agreeable terms and conditions, any third party services then being used by Service Provider in connection with the Services; (e) knowledge transfer, including documentation of configurations, customizations, and integrations; and (f) such other activities as the Parties may agree are necessary to effect an orderly transition.</w:t>
      </w:r>
    </w:p>
    <w:p w14:paraId="2B2ECB89" w14:textId="1EADAFA4" w:rsidR="00FA3E61" w:rsidRPr="00EB1109" w:rsidRDefault="00FA3E61" w:rsidP="00FA3E61">
      <w:pPr>
        <w:pStyle w:val="LegalLevel2"/>
        <w:numPr>
          <w:ilvl w:val="1"/>
          <w:numId w:val="4"/>
        </w:numPr>
        <w:spacing w:before="240" w:line="240" w:lineRule="auto"/>
        <w:rPr>
          <w:sz w:val="20"/>
          <w:szCs w:val="20"/>
        </w:rPr>
      </w:pPr>
      <w:r>
        <w:rPr>
          <w:sz w:val="20"/>
          <w:szCs w:val="20"/>
          <w:u w:val="single"/>
        </w:rPr>
        <w:t>Preliminary Transition Planning</w:t>
      </w:r>
      <w:r>
        <w:rPr>
          <w:sz w:val="20"/>
          <w:szCs w:val="20"/>
        </w:rPr>
        <w:t>. Customer may request a preliminary transition plan at any time while this Agreement or any Order Form remains in effect. Service Provider shall cooperate with such request at no additional charge and shall deliver a preliminary transition plan within thirty (30) days of Customer’s request.</w:t>
      </w:r>
    </w:p>
    <w:p w14:paraId="3EFBE27D" w14:textId="73E5F613" w:rsidR="00DD2A4C" w:rsidRPr="00B42018" w:rsidRDefault="00FA3E61" w:rsidP="00B42018">
      <w:pPr>
        <w:pStyle w:val="LegalLevel2"/>
        <w:numPr>
          <w:ilvl w:val="1"/>
          <w:numId w:val="4"/>
        </w:numPr>
        <w:spacing w:before="240" w:line="240" w:lineRule="auto"/>
        <w:rPr>
          <w:sz w:val="20"/>
          <w:szCs w:val="20"/>
        </w:rPr>
      </w:pPr>
      <w:r>
        <w:rPr>
          <w:sz w:val="20"/>
          <w:szCs w:val="20"/>
          <w:u w:val="single"/>
        </w:rPr>
        <w:t>Survival</w:t>
      </w:r>
      <w:r>
        <w:rPr>
          <w:sz w:val="20"/>
          <w:szCs w:val="20"/>
        </w:rPr>
        <w:t>. The provisions of this Section 13 (Transition Assistance Services) shall survive the termination or expiration of this Agreement or any Order Form and shall remain in effect until Service Provider has fully performed its obligations under this Section 13 (Transition Assistance Services).</w:t>
      </w:r>
    </w:p>
    <w:p w14:paraId="4E280D51" w14:textId="581E2293"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Return and Destruction</w:t>
      </w:r>
      <w:r>
        <w:rPr>
          <w:sz w:val="20"/>
          <w:szCs w:val="20"/>
        </w:rPr>
        <w:t>.</w:t>
      </w:r>
    </w:p>
    <w:p w14:paraId="7193B537" w14:textId="710749E6" w:rsidR="00FA3E61" w:rsidRPr="00EB1109" w:rsidRDefault="00FA3E61" w:rsidP="00FA3E61">
      <w:pPr>
        <w:pStyle w:val="LegalLevel2"/>
        <w:numPr>
          <w:ilvl w:val="1"/>
          <w:numId w:val="4"/>
        </w:numPr>
        <w:spacing w:before="240" w:line="240" w:lineRule="auto"/>
        <w:rPr>
          <w:sz w:val="20"/>
          <w:szCs w:val="20"/>
        </w:rPr>
      </w:pPr>
      <w:r>
        <w:rPr>
          <w:sz w:val="20"/>
          <w:szCs w:val="20"/>
          <w:u w:val="single"/>
        </w:rPr>
        <w:t>Return of Customer Data</w:t>
      </w:r>
      <w:r>
        <w:rPr>
          <w:sz w:val="20"/>
          <w:szCs w:val="20"/>
        </w:rPr>
        <w:t xml:space="preserve">. Upon termination or expiration of this Agreement or any Order Form for any reason, with respect to Customer Data Processed under the terminated or expired Agreement or Order Form, or upon Customer’s request at any time during the applicable Order Form term, Service Provider shall promptly return to Customer all such Customer Data in its possession or control in a commercially reasonable, machine-readable, non-proprietary format reasonably requested by Customer. Service Provider shall complete the return of Customer Data within thirty (30) days after termination or expiration of this Agreement, termination or expiration of the </w:t>
      </w:r>
      <w:r>
        <w:rPr>
          <w:sz w:val="20"/>
          <w:szCs w:val="20"/>
        </w:rPr>
        <w:lastRenderedPageBreak/>
        <w:t>applicable Order Form, or Customer’s request, as applicable (or such other period as agreed in writing). The return of Customer Data shall include all data described in the definition of Customer Data.</w:t>
      </w:r>
    </w:p>
    <w:p w14:paraId="4A9BE22F" w14:textId="48CBDD23" w:rsidR="00FA3E61" w:rsidRPr="00EB1109" w:rsidRDefault="00FA3E61" w:rsidP="00FA3E61">
      <w:pPr>
        <w:pStyle w:val="LegalLevel2"/>
        <w:numPr>
          <w:ilvl w:val="1"/>
          <w:numId w:val="4"/>
        </w:numPr>
        <w:spacing w:before="240" w:line="240" w:lineRule="auto"/>
        <w:rPr>
          <w:sz w:val="20"/>
          <w:szCs w:val="20"/>
        </w:rPr>
      </w:pPr>
      <w:r>
        <w:rPr>
          <w:sz w:val="20"/>
          <w:szCs w:val="20"/>
          <w:u w:val="single"/>
        </w:rPr>
        <w:t>Certification of Destruction</w:t>
      </w:r>
      <w:r>
        <w:rPr>
          <w:sz w:val="20"/>
          <w:szCs w:val="20"/>
        </w:rPr>
        <w:t>. Following completion of the data return obligations in Section 14.1 (Return of Customer Data), and upon Customer’s written instruction, Service Provider shall destroy all remaining copies of Customer Data associated with the terminated or expired Agreement or Order Form, or as otherwise requested by Customer (including copies in backup, archive, and disaster recovery systems) using methods consistent with National Institute of Standards and Technology (“NIST”) Special Publication 800-88 (Guidelines for Media Sanitization) or its successor. Service Provider shall provide Customer with a written certification of destruction signed by an authorized officer within thirty (30) days of completion. If immediate destruction of certain copies is technically infeasible (such as data in immutable backup systems), Service Provider shall: (a) notify Customer in writing identifying the specific data and systems; (b) continue to protect such data in accordance with this Agreement; and (c) destroy such data as soon as technically feasible and certify such destruction upon completion. Service Provider shall apply equivalent destruction standards to Customer Data on media that is decommissioned while this Agreement or any Order Form remains in effect.</w:t>
      </w:r>
    </w:p>
    <w:p w14:paraId="594111CB" w14:textId="2EE0930F" w:rsidR="00FA3E61" w:rsidRPr="00EB1109" w:rsidRDefault="00FA3E61" w:rsidP="00FA3E61">
      <w:pPr>
        <w:pStyle w:val="LegalLevel2"/>
        <w:numPr>
          <w:ilvl w:val="1"/>
          <w:numId w:val="4"/>
        </w:numPr>
        <w:spacing w:before="240" w:line="240" w:lineRule="auto"/>
        <w:rPr>
          <w:sz w:val="20"/>
          <w:szCs w:val="20"/>
        </w:rPr>
      </w:pPr>
      <w:r>
        <w:rPr>
          <w:sz w:val="20"/>
          <w:szCs w:val="20"/>
          <w:u w:val="single"/>
        </w:rPr>
        <w:t>Post-Termination Data Retention</w:t>
      </w:r>
      <w:r>
        <w:rPr>
          <w:sz w:val="20"/>
          <w:szCs w:val="20"/>
        </w:rPr>
        <w:t>. Service Provider shall not retain any Customer Data associated with the terminated or expired Agreement or Order Form following the completion of its obligations under Sections 14.1 (Return of Customer Data) and 14.2 (Certification of Destruction), except: (a) as required by Applicable Law (in which case Service Provider shall notify Customer in writing of such requirement, limit retention to the minimum required by law, continue to protect such data in accordance with this Agreement, and destroy it promptly upon the expiration of the retention obligation); or (b) as otherwise agreed in writing by Customer.</w:t>
      </w:r>
    </w:p>
    <w:p w14:paraId="5B247058" w14:textId="67C32DBF" w:rsidR="006944BC" w:rsidRPr="00DD2A4C" w:rsidRDefault="00FA3E61" w:rsidP="00DD2A4C">
      <w:pPr>
        <w:pStyle w:val="LegalLevel2"/>
        <w:numPr>
          <w:ilvl w:val="1"/>
          <w:numId w:val="4"/>
        </w:numPr>
        <w:spacing w:before="240" w:line="240" w:lineRule="auto"/>
        <w:rPr>
          <w:sz w:val="20"/>
          <w:szCs w:val="20"/>
        </w:rPr>
      </w:pPr>
      <w:r>
        <w:rPr>
          <w:sz w:val="20"/>
          <w:szCs w:val="20"/>
          <w:u w:val="single"/>
        </w:rPr>
        <w:t>Survival</w:t>
      </w:r>
      <w:r>
        <w:rPr>
          <w:sz w:val="20"/>
          <w:szCs w:val="20"/>
        </w:rPr>
        <w:t>. The provisions of this Section 14 (Data Return and Destruction) shall survive the termination or expiration of this Agreement or any Order Form and shall remain in effect until Service Provider has fully performed its obligations hereunder.</w:t>
      </w:r>
    </w:p>
    <w:p w14:paraId="35F5B10C" w14:textId="45BEDA51"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Representations and Warranties</w:t>
      </w:r>
      <w:r>
        <w:rPr>
          <w:sz w:val="20"/>
          <w:szCs w:val="20"/>
        </w:rPr>
        <w:t>.</w:t>
      </w:r>
    </w:p>
    <w:p w14:paraId="2D95F945" w14:textId="45CA3EC6" w:rsidR="00FA3E61" w:rsidRPr="00EB1109" w:rsidRDefault="00FA3E61" w:rsidP="00FA3E61">
      <w:pPr>
        <w:pStyle w:val="LegalLevel2"/>
        <w:numPr>
          <w:ilvl w:val="1"/>
          <w:numId w:val="4"/>
        </w:numPr>
        <w:spacing w:before="240" w:line="240" w:lineRule="auto"/>
        <w:rPr>
          <w:sz w:val="20"/>
          <w:szCs w:val="20"/>
        </w:rPr>
      </w:pPr>
      <w:r>
        <w:rPr>
          <w:sz w:val="20"/>
          <w:szCs w:val="20"/>
          <w:u w:val="single"/>
        </w:rPr>
        <w:t>Mutual Representations and Warranties</w:t>
      </w:r>
      <w:r>
        <w:rPr>
          <w:sz w:val="20"/>
          <w:szCs w:val="20"/>
        </w:rPr>
        <w:t>. Each Party represents and warrants to the other that:</w:t>
      </w:r>
    </w:p>
    <w:p w14:paraId="6D8892B9"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proofErr w:type="gramStart"/>
      <w:r>
        <w:rPr>
          <w:sz w:val="20"/>
          <w:szCs w:val="20"/>
        </w:rPr>
        <w:t>it</w:t>
      </w:r>
      <w:proofErr w:type="gramEnd"/>
      <w:r>
        <w:rPr>
          <w:sz w:val="20"/>
          <w:szCs w:val="20"/>
        </w:rPr>
        <w:t xml:space="preserve"> is a business entity duly organized, validly existing, and in good standing under the laws of its jurisdiction of organization;</w:t>
      </w:r>
    </w:p>
    <w:p w14:paraId="2B71A810"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it has all requisite corporate power, financial capacity, and authority to execute, deliver, and perform its obligations under this Agreement;</w:t>
      </w:r>
    </w:p>
    <w:p w14:paraId="4249342C" w14:textId="43655C96"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the execution and performance of this Agreement do not and will not conflict with any other agreement to which it is a party;</w:t>
      </w:r>
    </w:p>
    <w:p w14:paraId="0D6344F8" w14:textId="229DB52B"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the execution, delivery, and performance of this Agreement have been duly authorized by it and this Agreement constitutes a legal, valid, and binding obligation enforceable against it in accordance with its terms, except as the enforceability thereof may be limited by bankruptcy, insolvency, reorganization, moratoriums, and similar laws affecting creditors’ rights generally and by general equitable principles;</w:t>
      </w:r>
    </w:p>
    <w:p w14:paraId="34598E6C" w14:textId="29247CA2"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it shall comply with all Applicable Law in connection with its performance under this Agreement, including Data Protection Laws, and shall obtain all applicable permits and licenses required of it in connection with its obligations under this Agreement; and</w:t>
      </w:r>
    </w:p>
    <w:p w14:paraId="6AB9A524" w14:textId="77CE21E6"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there is no outstanding litigation, arbitrated matter, or other dispute to which it is a party that, if decided unfavorably to it, would reasonably be expected to have a material adverse effect on its ability to fulfill its obligations under this Agreement.</w:t>
      </w:r>
    </w:p>
    <w:p w14:paraId="2B84CE20" w14:textId="39F76699" w:rsidR="00615362" w:rsidRDefault="00FA3E61" w:rsidP="00615362">
      <w:pPr>
        <w:pStyle w:val="LegalLevel2"/>
        <w:numPr>
          <w:ilvl w:val="1"/>
          <w:numId w:val="4"/>
        </w:numPr>
        <w:spacing w:before="240" w:line="240" w:lineRule="auto"/>
        <w:rPr>
          <w:sz w:val="20"/>
          <w:szCs w:val="20"/>
        </w:rPr>
      </w:pPr>
      <w:r>
        <w:rPr>
          <w:sz w:val="20"/>
          <w:szCs w:val="20"/>
          <w:u w:val="single"/>
        </w:rPr>
        <w:lastRenderedPageBreak/>
        <w:t>Representations and Warranties by Service Provider</w:t>
      </w:r>
      <w:r>
        <w:rPr>
          <w:sz w:val="20"/>
          <w:szCs w:val="20"/>
        </w:rPr>
        <w:t>. Service Provider represents and warrants that:</w:t>
      </w:r>
    </w:p>
    <w:p w14:paraId="1EE42405" w14:textId="77777777" w:rsidR="00934B91" w:rsidRDefault="00515156" w:rsidP="00934B91">
      <w:pPr>
        <w:pStyle w:val="LegalLevel3"/>
        <w:numPr>
          <w:ilvl w:val="2"/>
          <w:numId w:val="4"/>
        </w:numPr>
        <w:tabs>
          <w:tab w:val="clear" w:pos="1939"/>
        </w:tabs>
        <w:spacing w:before="240" w:after="120" w:line="240" w:lineRule="auto"/>
        <w:rPr>
          <w:sz w:val="20"/>
          <w:szCs w:val="20"/>
        </w:rPr>
      </w:pPr>
      <w:r>
        <w:rPr>
          <w:sz w:val="20"/>
          <w:szCs w:val="20"/>
        </w:rPr>
        <w:t>it is in the business of providing the Services;</w:t>
      </w:r>
    </w:p>
    <w:p w14:paraId="251D16D4" w14:textId="77777777" w:rsidR="00934B91" w:rsidRDefault="00FA3E61" w:rsidP="00934B91">
      <w:pPr>
        <w:pStyle w:val="LegalLevel3"/>
        <w:numPr>
          <w:ilvl w:val="2"/>
          <w:numId w:val="4"/>
        </w:numPr>
        <w:tabs>
          <w:tab w:val="clear" w:pos="1939"/>
        </w:tabs>
        <w:spacing w:before="240" w:after="120" w:line="240" w:lineRule="auto"/>
        <w:rPr>
          <w:sz w:val="20"/>
          <w:szCs w:val="20"/>
        </w:rPr>
      </w:pPr>
      <w:r>
        <w:rPr>
          <w:sz w:val="20"/>
          <w:szCs w:val="20"/>
        </w:rPr>
        <w:t>the Services are fit for the ordinary purposes for which they will be used;</w:t>
      </w:r>
    </w:p>
    <w:p w14:paraId="3DA9B6D7" w14:textId="01689B5E" w:rsidR="00FA3E61" w:rsidRDefault="00FA3E61" w:rsidP="00934B91">
      <w:pPr>
        <w:pStyle w:val="LegalLevel3"/>
        <w:numPr>
          <w:ilvl w:val="2"/>
          <w:numId w:val="4"/>
        </w:numPr>
        <w:tabs>
          <w:tab w:val="clear" w:pos="1939"/>
        </w:tabs>
        <w:spacing w:before="240" w:after="120" w:line="240" w:lineRule="auto"/>
        <w:rPr>
          <w:sz w:val="20"/>
          <w:szCs w:val="20"/>
        </w:rPr>
      </w:pPr>
      <w:r>
        <w:rPr>
          <w:sz w:val="20"/>
          <w:szCs w:val="20"/>
        </w:rPr>
        <w:t>it is possessed of superior knowledge with respect to the Services;</w:t>
      </w:r>
    </w:p>
    <w:p w14:paraId="0C1AD8C4" w14:textId="18F55BA2" w:rsidR="008105C4" w:rsidRDefault="008105C4" w:rsidP="008105C4">
      <w:pPr>
        <w:pStyle w:val="LegalLevel3"/>
        <w:numPr>
          <w:ilvl w:val="2"/>
          <w:numId w:val="4"/>
        </w:numPr>
        <w:tabs>
          <w:tab w:val="clear" w:pos="1939"/>
        </w:tabs>
        <w:spacing w:before="240" w:after="120" w:line="240" w:lineRule="auto"/>
        <w:rPr>
          <w:sz w:val="20"/>
          <w:szCs w:val="20"/>
        </w:rPr>
      </w:pPr>
      <w:proofErr w:type="gramStart"/>
      <w:r>
        <w:rPr>
          <w:sz w:val="20"/>
          <w:szCs w:val="20"/>
        </w:rPr>
        <w:t>it</w:t>
      </w:r>
      <w:proofErr w:type="gramEnd"/>
      <w:r>
        <w:rPr>
          <w:sz w:val="20"/>
          <w:szCs w:val="20"/>
        </w:rPr>
        <w:t xml:space="preserve"> acknowledges that Customer is relying on Service Provider’s representation of its experience and expert knowledge, and that any substantial misrepresentation may result in damage to Customer;</w:t>
      </w:r>
    </w:p>
    <w:p w14:paraId="2A412DC3" w14:textId="17CC1A54" w:rsidR="00FA3E61" w:rsidRDefault="00FA3E61" w:rsidP="008105C4">
      <w:pPr>
        <w:pStyle w:val="LegalLevel3"/>
        <w:numPr>
          <w:ilvl w:val="2"/>
          <w:numId w:val="4"/>
        </w:numPr>
        <w:tabs>
          <w:tab w:val="clear" w:pos="1939"/>
        </w:tabs>
        <w:spacing w:before="240" w:after="120" w:line="240" w:lineRule="auto"/>
        <w:rPr>
          <w:sz w:val="20"/>
          <w:szCs w:val="20"/>
        </w:rPr>
      </w:pPr>
      <w:r>
        <w:rPr>
          <w:sz w:val="20"/>
          <w:szCs w:val="20"/>
        </w:rPr>
        <w:t>it knows the particular purpose for which the Services are required by Customer;</w:t>
      </w:r>
    </w:p>
    <w:p w14:paraId="01059AA4" w14:textId="6327C0BD" w:rsidR="008105C4" w:rsidRDefault="008105C4" w:rsidP="008105C4">
      <w:pPr>
        <w:pStyle w:val="LegalLevel3"/>
        <w:numPr>
          <w:ilvl w:val="2"/>
          <w:numId w:val="4"/>
        </w:numPr>
        <w:tabs>
          <w:tab w:val="clear" w:pos="1939"/>
        </w:tabs>
        <w:spacing w:before="240" w:after="120" w:line="240" w:lineRule="auto"/>
        <w:rPr>
          <w:sz w:val="20"/>
          <w:szCs w:val="20"/>
        </w:rPr>
      </w:pPr>
      <w:r>
        <w:rPr>
          <w:sz w:val="20"/>
          <w:szCs w:val="20"/>
        </w:rPr>
        <w:t>it is the lawful licensee or owner of the Services (excluding any Customer Data therein) and has all the necessary rights in the Services to grant the use of the Services to Customer;</w:t>
      </w:r>
    </w:p>
    <w:p w14:paraId="6A9D77E1" w14:textId="0C55B0DA" w:rsidR="008105C4" w:rsidRDefault="008105C4" w:rsidP="008105C4">
      <w:pPr>
        <w:pStyle w:val="LegalLevel3"/>
        <w:numPr>
          <w:ilvl w:val="2"/>
          <w:numId w:val="4"/>
        </w:numPr>
        <w:tabs>
          <w:tab w:val="clear" w:pos="1939"/>
        </w:tabs>
        <w:spacing w:before="240" w:after="120" w:line="240" w:lineRule="auto"/>
        <w:rPr>
          <w:sz w:val="20"/>
          <w:szCs w:val="20"/>
        </w:rPr>
      </w:pPr>
      <w:r>
        <w:rPr>
          <w:sz w:val="20"/>
          <w:szCs w:val="20"/>
        </w:rPr>
        <w:t>the Services shall conform in all material respects to the Documentation and the applicable Order Form and shall be performed in a professional and workmanlike manner consistent with generally accepted industry standards;</w:t>
      </w:r>
    </w:p>
    <w:p w14:paraId="2CCE4334" w14:textId="4E6E4EBF" w:rsidR="008105C4" w:rsidRDefault="008105C4" w:rsidP="008105C4">
      <w:pPr>
        <w:pStyle w:val="LegalLevel3"/>
        <w:numPr>
          <w:ilvl w:val="2"/>
          <w:numId w:val="4"/>
        </w:numPr>
        <w:tabs>
          <w:tab w:val="clear" w:pos="1939"/>
        </w:tabs>
        <w:spacing w:before="240" w:after="120" w:line="240" w:lineRule="auto"/>
        <w:rPr>
          <w:sz w:val="20"/>
          <w:szCs w:val="20"/>
        </w:rPr>
      </w:pPr>
      <w:r>
        <w:rPr>
          <w:sz w:val="20"/>
          <w:szCs w:val="20"/>
        </w:rPr>
        <w:t>the Services, including all components thereof, shall not infringe, misappropriate, or otherwise violate the Intellectual Property rights of any third party, and Service Provider has all rights and licenses necessary to provide the Services and to grant the rights granted herein;</w:t>
      </w:r>
    </w:p>
    <w:p w14:paraId="614149B5" w14:textId="78CFCE06" w:rsidR="008105C4" w:rsidRDefault="00FA3E61" w:rsidP="008105C4">
      <w:pPr>
        <w:pStyle w:val="LegalLevel3"/>
        <w:numPr>
          <w:ilvl w:val="2"/>
          <w:numId w:val="4"/>
        </w:numPr>
        <w:tabs>
          <w:tab w:val="clear" w:pos="1939"/>
        </w:tabs>
        <w:spacing w:before="240" w:after="120" w:line="240" w:lineRule="auto"/>
        <w:rPr>
          <w:sz w:val="20"/>
          <w:szCs w:val="20"/>
        </w:rPr>
      </w:pPr>
      <w:r>
        <w:rPr>
          <w:sz w:val="20"/>
          <w:szCs w:val="20"/>
        </w:rPr>
        <w:t>there is no pending or, to Service Provider’s knowledge, threatened litigation, claim, or proceeding against Service Provider relating to the Services or any component thereof that could reasonably be expected to result in an adverse determination affecting Customer’s right to access or use the Services;</w:t>
      </w:r>
    </w:p>
    <w:p w14:paraId="0488092A" w14:textId="77777777" w:rsidR="008105C4" w:rsidRDefault="00FA3E61" w:rsidP="008105C4">
      <w:pPr>
        <w:pStyle w:val="LegalLevel3"/>
        <w:numPr>
          <w:ilvl w:val="2"/>
          <w:numId w:val="4"/>
        </w:numPr>
        <w:tabs>
          <w:tab w:val="clear" w:pos="1939"/>
        </w:tabs>
        <w:spacing w:before="240" w:after="120" w:line="240" w:lineRule="auto"/>
        <w:rPr>
          <w:sz w:val="20"/>
          <w:szCs w:val="20"/>
        </w:rPr>
      </w:pPr>
      <w:r>
        <w:rPr>
          <w:sz w:val="20"/>
          <w:szCs w:val="20"/>
        </w:rPr>
        <w:t>Service Provider has no knowledge of any material vulnerability, defect, or weakness in the Services that has not been disclosed to Customer;</w:t>
      </w:r>
    </w:p>
    <w:p w14:paraId="44C24B19" w14:textId="571FB7CF" w:rsidR="008105C4" w:rsidRDefault="00FA3E61" w:rsidP="008105C4">
      <w:pPr>
        <w:pStyle w:val="LegalLevel3"/>
        <w:numPr>
          <w:ilvl w:val="2"/>
          <w:numId w:val="4"/>
        </w:numPr>
        <w:tabs>
          <w:tab w:val="clear" w:pos="1939"/>
        </w:tabs>
        <w:spacing w:before="240" w:after="120" w:line="240" w:lineRule="auto"/>
        <w:rPr>
          <w:sz w:val="20"/>
          <w:szCs w:val="20"/>
        </w:rPr>
      </w:pPr>
      <w:r>
        <w:rPr>
          <w:sz w:val="20"/>
          <w:szCs w:val="20"/>
        </w:rPr>
        <w:t>the Services do not contain any Virus and Service Provider shall not introduce a Virus into the Services;</w:t>
      </w:r>
    </w:p>
    <w:p w14:paraId="19511710" w14:textId="5C30543B" w:rsidR="008105C4" w:rsidRDefault="00FA3E61" w:rsidP="008105C4">
      <w:pPr>
        <w:pStyle w:val="LegalLevel3"/>
        <w:numPr>
          <w:ilvl w:val="2"/>
          <w:numId w:val="4"/>
        </w:numPr>
        <w:tabs>
          <w:tab w:val="clear" w:pos="1939"/>
        </w:tabs>
        <w:spacing w:before="240" w:after="120" w:line="240" w:lineRule="auto"/>
        <w:rPr>
          <w:sz w:val="20"/>
          <w:szCs w:val="20"/>
        </w:rPr>
      </w:pPr>
      <w:r>
        <w:rPr>
          <w:sz w:val="20"/>
          <w:szCs w:val="20"/>
        </w:rPr>
        <w:t>the Services do not contain any disabling mechanism, lockout device, or other code designed to disable, restrict, or prevent Customer’s access to or use of the Services or Customer Data, and Service Provider shall not activate or deploy any such mechanism during the applicable Order Form term, including during any period in which a payment dispute is pending between the Parties;</w:t>
      </w:r>
    </w:p>
    <w:p w14:paraId="7B3C96E5" w14:textId="31596A9D" w:rsidR="008105C4" w:rsidRDefault="008D1521" w:rsidP="008105C4">
      <w:pPr>
        <w:pStyle w:val="LegalLevel3"/>
        <w:numPr>
          <w:ilvl w:val="2"/>
          <w:numId w:val="4"/>
        </w:numPr>
        <w:tabs>
          <w:tab w:val="clear" w:pos="1939"/>
        </w:tabs>
        <w:spacing w:before="240" w:after="120" w:line="240" w:lineRule="auto"/>
        <w:rPr>
          <w:sz w:val="20"/>
          <w:szCs w:val="20"/>
        </w:rPr>
      </w:pPr>
      <w:r>
        <w:rPr>
          <w:sz w:val="20"/>
          <w:szCs w:val="20"/>
        </w:rPr>
        <w:t>Service Provider maintains, and shall continue to maintain for so long as this Agreement remains in effect or any Order Form remains in effect, plus the applicable Tail Period thereafter, all insurance coverages required by the Insurance Addendum, and all such policies are issued by carriers meeting the financial strength requirements of Section 2 (Insurance Coverage Requirements) of the Insurance Addendum; and</w:t>
      </w:r>
    </w:p>
    <w:p w14:paraId="45C81320" w14:textId="4E5BDA2F" w:rsidR="00FA3E61" w:rsidRPr="008105C4" w:rsidRDefault="00FA3E61" w:rsidP="008105C4">
      <w:pPr>
        <w:pStyle w:val="LegalLevel3"/>
        <w:numPr>
          <w:ilvl w:val="2"/>
          <w:numId w:val="4"/>
        </w:numPr>
        <w:tabs>
          <w:tab w:val="clear" w:pos="1939"/>
        </w:tabs>
        <w:spacing w:before="240" w:after="120" w:line="240" w:lineRule="auto"/>
        <w:rPr>
          <w:sz w:val="20"/>
          <w:szCs w:val="20"/>
        </w:rPr>
      </w:pPr>
      <w:r>
        <w:rPr>
          <w:sz w:val="20"/>
          <w:szCs w:val="20"/>
        </w:rPr>
        <w:t>Service Provider has the operational capability to maintain business continuity in accordance with the BC/DR Addendum.</w:t>
      </w:r>
    </w:p>
    <w:p w14:paraId="279299E1" w14:textId="27435275" w:rsidR="00FA3E61" w:rsidRPr="00EB1109" w:rsidRDefault="00FA3E61" w:rsidP="00FA3E61">
      <w:pPr>
        <w:pStyle w:val="LegalLevel2"/>
        <w:numPr>
          <w:ilvl w:val="1"/>
          <w:numId w:val="4"/>
        </w:numPr>
        <w:spacing w:before="240" w:line="240" w:lineRule="auto"/>
        <w:rPr>
          <w:sz w:val="20"/>
          <w:szCs w:val="20"/>
        </w:rPr>
      </w:pPr>
      <w:r>
        <w:rPr>
          <w:sz w:val="20"/>
          <w:szCs w:val="20"/>
          <w:u w:val="single"/>
        </w:rPr>
        <w:t>Survival</w:t>
      </w:r>
      <w:r>
        <w:rPr>
          <w:sz w:val="20"/>
          <w:szCs w:val="20"/>
        </w:rPr>
        <w:t xml:space="preserve">. The representations and warranties set forth in this Section 15 (Representations and Warranties) shall survive the termination or expiration of this Agreement or any Order Form to the </w:t>
      </w:r>
      <w:r>
        <w:rPr>
          <w:sz w:val="20"/>
          <w:szCs w:val="20"/>
        </w:rPr>
        <w:lastRenderedPageBreak/>
        <w:t>extent relating to pre-termination or pre-expiration performance under this Agreement or such Order Form.</w:t>
      </w:r>
    </w:p>
    <w:p w14:paraId="3E260BC1" w14:textId="5CBF10C5"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Indemnification</w:t>
      </w:r>
      <w:r>
        <w:rPr>
          <w:sz w:val="20"/>
          <w:szCs w:val="20"/>
        </w:rPr>
        <w:t>.</w:t>
      </w:r>
    </w:p>
    <w:p w14:paraId="549DBBBC" w14:textId="363E2410" w:rsidR="00FA3E61" w:rsidRPr="00EB1109" w:rsidRDefault="00FA3E61" w:rsidP="00FA3E61">
      <w:pPr>
        <w:pStyle w:val="LegalLevel2"/>
        <w:numPr>
          <w:ilvl w:val="1"/>
          <w:numId w:val="4"/>
        </w:numPr>
        <w:spacing w:before="240" w:line="240" w:lineRule="auto"/>
        <w:rPr>
          <w:sz w:val="20"/>
          <w:szCs w:val="20"/>
        </w:rPr>
      </w:pPr>
      <w:r>
        <w:rPr>
          <w:sz w:val="20"/>
          <w:szCs w:val="20"/>
          <w:u w:val="single"/>
        </w:rPr>
        <w:t>General Indemnification</w:t>
      </w:r>
      <w:r>
        <w:rPr>
          <w:sz w:val="20"/>
          <w:szCs w:val="20"/>
        </w:rPr>
        <w:t xml:space="preserve">. Service Provider agrees to indemnify, defend, and hold harmless Customer and its Affiliates, and their respective past and present officers, directors, employees, agents, successors, and assigns (each, an “Indemnitee,” and collectively, the “Customer Indemnified Parties”) from and against any and all liabilities, damages, losses, expenses, claims, demands, suits, fines, or judgments (each, a “Claim,” and collectively, the “Claims”), including reasonable attorneys’ fees, costs, and expenses incidental thereto, which may be suffered by, incurred by, accrued against, charged to, or recoverable from any Indemnitee, by reason of any third party Claim arising out of or relating to, including, without limitation: (a) bodily injury (including death) or damage to tangible personal or real property caused by Service Provider, its personnel, or its Subcontractors; (b) any failure to compensate or otherwise perform any employer’s obligation imposed by Applicable Law or contract with respect to any of Service Provider’s personnel; (c) any payment required to be paid to Subcontractors, if any, of Service Provider; or (d) any Data Breach, Security Incident, or unauthorized access to, disclosure of, or loss of Customer Data caused by or attributable to Service Provider, its Subcontractors, or its Sub-processors; provided, however, that the foregoing indemnity shall not apply to the extent that the applicable Claim resulted from the acts or omissions of an Indemnitee. With respect to Claims arising under clause (d), the scope of indemnifiable losses shall include, in addition to the foregoing, regulatory fines and penalties to the extent insurable and indemnifiable by law, notification costs, credit monitoring costs, forensic investigation costs, and public relations costs. For the avoidance of doubt, </w:t>
      </w:r>
      <w:proofErr w:type="gramStart"/>
      <w:r>
        <w:rPr>
          <w:sz w:val="20"/>
          <w:szCs w:val="20"/>
        </w:rPr>
        <w:t>this Section</w:t>
      </w:r>
      <w:proofErr w:type="gramEnd"/>
      <w:r>
        <w:rPr>
          <w:sz w:val="20"/>
          <w:szCs w:val="20"/>
        </w:rPr>
        <w:t xml:space="preserve"> 16.1 (General Indemnification) applies solely to third party Claims and does not create a first-party cause of action between the Parties; direct damages for breach of warranty, breach of covenant, or other contractual obligations are governed by Section 17 (Limitation of Liability).</w:t>
      </w:r>
    </w:p>
    <w:p w14:paraId="42380638" w14:textId="6D318D4A" w:rsidR="00FA3E61" w:rsidRPr="00EB1109" w:rsidRDefault="00FA3E61" w:rsidP="00FA3E61">
      <w:pPr>
        <w:pStyle w:val="LegalLevel2"/>
        <w:numPr>
          <w:ilvl w:val="1"/>
          <w:numId w:val="4"/>
        </w:numPr>
        <w:spacing w:before="240" w:line="240" w:lineRule="auto"/>
        <w:rPr>
          <w:sz w:val="20"/>
          <w:szCs w:val="20"/>
        </w:rPr>
      </w:pPr>
      <w:r>
        <w:rPr>
          <w:sz w:val="20"/>
          <w:szCs w:val="20"/>
          <w:u w:val="single"/>
        </w:rPr>
        <w:t>Intellectual Property Indemnification</w:t>
      </w:r>
      <w:r>
        <w:rPr>
          <w:sz w:val="20"/>
          <w:szCs w:val="20"/>
        </w:rPr>
        <w:t xml:space="preserve">. Service Provider shall defend, indemnify, and hold harmless the Customer Indemnified Parties from and against any </w:t>
      </w:r>
      <w:proofErr w:type="gramStart"/>
      <w:r>
        <w:rPr>
          <w:sz w:val="20"/>
          <w:szCs w:val="20"/>
        </w:rPr>
        <w:t>third party</w:t>
      </w:r>
      <w:proofErr w:type="gramEnd"/>
      <w:r>
        <w:rPr>
          <w:sz w:val="20"/>
          <w:szCs w:val="20"/>
        </w:rPr>
        <w:t xml:space="preserve"> Claim that the Services, or Customer’s use thereof in accordance with this Agreement, infringe, misappropriate, or otherwise violate any patent, copyright, trademark, trade secret, or other Intellectual Property right of a third party. This obligation extends to Claims arising from AI Features, including Claims related to training data, model architecture, and AI-generated outputs. If a Claim is made or appears likely, Service Provider shall, at its sole cost: (a) procure for Customer the right to continue using the Services; (b) modify the Services to make them non-infringing without materially diminishing functionality; or (c) if neither (a) nor (b) is commercially practicable, terminate the applicable Services and refund all prepaid Fees attributable to the unexpired portion of the then-current term of each applicable Order Form, in which case the transition assistance obligations under Section 13.3 (Transition Pricing) shall apply.</w:t>
      </w:r>
    </w:p>
    <w:p w14:paraId="7A5373E6" w14:textId="21063676" w:rsidR="00FA3E61" w:rsidRPr="00EB1109" w:rsidRDefault="00FA3E61" w:rsidP="00FA3E61">
      <w:pPr>
        <w:pStyle w:val="LegalLevel2"/>
        <w:numPr>
          <w:ilvl w:val="1"/>
          <w:numId w:val="4"/>
        </w:numPr>
        <w:spacing w:before="240" w:line="240" w:lineRule="auto"/>
        <w:rPr>
          <w:sz w:val="20"/>
          <w:szCs w:val="20"/>
        </w:rPr>
      </w:pPr>
      <w:r>
        <w:rPr>
          <w:sz w:val="20"/>
          <w:szCs w:val="20"/>
          <w:u w:val="single"/>
        </w:rPr>
        <w:t>Indemnification Procedures</w:t>
      </w:r>
      <w:r>
        <w:rPr>
          <w:sz w:val="20"/>
          <w:szCs w:val="20"/>
        </w:rPr>
        <w:t>. The Party seeking indemnification (the “Indemnified Party”) shall: (a) provide prompt written notice to the Party from whom indemnification is sought (the “Indemnifying Party”) of any Claim (provided that failure to provide timely notice shall not relieve the Indemnifying Party of its obligations except to the extent materially prejudiced by such delay); (b) grant the Indemnifying Party sole control of the defense and settlement of such Claim (provided that the Indemnifying Party shall not settle any Claim that imposes any obligation on, or requires any admission by, the Indemnified Party without the Indemnified Party’s prior written consent); and (c) provide reasonable cooperation in the defense of such Claim at the Indemnifying Party’s expense.</w:t>
      </w:r>
    </w:p>
    <w:p w14:paraId="6E922B6C" w14:textId="7A534092" w:rsidR="00FA3E61" w:rsidRPr="00EB1109" w:rsidRDefault="00FA3E61" w:rsidP="00FA3E61">
      <w:pPr>
        <w:pStyle w:val="LegalLevel2"/>
        <w:numPr>
          <w:ilvl w:val="1"/>
          <w:numId w:val="4"/>
        </w:numPr>
        <w:spacing w:before="240" w:line="240" w:lineRule="auto"/>
        <w:rPr>
          <w:sz w:val="20"/>
          <w:szCs w:val="20"/>
        </w:rPr>
      </w:pPr>
      <w:r>
        <w:rPr>
          <w:sz w:val="20"/>
          <w:szCs w:val="20"/>
          <w:u w:val="single"/>
        </w:rPr>
        <w:t>Survival</w:t>
      </w:r>
      <w:r>
        <w:rPr>
          <w:sz w:val="20"/>
          <w:szCs w:val="20"/>
        </w:rPr>
        <w:t>. The provisions of this Section 16 (Indemnification) shall survive the termination or expiration of this Agreement or any Order Form.</w:t>
      </w:r>
    </w:p>
    <w:p w14:paraId="7898CB96" w14:textId="66E122AA"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Limitation of Liability</w:t>
      </w:r>
      <w:r>
        <w:rPr>
          <w:sz w:val="20"/>
          <w:szCs w:val="20"/>
        </w:rPr>
        <w:t>.</w:t>
      </w:r>
    </w:p>
    <w:p w14:paraId="2D567AEA" w14:textId="04A40839" w:rsidR="00FA3E61" w:rsidRPr="001A0B32" w:rsidRDefault="00FA3E61" w:rsidP="001173E6">
      <w:pPr>
        <w:pStyle w:val="LegalLevel2"/>
        <w:numPr>
          <w:ilvl w:val="1"/>
          <w:numId w:val="4"/>
        </w:numPr>
        <w:spacing w:before="240" w:line="240" w:lineRule="auto"/>
        <w:rPr>
          <w:sz w:val="20"/>
          <w:szCs w:val="20"/>
        </w:rPr>
      </w:pPr>
      <w:r>
        <w:rPr>
          <w:sz w:val="20"/>
          <w:szCs w:val="20"/>
          <w:u w:val="single"/>
        </w:rPr>
        <w:t>General Cap</w:t>
      </w:r>
      <w:r>
        <w:rPr>
          <w:sz w:val="20"/>
          <w:szCs w:val="20"/>
        </w:rPr>
        <w:t xml:space="preserve">. A PARTY SHALL BE LIABLE TO THE OTHER FOR ANY DIRECT DAMAGES ARISING OUT OF OR RELATING TO ITS PERFORMANCE OR FAILURE TO PERFORM UNDER THIS AGREEMENT; PROVIDED, HOWEVER, THAT EXCEPT FOR THE OBLIGATIONS SET </w:t>
      </w:r>
      <w:r>
        <w:rPr>
          <w:sz w:val="20"/>
          <w:szCs w:val="20"/>
        </w:rPr>
        <w:lastRenderedPageBreak/>
        <w:t xml:space="preserve">FORTH IN SECTION 17.2 (EXCEPTIONS TO GENERAL CAP), THE LIABILITY OF A PARTY, WHETHER BASED ON AN ACTION OR CLAIM IN CONTRACT, EQUITY, NEGLIGENCE, TORT, OR OTHERWISE, FOR ALL EVENTS, ACTS, OR OMISSIONS UNDER THIS AGREEMENT SHALL NOT EXCEED THE GREATER OF: (A) THE TOTAL FEES PAID BY CUSTOMER UNDER THIS AGREEMENT DURING THE TWELVE (12) MONTH PERIOD IMMEDIATELY PRECEDING THE EVENT GIVING RISE TO THE CLAIM; OR (B) [$ AMOUNT] (THE “GENERAL CAP”). THE GENERAL CAP SHALL APPLY IN THE AGGREGATE TO ALL CLAIMS ARISING UNDER THIS AGREEMENT AND NOT ON A PER-CLAIM BASIS. [Alternative: “(A) THE TOTAL FEES PAID OR PAYABLE BY CUSTOMER UNDER THIS AGREEMENT.”] [Alternative: “THE GENERAL CAP SHALL APPLY ON A PER-CLAIM BASIS, WITH NO AGGREGATE LIMIT ON THE TOTAL LIABILITY OF EITHER PARTY ACROSS ALL CLAIMS.”] [Alternative: “17.1 </w:t>
      </w:r>
      <w:r>
        <w:rPr>
          <w:sz w:val="20"/>
          <w:szCs w:val="20"/>
          <w:u w:val="single"/>
        </w:rPr>
        <w:t>General Cap</w:t>
      </w:r>
      <w:r>
        <w:rPr>
          <w:sz w:val="20"/>
          <w:szCs w:val="20"/>
        </w:rPr>
        <w:t>. A PARTY SHALL BE LIABLE TO THE OTHER FOR ANY DIRECT DAMAGES ARISING OUT OF OR RELATING TO ITS PERFORMANCE OR FAILURE TO PERFORM UNDER THIS AGREEMENT; PROVIDED, HOWEVER, THAT EXCEPT FOR THE OBLIGATIONS SET FORTH IN SECTION 17.2 (EXCEPTIONS TO GENERAL CAP), THE LIABILITY OF A PARTY, WHETHER BASED ON AN ACTION OR CLAIM IN CONTRACT, EQUITY, NEGLIGENCE, TORT, OR OTHERWISE, FOR ALL EVENTS, ACTS, OR OMISSIONS UNDER THIS AGREEMENT SHALL NOT EXCEED: (I) WITH RESPECT TO SERVICE PROVIDER, THE GREATER OF: (A) THE TOTAL FEES PAID OR PAYABLE BY CUSTOMER UNDER THIS AGREEMENT; OR (B) [$ AMOUNT]; AND (II) WITH RESPECT TO CUSTOMER, THE GREATER OF: (A) [PERCENTAGE]% OF THE TOTAL FEES PAID OR PAYABLE BY CUSTOMER UNDER THIS AGREEMENT; OR (B) [$ AMOUNT] (COLLECTIVELY, THE “GENERAL CAP”). THE GENERAL CAP SHALL APPLY IN THE AGGREGATE TO ALL CLAIMS ARISING UNDER THIS AGREEMENT AND NOT ON A PER-CLAIM BASIS.”]</w:t>
      </w:r>
    </w:p>
    <w:p w14:paraId="0BD6AA36" w14:textId="4DC900BB" w:rsidR="00FA3E61" w:rsidRPr="001A0B32" w:rsidRDefault="00FA3E61" w:rsidP="001A0B32">
      <w:pPr>
        <w:pStyle w:val="LegalLevel2"/>
        <w:numPr>
          <w:ilvl w:val="1"/>
          <w:numId w:val="4"/>
        </w:numPr>
        <w:spacing w:before="240" w:line="240" w:lineRule="auto"/>
        <w:rPr>
          <w:sz w:val="20"/>
          <w:szCs w:val="20"/>
        </w:rPr>
      </w:pPr>
      <w:r>
        <w:rPr>
          <w:sz w:val="20"/>
          <w:szCs w:val="20"/>
          <w:u w:val="single"/>
        </w:rPr>
        <w:t>Exceptions to General Cap</w:t>
      </w:r>
      <w:r>
        <w:rPr>
          <w:sz w:val="20"/>
          <w:szCs w:val="20"/>
        </w:rPr>
        <w:t xml:space="preserve">. THE GENERAL CAP SHALL NOT APPLY TO THE FOLLOWING MATTERS, WHICH SHALL NOT BE SUBJECT TO ANY CONTRACTUAL LIMITATION OF LIABILITY: (A) A PARTY’S OBLIGATIONS OF INDEMNIFICATION, AS FURTHER DESCRIBED IN THIS AGREEMENT; (B) DAMAGES CAUSED BY A PARTY’S GROSS NEGLIGENCE, WILLFUL MISCONDUCT, OR FRAUD; (C) A PARTY’S BREACH OF ITS OBLIGATIONS OF CONFIDENTIALITY UNDER SECTION 7 (CONFIDENTIAL INFORMATION); AND (D) LIABILITY ARISING FROM A DATA BREACH, SECURITY INCIDENT, OR VIOLATION OF DATA PROTECTION LAWS ATTRIBUTABLE TO SERVICE PROVIDER. [Alternative: “17.2 </w:t>
      </w:r>
      <w:r>
        <w:rPr>
          <w:sz w:val="20"/>
          <w:szCs w:val="20"/>
          <w:u w:val="single"/>
        </w:rPr>
        <w:t>Super Cap</w:t>
      </w:r>
      <w:r>
        <w:rPr>
          <w:sz w:val="20"/>
          <w:szCs w:val="20"/>
        </w:rPr>
        <w:t>. THE GENERAL CAP SHALL NOT APPLY TO THE FOLLOWING MATTERS, WHICH, EXCEPT FOR THE DAMAGES DESCRIBED IN CLAUSE (B), SHALL INSTEAD BE SUBJECT TO AN AGGREGATE LIABILITY OF [TWO (2) / THREE (3)] TIMES THE TOTAL FEES PAID OR PAYABLE BY CUSTOMER UNDER THIS AGREEMENT DURING THE TWELVE (12) MONTH PERIOD IMMEDIATELY PRECEDING THE EVENT GIVING RISE TO THE CLAIM (THE “SUPER CAP”): (A) A PARTY’S OBLIGATIONS OF INDEMNIFICATION, AS FURTHER DESCRIBED IN THIS AGREEMENT; (B) DAMAGES CAUSED BY A PARTY’S GROSS NEGLIGENCE, WILLFUL MISCONDUCT, OR FRAUD, WHICH SHALL NOT BE SUBJECT TO THE SUPER CAP OR TO ANY OTHER CONTRACTUAL LIMITATION OF LIABILITY; (C) A PARTY’S BREACH OF ITS OBLIGATIONS OF CONFIDENTIALITY UNDER SECTION 7 (CONFIDENTIAL INFORMATION); AND (D) LIABILITY ARISING FROM A DATA BREACH, SECURITY INCIDENT, OR VIOLATION OF DATA PROTECTION LAWS ATTRIBUTABLE TO SERVICE PROVIDER.”]</w:t>
      </w:r>
    </w:p>
    <w:p w14:paraId="454C8BD2" w14:textId="58FD5F57" w:rsidR="00FA3E61" w:rsidRPr="00EB1109" w:rsidRDefault="00FA3E61" w:rsidP="00FA3E61">
      <w:pPr>
        <w:pStyle w:val="LegalLevel2"/>
        <w:numPr>
          <w:ilvl w:val="1"/>
          <w:numId w:val="4"/>
        </w:numPr>
        <w:spacing w:before="240" w:line="240" w:lineRule="auto"/>
        <w:rPr>
          <w:sz w:val="20"/>
          <w:szCs w:val="20"/>
        </w:rPr>
      </w:pPr>
      <w:r>
        <w:rPr>
          <w:sz w:val="20"/>
          <w:szCs w:val="20"/>
          <w:u w:val="single"/>
        </w:rPr>
        <w:t>Relationship to Insurance</w:t>
      </w:r>
      <w:r>
        <w:rPr>
          <w:sz w:val="20"/>
          <w:szCs w:val="20"/>
        </w:rPr>
        <w:t xml:space="preserve">. Nothing in </w:t>
      </w:r>
      <w:proofErr w:type="gramStart"/>
      <w:r>
        <w:rPr>
          <w:sz w:val="20"/>
          <w:szCs w:val="20"/>
        </w:rPr>
        <w:t>this Section</w:t>
      </w:r>
      <w:proofErr w:type="gramEnd"/>
      <w:r>
        <w:rPr>
          <w:sz w:val="20"/>
          <w:szCs w:val="20"/>
        </w:rPr>
        <w:t xml:space="preserve"> 17 (Limitation of Liability) shall be construed to diminish, replace, or limit Service Provider’s obligations to maintain insurance coverage as set forth in Section 18 (Insurance) or any applicable Insurance Addendum. Service Provider’s liability under this Agreement shall not be reduced by the amount of any insurance proceeds </w:t>
      </w:r>
      <w:proofErr w:type="gramStart"/>
      <w:r>
        <w:rPr>
          <w:sz w:val="20"/>
          <w:szCs w:val="20"/>
        </w:rPr>
        <w:t>actually received</w:t>
      </w:r>
      <w:proofErr w:type="gramEnd"/>
      <w:r>
        <w:rPr>
          <w:sz w:val="20"/>
          <w:szCs w:val="20"/>
        </w:rPr>
        <w:t xml:space="preserve"> or receivable by Customer, and the limitations set forth herein shall not limit Customer’s right to recover under any applicable insurance policy maintained by Service Provider.</w:t>
      </w:r>
    </w:p>
    <w:p w14:paraId="249CC597" w14:textId="0B3F646D" w:rsidR="00FA3E61" w:rsidRPr="00EB1109" w:rsidRDefault="00FA3E61" w:rsidP="00FA3E61">
      <w:pPr>
        <w:pStyle w:val="LegalLevel2"/>
        <w:numPr>
          <w:ilvl w:val="1"/>
          <w:numId w:val="4"/>
        </w:numPr>
        <w:spacing w:before="240" w:line="240" w:lineRule="auto"/>
        <w:rPr>
          <w:sz w:val="20"/>
          <w:szCs w:val="20"/>
        </w:rPr>
      </w:pPr>
      <w:r>
        <w:rPr>
          <w:sz w:val="20"/>
          <w:szCs w:val="20"/>
          <w:u w:val="single"/>
        </w:rPr>
        <w:t>Exclusion of Consequential Damages</w:t>
      </w:r>
      <w:r>
        <w:rPr>
          <w:sz w:val="20"/>
          <w:szCs w:val="20"/>
        </w:rPr>
        <w:t xml:space="preserve">. EXCEPT AS SET FORTH IN THIS SECTION 17.4, NEITHER PARTY SHALL BE LIABLE TO THE OTHER FOR ANY INDIRECT, INCIDENTAL, SPECIAL, CONSEQUENTIAL, PUNITIVE, OR EXEMPLARY DAMAGES, INCLUDING LOST PROFITS, LOST REVENUE, LOSS OF BUSINESS OPPORTUNITY, OR COST OF COVER, ARISING OUT OF OR RELATING TO THIS AGREEMENT, REGARDLESS OF THE THEORY OF </w:t>
      </w:r>
      <w:r>
        <w:rPr>
          <w:sz w:val="20"/>
          <w:szCs w:val="20"/>
        </w:rPr>
        <w:lastRenderedPageBreak/>
        <w:t>LIABILITY (CONTRACT, TORT, STRICT LIABILITY, OR OTHERWISE) AND EVEN IF SUCH PARTY HAS BEEN ADVISED OF THE POSSIBILITY OF SUCH DAMAGES. NOTWITHSTANDING THE FOREGOING, THE EXCLUSION OF CONSEQUENTIAL DAMAGES SHALL NOT APPLY TO THE FOLLOWING CATEGORIES OF LOSSES TO THE EXTENT ARISING FROM THE MATTERS DESCRIBED IN SECTION 17.2 (EXCEPTIONS TO GENERAL CAP): (I) COSTS OF LEGALLY REQUIRED NOTIFICATION TO AFFECTED DATA SUBJECTS; (II) CREDIT MONITORING AND IDENTITY PROTECTION SERVICES FOR AFFECTED DATA SUBJECTS; (III) FORENSIC INVESTIGATION AND INCIDENT RESPONSE COSTS; (IV) REGULATORY FINES AND PENALTIES TO THE EXTENT INSURABLE AND INDEMNIFIABLE BY LAW; (V) DATA RESTORATION AND RECOVERY COSTS; AND (VI) CUSTOMER’S REASONABLE COSTS OF PROCURING SUBSTITUTE SERVICES (COST OF COVER). FOR THE AVOIDANCE OF DOUBT, THE EXCLUSION OF LOST PROFITS AND LOST REVENUE SHALL APPLY TO BOTH PARTIES REGARDLESS OF THE NATURE OF THE UNDERLYING CLAIM, INCLUDING CLAIMS ARISING UNDER SECTION 17.2 (EXCEPTIONS TO GENERAL CAP).</w:t>
      </w:r>
    </w:p>
    <w:p w14:paraId="2D550494" w14:textId="055CD65B" w:rsidR="00FA3E61" w:rsidRPr="00EB1109" w:rsidRDefault="00FA3E61" w:rsidP="00FA3E61">
      <w:pPr>
        <w:pStyle w:val="LegalLevel2"/>
        <w:numPr>
          <w:ilvl w:val="1"/>
          <w:numId w:val="4"/>
        </w:numPr>
        <w:spacing w:before="240" w:line="240" w:lineRule="auto"/>
        <w:rPr>
          <w:sz w:val="20"/>
          <w:szCs w:val="20"/>
        </w:rPr>
      </w:pPr>
      <w:r>
        <w:rPr>
          <w:sz w:val="20"/>
          <w:szCs w:val="20"/>
          <w:u w:val="single"/>
        </w:rPr>
        <w:t>Survival</w:t>
      </w:r>
      <w:r>
        <w:rPr>
          <w:sz w:val="20"/>
          <w:szCs w:val="20"/>
        </w:rPr>
        <w:t>. The provisions of this Section 17 (Limitation of Liability) shall survive the termination or expiration of this Agreement or any Order Form.</w:t>
      </w:r>
    </w:p>
    <w:p w14:paraId="57AA8737" w14:textId="60037363" w:rsidR="006944BC" w:rsidRPr="00514C44" w:rsidRDefault="00FA3E61" w:rsidP="00514C44">
      <w:pPr>
        <w:pStyle w:val="LegalLevel1"/>
        <w:numPr>
          <w:ilvl w:val="0"/>
          <w:numId w:val="4"/>
        </w:numPr>
        <w:tabs>
          <w:tab w:val="num" w:pos="1939"/>
        </w:tabs>
        <w:spacing w:before="240" w:line="240" w:lineRule="auto"/>
        <w:rPr>
          <w:sz w:val="20"/>
          <w:szCs w:val="20"/>
        </w:rPr>
      </w:pPr>
      <w:r>
        <w:rPr>
          <w:sz w:val="20"/>
          <w:szCs w:val="20"/>
          <w:u w:val="single"/>
        </w:rPr>
        <w:t>Insurance</w:t>
      </w:r>
      <w:r>
        <w:rPr>
          <w:sz w:val="20"/>
          <w:szCs w:val="20"/>
        </w:rPr>
        <w:t xml:space="preserve">. Service Provider shall obtain and maintain, at its sole cost and expense, insurance coverages of the types and in the minimum amounts described in the Insurance Addendum. </w:t>
      </w:r>
      <w:proofErr w:type="gramStart"/>
      <w:r>
        <w:rPr>
          <w:sz w:val="20"/>
          <w:szCs w:val="20"/>
        </w:rPr>
        <w:t>Customer</w:t>
      </w:r>
      <w:proofErr w:type="gramEnd"/>
      <w:r>
        <w:rPr>
          <w:sz w:val="20"/>
          <w:szCs w:val="20"/>
        </w:rPr>
        <w:t xml:space="preserve"> may request adjustments to coverage types or limits as provided in Section 1 (Required Coverage Types and Minimum Amounts) of the Insurance Addendum. The insurance requirements set forth in this Agreement and the Insurance Addendum shall not limit or reduce Service Provider’s obligations, including Service Provider’s indemnification obligations, under this Agreement.</w:t>
      </w:r>
    </w:p>
    <w:p w14:paraId="7EE9DA04" w14:textId="7F6E8363"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Proprietary Rights</w:t>
      </w:r>
      <w:r>
        <w:rPr>
          <w:sz w:val="20"/>
          <w:szCs w:val="20"/>
        </w:rPr>
        <w:t>.</w:t>
      </w:r>
    </w:p>
    <w:p w14:paraId="6C5DC2D0" w14:textId="792D6865"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 Provider Intellectual Property</w:t>
      </w:r>
      <w:r>
        <w:rPr>
          <w:sz w:val="20"/>
          <w:szCs w:val="20"/>
        </w:rPr>
        <w:t>. Service Provider retains all right, title, and interest in and to the Services, the underlying software, technology, and infrastructure, and all modifications, enhancements, and derivative works thereof (collectively, “Service Provider IP”), subject to the rights granted to Customer under this Agreement. Nothing in this Agreement shall be construed to transfer ownership of Service Provider IP to Customer.</w:t>
      </w:r>
    </w:p>
    <w:p w14:paraId="64078D09" w14:textId="0D9D8226"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Intellectual Property</w:t>
      </w:r>
      <w:r>
        <w:rPr>
          <w:sz w:val="20"/>
          <w:szCs w:val="20"/>
        </w:rPr>
        <w:t>. Customer retains all right, title, and interest in and to all Customer Data, Customer’s pre-existing Intellectual Property, trademarks, trade names, and materials provided by Customer in connection with the Services (collectively, “Customer Intellectual Property”). Nothing in this Agreement shall be construed to transfer ownership of any Customer Intellectual Property to Service Provider.</w:t>
      </w:r>
    </w:p>
    <w:p w14:paraId="10BA8CA1" w14:textId="23581F9B" w:rsidR="00FA3E61" w:rsidRPr="00EB1109" w:rsidRDefault="00FA3E61" w:rsidP="00FA3E61">
      <w:pPr>
        <w:pStyle w:val="LegalLevel2"/>
        <w:numPr>
          <w:ilvl w:val="1"/>
          <w:numId w:val="4"/>
        </w:numPr>
        <w:spacing w:before="240" w:line="240" w:lineRule="auto"/>
        <w:rPr>
          <w:sz w:val="20"/>
          <w:szCs w:val="20"/>
        </w:rPr>
      </w:pPr>
      <w:r>
        <w:rPr>
          <w:sz w:val="20"/>
          <w:szCs w:val="20"/>
          <w:u w:val="single"/>
        </w:rPr>
        <w:t>License Grant and Acknowledgment</w:t>
      </w:r>
      <w:r>
        <w:rPr>
          <w:sz w:val="20"/>
          <w:szCs w:val="20"/>
        </w:rPr>
        <w:t>. The Parties acknowledge that this Agreement is a services agreement and does not constitute a sale or grant of a license to any software. To the extent any court of competent jurisdiction determines that a license has been granted, the Parties acknowledge that Customer’s rights under this Agreement include all rights and protections available to a licensee of Intellectual Property under Section 365(n) of the United States Bankruptcy Code (11 U.S.C. § 365(n)), including the right to retain and use the Services and all associated Intellectual Property in the event of Service Provider’s bankruptcy or insolvency.</w:t>
      </w:r>
    </w:p>
    <w:p w14:paraId="5FB1C7B7" w14:textId="06C14911"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Force Majeure</w:t>
      </w:r>
      <w:r>
        <w:rPr>
          <w:sz w:val="20"/>
          <w:szCs w:val="20"/>
        </w:rPr>
        <w:t>.</w:t>
      </w:r>
    </w:p>
    <w:p w14:paraId="42479F68" w14:textId="401CB6CA" w:rsidR="00FA3E61" w:rsidRPr="00EB1109" w:rsidRDefault="00FA3E61" w:rsidP="00FA3E61">
      <w:pPr>
        <w:pStyle w:val="LegalLevel2"/>
        <w:numPr>
          <w:ilvl w:val="1"/>
          <w:numId w:val="4"/>
        </w:numPr>
        <w:spacing w:before="240" w:line="240" w:lineRule="auto"/>
        <w:rPr>
          <w:sz w:val="20"/>
          <w:szCs w:val="20"/>
        </w:rPr>
      </w:pPr>
      <w:r>
        <w:rPr>
          <w:sz w:val="20"/>
          <w:szCs w:val="20"/>
          <w:u w:val="single"/>
        </w:rPr>
        <w:t>Excused Performance</w:t>
      </w:r>
      <w:r>
        <w:rPr>
          <w:sz w:val="20"/>
          <w:szCs w:val="20"/>
        </w:rPr>
        <w:t xml:space="preserve">. Neither Party shall be liable for any failure or delay in performing its obligations under this Agreement (other than payment obligations) to the extent such failure or delay is caused by a Force Majeure Event. A “Force Majeure Event” means any event beyond the reasonable control of the affected Party, including acts of God, natural disasters, war, terrorism, civil unrest, government actions, and failure of </w:t>
      </w:r>
      <w:proofErr w:type="gramStart"/>
      <w:r>
        <w:rPr>
          <w:sz w:val="20"/>
          <w:szCs w:val="20"/>
        </w:rPr>
        <w:t>third party</w:t>
      </w:r>
      <w:proofErr w:type="gramEnd"/>
      <w:r>
        <w:rPr>
          <w:sz w:val="20"/>
          <w:szCs w:val="20"/>
        </w:rPr>
        <w:t xml:space="preserve"> telecommunications or power services. Any such excuse for failure or delay shall last only as long as the event remains beyond the reasonable control of the affected Party.</w:t>
      </w:r>
    </w:p>
    <w:p w14:paraId="50BB3026" w14:textId="17044DEC"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Exclusions</w:t>
      </w:r>
      <w:r>
        <w:rPr>
          <w:sz w:val="20"/>
          <w:szCs w:val="20"/>
        </w:rPr>
        <w:t>. Notwithstanding the foregoing, the following shall expressly not constitute Force Majeure Events and shall not excuse Service Provider’s performance: (a) cybersecurity incidents, data breaches, ransomware attacks, distributed denial-of-service attacks, and other information security events; (b) failures of Service Provider’s systems, infrastructure, or Subcontractors; (c) configuration changes, updates, or other changes, Viruses, or other errors or omissions introduced, or permitted to be introduced, by Service Provider that result in an outage or inability of Customer to access or use the Services; (d) changes in market conditions, economic downturns, or increases in Service Provider’s costs of performance; and (e) any event, including an otherwise qualifying Force Majeure Event, to the extent that the impact of such event on the Services would have been prevented or materially mitigated had Service Provider implemented and maintained industry-standard practices for software-as-a-service and cloud service providers, including practices relating to geographic redundancy, infrastructure resilience, redundant network connectivity, capacity planning, and disaster recovery.</w:t>
      </w:r>
    </w:p>
    <w:p w14:paraId="3832F3B4" w14:textId="4683BE45" w:rsidR="00FA3E61" w:rsidRPr="00EB1109" w:rsidRDefault="00FA3E61" w:rsidP="00FA3E61">
      <w:pPr>
        <w:pStyle w:val="LegalLevel2"/>
        <w:numPr>
          <w:ilvl w:val="1"/>
          <w:numId w:val="4"/>
        </w:numPr>
        <w:spacing w:before="240" w:line="240" w:lineRule="auto"/>
        <w:rPr>
          <w:sz w:val="20"/>
          <w:szCs w:val="20"/>
        </w:rPr>
      </w:pPr>
      <w:r>
        <w:rPr>
          <w:sz w:val="20"/>
          <w:szCs w:val="20"/>
          <w:u w:val="single"/>
        </w:rPr>
        <w:t>Notice, Mitigation, and Documentation</w:t>
      </w:r>
      <w:r>
        <w:rPr>
          <w:sz w:val="20"/>
          <w:szCs w:val="20"/>
        </w:rPr>
        <w:t>. The Party affected by a Force Majeure Event shall provide prompt written notice to the other Party describing the event and its expected duration, and shall inform the other Party of its plans to resume performance. Failure to provide prompt notice shall preclude the affected Party from claiming excuse under this Section for the period preceding such notice. The affected Party shall use its best efforts to minimize the impact of the Force Majeure Event and to resume performance as promptly as practicable. Where Service Provider fails to use its best efforts to minimize delays caused by a Force Majeure Event, the delays shall be included in the determination of Service Level achievement under Section 9 (Service Levels) and the applicable Service Level Addendum. Service Provider shall maintain detailed records of the Force Majeure Event, the actions taken to mitigate its impact, and the timeline for resumption of performance, and shall provide such records to Customer upon request.</w:t>
      </w:r>
    </w:p>
    <w:p w14:paraId="15BC0853" w14:textId="5D05AD59" w:rsidR="00FA3E61" w:rsidRPr="00EB1109" w:rsidRDefault="00FA3E61" w:rsidP="00FA3E61">
      <w:pPr>
        <w:pStyle w:val="LegalLevel2"/>
        <w:numPr>
          <w:ilvl w:val="1"/>
          <w:numId w:val="4"/>
        </w:numPr>
        <w:spacing w:before="240" w:line="240" w:lineRule="auto"/>
        <w:rPr>
          <w:sz w:val="20"/>
          <w:szCs w:val="20"/>
        </w:rPr>
      </w:pPr>
      <w:r>
        <w:rPr>
          <w:sz w:val="20"/>
          <w:szCs w:val="20"/>
          <w:u w:val="single"/>
        </w:rPr>
        <w:t>Surviving Obligations</w:t>
      </w:r>
      <w:r>
        <w:rPr>
          <w:sz w:val="20"/>
          <w:szCs w:val="20"/>
        </w:rPr>
        <w:t>. A Force Majeure Event shall not relieve Service Provider of its obligations with respect to: (a) data security, data privacy, and the protection of Customer Data; or (b) backup and recovery of Customer Data in accordance with this Agreement and the BC/DR Addendum.</w:t>
      </w:r>
    </w:p>
    <w:p w14:paraId="69981A03" w14:textId="7D5ABEBB" w:rsidR="00FA3E61" w:rsidRPr="00EB1109" w:rsidRDefault="00FA3E61" w:rsidP="00FA3E61">
      <w:pPr>
        <w:pStyle w:val="LegalLevel2"/>
        <w:numPr>
          <w:ilvl w:val="1"/>
          <w:numId w:val="4"/>
        </w:numPr>
        <w:spacing w:before="240" w:line="240" w:lineRule="auto"/>
        <w:rPr>
          <w:sz w:val="20"/>
          <w:szCs w:val="20"/>
        </w:rPr>
      </w:pPr>
      <w:r>
        <w:rPr>
          <w:sz w:val="20"/>
          <w:szCs w:val="20"/>
          <w:u w:val="single"/>
        </w:rPr>
        <w:t>Pandemic and Public Health Emergencies</w:t>
      </w:r>
      <w:r>
        <w:rPr>
          <w:sz w:val="20"/>
          <w:szCs w:val="20"/>
        </w:rPr>
        <w:t>. In the event of a pandemic, epidemic, or public health emergency declared by a recognized governmental or international authority, Service Provider shall activate its business continuity plan (as described in the BC/DR Addendum) and shall use commercially reasonable efforts to continue performing the Services without material interruption.</w:t>
      </w:r>
    </w:p>
    <w:p w14:paraId="02CF1C44" w14:textId="69B1C1C3" w:rsidR="00DD2A4C" w:rsidRPr="00C63ED6" w:rsidRDefault="00FA3E61" w:rsidP="00C63ED6">
      <w:pPr>
        <w:pStyle w:val="LegalLevel2"/>
        <w:numPr>
          <w:ilvl w:val="1"/>
          <w:numId w:val="4"/>
        </w:numPr>
        <w:spacing w:before="240" w:line="240" w:lineRule="auto"/>
        <w:rPr>
          <w:sz w:val="20"/>
          <w:szCs w:val="20"/>
        </w:rPr>
      </w:pPr>
      <w:r>
        <w:rPr>
          <w:sz w:val="20"/>
          <w:szCs w:val="20"/>
          <w:u w:val="single"/>
        </w:rPr>
        <w:t>Prolonged Force Majeure</w:t>
      </w:r>
      <w:r>
        <w:rPr>
          <w:sz w:val="20"/>
          <w:szCs w:val="20"/>
        </w:rPr>
        <w:t xml:space="preserve">. If a Force Majeure Event materially affects the Services under an Order Form for more than sixty (60) consecutive days, the non-affected Party may terminate the affected Order Form upon written notice without penalty. If the Force Majeure Event materially affects all then-current Order Forms or this Agreement </w:t>
      </w:r>
      <w:proofErr w:type="gramStart"/>
      <w:r>
        <w:rPr>
          <w:sz w:val="20"/>
          <w:szCs w:val="20"/>
        </w:rPr>
        <w:t>as a whole for</w:t>
      </w:r>
      <w:proofErr w:type="gramEnd"/>
      <w:r>
        <w:rPr>
          <w:sz w:val="20"/>
          <w:szCs w:val="20"/>
        </w:rPr>
        <w:t xml:space="preserve"> more than sixty (60) consecutive days, the non-affected Party may terminate this Agreement upon written notice without penalty. Any prepaid Fees shall be addressed in accordance with Section 12.5 (Payments upon Termination).</w:t>
      </w:r>
    </w:p>
    <w:p w14:paraId="05B9F64C" w14:textId="1172B594"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Dispute Resolution</w:t>
      </w:r>
      <w:r>
        <w:rPr>
          <w:sz w:val="20"/>
          <w:szCs w:val="20"/>
        </w:rPr>
        <w:t>.</w:t>
      </w:r>
    </w:p>
    <w:p w14:paraId="4A2A64AD" w14:textId="78ACA203" w:rsidR="00FA3E61" w:rsidRPr="00EB1109" w:rsidRDefault="00FA3E61" w:rsidP="00FA3E61">
      <w:pPr>
        <w:pStyle w:val="LegalLevel2"/>
        <w:numPr>
          <w:ilvl w:val="1"/>
          <w:numId w:val="4"/>
        </w:numPr>
        <w:spacing w:before="240" w:line="240" w:lineRule="auto"/>
        <w:rPr>
          <w:sz w:val="20"/>
          <w:szCs w:val="20"/>
        </w:rPr>
      </w:pPr>
      <w:r>
        <w:rPr>
          <w:sz w:val="20"/>
          <w:szCs w:val="20"/>
          <w:u w:val="single"/>
        </w:rPr>
        <w:t>Informal Negotiation</w:t>
      </w:r>
      <w:r>
        <w:rPr>
          <w:sz w:val="20"/>
          <w:szCs w:val="20"/>
        </w:rPr>
        <w:t>. The Parties shall attempt in good faith to resolve any dispute, controversy, or claim arising out of or relating to this Agreement (a “Dispute”) through informal negotiation. Either Party may initiate the informal negotiation process by providing written notice to the other Party describing the Dispute in reasonable detail (a “Dispute Notice”). Within fifteen (15) days of receipt of a Dispute Notice, each Party shall designate a senior executive with authority to resolve the Dispute, and such executives shall meet (in person or by videoconference) at least once within thirty (30) days of the Dispute Notice to attempt resolution.</w:t>
      </w:r>
    </w:p>
    <w:p w14:paraId="57651AFC" w14:textId="2BAF991A" w:rsidR="00FA3E61" w:rsidRPr="00EB1109" w:rsidRDefault="00FA3E61" w:rsidP="00FA3E61">
      <w:pPr>
        <w:pStyle w:val="LegalLevel2"/>
        <w:numPr>
          <w:ilvl w:val="1"/>
          <w:numId w:val="4"/>
        </w:numPr>
        <w:spacing w:before="240" w:line="240" w:lineRule="auto"/>
        <w:rPr>
          <w:sz w:val="20"/>
          <w:szCs w:val="20"/>
        </w:rPr>
      </w:pPr>
      <w:r>
        <w:rPr>
          <w:sz w:val="20"/>
          <w:szCs w:val="20"/>
          <w:u w:val="single"/>
        </w:rPr>
        <w:t>Mediation</w:t>
      </w:r>
      <w:r>
        <w:rPr>
          <w:sz w:val="20"/>
          <w:szCs w:val="20"/>
        </w:rPr>
        <w:t>. If the Dispute is not resolved within thirty (30) days following the Dispute Notice (or such longer period as the Parties may agree), either Party may submit the Dispute to mediation administered by a nationally recognized mediation service mutually agreed upon by the Parties (or, failing agreement, selected by the American Arbitration Association). The mediation shall be conducted in [County, State], and each Party shall bear its own costs of mediation, with the mediator’s fees shared equally.</w:t>
      </w:r>
    </w:p>
    <w:p w14:paraId="5CC92317" w14:textId="199A58D9"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Litigation</w:t>
      </w:r>
      <w:r>
        <w:rPr>
          <w:sz w:val="20"/>
          <w:szCs w:val="20"/>
        </w:rPr>
        <w:t>. If the Dispute is not resolved within sixty (60) days following the commencement of mediation, either Party may pursue litigation in accordance with Section 22.10 (Governing Law).</w:t>
      </w:r>
    </w:p>
    <w:p w14:paraId="2B5418A0" w14:textId="136471D2" w:rsidR="00FA3E61" w:rsidRPr="00EB1109" w:rsidRDefault="00FA3E61" w:rsidP="00FA3E61">
      <w:pPr>
        <w:pStyle w:val="LegalLevel2"/>
        <w:numPr>
          <w:ilvl w:val="1"/>
          <w:numId w:val="4"/>
        </w:numPr>
        <w:spacing w:before="240" w:line="240" w:lineRule="auto"/>
        <w:rPr>
          <w:sz w:val="20"/>
          <w:szCs w:val="20"/>
        </w:rPr>
      </w:pPr>
      <w:r>
        <w:rPr>
          <w:sz w:val="20"/>
          <w:szCs w:val="20"/>
          <w:u w:val="single"/>
        </w:rPr>
        <w:t>Exclusions</w:t>
      </w:r>
      <w:r>
        <w:rPr>
          <w:sz w:val="20"/>
          <w:szCs w:val="20"/>
        </w:rPr>
        <w:t>. Notwithstanding the foregoing, the dispute resolution procedures set forth in Sections 21.1 (Informal Negotiation) and 21.2 (Mediation) shall not apply to, and neither Party shall be required to exhaust such procedures before pursuing any available remedy (including litigation, injunctive relief, or other equitable relief) with respect to: (a) any actual or threatened breach of Section 7 (Confidential Information), including unauthorized disclosure or use of Confidential Information; (b) any actual or threatened breach of any data protection, data security, or privacy obligation under this Agreement, the Data Processing Addendum, or the Data Security Addendum, including any Security Incident; (c) any actual or threatened infringement, misappropriation, or other violation of Intellectual Property rights under Section 5 (Customer Data), Section 19 (Proprietary Rights), or Section 16 (Indemnification); or (d) any claim for which injunctive or other equitable relief is necessary to prevent irreparable harm, including enforcement of the rights set forth in Section 7.5 (Remedies for Breach).</w:t>
      </w:r>
    </w:p>
    <w:p w14:paraId="544181D9"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General</w:t>
      </w:r>
      <w:r>
        <w:rPr>
          <w:sz w:val="20"/>
          <w:szCs w:val="20"/>
        </w:rPr>
        <w:t>.</w:t>
      </w:r>
    </w:p>
    <w:p w14:paraId="701F45DC" w14:textId="0F6F4295" w:rsidR="00FA3E61" w:rsidRPr="00EB1109" w:rsidRDefault="00FA3E61" w:rsidP="00FA3E61">
      <w:pPr>
        <w:pStyle w:val="LegalLevel2"/>
        <w:numPr>
          <w:ilvl w:val="1"/>
          <w:numId w:val="4"/>
        </w:numPr>
        <w:spacing w:before="240" w:line="240" w:lineRule="auto"/>
        <w:rPr>
          <w:sz w:val="20"/>
          <w:szCs w:val="20"/>
        </w:rPr>
      </w:pPr>
      <w:r>
        <w:rPr>
          <w:sz w:val="20"/>
          <w:szCs w:val="20"/>
          <w:u w:val="single"/>
        </w:rPr>
        <w:t>Interpretation and Construction</w:t>
      </w:r>
      <w:r>
        <w:rPr>
          <w:sz w:val="20"/>
          <w:szCs w:val="20"/>
        </w:rPr>
        <w:t>. As used in this Agreement: (a) the term “including” and its variants (such as “include” and “includes”) mean “including, without limitation”; (b) the term “or” is not exclusive; (c) references to “days” mean calendar days unless “Business Days” is expressly specified; (d) references to currency mean United States dollars unless otherwise specified; and (e) the words “herein,” “hereof,” “hereby,” “hereunder,” and similar terms refer to this Agreement as a whole and not to any particular provision.</w:t>
      </w:r>
    </w:p>
    <w:p w14:paraId="7AC7F591" w14:textId="4943BF41" w:rsidR="00FA3E61" w:rsidRPr="00EB1109" w:rsidRDefault="00FA3E61" w:rsidP="00FA3E61">
      <w:pPr>
        <w:pStyle w:val="LegalLevel2"/>
        <w:numPr>
          <w:ilvl w:val="1"/>
          <w:numId w:val="4"/>
        </w:numPr>
        <w:spacing w:before="240" w:line="240" w:lineRule="auto"/>
        <w:rPr>
          <w:sz w:val="20"/>
          <w:szCs w:val="20"/>
        </w:rPr>
      </w:pPr>
      <w:proofErr w:type="gramStart"/>
      <w:r>
        <w:rPr>
          <w:sz w:val="20"/>
          <w:szCs w:val="20"/>
          <w:u w:val="single"/>
        </w:rPr>
        <w:t>Relationship</w:t>
      </w:r>
      <w:proofErr w:type="gramEnd"/>
      <w:r>
        <w:rPr>
          <w:sz w:val="20"/>
          <w:szCs w:val="20"/>
          <w:u w:val="single"/>
        </w:rPr>
        <w:t xml:space="preserve"> </w:t>
      </w:r>
      <w:proofErr w:type="gramStart"/>
      <w:r>
        <w:rPr>
          <w:sz w:val="20"/>
          <w:szCs w:val="20"/>
          <w:u w:val="single"/>
        </w:rPr>
        <w:t>of</w:t>
      </w:r>
      <w:proofErr w:type="gramEnd"/>
      <w:r>
        <w:rPr>
          <w:sz w:val="20"/>
          <w:szCs w:val="20"/>
          <w:u w:val="single"/>
        </w:rPr>
        <w:t xml:space="preserve"> the Parties</w:t>
      </w:r>
      <w:r>
        <w:rPr>
          <w:sz w:val="20"/>
          <w:szCs w:val="20"/>
        </w:rPr>
        <w:t>. The relationship between Customer and Service Provider is that of independent contractors. Nothing in this Agreement shall be construed to create a partnership, joint venture, agency, employment, or franchise relationship between the Parties. Neither Party shall have authority to bind the other or incur obligations on the other’s behalf. This Agreement is non-exclusive, and nothing in this Agreement shall restrict Customer’s right to obtain similar services from third parties.</w:t>
      </w:r>
    </w:p>
    <w:p w14:paraId="6424A433" w14:textId="3A5A17EF" w:rsidR="00FA3E61" w:rsidRPr="00EB1109" w:rsidRDefault="00254B3A" w:rsidP="00FA3E61">
      <w:pPr>
        <w:pStyle w:val="LegalLevel2"/>
        <w:numPr>
          <w:ilvl w:val="1"/>
          <w:numId w:val="4"/>
        </w:numPr>
        <w:spacing w:before="240" w:line="240" w:lineRule="auto"/>
        <w:rPr>
          <w:sz w:val="20"/>
          <w:szCs w:val="20"/>
        </w:rPr>
      </w:pPr>
      <w:r>
        <w:rPr>
          <w:sz w:val="20"/>
          <w:szCs w:val="20"/>
          <w:u w:val="single"/>
        </w:rPr>
        <w:t>Third Party Beneficiaries</w:t>
      </w:r>
      <w:r>
        <w:rPr>
          <w:sz w:val="20"/>
          <w:szCs w:val="20"/>
        </w:rPr>
        <w:t>. For purposes of Section 16 (Indemnification) and Service Provider’s obligations thereunder, non-party Customer Indemnified Parties are third party beneficiaries of this Agreement in accordance with its terms. Any action or consent taken by Customer on its own behalf is binding upon the non-party Customer Indemnified Parties for purposes of Section 16 (Indemnification). Other than as provided for in this Section 22.3 (Third Party Beneficiaries), this Agreement is for the sole benefit of the Parties and their permitted successors and assigns. Nothing, express or implied, in this Agreement is intended to create or be construed to create any rights of enforcement in any persons or entities who are neither Parties to this Agreement nor Customer Indemnified Parties.</w:t>
      </w:r>
    </w:p>
    <w:p w14:paraId="6CBC215A" w14:textId="38C6B80D" w:rsidR="00FA3E61" w:rsidRPr="00EB1109" w:rsidRDefault="00FA3E61" w:rsidP="00FA3E61">
      <w:pPr>
        <w:pStyle w:val="LegalLevel2"/>
        <w:numPr>
          <w:ilvl w:val="1"/>
          <w:numId w:val="4"/>
        </w:numPr>
        <w:spacing w:before="240" w:line="240" w:lineRule="auto"/>
        <w:rPr>
          <w:sz w:val="20"/>
          <w:szCs w:val="20"/>
        </w:rPr>
      </w:pPr>
      <w:r>
        <w:rPr>
          <w:sz w:val="20"/>
          <w:szCs w:val="20"/>
          <w:u w:val="single"/>
        </w:rPr>
        <w:t>Compliance with Laws</w:t>
      </w:r>
      <w:r>
        <w:rPr>
          <w:sz w:val="20"/>
          <w:szCs w:val="20"/>
        </w:rPr>
        <w:t>. Service Provider shall comply with all Applicable Law in its performance of the Services, including Data Protection Laws, export control laws, anti-money laundering laws, and accessibility laws. Service Provider shall: (a) monitor changes in Applicable Law that may affect its obligations under this Agreement and promptly notify Customer of any such changes; and (b) implement changes required by new or amended Applicable Law at Service Provider’s sole cost and expense within a commercially reasonable time.</w:t>
      </w:r>
    </w:p>
    <w:p w14:paraId="085857F5" w14:textId="1F99CE6A" w:rsidR="00FA3E61" w:rsidRPr="00EB1109" w:rsidRDefault="00FA3E61" w:rsidP="00FA3E61">
      <w:pPr>
        <w:pStyle w:val="LegalLevel2"/>
        <w:numPr>
          <w:ilvl w:val="1"/>
          <w:numId w:val="4"/>
        </w:numPr>
        <w:spacing w:before="240" w:line="240" w:lineRule="auto"/>
        <w:rPr>
          <w:sz w:val="20"/>
          <w:szCs w:val="20"/>
        </w:rPr>
      </w:pPr>
      <w:r>
        <w:rPr>
          <w:sz w:val="20"/>
          <w:szCs w:val="20"/>
          <w:u w:val="single"/>
        </w:rPr>
        <w:t>Anti-Corruption and Sanctions</w:t>
      </w:r>
      <w:r>
        <w:rPr>
          <w:sz w:val="20"/>
          <w:szCs w:val="20"/>
        </w:rPr>
        <w:t>. Each Party represents, warrants, and covenants that it shall comply with all applicable anti-corruption and anti-bribery laws, including the U.S. Foreign Corrupt Practices Act and the UK Bribery Act 2010, and all applicable economic and trade sanctions laws and regulations. Neither Party shall, directly or indirectly, offer, pay, promise, or authorize the payment of anything of value to any government official, political party, or public international organization for the purpose of influencing any act or decision or securing any improper advantage in connection with this Agreement.</w:t>
      </w:r>
    </w:p>
    <w:p w14:paraId="403318F6" w14:textId="1DE1B03E"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Regulatory Change</w:t>
      </w:r>
      <w:r>
        <w:rPr>
          <w:sz w:val="20"/>
          <w:szCs w:val="20"/>
        </w:rPr>
        <w:t>. In the event a change in Applicable Law (including the enactment of new data protection, artificial intelligence, cybersecurity, or industry-specific regulations) materially affects the legality, cost, or feasibility of the Services or any material component thereof, either Party may provide written notice to the other Party describing the regulatory change and its impact. Within thirty (30) days of such notice, the Parties shall meet in good faith to discuss modifications to this Agreement necessary to achieve compliance with the regulatory change while preserving, to the extent commercially practicable, the economic balance and operational expectations of the Parties. If the Parties are unable to agree on necessary modifications within sixty (60) days of such notice, Customer may terminate this Agreement or the applicable Order Form without penalty and shall be entitled to a pro rata refund of any prepaid Fees attributable to the unexpired portion of the then-current term of each applicable Order Form. Service Provider shall bear the costs of any modifications to the Services required to achieve compliance with new or amended Applicable Law, unless the regulatory change fundamentally alters the nature or scope of the Services (meaning it requires Service Provider to materially redesign the core architecture or delivery method of the Services, obtain new licenses, certifications, or regulatory approvals not previously required, or incur documented compliance costs exceeding [ten percent (10%)] of the annual Fees under the applicable Order Form), in which case the Parties shall negotiate cost allocation in good faith.</w:t>
      </w:r>
    </w:p>
    <w:p w14:paraId="03516FBC" w14:textId="7633084C" w:rsidR="00FA3E61" w:rsidRPr="00EB1109" w:rsidRDefault="00FA3E61" w:rsidP="00FA3E61">
      <w:pPr>
        <w:pStyle w:val="LegalLevel2"/>
        <w:numPr>
          <w:ilvl w:val="1"/>
          <w:numId w:val="4"/>
        </w:numPr>
        <w:spacing w:before="240" w:line="240" w:lineRule="auto"/>
        <w:rPr>
          <w:sz w:val="20"/>
          <w:szCs w:val="20"/>
        </w:rPr>
      </w:pPr>
      <w:r>
        <w:rPr>
          <w:sz w:val="20"/>
          <w:szCs w:val="20"/>
          <w:u w:val="single"/>
        </w:rPr>
        <w:t>Cooperation</w:t>
      </w:r>
      <w:r>
        <w:rPr>
          <w:sz w:val="20"/>
          <w:szCs w:val="20"/>
        </w:rPr>
        <w:t>. The Parties shall cooperate in good faith in all matters relating to this Agreement and shall designate appropriate personnel to facilitate communication and coordination. Where agreement, approval, acceptance, consent, or similar action by either Party is required by any provision of this Agreement, such action shall not be unreasonably delayed or withheld. Each Party shall provide reasonable access to information, systems, and personnel as necessary for the other Party to perform its obligations under this Agreement. Service Provider shall cooperate with any Customer supplier performing services and all parties supplying hardware, software, communication services, and other services and products to Customer, including the Successor Service Provider, and shall not commit or permit any act that may interfere with the performance of services by any such supplier.</w:t>
      </w:r>
    </w:p>
    <w:p w14:paraId="66383505" w14:textId="1ED23A48" w:rsidR="00FA3E61" w:rsidRPr="00EB1109" w:rsidRDefault="00FA3E61" w:rsidP="00FA3E61">
      <w:pPr>
        <w:pStyle w:val="LegalLevel2"/>
        <w:numPr>
          <w:ilvl w:val="1"/>
          <w:numId w:val="4"/>
        </w:numPr>
        <w:spacing w:before="240" w:line="240" w:lineRule="auto"/>
        <w:rPr>
          <w:sz w:val="20"/>
          <w:szCs w:val="20"/>
        </w:rPr>
      </w:pPr>
      <w:r>
        <w:rPr>
          <w:sz w:val="20"/>
          <w:szCs w:val="20"/>
          <w:u w:val="single"/>
        </w:rPr>
        <w:t>Advertising and Publicity</w:t>
      </w:r>
      <w:r>
        <w:rPr>
          <w:sz w:val="20"/>
          <w:szCs w:val="20"/>
        </w:rPr>
        <w:t>. Neither Party shall use the other Party’s name, logo, trademarks, or trade names in any advertising, publicity, press release, marketing material, customer list, social media post, or case study without the other Party’s prior written consent. Service Provider shall not display Customer’s name, logo, trademarks, or trade names within the Services (including in multi-tenant environments, dashboards, login screens, or administrative interfaces) or use Customer’s name or logo to indicate that Customer is a user or customer of the Services, without Customer’s prior written consent. Any consent granted may be revoked at any time upon written notice.</w:t>
      </w:r>
    </w:p>
    <w:p w14:paraId="1556E3BA" w14:textId="02129A93" w:rsidR="00FA3E61" w:rsidRPr="00EB1109" w:rsidRDefault="00FA3E61" w:rsidP="00FA3E61">
      <w:pPr>
        <w:pStyle w:val="LegalLevel2"/>
        <w:numPr>
          <w:ilvl w:val="1"/>
          <w:numId w:val="4"/>
        </w:numPr>
        <w:spacing w:before="240" w:line="240" w:lineRule="auto"/>
        <w:rPr>
          <w:sz w:val="20"/>
          <w:szCs w:val="20"/>
        </w:rPr>
      </w:pPr>
      <w:r>
        <w:rPr>
          <w:sz w:val="20"/>
          <w:szCs w:val="20"/>
          <w:u w:val="single"/>
        </w:rPr>
        <w:t>Notices</w:t>
      </w:r>
      <w:r>
        <w:rPr>
          <w:sz w:val="20"/>
          <w:szCs w:val="20"/>
        </w:rPr>
        <w:t>. All notices, requests, consents, and other communications under this Agreement shall be in writing and shall be deemed given when: (a) delivered personally; (b) sent by nationally recognized overnight courier; (c) sent by registered or certified mail, return receipt requested; or (d) sent by electronic mail to the addresses specified herein, provided that notice by electronic mail shall be deemed received when sent, unless the sender receives an automated delivery failure notification within twenty-four (24) hours of sending. Notwithstanding clause (d), notices of termination, indemnification claims, and notices of breach shall be delivered by overnight courier or certified mail, accompanied by a concurrent copy sent by electronic mail to the address specified herein, and shall not be effective if delivered solely by electronic mail. Either Party may change its notice address by providing written notice to the other Party in accordance with this Section 22.9 (Notices).</w:t>
      </w:r>
    </w:p>
    <w:p w14:paraId="416B180F" w14:textId="1EC0B8A5" w:rsidR="00FA3E61" w:rsidRPr="00EB1109" w:rsidRDefault="00FA3E61" w:rsidP="00FA3E61">
      <w:pPr>
        <w:pStyle w:val="LegalLevel2"/>
        <w:numPr>
          <w:ilvl w:val="1"/>
          <w:numId w:val="4"/>
        </w:numPr>
        <w:spacing w:before="240" w:line="240" w:lineRule="auto"/>
        <w:rPr>
          <w:sz w:val="20"/>
          <w:szCs w:val="20"/>
        </w:rPr>
      </w:pPr>
      <w:r>
        <w:rPr>
          <w:sz w:val="20"/>
          <w:szCs w:val="20"/>
          <w:u w:val="single"/>
        </w:rPr>
        <w:t>Governing Law</w:t>
      </w:r>
      <w:r>
        <w:rPr>
          <w:sz w:val="20"/>
          <w:szCs w:val="20"/>
        </w:rPr>
        <w:t>. This Agreement shall be governed by and construed in accordance with the laws of [State], without giving effect to its conflict of laws principles. Any action or proceeding arising out of or relating to this Agreement shall be brought exclusively in the state or federal courts located in [County, State], and each Party hereby irrevocably consents to the personal jurisdiction and venue of such courts.</w:t>
      </w:r>
    </w:p>
    <w:p w14:paraId="4486C7D9" w14:textId="6278511B" w:rsidR="00FA3E61" w:rsidRPr="00EB1109" w:rsidRDefault="00FA3E61" w:rsidP="00FA3E61">
      <w:pPr>
        <w:pStyle w:val="LegalLevel2"/>
        <w:numPr>
          <w:ilvl w:val="1"/>
          <w:numId w:val="4"/>
        </w:numPr>
        <w:spacing w:before="240" w:line="240" w:lineRule="auto"/>
        <w:rPr>
          <w:sz w:val="20"/>
          <w:szCs w:val="20"/>
        </w:rPr>
      </w:pPr>
      <w:r>
        <w:rPr>
          <w:sz w:val="20"/>
          <w:szCs w:val="20"/>
          <w:u w:val="single"/>
        </w:rPr>
        <w:t>Attorneys’ Fees and Costs</w:t>
      </w:r>
      <w:r>
        <w:rPr>
          <w:sz w:val="20"/>
          <w:szCs w:val="20"/>
        </w:rPr>
        <w:t>. In any action or proceeding to enforce this Agreement, the prevailing Party shall be entitled to recover its reasonable attorneys’ fees, costs, and expenses from the non-prevailing Party, in addition to any other relief to which the prevailing Party may be entitled.</w:t>
      </w:r>
    </w:p>
    <w:p w14:paraId="01ADA5DB" w14:textId="3CCC6E5F"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Cumulative Remedies</w:t>
      </w:r>
      <w:r>
        <w:rPr>
          <w:sz w:val="20"/>
          <w:szCs w:val="20"/>
        </w:rPr>
        <w:t>. All rights and remedies of either Party under this Agreement shall be cumulative and in addition to all other rights and remedies available at law or in equity, including specific performance and temporary and permanent injunctive relief. The exercise of any right or remedy shall not preclude the exercise of any other right or remedy. No remedy set forth in this Agreement is intended to be exclusive, and each such remedy shall be in addition to every other remedy available under this Agreement, at law, or in equity.</w:t>
      </w:r>
    </w:p>
    <w:p w14:paraId="7DC063C0" w14:textId="34E50AC2" w:rsidR="00FA3E61" w:rsidRPr="00EB1109" w:rsidRDefault="00FA3E61" w:rsidP="00FA3E61">
      <w:pPr>
        <w:pStyle w:val="LegalLevel2"/>
        <w:numPr>
          <w:ilvl w:val="1"/>
          <w:numId w:val="4"/>
        </w:numPr>
        <w:spacing w:before="240" w:line="240" w:lineRule="auto"/>
        <w:rPr>
          <w:sz w:val="20"/>
          <w:szCs w:val="20"/>
        </w:rPr>
      </w:pPr>
      <w:r>
        <w:rPr>
          <w:sz w:val="20"/>
          <w:szCs w:val="20"/>
          <w:u w:val="single"/>
        </w:rPr>
        <w:t>Entire Agreement</w:t>
      </w:r>
      <w:r>
        <w:rPr>
          <w:sz w:val="20"/>
          <w:szCs w:val="20"/>
        </w:rPr>
        <w:t>. This Agreement (including all Order Forms, applicable Addenda, and documents incorporated by reference) constitutes the entire agreement between the Parties with respect to the subject matter hereof and supersedes all prior and contemporaneous agreements, understandings, negotiations, and discussions, whether oral or written. This Agreement shall be construed without regard to the Party that drafted it, and any ambiguity shall not be interpreted against either Party.</w:t>
      </w:r>
    </w:p>
    <w:p w14:paraId="58BFA880"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Amendment</w:t>
      </w:r>
      <w:r>
        <w:rPr>
          <w:sz w:val="20"/>
          <w:szCs w:val="20"/>
        </w:rPr>
        <w:t>. This Agreement may not be amended or modified except by a written instrument signed by authorized representatives of both Parties.</w:t>
      </w:r>
    </w:p>
    <w:p w14:paraId="4BB008B2"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Waiver</w:t>
      </w:r>
      <w:r>
        <w:rPr>
          <w:sz w:val="20"/>
          <w:szCs w:val="20"/>
        </w:rPr>
        <w:t>. No waiver of any provision of this Agreement shall be effective unless in writing and signed by the waiving Party. A waiver of any breach shall not constitute a waiver of any subsequent breach.</w:t>
      </w:r>
    </w:p>
    <w:p w14:paraId="3B4A7878" w14:textId="449BD8C0" w:rsidR="00FA3E61" w:rsidRPr="00EB1109" w:rsidRDefault="00FA3E61" w:rsidP="00FA3E61">
      <w:pPr>
        <w:pStyle w:val="LegalLevel2"/>
        <w:numPr>
          <w:ilvl w:val="1"/>
          <w:numId w:val="4"/>
        </w:numPr>
        <w:spacing w:before="240" w:line="240" w:lineRule="auto"/>
        <w:rPr>
          <w:sz w:val="20"/>
          <w:szCs w:val="20"/>
        </w:rPr>
      </w:pPr>
      <w:r>
        <w:rPr>
          <w:sz w:val="20"/>
          <w:szCs w:val="20"/>
          <w:u w:val="single"/>
        </w:rPr>
        <w:t>Assignment</w:t>
      </w:r>
      <w:r>
        <w:rPr>
          <w:sz w:val="20"/>
          <w:szCs w:val="20"/>
        </w:rPr>
        <w:t xml:space="preserve">. This Agreement and the obligations of Service Provider hereunder are personal to Service Provider and its personnel. Service Provider shall not directly or indirectly assign this Agreement or any rights or duties hereunder, whether by sale of assets, sale of stock or equity interests, merger, insolvency proceeding, or otherwise, without Customer’s prior written consent. In the case of any permitted assignment by Service Provider, Service Provider represents and warrants that it has all requisite rights and power to transfer any agreements or other rights with third parties whose software is incorporated into the Services or who are necessary for the performance and use of the Services. Customer may assign this Agreement to an Affiliate or to a successor in connection with a merger, acquisition, or sale of substantially </w:t>
      </w:r>
      <w:proofErr w:type="gramStart"/>
      <w:r>
        <w:rPr>
          <w:sz w:val="20"/>
          <w:szCs w:val="20"/>
        </w:rPr>
        <w:t>all of</w:t>
      </w:r>
      <w:proofErr w:type="gramEnd"/>
      <w:r>
        <w:rPr>
          <w:sz w:val="20"/>
          <w:szCs w:val="20"/>
        </w:rPr>
        <w:t xml:space="preserve"> its assets, without Service Provider’s consent, provided that the assignee assumes all of Customer’s obligations hereunder.</w:t>
      </w:r>
    </w:p>
    <w:p w14:paraId="32FC6B56" w14:textId="29D71412" w:rsidR="00FA3E61" w:rsidRPr="00EB1109" w:rsidRDefault="00FA3E61" w:rsidP="00FA3E61">
      <w:pPr>
        <w:pStyle w:val="LegalLevel2"/>
        <w:numPr>
          <w:ilvl w:val="1"/>
          <w:numId w:val="4"/>
        </w:numPr>
        <w:spacing w:before="240" w:line="240" w:lineRule="auto"/>
        <w:rPr>
          <w:sz w:val="20"/>
          <w:szCs w:val="20"/>
        </w:rPr>
      </w:pPr>
      <w:r>
        <w:rPr>
          <w:sz w:val="20"/>
          <w:szCs w:val="20"/>
          <w:u w:val="single"/>
        </w:rPr>
        <w:t>Severability</w:t>
      </w:r>
      <w:r>
        <w:rPr>
          <w:sz w:val="20"/>
          <w:szCs w:val="20"/>
        </w:rPr>
        <w:t>. If any provision of this Agreement is held to be invalid, illegal, or unenforceable by a court of competent jurisdiction, such provision shall be modified to the minimum extent necessary to make it valid, legal, and enforceable while preserving the original intent of the Parties, and the remaining provisions shall continue in full force and effect.</w:t>
      </w:r>
    </w:p>
    <w:p w14:paraId="18AE909F"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Further Assurances</w:t>
      </w:r>
      <w:r>
        <w:rPr>
          <w:sz w:val="20"/>
          <w:szCs w:val="20"/>
        </w:rPr>
        <w:t>. Each Party shall execute and deliver such further documents and instruments, and take such further actions, as may be reasonably necessary to give effect to the provisions and intent of this Agreement.</w:t>
      </w:r>
    </w:p>
    <w:p w14:paraId="7BEED716" w14:textId="49DC1C92" w:rsidR="00FA3E61" w:rsidRPr="00EB1109" w:rsidRDefault="00FA3E61" w:rsidP="00FA3E61">
      <w:pPr>
        <w:pStyle w:val="LegalLevel2"/>
        <w:numPr>
          <w:ilvl w:val="1"/>
          <w:numId w:val="4"/>
        </w:numPr>
        <w:spacing w:before="240" w:line="240" w:lineRule="auto"/>
        <w:rPr>
          <w:sz w:val="20"/>
          <w:szCs w:val="20"/>
        </w:rPr>
      </w:pPr>
      <w:r>
        <w:rPr>
          <w:sz w:val="20"/>
          <w:szCs w:val="20"/>
          <w:u w:val="single"/>
        </w:rPr>
        <w:t>Counterparts; Electronic Signatures</w:t>
      </w:r>
      <w:r>
        <w:rPr>
          <w:sz w:val="20"/>
          <w:szCs w:val="20"/>
        </w:rPr>
        <w:t>. This Agreement may be executed in counterparts, each of which shall be deemed an original and all of which together shall constitute one and the same instrument. The Parties agree that electronic signatures shall be legally binding and shall have the same force and effect as original ink signatures.</w:t>
      </w:r>
    </w:p>
    <w:p w14:paraId="14BE5118" w14:textId="67B6EFF1" w:rsidR="00FA3E61" w:rsidRPr="00EB1109" w:rsidRDefault="00FA3E61" w:rsidP="00FA3E61">
      <w:pPr>
        <w:pStyle w:val="LegalLevel2"/>
        <w:numPr>
          <w:ilvl w:val="1"/>
          <w:numId w:val="4"/>
        </w:numPr>
        <w:spacing w:before="240" w:line="240" w:lineRule="auto"/>
        <w:rPr>
          <w:sz w:val="20"/>
          <w:szCs w:val="20"/>
        </w:rPr>
      </w:pPr>
      <w:r>
        <w:rPr>
          <w:sz w:val="20"/>
          <w:szCs w:val="20"/>
          <w:u w:val="single"/>
        </w:rPr>
        <w:t>Survival</w:t>
      </w:r>
      <w:r>
        <w:rPr>
          <w:sz w:val="20"/>
          <w:szCs w:val="20"/>
        </w:rPr>
        <w:t xml:space="preserve">. Any provision of this Agreement that expressly states that it survives the termination or expiration of this Agreement or any Order Form shall survive in accordance with its terms. In addition, any provision of this Agreement that by its nature or intended purpose is required to survive termination or expiration </w:t>
      </w:r>
      <w:proofErr w:type="gramStart"/>
      <w:r>
        <w:rPr>
          <w:sz w:val="20"/>
          <w:szCs w:val="20"/>
        </w:rPr>
        <w:t>in order to</w:t>
      </w:r>
      <w:proofErr w:type="gramEnd"/>
      <w:r>
        <w:rPr>
          <w:sz w:val="20"/>
          <w:szCs w:val="20"/>
        </w:rPr>
        <w:t xml:space="preserve"> give effect to its purpose shall survive such termination or expiration. Without limiting the generality of the foregoing, provisions relating to confidentiality, data ownership and return, indemnification, limitation of liability, Intellectual Property ownership, representations and warranties, dispute resolution, and governing law shall survive termination or expiration. Termination or expiration of this Agreement or any Order Form shall not release either Party from any obligation or liability that accrued prior to the effective date of such termination or expiration, nor shall it affect any rights or remedies that have accrued to either Party prior to such date.</w:t>
      </w:r>
    </w:p>
    <w:p w14:paraId="6439C0FC" w14:textId="397D21BF" w:rsidR="00FA3E61" w:rsidRPr="00EB1109" w:rsidRDefault="00FA3E61" w:rsidP="00FA3E61">
      <w:pPr>
        <w:spacing w:before="240" w:after="120" w:line="240" w:lineRule="auto"/>
        <w:ind w:left="1440"/>
        <w:rPr>
          <w:rFonts w:ascii="Arial" w:hAnsi="Arial" w:cs="Arial"/>
          <w:sz w:val="20"/>
          <w:szCs w:val="20"/>
        </w:rPr>
      </w:pPr>
      <w:r>
        <w:rPr>
          <w:rFonts w:ascii="Arial" w:hAnsi="Arial" w:cs="Arial"/>
          <w:sz w:val="20"/>
          <w:szCs w:val="20"/>
        </w:rPr>
        <w:lastRenderedPageBreak/>
        <w:t xml:space="preserve">[Optional: “22.x </w:t>
      </w:r>
      <w:r>
        <w:rPr>
          <w:rFonts w:ascii="Arial" w:hAnsi="Arial" w:cs="Arial"/>
          <w:sz w:val="20"/>
          <w:szCs w:val="20"/>
          <w:u w:val="single"/>
        </w:rPr>
        <w:t>Non-Solicitation of Personnel</w:t>
      </w:r>
      <w:r>
        <w:rPr>
          <w:rFonts w:ascii="Arial" w:hAnsi="Arial" w:cs="Arial"/>
          <w:sz w:val="20"/>
          <w:szCs w:val="20"/>
        </w:rPr>
        <w:t>. For so long as this Master Agreement or any Order Form remains in effect and for a period of twelve (12) months thereafter, neither Party shall, directly or indirectly, solicit for employment or hire any employee of the other Party who was materially involved in the performance or receipt of the Services, without the prior written consent of the other Party. This restriction shall not apply to: (a) general solicitations of employment not specifically directed at the other Party’s employees, including public job postings, career fairs, and recruitment campaigns; or (b) any employee who was terminated by the other Party prior to commencement of employment discussions.”]</w:t>
      </w:r>
    </w:p>
    <w:p w14:paraId="16AD7764" w14:textId="108471A9" w:rsidR="00FA3E61" w:rsidRPr="00EB1109" w:rsidRDefault="00FA3E61" w:rsidP="00FA3E61">
      <w:pPr>
        <w:spacing w:before="240" w:after="120" w:line="240" w:lineRule="auto"/>
        <w:ind w:left="1440"/>
        <w:rPr>
          <w:rFonts w:ascii="Arial" w:hAnsi="Arial" w:cs="Arial"/>
          <w:sz w:val="20"/>
          <w:szCs w:val="20"/>
        </w:rPr>
      </w:pPr>
      <w:r>
        <w:rPr>
          <w:rFonts w:ascii="Arial" w:hAnsi="Arial" w:cs="Arial"/>
          <w:sz w:val="20"/>
          <w:szCs w:val="20"/>
        </w:rPr>
        <w:t xml:space="preserve">[Optional: “22.x </w:t>
      </w:r>
      <w:r>
        <w:rPr>
          <w:rFonts w:ascii="Arial" w:hAnsi="Arial" w:cs="Arial"/>
          <w:sz w:val="20"/>
          <w:szCs w:val="20"/>
          <w:u w:val="single"/>
        </w:rPr>
        <w:t>Jury Trial Waiver</w:t>
      </w:r>
      <w:r>
        <w:rPr>
          <w:rFonts w:ascii="Arial" w:hAnsi="Arial" w:cs="Arial"/>
          <w:sz w:val="20"/>
          <w:szCs w:val="20"/>
        </w:rPr>
        <w:t>. EACH PARTY HEREBY IRREVOCABLY WAIVES ALL RIGHTS TO A TRIAL BY JURY IN ANY ACTION, PROCEEDING, OR COUNTERCLAIM ARISING OUT OF OR RELATING TO THIS AGREEMENT OR THE TRANSACTIONS CONTEMPLATED HEREBY.”]</w:t>
      </w:r>
    </w:p>
    <w:p w14:paraId="17C9E3C3" w14:textId="440908A2" w:rsidR="00FA3E61" w:rsidRDefault="00FA3E61" w:rsidP="00FA3E61">
      <w:pPr>
        <w:spacing w:before="240" w:after="120" w:line="240" w:lineRule="auto"/>
        <w:rPr>
          <w:rFonts w:ascii="Arial" w:hAnsi="Arial" w:cs="Arial"/>
          <w:sz w:val="20"/>
          <w:szCs w:val="20"/>
        </w:rPr>
      </w:pPr>
      <w:r>
        <w:rPr>
          <w:rFonts w:ascii="Arial" w:hAnsi="Arial" w:cs="Arial"/>
          <w:sz w:val="20"/>
          <w:szCs w:val="20"/>
        </w:rPr>
        <w:t>Executed on the dates set forth below by the undersigned authorized representative of Customer and Service Provider to be effective as of the Effective Date.</w:t>
      </w:r>
    </w:p>
    <w:p w14:paraId="3846DA30" w14:textId="77777777" w:rsidR="006944BC" w:rsidRPr="00EB1109" w:rsidRDefault="006944BC" w:rsidP="00FA3E61">
      <w:pPr>
        <w:spacing w:before="240" w:after="120" w:line="240" w:lineRule="auto"/>
        <w:rPr>
          <w:rFonts w:ascii="Arial" w:hAnsi="Arial" w:cs="Arial"/>
          <w:sz w:val="20"/>
          <w:szCs w:val="20"/>
        </w:rPr>
      </w:pPr>
    </w:p>
    <w:p w14:paraId="37337EAA" w14:textId="77777777" w:rsidR="00FA3E61" w:rsidRPr="00EB1109" w:rsidRDefault="00FA3E61" w:rsidP="00FA3E61">
      <w:pPr>
        <w:spacing w:before="240" w:after="120" w:line="240" w:lineRule="auto"/>
        <w:rPr>
          <w:rFonts w:ascii="Arial" w:hAnsi="Arial" w:cs="Arial"/>
          <w:b/>
          <w:sz w:val="20"/>
          <w:szCs w:val="20"/>
        </w:rPr>
      </w:pPr>
      <w:r>
        <w:rPr>
          <w:rFonts w:ascii="Arial" w:hAnsi="Arial" w:cs="Arial"/>
          <w:b/>
          <w:sz w:val="20"/>
          <w:szCs w:val="20"/>
        </w:rPr>
        <w:t>[CUSTOMER NAME] (CUSTOMER)</w:t>
      </w:r>
    </w:p>
    <w:p w14:paraId="4D8F1CE5" w14:textId="77777777" w:rsidR="00FA3E61" w:rsidRPr="00EB1109" w:rsidRDefault="00FA3E61" w:rsidP="00FA3E61">
      <w:pPr>
        <w:spacing w:before="240" w:after="120" w:line="240" w:lineRule="auto"/>
        <w:rPr>
          <w:rFonts w:ascii="Arial" w:hAnsi="Arial" w:cs="Arial"/>
          <w:sz w:val="20"/>
          <w:szCs w:val="20"/>
        </w:rPr>
      </w:pPr>
      <w:proofErr w:type="gramStart"/>
      <w:r>
        <w:rPr>
          <w:rFonts w:ascii="Arial" w:hAnsi="Arial" w:cs="Arial"/>
          <w:sz w:val="20"/>
          <w:szCs w:val="20"/>
        </w:rPr>
        <w:t>By:</w:t>
      </w:r>
      <w:proofErr w:type="gramEnd"/>
    </w:p>
    <w:p w14:paraId="06544E91"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Name:</w:t>
      </w:r>
    </w:p>
    <w:p w14:paraId="6B56CE31"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Title:</w:t>
      </w:r>
    </w:p>
    <w:p w14:paraId="7C310C82"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Date:</w:t>
      </w:r>
    </w:p>
    <w:p w14:paraId="00B9C7D9" w14:textId="77777777" w:rsidR="00FA3E61" w:rsidRPr="00EB1109" w:rsidRDefault="00FA3E61" w:rsidP="00FA3E61">
      <w:pPr>
        <w:spacing w:before="240" w:after="120" w:line="240" w:lineRule="auto"/>
        <w:rPr>
          <w:rFonts w:ascii="Arial" w:hAnsi="Arial" w:cs="Arial"/>
          <w:sz w:val="20"/>
          <w:szCs w:val="20"/>
        </w:rPr>
      </w:pPr>
    </w:p>
    <w:p w14:paraId="7234839B"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Address for Notice:</w:t>
      </w:r>
    </w:p>
    <w:p w14:paraId="63A9BEDA"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Email for Notice:</w:t>
      </w:r>
    </w:p>
    <w:p w14:paraId="020BAC02" w14:textId="77777777" w:rsidR="00FA3E61" w:rsidRPr="00EB1109" w:rsidRDefault="00FA3E61" w:rsidP="00FA3E61">
      <w:pPr>
        <w:spacing w:before="240" w:after="120" w:line="240" w:lineRule="auto"/>
        <w:rPr>
          <w:rFonts w:ascii="Arial" w:hAnsi="Arial" w:cs="Arial"/>
          <w:sz w:val="20"/>
          <w:szCs w:val="20"/>
        </w:rPr>
      </w:pPr>
    </w:p>
    <w:p w14:paraId="14D2710A" w14:textId="77777777" w:rsidR="00FA3E61" w:rsidRPr="00EB1109" w:rsidRDefault="00FA3E61" w:rsidP="00FA3E61">
      <w:pPr>
        <w:spacing w:before="240" w:after="120" w:line="240" w:lineRule="auto"/>
        <w:rPr>
          <w:rFonts w:ascii="Arial" w:hAnsi="Arial" w:cs="Arial"/>
          <w:b/>
          <w:sz w:val="20"/>
          <w:szCs w:val="20"/>
        </w:rPr>
      </w:pPr>
      <w:r>
        <w:rPr>
          <w:rFonts w:ascii="Arial" w:hAnsi="Arial" w:cs="Arial"/>
          <w:b/>
          <w:sz w:val="20"/>
          <w:szCs w:val="20"/>
        </w:rPr>
        <w:t>[SERVICE PROVIDER NAME] (SERVICE PROVIDER)</w:t>
      </w:r>
    </w:p>
    <w:p w14:paraId="68475BD5" w14:textId="77777777" w:rsidR="00FA3E61" w:rsidRPr="00EB1109" w:rsidRDefault="00FA3E61" w:rsidP="00FA3E61">
      <w:pPr>
        <w:spacing w:before="240" w:after="120" w:line="240" w:lineRule="auto"/>
        <w:rPr>
          <w:rFonts w:ascii="Arial" w:hAnsi="Arial" w:cs="Arial"/>
          <w:sz w:val="20"/>
          <w:szCs w:val="20"/>
        </w:rPr>
      </w:pPr>
      <w:proofErr w:type="gramStart"/>
      <w:r>
        <w:rPr>
          <w:rFonts w:ascii="Arial" w:hAnsi="Arial" w:cs="Arial"/>
          <w:sz w:val="20"/>
          <w:szCs w:val="20"/>
        </w:rPr>
        <w:t>By:</w:t>
      </w:r>
      <w:proofErr w:type="gramEnd"/>
    </w:p>
    <w:p w14:paraId="149AEB00"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Name:</w:t>
      </w:r>
    </w:p>
    <w:p w14:paraId="163612B4"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Title:</w:t>
      </w:r>
    </w:p>
    <w:p w14:paraId="3378439B"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Date:</w:t>
      </w:r>
    </w:p>
    <w:p w14:paraId="27C65E56" w14:textId="77777777" w:rsidR="00FA3E61" w:rsidRPr="00EB1109" w:rsidRDefault="00FA3E61" w:rsidP="00FA3E61">
      <w:pPr>
        <w:spacing w:before="240" w:after="120" w:line="240" w:lineRule="auto"/>
        <w:rPr>
          <w:rFonts w:ascii="Arial" w:hAnsi="Arial" w:cs="Arial"/>
          <w:sz w:val="20"/>
          <w:szCs w:val="20"/>
        </w:rPr>
      </w:pPr>
    </w:p>
    <w:p w14:paraId="001DD898"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Address for Notice:</w:t>
      </w:r>
    </w:p>
    <w:p w14:paraId="140B0069"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Email for Notice:</w:t>
      </w:r>
    </w:p>
    <w:p w14:paraId="051B70AD" w14:textId="77777777" w:rsidR="00FA3E61" w:rsidRPr="00EB1109" w:rsidRDefault="00FA3E61" w:rsidP="00FA3E61">
      <w:pPr>
        <w:spacing w:before="240" w:after="120" w:line="240" w:lineRule="auto"/>
        <w:rPr>
          <w:rFonts w:ascii="Arial" w:hAnsi="Arial" w:cs="Arial"/>
          <w:sz w:val="20"/>
          <w:szCs w:val="20"/>
        </w:rPr>
      </w:pPr>
    </w:p>
    <w:p w14:paraId="06698D63" w14:textId="3E54963D" w:rsidR="00FA3E61" w:rsidRPr="00EB1109" w:rsidRDefault="00FA3E61" w:rsidP="006944BC">
      <w:pPr>
        <w:pStyle w:val="LegalHeader"/>
      </w:pPr>
      <w:r>
        <w:br w:type="page"/>
      </w:r>
      <w:r>
        <w:lastRenderedPageBreak/>
        <w:t>EXHIBIT A – ORDER FORM NO. [ ]</w:t>
      </w:r>
    </w:p>
    <w:p w14:paraId="1A61D515" w14:textId="43DE0F68"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Exhibit A – Order Form No. [ ] (“Order Form”) is entered into pursuant to, and incorporated into and governed by, the Master Software as a Service Agreement between Customer and Service Provider dated [Effective Date] (the “Master Agreement”), including all Addenda thereto (collectively, the “Agreement”). Capitalized terms used but not defined in this Order Form shall have the meanings ascribed to them in the Master Agreement. In the event of a conflict between this Order Form and the Master Agreement, the Master Agreement shall prevail in accordance with Section 1.2 (Order of Precedence) of the Master Agreement.</w:t>
      </w:r>
    </w:p>
    <w:p w14:paraId="3638428E" w14:textId="26C368B4" w:rsidR="00FA3E61" w:rsidRPr="00EB1109" w:rsidRDefault="00FA3E61" w:rsidP="00A54DF7">
      <w:pPr>
        <w:pStyle w:val="LegalLevel1"/>
        <w:numPr>
          <w:ilvl w:val="0"/>
          <w:numId w:val="17"/>
        </w:numPr>
        <w:tabs>
          <w:tab w:val="num" w:pos="1939"/>
        </w:tabs>
        <w:spacing w:before="240" w:line="240" w:lineRule="auto"/>
        <w:rPr>
          <w:sz w:val="20"/>
          <w:szCs w:val="20"/>
        </w:rPr>
      </w:pPr>
      <w:r>
        <w:rPr>
          <w:sz w:val="20"/>
          <w:szCs w:val="20"/>
          <w:u w:val="single"/>
        </w:rPr>
        <w:t>Engagement Details</w:t>
      </w:r>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4EC980F5"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75E08E7" w14:textId="3901EA7D"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Effective Date of this Exhibit A</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D883E43"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51997C24"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3651112"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Subscription Start Date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74C9FC0"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7E4DF5B0"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83C406E"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Provisioning Date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807D27"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42FF4DA9"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FD76DCE"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Billing Start Date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69C3DE5"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29117E86"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7533392"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Description of Services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DEE4673"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554CEFE6"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F2F9EDE"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Service Components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0EE695E"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02C40464"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39C1F9A" w14:textId="198D91DB"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AI Features (if any)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7751C1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1DD9E6F5"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34E915DE" w14:textId="67214D3B"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Authorized Users (Number/Categories)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CF8BF90"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6A45C825"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B7E115B" w14:textId="039CC600"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Authorized Systems (if any)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E6CAD6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46AE17D0"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21C3153"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Concurrent User Capacity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E9CF69F"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bl>
    <w:p w14:paraId="1FD46F8A" w14:textId="77777777" w:rsidR="00FA3E61" w:rsidRPr="00EB1109" w:rsidRDefault="00FA3E61" w:rsidP="00FA3E61">
      <w:pPr>
        <w:spacing w:before="240" w:after="120" w:line="240" w:lineRule="auto"/>
        <w:rPr>
          <w:rFonts w:ascii="Arial" w:hAnsi="Arial" w:cs="Arial"/>
          <w:sz w:val="20"/>
          <w:szCs w:val="20"/>
        </w:rPr>
      </w:pPr>
    </w:p>
    <w:p w14:paraId="33C7C6F8"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Term and Renewal</w:t>
      </w:r>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32CA6453"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228D6A9" w14:textId="3064A141"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Initial Term</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3BFDE92"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6CFA5152"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977A377" w14:textId="1F8AF762"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Renewal Term Length</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DC6C182"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4EEFB531"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A0EA05D" w14:textId="314129FE"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lastRenderedPageBreak/>
              <w:t>Fee Escalation Cap (%)</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E2AE713"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bl>
    <w:p w14:paraId="5D070B37" w14:textId="77777777" w:rsidR="00FA3E61" w:rsidRPr="00EB1109" w:rsidRDefault="00FA3E61" w:rsidP="00FA3E61">
      <w:pPr>
        <w:spacing w:before="240" w:after="120" w:line="240" w:lineRule="auto"/>
        <w:rPr>
          <w:rFonts w:ascii="Arial" w:hAnsi="Arial" w:cs="Arial"/>
          <w:sz w:val="20"/>
          <w:szCs w:val="20"/>
        </w:rPr>
      </w:pPr>
    </w:p>
    <w:p w14:paraId="724624D4" w14:textId="2BF4C260"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Fees and Pricing</w:t>
      </w:r>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6337337D"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7FFCFC8"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Fee Structure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BD2DB62"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Subscription [ ] Consumption [ ] Hybrid</w:t>
            </w:r>
          </w:p>
        </w:tc>
      </w:tr>
      <w:tr w:rsidR="00FA3E61" w:rsidRPr="00EB1109" w14:paraId="69191701"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7BF2A09"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Billing Frequency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BBC7D20"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Monthly [ ] Quarterly [ ] Annually [ ] Other: ____</w:t>
            </w:r>
          </w:p>
        </w:tc>
      </w:tr>
      <w:tr w:rsidR="00FA3E61" w:rsidRPr="00EB1109" w14:paraId="6F08330A"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2946E2A" w14:textId="67D1B331"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Subscription Fees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352EAD9"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3087AFE9"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89AFDEC"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Consumption Rates / Metrics (if applicable)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D0C00CD"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21D15742"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607445A6"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Volume Commitment (if any)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7A0E07F"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3C85CF25"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770D40C3" w14:textId="72D4423A"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Early Termination Fee (if any)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7A651C"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bl>
    <w:p w14:paraId="74688E76" w14:textId="77777777" w:rsidR="00FA3E61" w:rsidRPr="00EB1109" w:rsidRDefault="00FA3E61" w:rsidP="00FA3E61">
      <w:pPr>
        <w:spacing w:before="240" w:after="120" w:line="240" w:lineRule="auto"/>
        <w:rPr>
          <w:rFonts w:ascii="Arial" w:hAnsi="Arial" w:cs="Arial"/>
          <w:sz w:val="20"/>
          <w:szCs w:val="20"/>
        </w:rPr>
      </w:pPr>
    </w:p>
    <w:p w14:paraId="6A2E44C4"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and Security</w:t>
      </w:r>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90"/>
        <w:gridCol w:w="5550"/>
      </w:tblGrid>
      <w:tr w:rsidR="00FA3E61" w:rsidRPr="00EB1109" w14:paraId="35F5CE08" w14:textId="77777777" w:rsidTr="00293B05">
        <w:tc>
          <w:tcPr>
            <w:tcW w:w="369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C1115CE"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Data Classification</w:t>
            </w:r>
          </w:p>
        </w:tc>
        <w:tc>
          <w:tcPr>
            <w:tcW w:w="555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67E4A52"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5A497A7A" w14:textId="77777777" w:rsidTr="00293B05">
        <w:tc>
          <w:tcPr>
            <w:tcW w:w="369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31EDE31F"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Hosting Environment</w:t>
            </w:r>
          </w:p>
        </w:tc>
        <w:tc>
          <w:tcPr>
            <w:tcW w:w="555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2EEA6A"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Dedicated (Single-Tenant)</w:t>
            </w:r>
          </w:p>
          <w:p w14:paraId="38E3A94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Multi-Tenant</w:t>
            </w:r>
          </w:p>
          <w:p w14:paraId="10E27259"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Other: [ ]</w:t>
            </w:r>
          </w:p>
        </w:tc>
      </w:tr>
      <w:tr w:rsidR="00FA3E61" w:rsidRPr="00EB1109" w14:paraId="493B18B0" w14:textId="77777777" w:rsidTr="00293B05">
        <w:tc>
          <w:tcPr>
            <w:tcW w:w="369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FEC725C" w14:textId="53FDACB2"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Approved Data Processing Locations</w:t>
            </w:r>
          </w:p>
        </w:tc>
        <w:tc>
          <w:tcPr>
            <w:tcW w:w="555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CEC1DAC"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79CFC569" w14:textId="77777777" w:rsidTr="00293B05">
        <w:tc>
          <w:tcPr>
            <w:tcW w:w="3690" w:type="dxa"/>
            <w:tcBorders>
              <w:top w:val="single" w:sz="4" w:space="0" w:color="auto"/>
              <w:left w:val="single" w:sz="4" w:space="0" w:color="auto"/>
              <w:bottom w:val="single" w:sz="4" w:space="0" w:color="auto"/>
              <w:right w:val="single" w:sz="4" w:space="0" w:color="auto"/>
            </w:tcBorders>
            <w:shd w:val="clear" w:color="auto" w:fill="F2F2F2"/>
          </w:tcPr>
          <w:p w14:paraId="7B2F0388" w14:textId="45D70BCB" w:rsidR="00FA3E61" w:rsidRPr="00EB1109" w:rsidRDefault="00FA3E61" w:rsidP="00DC2752">
            <w:pPr>
              <w:spacing w:before="240" w:after="120" w:line="240" w:lineRule="auto"/>
              <w:ind w:left="82"/>
              <w:jc w:val="left"/>
              <w:rPr>
                <w:rFonts w:ascii="Arial" w:hAnsi="Arial" w:cs="Arial"/>
                <w:b/>
                <w:bCs/>
                <w:sz w:val="20"/>
                <w:szCs w:val="20"/>
              </w:rPr>
            </w:pPr>
            <w:r>
              <w:rPr>
                <w:rFonts w:ascii="Arial" w:hAnsi="Arial" w:cs="Arial"/>
                <w:b/>
                <w:bCs/>
                <w:sz w:val="20"/>
                <w:szCs w:val="20"/>
              </w:rPr>
              <w:t>Personal Data Involved</w:t>
            </w:r>
          </w:p>
        </w:tc>
        <w:tc>
          <w:tcPr>
            <w:tcW w:w="5550" w:type="dxa"/>
            <w:tcBorders>
              <w:top w:val="single" w:sz="4" w:space="0" w:color="auto"/>
              <w:left w:val="single" w:sz="4" w:space="0" w:color="auto"/>
              <w:bottom w:val="single" w:sz="4" w:space="0" w:color="auto"/>
              <w:right w:val="single" w:sz="4" w:space="0" w:color="auto"/>
            </w:tcBorders>
          </w:tcPr>
          <w:p w14:paraId="55A77250" w14:textId="35D90B9A" w:rsidR="00FA3E61" w:rsidRPr="00EB1109" w:rsidRDefault="00FA3E61" w:rsidP="009C2331">
            <w:pPr>
              <w:spacing w:before="240" w:after="120"/>
              <w:ind w:left="173"/>
              <w:rPr>
                <w:rFonts w:ascii="Arial" w:hAnsi="Arial" w:cs="Arial"/>
                <w:sz w:val="20"/>
                <w:szCs w:val="20"/>
              </w:rPr>
            </w:pPr>
            <w:r>
              <w:rPr>
                <w:rFonts w:ascii="Arial" w:hAnsi="Arial" w:cs="Arial"/>
                <w:sz w:val="20"/>
                <w:szCs w:val="20"/>
              </w:rPr>
              <w:t>[ ] Yes (Data Processing Addendum Part 2 applies) [ ] No</w:t>
            </w:r>
          </w:p>
          <w:p w14:paraId="13D95549" w14:textId="629EE943" w:rsidR="00FA3E61" w:rsidRPr="00EB1109" w:rsidRDefault="00FA3E61" w:rsidP="009C2331">
            <w:pPr>
              <w:spacing w:before="240" w:after="120"/>
              <w:ind w:left="173"/>
              <w:rPr>
                <w:rFonts w:ascii="Arial" w:hAnsi="Arial" w:cs="Arial"/>
                <w:sz w:val="20"/>
                <w:szCs w:val="20"/>
              </w:rPr>
            </w:pPr>
            <w:r>
              <w:rPr>
                <w:rFonts w:ascii="Arial" w:hAnsi="Arial" w:cs="Arial"/>
                <w:sz w:val="20"/>
                <w:szCs w:val="20"/>
              </w:rPr>
              <w:t xml:space="preserve">If </w:t>
            </w:r>
            <w:proofErr w:type="gramStart"/>
            <w:r>
              <w:rPr>
                <w:rFonts w:ascii="Arial" w:hAnsi="Arial" w:cs="Arial"/>
                <w:sz w:val="20"/>
                <w:szCs w:val="20"/>
              </w:rPr>
              <w:t>Yes</w:t>
            </w:r>
            <w:proofErr w:type="gramEnd"/>
            <w:r>
              <w:rPr>
                <w:rFonts w:ascii="Arial" w:hAnsi="Arial" w:cs="Arial"/>
                <w:sz w:val="20"/>
                <w:szCs w:val="20"/>
              </w:rPr>
              <w:t>, categories of Data Subjects: [ ]</w:t>
            </w:r>
          </w:p>
          <w:p w14:paraId="13A98C6B" w14:textId="056792C6" w:rsidR="00FA3E61" w:rsidRPr="00EB1109" w:rsidRDefault="00FA3E61" w:rsidP="009C2331">
            <w:pPr>
              <w:spacing w:before="240" w:after="120"/>
              <w:ind w:left="173"/>
              <w:rPr>
                <w:rFonts w:ascii="Arial" w:hAnsi="Arial" w:cs="Arial"/>
                <w:sz w:val="20"/>
                <w:szCs w:val="20"/>
              </w:rPr>
            </w:pPr>
            <w:r>
              <w:rPr>
                <w:rFonts w:ascii="Arial" w:hAnsi="Arial" w:cs="Arial"/>
                <w:sz w:val="20"/>
                <w:szCs w:val="20"/>
              </w:rPr>
              <w:t xml:space="preserve">If </w:t>
            </w:r>
            <w:proofErr w:type="gramStart"/>
            <w:r>
              <w:rPr>
                <w:rFonts w:ascii="Arial" w:hAnsi="Arial" w:cs="Arial"/>
                <w:sz w:val="20"/>
                <w:szCs w:val="20"/>
              </w:rPr>
              <w:t>Yes</w:t>
            </w:r>
            <w:proofErr w:type="gramEnd"/>
            <w:r>
              <w:rPr>
                <w:rFonts w:ascii="Arial" w:hAnsi="Arial" w:cs="Arial"/>
                <w:sz w:val="20"/>
                <w:szCs w:val="20"/>
              </w:rPr>
              <w:t>, types of Personal Data: [ ]</w:t>
            </w:r>
          </w:p>
          <w:p w14:paraId="6A7C8F81" w14:textId="77777777" w:rsidR="00FA3E61" w:rsidRPr="00EB1109" w:rsidRDefault="00FA3E61" w:rsidP="009C2331">
            <w:pPr>
              <w:spacing w:before="240" w:after="120"/>
              <w:ind w:left="173"/>
              <w:rPr>
                <w:rFonts w:ascii="Arial" w:hAnsi="Arial" w:cs="Arial"/>
                <w:sz w:val="20"/>
                <w:szCs w:val="20"/>
              </w:rPr>
            </w:pPr>
            <w:r>
              <w:rPr>
                <w:rFonts w:ascii="Arial" w:hAnsi="Arial" w:cs="Arial"/>
                <w:sz w:val="20"/>
                <w:szCs w:val="20"/>
              </w:rPr>
              <w:t xml:space="preserve">If </w:t>
            </w:r>
            <w:proofErr w:type="gramStart"/>
            <w:r>
              <w:rPr>
                <w:rFonts w:ascii="Arial" w:hAnsi="Arial" w:cs="Arial"/>
                <w:sz w:val="20"/>
                <w:szCs w:val="20"/>
              </w:rPr>
              <w:t>Yes</w:t>
            </w:r>
            <w:proofErr w:type="gramEnd"/>
            <w:r>
              <w:rPr>
                <w:rFonts w:ascii="Arial" w:hAnsi="Arial" w:cs="Arial"/>
                <w:sz w:val="20"/>
                <w:szCs w:val="20"/>
              </w:rPr>
              <w:t>, lawful basis for processing: [ ]</w:t>
            </w:r>
          </w:p>
          <w:p w14:paraId="479A2F44" w14:textId="71766AD4" w:rsidR="00FA3E61" w:rsidRPr="00EB1109" w:rsidRDefault="00FA3E61" w:rsidP="009C2331">
            <w:pPr>
              <w:spacing w:before="240" w:after="120"/>
              <w:ind w:left="173"/>
              <w:rPr>
                <w:rFonts w:ascii="Arial" w:hAnsi="Arial" w:cs="Arial"/>
                <w:sz w:val="20"/>
                <w:szCs w:val="20"/>
              </w:rPr>
            </w:pPr>
            <w:r>
              <w:rPr>
                <w:rFonts w:ascii="Arial" w:hAnsi="Arial" w:cs="Arial"/>
                <w:sz w:val="20"/>
                <w:szCs w:val="20"/>
              </w:rPr>
              <w:lastRenderedPageBreak/>
              <w:t>Special categories of Personal Data (if any): [ ]</w:t>
            </w:r>
          </w:p>
          <w:p w14:paraId="011410A9" w14:textId="499FDEDC" w:rsidR="00FA3E61" w:rsidRPr="00EB1109" w:rsidRDefault="00FA3E61" w:rsidP="00041FEE">
            <w:pPr>
              <w:spacing w:before="240" w:after="120"/>
              <w:ind w:left="173"/>
              <w:rPr>
                <w:rFonts w:ascii="Arial" w:hAnsi="Arial" w:cs="Arial"/>
                <w:sz w:val="20"/>
                <w:szCs w:val="20"/>
              </w:rPr>
            </w:pPr>
            <w:r>
              <w:rPr>
                <w:rFonts w:ascii="Arial" w:hAnsi="Arial" w:cs="Arial"/>
                <w:sz w:val="20"/>
                <w:szCs w:val="20"/>
              </w:rPr>
              <w:t xml:space="preserve">If special categories </w:t>
            </w:r>
            <w:proofErr w:type="gramStart"/>
            <w:r>
              <w:rPr>
                <w:rFonts w:ascii="Arial" w:hAnsi="Arial" w:cs="Arial"/>
                <w:sz w:val="20"/>
                <w:szCs w:val="20"/>
              </w:rPr>
              <w:t>identified</w:t>
            </w:r>
            <w:proofErr w:type="gramEnd"/>
            <w:r>
              <w:rPr>
                <w:rFonts w:ascii="Arial" w:hAnsi="Arial" w:cs="Arial"/>
                <w:sz w:val="20"/>
                <w:szCs w:val="20"/>
              </w:rPr>
              <w:t>, additional safeguards: [ ]</w:t>
            </w:r>
          </w:p>
        </w:tc>
      </w:tr>
      <w:tr w:rsidR="00FA3E61" w:rsidRPr="00EB1109" w14:paraId="22148BD6" w14:textId="77777777" w:rsidTr="00293B05">
        <w:tc>
          <w:tcPr>
            <w:tcW w:w="3690" w:type="dxa"/>
            <w:tcBorders>
              <w:top w:val="single" w:sz="4" w:space="0" w:color="auto"/>
              <w:left w:val="single" w:sz="4" w:space="0" w:color="auto"/>
              <w:bottom w:val="single" w:sz="4" w:space="0" w:color="auto"/>
              <w:right w:val="single" w:sz="4" w:space="0" w:color="auto"/>
            </w:tcBorders>
            <w:shd w:val="clear" w:color="auto" w:fill="F2F2F2"/>
          </w:tcPr>
          <w:p w14:paraId="32D538D2" w14:textId="77777777" w:rsidR="00FA3E61" w:rsidRPr="00EB1109" w:rsidRDefault="00FA3E61" w:rsidP="001A01D0">
            <w:pPr>
              <w:spacing w:before="240" w:after="120"/>
              <w:ind w:left="86"/>
              <w:jc w:val="left"/>
              <w:rPr>
                <w:rFonts w:ascii="Arial" w:hAnsi="Arial" w:cs="Arial"/>
                <w:b/>
                <w:bCs/>
                <w:sz w:val="20"/>
                <w:szCs w:val="20"/>
              </w:rPr>
            </w:pPr>
            <w:r>
              <w:rPr>
                <w:rFonts w:ascii="Arial" w:hAnsi="Arial" w:cs="Arial"/>
                <w:b/>
                <w:bCs/>
                <w:sz w:val="20"/>
                <w:szCs w:val="20"/>
              </w:rPr>
              <w:lastRenderedPageBreak/>
              <w:t>Data Protection Contacts</w:t>
            </w:r>
          </w:p>
        </w:tc>
        <w:tc>
          <w:tcPr>
            <w:tcW w:w="5550" w:type="dxa"/>
            <w:tcBorders>
              <w:top w:val="single" w:sz="4" w:space="0" w:color="auto"/>
              <w:left w:val="single" w:sz="4" w:space="0" w:color="auto"/>
              <w:bottom w:val="single" w:sz="4" w:space="0" w:color="auto"/>
              <w:right w:val="single" w:sz="4" w:space="0" w:color="auto"/>
            </w:tcBorders>
          </w:tcPr>
          <w:p w14:paraId="38F1900E" w14:textId="77777777" w:rsidR="00FA3E61" w:rsidRPr="00EB1109" w:rsidRDefault="00FA3E61" w:rsidP="009C2331">
            <w:pPr>
              <w:spacing w:before="240" w:after="120"/>
              <w:ind w:left="173"/>
              <w:rPr>
                <w:rFonts w:ascii="Arial" w:hAnsi="Arial" w:cs="Arial"/>
                <w:sz w:val="20"/>
                <w:szCs w:val="20"/>
              </w:rPr>
            </w:pPr>
            <w:r>
              <w:rPr>
                <w:rFonts w:ascii="Arial" w:hAnsi="Arial" w:cs="Arial"/>
                <w:sz w:val="20"/>
                <w:szCs w:val="20"/>
              </w:rPr>
              <w:t>Customer: [ ]</w:t>
            </w:r>
          </w:p>
          <w:p w14:paraId="263032AB" w14:textId="66ED29FE" w:rsidR="00FA3E61" w:rsidRPr="00EB1109" w:rsidRDefault="00FA3E61" w:rsidP="009C2331">
            <w:pPr>
              <w:spacing w:before="240" w:after="120"/>
              <w:ind w:left="173"/>
              <w:rPr>
                <w:rFonts w:ascii="Arial" w:hAnsi="Arial" w:cs="Arial"/>
                <w:sz w:val="20"/>
                <w:szCs w:val="20"/>
              </w:rPr>
            </w:pPr>
            <w:r>
              <w:rPr>
                <w:rFonts w:ascii="Arial" w:hAnsi="Arial" w:cs="Arial"/>
                <w:sz w:val="20"/>
                <w:szCs w:val="20"/>
              </w:rPr>
              <w:t>Service Provider / DPO: [ ]</w:t>
            </w:r>
          </w:p>
        </w:tc>
      </w:tr>
    </w:tbl>
    <w:p w14:paraId="09454FB0" w14:textId="77777777" w:rsidR="00FA3E61" w:rsidRPr="00EB1109" w:rsidRDefault="00FA3E61" w:rsidP="00FA3E61">
      <w:pPr>
        <w:spacing w:before="240" w:after="120" w:line="240" w:lineRule="auto"/>
        <w:rPr>
          <w:rFonts w:ascii="Arial" w:hAnsi="Arial" w:cs="Arial"/>
          <w:sz w:val="20"/>
          <w:szCs w:val="20"/>
        </w:rPr>
      </w:pPr>
    </w:p>
    <w:p w14:paraId="430EB63B" w14:textId="0F3B5E5C"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Availability, Performance, and Scheduled Downtime Parameters</w:t>
      </w:r>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69743FDF"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671BE1E" w14:textId="739F9A81"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Availability Target</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4973FB7"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99.90%</w:t>
            </w:r>
          </w:p>
        </w:tc>
      </w:tr>
      <w:tr w:rsidR="00FA3E61" w:rsidRPr="00EB1109" w14:paraId="6D0A673B"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BC33989"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Services Response Target</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B830958"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3 seconds</w:t>
            </w:r>
          </w:p>
        </w:tc>
      </w:tr>
      <w:tr w:rsidR="00FA3E61" w:rsidRPr="00EB1109" w14:paraId="4F06E981"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32742C9" w14:textId="4CF731B6"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API Response Target</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439F8B4"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200 milliseconds</w:t>
            </w:r>
          </w:p>
        </w:tc>
      </w:tr>
      <w:tr w:rsidR="00FA3E61" w:rsidRPr="00EB1109" w14:paraId="620BBD61"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738EB14" w14:textId="423AEDDB"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Maintenance Window</w:t>
            </w:r>
          </w:p>
          <w:p w14:paraId="3D9F49B7"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(Day/time/time zone)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2DBB717"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4A30252A"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776D0BC6" w14:textId="69C3C31F"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Maximum Scheduled Downtime per Calendar Month</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D69AD75"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30C6684D"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340E96EC" w14:textId="162170EE"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Minimum Advance Notice for Scheduled Downtime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EC0AD55"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4C154276"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69C2452"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Blackout Periods</w:t>
            </w:r>
          </w:p>
          <w:p w14:paraId="6F2A292A" w14:textId="1BF606D2"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(Dates/times when Scheduled Downtime is prohibited)</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F7A261F"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bl>
    <w:p w14:paraId="3FB3C665" w14:textId="77777777" w:rsidR="006944BC" w:rsidRPr="00EB1109" w:rsidRDefault="006944BC" w:rsidP="00FA3E61">
      <w:pPr>
        <w:spacing w:before="240" w:after="120" w:line="240" w:lineRule="auto"/>
        <w:rPr>
          <w:rFonts w:ascii="Arial" w:hAnsi="Arial" w:cs="Arial"/>
          <w:b/>
          <w:bCs/>
          <w:sz w:val="20"/>
          <w:szCs w:val="20"/>
        </w:rPr>
      </w:pPr>
    </w:p>
    <w:p w14:paraId="29D18BD1" w14:textId="7D904814"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Technical Support</w:t>
      </w:r>
      <w:r>
        <w:rPr>
          <w:sz w:val="20"/>
          <w:szCs w:val="20"/>
        </w:rPr>
        <w:t xml:space="preserve">. The following parameters specify the support tier and Incident classification applicable to this Order Form for Technical Support. To the extent the parameters below differ from corresponding default values in Section 3.5 (Support Services) of the Master Agreement or Section 3 (Incident Management) of the Service Level Addendum, the parameters below shall </w:t>
      </w:r>
      <w:proofErr w:type="gramStart"/>
      <w:r>
        <w:rPr>
          <w:sz w:val="20"/>
          <w:szCs w:val="20"/>
        </w:rPr>
        <w:t>control</w:t>
      </w:r>
      <w:proofErr w:type="gramEnd"/>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4AA6515C"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66ED9050"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Support Tier</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2C64087" w14:textId="73BE7EB9"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[e.g., Platinum/Gold/Standard]</w:t>
            </w:r>
          </w:p>
        </w:tc>
      </w:tr>
      <w:tr w:rsidR="00FA3E61" w:rsidRPr="00EB1109" w14:paraId="03FEFEDE"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698C19D9"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lastRenderedPageBreak/>
              <w:t>Support Hours</w:t>
            </w:r>
          </w:p>
          <w:p w14:paraId="3EC89B75" w14:textId="798C59D8"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(Coverage Window)</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100BA7C" w14:textId="056D9364"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[e.g., 24/7/365; Monday–Friday, 8:00 a.m.–6:00 p.m. ET; specify]</w:t>
            </w:r>
          </w:p>
        </w:tc>
      </w:tr>
      <w:tr w:rsidR="00FA3E61" w:rsidRPr="00EB1109" w14:paraId="28E62290"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688439A0"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Support Channels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3A3AB0F"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[e.g., phone, email, web portal, live chat; specify]</w:t>
            </w:r>
          </w:p>
        </w:tc>
      </w:tr>
      <w:tr w:rsidR="00FA3E61" w:rsidRPr="00EB1109" w14:paraId="1F314A3F"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FC8A610"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P1 (Critical) Description</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F976CAE"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[e.g., Services unavailable or critically impaired; significant data loss risk]</w:t>
            </w:r>
          </w:p>
        </w:tc>
      </w:tr>
      <w:tr w:rsidR="00FA3E61" w:rsidRPr="00EB1109" w14:paraId="3E085E2F"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0FA1041"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P1 (Critical) Response and Resolution Targets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44E5E63"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Response Target: 15 minutes</w:t>
            </w:r>
          </w:p>
          <w:p w14:paraId="5D87CE76"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Resolution Target: 5 hours</w:t>
            </w:r>
          </w:p>
        </w:tc>
      </w:tr>
      <w:tr w:rsidR="00FA3E61" w:rsidRPr="00EB1109" w14:paraId="0A6D4BB8"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6211F854"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P2 (High) Description</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670A4C0"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xml:space="preserve">[e.g., Material </w:t>
            </w:r>
            <w:proofErr w:type="gramStart"/>
            <w:r>
              <w:rPr>
                <w:rFonts w:ascii="Arial" w:hAnsi="Arial" w:cs="Arial"/>
                <w:sz w:val="20"/>
                <w:szCs w:val="20"/>
              </w:rPr>
              <w:t>feature</w:t>
            </w:r>
            <w:proofErr w:type="gramEnd"/>
            <w:r>
              <w:rPr>
                <w:rFonts w:ascii="Arial" w:hAnsi="Arial" w:cs="Arial"/>
                <w:sz w:val="20"/>
                <w:szCs w:val="20"/>
              </w:rPr>
              <w:t xml:space="preserve"> impaired; workaround may exist]</w:t>
            </w:r>
          </w:p>
        </w:tc>
      </w:tr>
      <w:tr w:rsidR="00FA3E61" w:rsidRPr="00EB1109" w14:paraId="4FEC12CB"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DFE8FE3"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P2 (High) Response and Resolution Targets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9E2BA3A"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Response Target: 1 hour</w:t>
            </w:r>
          </w:p>
          <w:p w14:paraId="1A0F16D8"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Resolution Target: 8 hours</w:t>
            </w:r>
          </w:p>
        </w:tc>
      </w:tr>
      <w:tr w:rsidR="00FA3E61" w:rsidRPr="00EB1109" w14:paraId="4C088308"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E99C3AC"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P3 (Medium) Description</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BF473BA"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[e.g., Non-critical feature impaired; workaround available]</w:t>
            </w:r>
          </w:p>
        </w:tc>
      </w:tr>
      <w:tr w:rsidR="00FA3E61" w:rsidRPr="00EB1109" w14:paraId="208CD556"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7D97A949"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P3 (Medium) Response and Resolution Targets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E465E7D"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Response Target: 4 hours</w:t>
            </w:r>
          </w:p>
          <w:p w14:paraId="2CA3BCC0" w14:textId="232A1603"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Resolution Target: 3 Business Days</w:t>
            </w:r>
          </w:p>
        </w:tc>
      </w:tr>
      <w:tr w:rsidR="00FA3E61" w:rsidRPr="00EB1109" w14:paraId="7EE7C153"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5E117F0"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P4 (Low) Description</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76027E8"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[e.g., Minor issue; cosmetic or informational]</w:t>
            </w:r>
          </w:p>
        </w:tc>
      </w:tr>
      <w:tr w:rsidR="00FA3E61" w:rsidRPr="00EB1109" w14:paraId="44104F90"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BF08963"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P4 (Low) Response and Resolution Targets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5D354BB" w14:textId="209B368D"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Response Target: 1 Business Day</w:t>
            </w:r>
          </w:p>
          <w:p w14:paraId="47668BDC" w14:textId="7D88814E"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Resolution Target: 10 Business Days</w:t>
            </w:r>
          </w:p>
        </w:tc>
      </w:tr>
      <w:tr w:rsidR="00FA3E61" w:rsidRPr="00EB1109" w14:paraId="698B242A"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0C91C95"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Additional Tier-Specific Features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E5A4EBA"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[Specify any additional features included with the selected support tier, or state None]</w:t>
            </w:r>
          </w:p>
        </w:tc>
      </w:tr>
    </w:tbl>
    <w:p w14:paraId="160F70F4" w14:textId="77777777" w:rsidR="00FA1829" w:rsidRPr="00FA1829" w:rsidRDefault="00FA1829" w:rsidP="00FA1829">
      <w:pPr>
        <w:pStyle w:val="LegalLevel1"/>
        <w:numPr>
          <w:ilvl w:val="0"/>
          <w:numId w:val="0"/>
        </w:numPr>
        <w:tabs>
          <w:tab w:val="num" w:pos="1939"/>
        </w:tabs>
        <w:spacing w:before="240" w:line="240" w:lineRule="auto"/>
        <w:ind w:left="720"/>
        <w:rPr>
          <w:sz w:val="20"/>
          <w:szCs w:val="20"/>
        </w:rPr>
      </w:pPr>
    </w:p>
    <w:p w14:paraId="3CEBBF08" w14:textId="54204895"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Business Continuity and Recovery Parameters</w:t>
      </w:r>
      <w:r>
        <w:rPr>
          <w:sz w:val="20"/>
          <w:szCs w:val="20"/>
        </w:rPr>
        <w:t>. If not specified below, the default values in Section 7 (RPO and RTO) of the BC/DR Addendum shall apply. Service Provider shall notify Customer of any change to the information specified in this Section within the timeframes set forth in the BC/DR Addendum.</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2B6EBA4C"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3B0C58D1" w14:textId="758D4E8C"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Recovery Point Objective (RPO)</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3B82BA1"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1285B376"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1EDC449" w14:textId="490B4992"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lastRenderedPageBreak/>
              <w:t>Recovery Time Objective (RTO)</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98FF3B8"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6A828568"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E4272A3" w14:textId="5112317E"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Maximum Tolerable Downtime (MTD)</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634969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798C83DE"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C44E377" w14:textId="4201853E"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Minimum Recovery Level</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9D7094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EA0257" w:rsidRPr="00EB1109" w14:paraId="3DCCD101"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6DDDCFC5" w14:textId="66A71C10" w:rsidR="00EA0257" w:rsidRDefault="00EA0257" w:rsidP="00EA0257">
            <w:pPr>
              <w:spacing w:before="240" w:after="120" w:line="240" w:lineRule="auto"/>
              <w:jc w:val="left"/>
              <w:rPr>
                <w:rFonts w:ascii="Arial" w:hAnsi="Arial" w:cs="Arial"/>
                <w:b/>
                <w:bCs/>
                <w:sz w:val="20"/>
                <w:szCs w:val="20"/>
              </w:rPr>
            </w:pPr>
            <w:r>
              <w:rPr>
                <w:rFonts w:ascii="Arial" w:hAnsi="Arial" w:cs="Arial"/>
                <w:b/>
                <w:bCs/>
                <w:sz w:val="20"/>
                <w:szCs w:val="20"/>
              </w:rPr>
              <w:t>Maximum Time to Deemed Disaster Declaration</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178AE8A" w14:textId="4224FF89" w:rsidR="00EA0257" w:rsidRDefault="00EA0257"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234B7392"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1EABE4FF" w14:textId="33EC758B"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DR Governance Contact</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37CBC2A"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[Name, Title, Contact Information]</w:t>
            </w:r>
          </w:p>
        </w:tc>
      </w:tr>
      <w:tr w:rsidR="00FA3E61" w:rsidRPr="00EB1109" w14:paraId="47734FC8"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09D797D"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Primary Cloud Infrastructure Provider(s) and Region(s)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44A74E5"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[Identify provider(s) and region(s)]</w:t>
            </w:r>
          </w:p>
        </w:tc>
      </w:tr>
      <w:tr w:rsidR="00FA3E61" w:rsidRPr="00EB1109" w14:paraId="75BF28C8"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DC87649" w14:textId="11662646"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Backup Methodology and Frequency</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E6EA50F"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[Real-time replication / near-real-time / periodic snapshots / other; specify frequency]</w:t>
            </w:r>
          </w:p>
        </w:tc>
      </w:tr>
      <w:tr w:rsidR="00FA3E61" w:rsidRPr="00EB1109" w14:paraId="70D37539"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18C7612" w14:textId="16D6F791"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Backup Geographic Location(s)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49A5C4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[Specify location(s)]</w:t>
            </w:r>
          </w:p>
        </w:tc>
      </w:tr>
      <w:tr w:rsidR="00FA3E61" w:rsidRPr="00EB1109" w14:paraId="79B6E576"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7B44EC96"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Recovery Site Address(es) and Geographic Separation</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E353174"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[Identify address(es); specify minimum geographic separation distance]</w:t>
            </w:r>
          </w:p>
        </w:tc>
      </w:tr>
      <w:tr w:rsidR="00FA3E61" w:rsidRPr="00EB1109" w14:paraId="45590077"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788DD427"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Pre-Approved Emergency Recovery Jurisdiction(s)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410D8C5" w14:textId="7EF76FBE"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[Identify jurisdiction(s) and/or region(s) pre-approved for emergency failover under Section 6.4 (Recovery Site Data Residency) of the BC/DR Addendum]</w:t>
            </w:r>
          </w:p>
        </w:tc>
      </w:tr>
      <w:tr w:rsidR="00FA3E61" w:rsidRPr="00EB1109" w14:paraId="018CC9A5"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273BBA9" w14:textId="77777777" w:rsidR="00FA3E61" w:rsidRPr="00EB1109" w:rsidRDefault="00FA3E61" w:rsidP="00DC2752">
            <w:pPr>
              <w:spacing w:before="240" w:after="120" w:line="240" w:lineRule="auto"/>
              <w:jc w:val="left"/>
              <w:rPr>
                <w:rFonts w:ascii="Arial" w:hAnsi="Arial" w:cs="Arial"/>
                <w:b/>
                <w:bCs/>
                <w:sz w:val="20"/>
                <w:szCs w:val="20"/>
              </w:rPr>
            </w:pPr>
            <w:r>
              <w:rPr>
                <w:rFonts w:ascii="Arial" w:hAnsi="Arial" w:cs="Arial"/>
                <w:b/>
                <w:bCs/>
                <w:sz w:val="20"/>
                <w:szCs w:val="20"/>
              </w:rPr>
              <w:t>Regulatory BC/DR Requirements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CF3017C" w14:textId="2314916B"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[Identify applicable regulatory regime(s) (e.g., DORA, NIS2, HIPAA, SOX) and any additional BC/DR requirements; or state None]</w:t>
            </w:r>
          </w:p>
        </w:tc>
      </w:tr>
    </w:tbl>
    <w:p w14:paraId="024EDD39" w14:textId="77777777" w:rsidR="006944BC" w:rsidRDefault="006944BC" w:rsidP="006944BC">
      <w:pPr>
        <w:pStyle w:val="LegalLevel1"/>
        <w:numPr>
          <w:ilvl w:val="0"/>
          <w:numId w:val="0"/>
        </w:numPr>
        <w:tabs>
          <w:tab w:val="num" w:pos="1939"/>
        </w:tabs>
        <w:spacing w:before="240" w:line="240" w:lineRule="auto"/>
        <w:ind w:left="720"/>
        <w:rPr>
          <w:sz w:val="20"/>
          <w:szCs w:val="20"/>
        </w:rPr>
      </w:pPr>
    </w:p>
    <w:p w14:paraId="05926210" w14:textId="77777777" w:rsidR="006944BC" w:rsidRPr="006944BC" w:rsidRDefault="006944BC" w:rsidP="006944BC">
      <w:pPr>
        <w:pStyle w:val="LegalLevel1"/>
        <w:numPr>
          <w:ilvl w:val="0"/>
          <w:numId w:val="0"/>
        </w:numPr>
        <w:tabs>
          <w:tab w:val="num" w:pos="1939"/>
        </w:tabs>
        <w:spacing w:before="240" w:line="240" w:lineRule="auto"/>
        <w:ind w:left="720"/>
        <w:rPr>
          <w:sz w:val="20"/>
          <w:szCs w:val="20"/>
        </w:rPr>
      </w:pPr>
    </w:p>
    <w:p w14:paraId="11207006" w14:textId="3E69F7A9"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Applicable Addenda</w:t>
      </w:r>
      <w:r>
        <w:rPr>
          <w:sz w:val="20"/>
          <w:szCs w:val="20"/>
        </w:rPr>
        <w:t>. All Addenda apply unless expressly indicated below.</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6F934559"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47648AF" w14:textId="25FADB16"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Addendum B – Data Processing Addendum (Part 1 applies to all engagements)</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8CF30E2" w14:textId="23B3A28D"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[X] Part 1 Applies (all engagements) [ ] Part 2 Applies (Personal Data) [ ] Part 2 Does Not Apply</w:t>
            </w:r>
          </w:p>
        </w:tc>
      </w:tr>
      <w:tr w:rsidR="00FA3E61" w:rsidRPr="00EB1109" w14:paraId="125FFB17"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7FD8576C" w14:textId="3D6FC09B"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lastRenderedPageBreak/>
              <w:t>Addendum E – AI Addendum</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99EC040"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[X] Applies (default) [ ] Does Not Apply</w:t>
            </w:r>
          </w:p>
          <w:p w14:paraId="4A420E06" w14:textId="3F9F5D8F"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If the AI Addendum applies, indicate use of Customer Data for AI Feature training option (if no option is selected, Option 1 shall apply by default):</w:t>
            </w:r>
          </w:p>
          <w:p w14:paraId="6320CD8D"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Option 1 – No Training Permitted</w:t>
            </w:r>
          </w:p>
          <w:p w14:paraId="7C7A7E19" w14:textId="6441DDC1"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Option 2 – Training for Customer’s Benefit Only</w:t>
            </w:r>
          </w:p>
          <w:p w14:paraId="02448A29"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Option 3 – Training with De-identification</w:t>
            </w:r>
          </w:p>
          <w:p w14:paraId="1A74EACA"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 Other option: [ ]</w:t>
            </w:r>
          </w:p>
        </w:tc>
      </w:tr>
      <w:tr w:rsidR="00FA3E61" w:rsidRPr="00EB1109" w14:paraId="09B2EEF1"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07305236" w14:textId="777BE912"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Service Level Addendum to Exhibit A – Order Form</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3CEA593"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[X] Applies (default) [ ] Does Not Apply</w:t>
            </w:r>
          </w:p>
        </w:tc>
      </w:tr>
    </w:tbl>
    <w:p w14:paraId="308554AA" w14:textId="77777777" w:rsidR="00FA3E61" w:rsidRPr="00EB1109" w:rsidRDefault="00FA3E61" w:rsidP="00FA3E61">
      <w:pPr>
        <w:spacing w:before="240" w:after="120" w:line="240" w:lineRule="auto"/>
        <w:rPr>
          <w:rFonts w:ascii="Arial" w:hAnsi="Arial" w:cs="Arial"/>
          <w:sz w:val="20"/>
          <w:szCs w:val="20"/>
        </w:rPr>
      </w:pPr>
    </w:p>
    <w:p w14:paraId="060DD1AE" w14:textId="67A95DF5"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Key Personnel</w:t>
      </w:r>
      <w:r>
        <w:rPr>
          <w:sz w:val="20"/>
          <w:szCs w:val="20"/>
        </w:rPr>
        <w:t>.</w:t>
      </w:r>
    </w:p>
    <w:tbl>
      <w:tblPr>
        <w:tblW w:w="92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5560"/>
      </w:tblGrid>
      <w:tr w:rsidR="00FA3E61" w:rsidRPr="00EB1109" w14:paraId="1F703992"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B31C478"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Customer Account Manager</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F4B1BA5"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756F19FB"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2F5D6B75"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Service Provider Account Manager</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DF0440B"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r w:rsidR="00FA3E61" w:rsidRPr="00EB1109" w14:paraId="516538B2" w14:textId="77777777" w:rsidTr="00293B05">
        <w:tc>
          <w:tcPr>
            <w:tcW w:w="368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244B708" w14:textId="77777777" w:rsidR="00FA3E61" w:rsidRPr="00EB1109" w:rsidRDefault="00FA3E61" w:rsidP="00DC2752">
            <w:pPr>
              <w:spacing w:before="240" w:after="120" w:line="240" w:lineRule="auto"/>
              <w:jc w:val="left"/>
              <w:rPr>
                <w:rFonts w:ascii="Arial" w:hAnsi="Arial" w:cs="Arial"/>
                <w:sz w:val="20"/>
                <w:szCs w:val="20"/>
              </w:rPr>
            </w:pPr>
            <w:r>
              <w:rPr>
                <w:rFonts w:ascii="Arial" w:hAnsi="Arial" w:cs="Arial"/>
                <w:b/>
                <w:bCs/>
                <w:sz w:val="20"/>
                <w:szCs w:val="20"/>
              </w:rPr>
              <w:t>Service Provider Technical Lead</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12E89B1" w14:textId="77777777" w:rsidR="00FA3E61" w:rsidRPr="00EB1109" w:rsidRDefault="00FA3E61" w:rsidP="00DC2752">
            <w:pPr>
              <w:spacing w:before="240" w:after="120" w:line="240" w:lineRule="auto"/>
              <w:rPr>
                <w:rFonts w:ascii="Arial" w:hAnsi="Arial" w:cs="Arial"/>
                <w:sz w:val="20"/>
                <w:szCs w:val="20"/>
              </w:rPr>
            </w:pPr>
            <w:r>
              <w:rPr>
                <w:rFonts w:ascii="Arial" w:hAnsi="Arial" w:cs="Arial"/>
                <w:sz w:val="20"/>
                <w:szCs w:val="20"/>
              </w:rPr>
              <w:t>[ ]</w:t>
            </w:r>
          </w:p>
        </w:tc>
      </w:tr>
    </w:tbl>
    <w:p w14:paraId="333CE5FF" w14:textId="77777777" w:rsidR="00FA3E61" w:rsidRPr="00EB1109" w:rsidRDefault="00FA3E61" w:rsidP="00FA3E61">
      <w:pPr>
        <w:spacing w:before="240" w:after="120" w:line="240" w:lineRule="auto"/>
        <w:rPr>
          <w:rFonts w:ascii="Arial" w:hAnsi="Arial" w:cs="Arial"/>
          <w:sz w:val="20"/>
          <w:szCs w:val="20"/>
        </w:rPr>
      </w:pPr>
    </w:p>
    <w:p w14:paraId="42503F9A"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Additional Terms and Conditions</w:t>
      </w:r>
      <w:r>
        <w:rPr>
          <w:sz w:val="20"/>
          <w:szCs w:val="20"/>
        </w:rPr>
        <w:t>.</w:t>
      </w:r>
    </w:p>
    <w:p w14:paraId="1BA4DA3A"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[Insert any engagement-specific terms or conditions, modifications, or supplements here.]</w:t>
      </w:r>
    </w:p>
    <w:p w14:paraId="4BC3BA28" w14:textId="77777777" w:rsidR="006944BC" w:rsidRPr="00EB1109" w:rsidRDefault="006944BC" w:rsidP="00FA3E61">
      <w:pPr>
        <w:spacing w:before="240" w:after="120" w:line="240" w:lineRule="auto"/>
        <w:rPr>
          <w:rFonts w:ascii="Arial" w:hAnsi="Arial" w:cs="Arial"/>
          <w:sz w:val="20"/>
          <w:szCs w:val="20"/>
        </w:rPr>
      </w:pPr>
    </w:p>
    <w:p w14:paraId="31FFFDEA" w14:textId="2D2DCBB9"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Executed on the dates set forth below by the undersigned authorized representative of Customer and Service Provider to be effective as of the Effective Date described in Section 1 (Engagement Details) of this Order Form.</w:t>
      </w:r>
    </w:p>
    <w:p w14:paraId="1237C94D" w14:textId="77777777" w:rsidR="00FA3E61" w:rsidRPr="00EB1109" w:rsidRDefault="00FA3E61" w:rsidP="00FA3E61">
      <w:pPr>
        <w:spacing w:before="240" w:after="120" w:line="240" w:lineRule="auto"/>
        <w:rPr>
          <w:rFonts w:ascii="Arial" w:hAnsi="Arial" w:cs="Arial"/>
          <w:sz w:val="20"/>
          <w:szCs w:val="20"/>
        </w:rPr>
      </w:pPr>
    </w:p>
    <w:p w14:paraId="01324F57" w14:textId="77777777" w:rsidR="00FA3E61" w:rsidRPr="00EB1109" w:rsidRDefault="00FA3E61" w:rsidP="00FA3E61">
      <w:pPr>
        <w:spacing w:before="240" w:after="120" w:line="240" w:lineRule="auto"/>
        <w:rPr>
          <w:rFonts w:ascii="Arial" w:hAnsi="Arial" w:cs="Arial"/>
          <w:b/>
          <w:sz w:val="20"/>
          <w:szCs w:val="20"/>
        </w:rPr>
      </w:pPr>
      <w:r>
        <w:rPr>
          <w:rFonts w:ascii="Arial" w:hAnsi="Arial" w:cs="Arial"/>
          <w:b/>
          <w:sz w:val="20"/>
          <w:szCs w:val="20"/>
        </w:rPr>
        <w:t>[CUSTOMER NAME] (CUSTOMER)</w:t>
      </w:r>
    </w:p>
    <w:p w14:paraId="021A7136" w14:textId="77777777" w:rsidR="00FA3E61" w:rsidRPr="00EB1109" w:rsidRDefault="00FA3E61" w:rsidP="00FA3E61">
      <w:pPr>
        <w:spacing w:before="240" w:after="120" w:line="240" w:lineRule="auto"/>
        <w:rPr>
          <w:rFonts w:ascii="Arial" w:hAnsi="Arial" w:cs="Arial"/>
          <w:sz w:val="20"/>
          <w:szCs w:val="20"/>
        </w:rPr>
      </w:pPr>
      <w:proofErr w:type="gramStart"/>
      <w:r>
        <w:rPr>
          <w:rFonts w:ascii="Arial" w:hAnsi="Arial" w:cs="Arial"/>
          <w:sz w:val="20"/>
          <w:szCs w:val="20"/>
        </w:rPr>
        <w:t>By</w:t>
      </w:r>
      <w:proofErr w:type="gramEnd"/>
      <w:r>
        <w:rPr>
          <w:rFonts w:ascii="Arial" w:hAnsi="Arial" w:cs="Arial"/>
          <w:sz w:val="20"/>
          <w:szCs w:val="20"/>
        </w:rPr>
        <w:t>:</w:t>
      </w:r>
      <w:r>
        <w:rPr>
          <w:rFonts w:ascii="Arial" w:hAnsi="Arial" w:cs="Arial"/>
          <w:sz w:val="20"/>
          <w:szCs w:val="20"/>
        </w:rPr>
        <w:tab/>
        <w:t>For Reference Only</w:t>
      </w:r>
    </w:p>
    <w:p w14:paraId="4B75C55D"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Name:</w:t>
      </w:r>
      <w:r>
        <w:rPr>
          <w:rFonts w:ascii="Arial" w:hAnsi="Arial" w:cs="Arial"/>
          <w:sz w:val="20"/>
          <w:szCs w:val="20"/>
        </w:rPr>
        <w:tab/>
        <w:t>For Reference Only</w:t>
      </w:r>
    </w:p>
    <w:p w14:paraId="00214E3A"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Title:</w:t>
      </w:r>
      <w:r>
        <w:rPr>
          <w:rFonts w:ascii="Arial" w:hAnsi="Arial" w:cs="Arial"/>
          <w:sz w:val="20"/>
          <w:szCs w:val="20"/>
        </w:rPr>
        <w:tab/>
        <w:t>For Reference Only</w:t>
      </w:r>
    </w:p>
    <w:p w14:paraId="18C2AC3D"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Date:</w:t>
      </w:r>
      <w:r>
        <w:rPr>
          <w:rFonts w:ascii="Arial" w:hAnsi="Arial" w:cs="Arial"/>
          <w:sz w:val="20"/>
          <w:szCs w:val="20"/>
        </w:rPr>
        <w:tab/>
        <w:t>For Reference Only</w:t>
      </w:r>
    </w:p>
    <w:p w14:paraId="7F56573B" w14:textId="77777777" w:rsidR="00FA3E61" w:rsidRPr="00EB1109" w:rsidRDefault="00FA3E61" w:rsidP="00FA3E61">
      <w:pPr>
        <w:spacing w:before="240" w:after="120" w:line="240" w:lineRule="auto"/>
        <w:rPr>
          <w:rFonts w:ascii="Arial" w:hAnsi="Arial" w:cs="Arial"/>
          <w:sz w:val="20"/>
          <w:szCs w:val="20"/>
        </w:rPr>
      </w:pPr>
    </w:p>
    <w:p w14:paraId="2E5D6E0C" w14:textId="77777777" w:rsidR="00FA3E61" w:rsidRPr="00EB1109" w:rsidRDefault="00FA3E61" w:rsidP="00FA3E61">
      <w:pPr>
        <w:spacing w:before="240" w:after="120" w:line="240" w:lineRule="auto"/>
        <w:rPr>
          <w:rFonts w:ascii="Arial" w:hAnsi="Arial" w:cs="Arial"/>
          <w:b/>
          <w:sz w:val="20"/>
          <w:szCs w:val="20"/>
        </w:rPr>
      </w:pPr>
      <w:r>
        <w:rPr>
          <w:rFonts w:ascii="Arial" w:hAnsi="Arial" w:cs="Arial"/>
          <w:b/>
          <w:sz w:val="20"/>
          <w:szCs w:val="20"/>
        </w:rPr>
        <w:t>[SERVICE PROVIDER NAME] (SERVICE PROVIDER)</w:t>
      </w:r>
    </w:p>
    <w:p w14:paraId="515398E7" w14:textId="77777777" w:rsidR="00FA3E61" w:rsidRPr="00EB1109" w:rsidRDefault="00FA3E61" w:rsidP="00FA3E61">
      <w:pPr>
        <w:spacing w:before="240" w:after="120" w:line="240" w:lineRule="auto"/>
        <w:rPr>
          <w:rFonts w:ascii="Arial" w:hAnsi="Arial" w:cs="Arial"/>
          <w:sz w:val="20"/>
          <w:szCs w:val="20"/>
        </w:rPr>
      </w:pPr>
    </w:p>
    <w:p w14:paraId="0F1DA7E5" w14:textId="77777777" w:rsidR="00FA3E61" w:rsidRPr="00EB1109" w:rsidRDefault="00FA3E61" w:rsidP="00FA3E61">
      <w:pPr>
        <w:spacing w:before="240" w:after="120" w:line="240" w:lineRule="auto"/>
        <w:rPr>
          <w:rFonts w:ascii="Arial" w:hAnsi="Arial" w:cs="Arial"/>
          <w:sz w:val="20"/>
          <w:szCs w:val="20"/>
        </w:rPr>
      </w:pPr>
      <w:proofErr w:type="gramStart"/>
      <w:r>
        <w:rPr>
          <w:rFonts w:ascii="Arial" w:hAnsi="Arial" w:cs="Arial"/>
          <w:sz w:val="20"/>
          <w:szCs w:val="20"/>
        </w:rPr>
        <w:t>By</w:t>
      </w:r>
      <w:proofErr w:type="gramEnd"/>
      <w:r>
        <w:rPr>
          <w:rFonts w:ascii="Arial" w:hAnsi="Arial" w:cs="Arial"/>
          <w:sz w:val="20"/>
          <w:szCs w:val="20"/>
        </w:rPr>
        <w:t>:</w:t>
      </w:r>
      <w:r>
        <w:rPr>
          <w:rFonts w:ascii="Arial" w:hAnsi="Arial" w:cs="Arial"/>
          <w:sz w:val="20"/>
          <w:szCs w:val="20"/>
        </w:rPr>
        <w:tab/>
        <w:t>For Reference Only</w:t>
      </w:r>
    </w:p>
    <w:p w14:paraId="7FBEA4B9"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Name:</w:t>
      </w:r>
      <w:r>
        <w:rPr>
          <w:rFonts w:ascii="Arial" w:hAnsi="Arial" w:cs="Arial"/>
          <w:sz w:val="20"/>
          <w:szCs w:val="20"/>
        </w:rPr>
        <w:tab/>
        <w:t>For Reference Only</w:t>
      </w:r>
    </w:p>
    <w:p w14:paraId="4FC257AD"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Title:</w:t>
      </w:r>
      <w:r>
        <w:rPr>
          <w:rFonts w:ascii="Arial" w:hAnsi="Arial" w:cs="Arial"/>
          <w:sz w:val="20"/>
          <w:szCs w:val="20"/>
        </w:rPr>
        <w:tab/>
        <w:t>For Reference Only</w:t>
      </w:r>
    </w:p>
    <w:p w14:paraId="6DAA5519" w14:textId="7777777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Date:</w:t>
      </w:r>
      <w:r>
        <w:rPr>
          <w:rFonts w:ascii="Arial" w:hAnsi="Arial" w:cs="Arial"/>
          <w:sz w:val="20"/>
          <w:szCs w:val="20"/>
        </w:rPr>
        <w:tab/>
        <w:t>For Reference Only</w:t>
      </w:r>
    </w:p>
    <w:p w14:paraId="3A8F8456" w14:textId="77777777" w:rsidR="00FA3E61" w:rsidRPr="00EB1109" w:rsidRDefault="00FA3E61" w:rsidP="00FA3E61">
      <w:pPr>
        <w:spacing w:before="240" w:after="120" w:line="240" w:lineRule="auto"/>
        <w:rPr>
          <w:rFonts w:ascii="Arial" w:hAnsi="Arial" w:cs="Arial"/>
          <w:sz w:val="20"/>
          <w:szCs w:val="20"/>
        </w:rPr>
      </w:pPr>
    </w:p>
    <w:p w14:paraId="2ED4B295" w14:textId="517058A4" w:rsidR="00FA3E61" w:rsidRPr="00EB1109" w:rsidRDefault="00FA3E61" w:rsidP="00FA3E61">
      <w:pPr>
        <w:pStyle w:val="LegalHeader"/>
        <w:rPr>
          <w:rFonts w:cs="Arial"/>
          <w:sz w:val="20"/>
        </w:rPr>
      </w:pPr>
      <w:r>
        <w:rPr>
          <w:rFonts w:cs="Arial"/>
          <w:sz w:val="20"/>
        </w:rPr>
        <w:br w:type="page"/>
      </w:r>
      <w:r>
        <w:rPr>
          <w:rFonts w:cs="Arial"/>
          <w:sz w:val="20"/>
        </w:rPr>
        <w:lastRenderedPageBreak/>
        <w:t>SERVICE LEVEL ADDENDUM</w:t>
      </w:r>
    </w:p>
    <w:p w14:paraId="30D3C1B7" w14:textId="50ED36EC" w:rsidR="00FA3E61" w:rsidRPr="00EB1109" w:rsidRDefault="00FA3E61" w:rsidP="00FA3E61">
      <w:pPr>
        <w:spacing w:before="240" w:after="120" w:line="240" w:lineRule="auto"/>
        <w:jc w:val="center"/>
        <w:rPr>
          <w:rFonts w:ascii="Arial" w:hAnsi="Arial" w:cs="Arial"/>
          <w:sz w:val="20"/>
          <w:szCs w:val="20"/>
        </w:rPr>
      </w:pPr>
      <w:r>
        <w:rPr>
          <w:rFonts w:ascii="Arial" w:hAnsi="Arial" w:cs="Arial"/>
          <w:i/>
          <w:iCs/>
          <w:sz w:val="20"/>
          <w:szCs w:val="20"/>
        </w:rPr>
        <w:t>to Exhibit A – Order Form No. [ ] to the Master Software as a Service Agreement by and between Customer and Service Provider</w:t>
      </w:r>
    </w:p>
    <w:p w14:paraId="46BB5D2D" w14:textId="00DF1DFD"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Service Level Addendum to Exhibit A – Order Form (“Service Level Addendum”) is incorporated into and forms part of the Order Form referenced above and the Agreement. This Service Level Addendum sets forth the Service Level commitments, measurement methodologies, reporting obligations, and credit calculations applicable to the Services described in the referenced Order Form, as contemplated by Section 9 (Service Levels) of the Master Agreement. In the event of any conflict between this Service Level Addendum and any other component of the Agreement, the order of precedence set forth in Section 1.2 (Order of Precedence) of the Master Agreement shall govern.</w:t>
      </w:r>
    </w:p>
    <w:p w14:paraId="1CF25D11" w14:textId="175496A9" w:rsidR="00FA3E61" w:rsidRPr="00EB1109" w:rsidRDefault="00FA3E61" w:rsidP="00FA3E61">
      <w:pPr>
        <w:pStyle w:val="LegalLevel1"/>
        <w:numPr>
          <w:ilvl w:val="0"/>
          <w:numId w:val="8"/>
        </w:numPr>
        <w:tabs>
          <w:tab w:val="num" w:pos="1939"/>
        </w:tabs>
        <w:spacing w:before="240" w:line="240" w:lineRule="auto"/>
        <w:rPr>
          <w:sz w:val="20"/>
          <w:szCs w:val="20"/>
        </w:rPr>
      </w:pPr>
      <w:r>
        <w:rPr>
          <w:sz w:val="20"/>
          <w:szCs w:val="20"/>
          <w:u w:val="single"/>
        </w:rPr>
        <w:t>Definitions</w:t>
      </w:r>
      <w:r>
        <w:rPr>
          <w:sz w:val="20"/>
          <w:szCs w:val="20"/>
        </w:rPr>
        <w:t>. Capitalized terms not defined in this Service Level Addendum shall have the meanings ascribed to them in the Master Agreement. For purposes of this Service Level Addendum, the following terms shall have the meanings set forth below:</w:t>
      </w:r>
    </w:p>
    <w:p w14:paraId="18E9273A" w14:textId="6BB59ACE"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“Downtime” means any period during which the Services are materially unavailable or materially impaired such that Customer cannot use the Services for their intended purpose. Without limiting the generality of the foregoing, objective indicators of Downtime include: (a) an HTTP error rate (5xx responses) exceeding five percent (5%) of total requests over a five-minute measurement window; (b) end-to-end response latency exceeding three (3) times the applicable target latency for a sustained period of five (5) or more consecutive minutes; (c) the inability of Authorized Users or Authorized Systems to authenticate; or (d) the inability to read from or write to core data stores. Downtime shall be measured per minute, rounded up to the nearest whole minute, with each minute during which any objective indicator is met counting as one Downtime minute. Downtime excludes Scheduled Downtime, Emergency Downtime (where qualifying), and excused outages specifically identified in Section 6 (Exclusions) of this Service Level Addendum.</w:t>
      </w:r>
    </w:p>
    <w:p w14:paraId="43928B93" w14:textId="4653DFAE"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“Eligible Minutes” means, for purposes of calculating Availability under Section 4.1 (Availability Service Level), the total minutes in the applicable Measurement Period less all Scheduled Downtime minutes and all qualifying Emergency Downtime minutes excluded from Downtime calculations under this Service Level Addendum.</w:t>
      </w:r>
    </w:p>
    <w:p w14:paraId="68016662" w14:textId="1FA5B999"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“Measurement Period” means each calendar month during the applicable Order Form term, unless otherwise specified in this Service Level Addendum.</w:t>
      </w:r>
    </w:p>
    <w:p w14:paraId="18C1B198" w14:textId="7F2F3D3E"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“Monthly Fees” means, for purposes of calculating Service Credits under this Service Level Addendum, the recurring Fees and usage-based, consumption-based, or other variable Fees payable by Customer for the affected Services during the applicable Measurement Period, excluding taxes and any Service Credits or other adjustments previously applied. Where Fees are prepaid on an annual or multi-year basis, Monthly Fees shall be calculated by dividing the annualized Fees by twelve (12).</w:t>
      </w:r>
    </w:p>
    <w:p w14:paraId="59C6CE96" w14:textId="7EF6288E"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Scheduled Downtime and Emergency Downtime</w:t>
      </w:r>
      <w:r>
        <w:rPr>
          <w:sz w:val="20"/>
          <w:szCs w:val="20"/>
        </w:rPr>
        <w:t>.</w:t>
      </w:r>
    </w:p>
    <w:p w14:paraId="3AF03D70" w14:textId="794FC851" w:rsidR="00FA3E61" w:rsidRPr="00EB1109" w:rsidRDefault="00FA3E61" w:rsidP="00FA3E61">
      <w:pPr>
        <w:pStyle w:val="LegalLevel2"/>
        <w:numPr>
          <w:ilvl w:val="1"/>
          <w:numId w:val="4"/>
        </w:numPr>
        <w:spacing w:before="240" w:line="240" w:lineRule="auto"/>
        <w:rPr>
          <w:sz w:val="20"/>
          <w:szCs w:val="20"/>
        </w:rPr>
      </w:pPr>
      <w:r>
        <w:rPr>
          <w:sz w:val="20"/>
          <w:szCs w:val="20"/>
          <w:u w:val="single"/>
        </w:rPr>
        <w:t>Order Form Parameters</w:t>
      </w:r>
      <w:r>
        <w:rPr>
          <w:sz w:val="20"/>
          <w:szCs w:val="20"/>
        </w:rPr>
        <w:t>. Scheduled Downtime shall be conducted in accordance with the parameters set forth in the applicable Order Form. Service Provider shall provide Customer with advance written notice as specified in the Order Form. Emergency Downtime shall be governed by the requirements set forth in the definition of Emergency Downtime in Section 2 (Definitions) of the Master Agreement.</w:t>
      </w:r>
    </w:p>
    <w:p w14:paraId="2D71CF93" w14:textId="77BC370B" w:rsidR="00FA3E61" w:rsidRPr="00EB1109" w:rsidRDefault="00FA3E61" w:rsidP="00FA3E61">
      <w:pPr>
        <w:pStyle w:val="LegalLevel2"/>
        <w:numPr>
          <w:ilvl w:val="1"/>
          <w:numId w:val="4"/>
        </w:numPr>
        <w:spacing w:before="240" w:line="240" w:lineRule="auto"/>
        <w:rPr>
          <w:sz w:val="20"/>
          <w:szCs w:val="20"/>
        </w:rPr>
      </w:pPr>
      <w:r>
        <w:rPr>
          <w:sz w:val="20"/>
          <w:szCs w:val="20"/>
          <w:u w:val="single"/>
        </w:rPr>
        <w:t>Maintenance Window and Duration</w:t>
      </w:r>
      <w:r>
        <w:rPr>
          <w:sz w:val="20"/>
          <w:szCs w:val="20"/>
        </w:rPr>
        <w:t>. Scheduled Downtime shall be performed during the maintenance window specified in the applicable Order Form. Scheduled Downtime shall not exceed the maximum duration specified in the applicable Order Form without Customer’s prior written consent.</w:t>
      </w:r>
    </w:p>
    <w:p w14:paraId="023504BC" w14:textId="4A3B9250"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Downtime Classification</w:t>
      </w:r>
      <w:r>
        <w:rPr>
          <w:sz w:val="20"/>
          <w:szCs w:val="20"/>
        </w:rPr>
        <w:t>. Scheduled Downtime that complies with the parameters set forth in the applicable Order Form shall be excluded from Downtime calculations. Scheduled Downtime that exceeds the permitted window, exceeds the maximum duration, or for which insufficient notice was provided shall be counted as Downtime. Emergency Downtime shall be excluded from Downtime calculations only if Service Provider complies with the requirements set forth in the definition of Emergency Downtime in Section 2 (Definitions) of the Master Agreement; otherwise, it shall be counted as Downtime.</w:t>
      </w:r>
    </w:p>
    <w:p w14:paraId="47035AF7" w14:textId="58598570" w:rsidR="00FA3E61" w:rsidRPr="00EB1109" w:rsidRDefault="00FA3E61" w:rsidP="00FA3E61">
      <w:pPr>
        <w:pStyle w:val="LegalLevel2"/>
        <w:numPr>
          <w:ilvl w:val="1"/>
          <w:numId w:val="4"/>
        </w:numPr>
        <w:spacing w:before="240" w:line="240" w:lineRule="auto"/>
        <w:rPr>
          <w:sz w:val="20"/>
          <w:szCs w:val="20"/>
        </w:rPr>
      </w:pPr>
      <w:r>
        <w:rPr>
          <w:sz w:val="20"/>
          <w:szCs w:val="20"/>
          <w:u w:val="single"/>
        </w:rPr>
        <w:t>Default Maintenance Parameters</w:t>
      </w:r>
      <w:r>
        <w:rPr>
          <w:sz w:val="20"/>
          <w:szCs w:val="20"/>
        </w:rPr>
        <w:t>. Unless the applicable Order Form specifies different parameters, the following default maintenance guardrails shall apply: (a) Scheduled Downtime shall be limited to a single maintenance window between 12:00 a.m. and 6:00 a.m. local time of Customer’s primary business location on Saturday or Sunday; (b) total Scheduled Downtime shall not exceed four (4) hours per calendar month; (c) Service Provider shall provide Customer with not less than seventy-two (72) hours’ advance written notice of each Scheduled Downtime event; and (d) Service Provider shall not schedule or perform Scheduled Downtime during Customer-designated blackout periods identified in the applicable Order Form or communicated in writing by Customer not less than thirty (30) days in advance.</w:t>
      </w:r>
    </w:p>
    <w:p w14:paraId="66C59830" w14:textId="41A575A4" w:rsidR="00FA3E61" w:rsidRPr="00EB1109" w:rsidRDefault="00FA3E61" w:rsidP="00FA3E61">
      <w:pPr>
        <w:pStyle w:val="LegalLevel2"/>
        <w:numPr>
          <w:ilvl w:val="1"/>
          <w:numId w:val="4"/>
        </w:numPr>
        <w:spacing w:before="240" w:line="240" w:lineRule="auto"/>
        <w:rPr>
          <w:sz w:val="20"/>
          <w:szCs w:val="20"/>
        </w:rPr>
      </w:pPr>
      <w:r>
        <w:rPr>
          <w:sz w:val="20"/>
          <w:szCs w:val="20"/>
          <w:u w:val="single"/>
        </w:rPr>
        <w:t>Emergency Downtime Limits</w:t>
      </w:r>
      <w:r>
        <w:rPr>
          <w:sz w:val="20"/>
          <w:szCs w:val="20"/>
        </w:rPr>
        <w:t xml:space="preserve">. Emergency Downtime events shall not exceed two (2) occurrences per calendar month, and each Emergency Downtime event shall not exceed two (2) hours in duration, in each case subject to the qualifying requirements set forth in the definition of Emergency Downtime in Section 2 (Definitions) of the Master Agreement. Where an Emergency Downtime event requires additional time to address the underlying qualifying trigger, Service Provider shall notify Customer before the two-hour limit is reached and shall use commercially reasonable efforts to minimize the duration of the excess period. Any Emergency Downtime exceeding the two-hour limit shall be counted as Downtime for all purposes under this Service Level Addendum beginning at the expiration of the two-hour period. Any Emergency Downtime event occurring </w:t>
      </w:r>
      <w:proofErr w:type="gramStart"/>
      <w:r>
        <w:rPr>
          <w:sz w:val="20"/>
          <w:szCs w:val="20"/>
        </w:rPr>
        <w:t>in excess of</w:t>
      </w:r>
      <w:proofErr w:type="gramEnd"/>
      <w:r>
        <w:rPr>
          <w:sz w:val="20"/>
          <w:szCs w:val="20"/>
        </w:rPr>
        <w:t xml:space="preserve"> two (2) occurrences in a calendar month shall be counted as Downtime from the first minute of such excess event, regardless of whether it otherwise meets the qualifying requirements.</w:t>
      </w:r>
    </w:p>
    <w:p w14:paraId="456C4DD7"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Incident Management</w:t>
      </w:r>
      <w:r>
        <w:rPr>
          <w:sz w:val="20"/>
          <w:szCs w:val="20"/>
        </w:rPr>
        <w:t>.</w:t>
      </w:r>
    </w:p>
    <w:p w14:paraId="66F31A3A" w14:textId="72102E69" w:rsidR="00FA3E61" w:rsidRPr="00EB1109" w:rsidRDefault="00FA3E61" w:rsidP="00FA3E61">
      <w:pPr>
        <w:pStyle w:val="LegalLevel2"/>
        <w:numPr>
          <w:ilvl w:val="1"/>
          <w:numId w:val="4"/>
        </w:numPr>
        <w:spacing w:before="240" w:line="240" w:lineRule="auto"/>
        <w:rPr>
          <w:sz w:val="20"/>
          <w:szCs w:val="20"/>
        </w:rPr>
      </w:pPr>
      <w:r>
        <w:rPr>
          <w:sz w:val="20"/>
          <w:szCs w:val="20"/>
          <w:u w:val="single"/>
        </w:rPr>
        <w:t>General</w:t>
      </w:r>
      <w:r>
        <w:rPr>
          <w:sz w:val="20"/>
          <w:szCs w:val="20"/>
        </w:rPr>
        <w:t>. Incidents shall be classified, prioritized, and managed in accordance with Section 3.5 (Support Services) of the Master Agreement and the applicable Order Form. This Section establishes the measurement and reporting framework applicable to the Incident-related Service Levels set forth in Section 4 (Service Levels and Service Credits) of this Service Level Addendum.</w:t>
      </w:r>
    </w:p>
    <w:p w14:paraId="17421D35" w14:textId="0A591AE0" w:rsidR="00FA3E61" w:rsidRPr="00EB1109" w:rsidRDefault="00FA3E61" w:rsidP="00FA3E61">
      <w:pPr>
        <w:pStyle w:val="LegalLevel2"/>
        <w:numPr>
          <w:ilvl w:val="1"/>
          <w:numId w:val="4"/>
        </w:numPr>
        <w:spacing w:before="240" w:line="240" w:lineRule="auto"/>
        <w:rPr>
          <w:sz w:val="20"/>
          <w:szCs w:val="20"/>
        </w:rPr>
      </w:pPr>
      <w:r>
        <w:rPr>
          <w:sz w:val="20"/>
          <w:szCs w:val="20"/>
          <w:u w:val="single"/>
        </w:rPr>
        <w:t>Incident Tracking and Measurement</w:t>
      </w:r>
      <w:r>
        <w:rPr>
          <w:sz w:val="20"/>
          <w:szCs w:val="20"/>
        </w:rPr>
        <w:t>. Service Provider shall maintain an auditable Incident management system that records, for each Incident: (a) the date and time of initial report or detection; (b) the assigned priority level; (c) the date and time of Response (as defined in Section 4.2.1 (Definitions) of this Service Level Addendum); (d) the date and time of Resolution (as defined in Section 4.3.1 (Definitions) of this Service Level Addendum); (e) root cause identification; and (f) corrective actions taken or planned. All timestamps shall reference Coordinated Universal Time (UTC) and shall be accurate to within one (1) minute.</w:t>
      </w:r>
    </w:p>
    <w:p w14:paraId="5E673093" w14:textId="13391A00" w:rsidR="00FA3E61" w:rsidRPr="00EB1109" w:rsidRDefault="00FA3E61" w:rsidP="00FA3E61">
      <w:pPr>
        <w:pStyle w:val="LegalLevel2"/>
        <w:numPr>
          <w:ilvl w:val="1"/>
          <w:numId w:val="4"/>
        </w:numPr>
        <w:spacing w:before="240" w:line="240" w:lineRule="auto"/>
        <w:rPr>
          <w:sz w:val="20"/>
          <w:szCs w:val="20"/>
        </w:rPr>
      </w:pPr>
      <w:r>
        <w:rPr>
          <w:sz w:val="20"/>
          <w:szCs w:val="20"/>
          <w:u w:val="single"/>
        </w:rPr>
        <w:t>Incident Reporting</w:t>
      </w:r>
      <w:r>
        <w:rPr>
          <w:sz w:val="20"/>
          <w:szCs w:val="20"/>
        </w:rPr>
        <w:t xml:space="preserve">. Service Provider shall deliver to Customer, within five (5) Business Days following the end of each Measurement Period, a written Incident report that includes: (a) a summary of all Incidents during the period, classified by priority level; (b) Response and Resolution times for each Incident; (c) compliance calculations for each Incident-related Service Level; (d) root cause analysis for all P1 and P2 Incidents; and (e) trend analysis comparing the current period to the preceding three (3) Measurement Periods. </w:t>
      </w:r>
      <w:proofErr w:type="gramStart"/>
      <w:r>
        <w:rPr>
          <w:sz w:val="20"/>
          <w:szCs w:val="20"/>
        </w:rPr>
        <w:t>Customer</w:t>
      </w:r>
      <w:proofErr w:type="gramEnd"/>
      <w:r>
        <w:rPr>
          <w:sz w:val="20"/>
          <w:szCs w:val="20"/>
        </w:rPr>
        <w:t xml:space="preserve"> shall have the right to audit the Incident management system and underlying records in accordance with Section 9.5 (Audit of Service Levels) of the Master Agreement.</w:t>
      </w:r>
    </w:p>
    <w:p w14:paraId="37BF6BB1" w14:textId="0CCABA51" w:rsidR="00FA3E61" w:rsidRPr="00EB1109" w:rsidRDefault="00FA3E61" w:rsidP="00FA3E61">
      <w:pPr>
        <w:pStyle w:val="LegalLevel2"/>
        <w:numPr>
          <w:ilvl w:val="1"/>
          <w:numId w:val="4"/>
        </w:numPr>
        <w:spacing w:before="240" w:line="240" w:lineRule="auto"/>
        <w:rPr>
          <w:sz w:val="20"/>
          <w:szCs w:val="20"/>
        </w:rPr>
      </w:pPr>
      <w:r>
        <w:rPr>
          <w:sz w:val="20"/>
          <w:szCs w:val="20"/>
          <w:u w:val="single"/>
        </w:rPr>
        <w:t>Classification Dispute Resolution</w:t>
      </w:r>
      <w:r>
        <w:rPr>
          <w:sz w:val="20"/>
          <w:szCs w:val="20"/>
        </w:rPr>
        <w:t xml:space="preserve">. Where Customer disputes the priority classification assigned to an Incident by Service Provider, the higher priority level asserted by Customer shall apply for purposes of measuring compliance with the applicable Service Levels under Section 4 (Service Levels and Service Credits) of this Service Level Addendum pending resolution of the dispute. </w:t>
      </w:r>
      <w:r>
        <w:rPr>
          <w:sz w:val="20"/>
          <w:szCs w:val="20"/>
        </w:rPr>
        <w:lastRenderedPageBreak/>
        <w:t>Service Provider shall evaluate Customer’s reclassification request in accordance with Section 3.5.3 (Customer Escalation Rights) of the Master Agreement. If, following such evaluation, the Parties agree that the lower classification was correct, the Service Level measurements for that Incident shall be recalculated using the agreed classification. Service Provider shall not reclassify, downgrade, or split Incidents for the purpose of avoiding Service Level thresholds or Service Credit obligations, and any pattern of systematic under-classification shall constitute a material breach of this Service Level Addendum.</w:t>
      </w:r>
    </w:p>
    <w:p w14:paraId="45933B8B" w14:textId="1F7457B9"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Service Levels and Service Credits</w:t>
      </w:r>
      <w:r>
        <w:rPr>
          <w:sz w:val="20"/>
          <w:szCs w:val="20"/>
        </w:rPr>
        <w:t>.</w:t>
      </w:r>
    </w:p>
    <w:p w14:paraId="3C601FF5" w14:textId="78FE6FE8" w:rsidR="00FA3E61" w:rsidRPr="00EB1109" w:rsidRDefault="00FA3E61" w:rsidP="00FA3E61">
      <w:pPr>
        <w:pStyle w:val="LegalLevel2"/>
        <w:numPr>
          <w:ilvl w:val="1"/>
          <w:numId w:val="4"/>
        </w:numPr>
        <w:spacing w:before="240" w:line="240" w:lineRule="auto"/>
        <w:rPr>
          <w:sz w:val="20"/>
          <w:szCs w:val="20"/>
        </w:rPr>
      </w:pPr>
      <w:r>
        <w:rPr>
          <w:sz w:val="20"/>
          <w:szCs w:val="20"/>
          <w:u w:val="single"/>
        </w:rPr>
        <w:t>Availability Service Level</w:t>
      </w:r>
      <w:r>
        <w:rPr>
          <w:sz w:val="20"/>
          <w:szCs w:val="20"/>
        </w:rPr>
        <w:t>.</w:t>
      </w:r>
    </w:p>
    <w:p w14:paraId="4EB6D963"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Definitions</w:t>
      </w:r>
      <w:r>
        <w:rPr>
          <w:sz w:val="20"/>
          <w:szCs w:val="20"/>
        </w:rPr>
        <w:t>.</w:t>
      </w:r>
    </w:p>
    <w:p w14:paraId="57BE8D92" w14:textId="03B73838"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“Availability” means the percentage of time during a Measurement Period that the Services are operational and accessible to Authorized Users and Authorized Systems, as calculated in Section 4.1.2 (Calculation).</w:t>
      </w:r>
    </w:p>
    <w:p w14:paraId="4449F560" w14:textId="081F97BC"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 xml:space="preserve">“Availability Target” has the meaning set forth in the Order Form. Unless otherwise specified in the applicable Order Form, the Availability Target shall default to ninety-nine and ninety </w:t>
      </w:r>
      <w:proofErr w:type="gramStart"/>
      <w:r>
        <w:rPr>
          <w:sz w:val="20"/>
          <w:szCs w:val="20"/>
        </w:rPr>
        <w:t>hundredths</w:t>
      </w:r>
      <w:proofErr w:type="gramEnd"/>
      <w:r>
        <w:rPr>
          <w:sz w:val="20"/>
          <w:szCs w:val="20"/>
        </w:rPr>
        <w:t xml:space="preserve"> percent (99.90%).</w:t>
      </w:r>
    </w:p>
    <w:p w14:paraId="64574DD2" w14:textId="53D5346B"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Calculation</w:t>
      </w:r>
      <w:r>
        <w:rPr>
          <w:sz w:val="20"/>
          <w:szCs w:val="20"/>
        </w:rPr>
        <w:t>. Eligible Minutes = total minutes in Measurement Period − Scheduled Downtime minutes − qualifying Emergency Downtime minutes. Availability = ((Eligible Minutes − Downtime minutes) / Eligible Minutes) × 100, as calculated by rounding to two decimal places.</w:t>
      </w:r>
    </w:p>
    <w:p w14:paraId="04516B5A" w14:textId="3548E163"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Service Credit</w:t>
      </w:r>
      <w:r>
        <w:rPr>
          <w:sz w:val="20"/>
          <w:szCs w:val="20"/>
        </w:rPr>
        <w:t>.</w:t>
      </w:r>
    </w:p>
    <w:p w14:paraId="42900B0D" w14:textId="106230DA"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Availability is greater than or equal to the Availability Target, no Service Credit will be due to Customer.</w:t>
      </w:r>
    </w:p>
    <w:p w14:paraId="2B04C3C5" w14:textId="17929E31"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Where Availability is less than the Availability Target, Customer shall be </w:t>
      </w:r>
      <w:proofErr w:type="gramStart"/>
      <w:r>
        <w:rPr>
          <w:sz w:val="20"/>
          <w:szCs w:val="20"/>
        </w:rPr>
        <w:t>due</w:t>
      </w:r>
      <w:proofErr w:type="gramEnd"/>
      <w:r>
        <w:rPr>
          <w:sz w:val="20"/>
          <w:szCs w:val="20"/>
        </w:rPr>
        <w:t xml:space="preserve"> a Service Credit in the amount of ten percent (10%) of Monthly Fees for each full one percentage point (1%) reduction in Availability.</w:t>
      </w:r>
    </w:p>
    <w:p w14:paraId="70D7326E"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Example Calculation</w:t>
      </w:r>
      <w:r>
        <w:rPr>
          <w:sz w:val="20"/>
          <w:szCs w:val="20"/>
        </w:rPr>
        <w:t>.</w:t>
      </w:r>
    </w:p>
    <w:p w14:paraId="0AB6AC50" w14:textId="11071CF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Assuming a reporting month of 43,200 total minutes (30 days), with 240 minutes of Scheduled Downtime and 120 minutes of qualifying Emergency Downtime.</w:t>
      </w:r>
    </w:p>
    <w:p w14:paraId="1CFD2067" w14:textId="58EEDCE9"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Eligible Minutes = 43,200 − 240 − 120 = 42,840.</w:t>
      </w:r>
    </w:p>
    <w:p w14:paraId="35D0D0C2" w14:textId="5E9DC4CA"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Assuming an Availability Target of 99.90%.</w:t>
      </w:r>
    </w:p>
    <w:p w14:paraId="26E564F1" w14:textId="42D744EE"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Assuming Downtime of 648 minutes (unplanned unavailability not already excluded as Scheduled Downtime or qualifying Emergency Downtime). Availability is calculated as </w:t>
      </w:r>
      <w:proofErr w:type="gramStart"/>
      <w:r>
        <w:rPr>
          <w:sz w:val="20"/>
          <w:szCs w:val="20"/>
        </w:rPr>
        <w:t>follows: (</w:t>
      </w:r>
      <w:proofErr w:type="gramEnd"/>
      <w:r>
        <w:rPr>
          <w:sz w:val="20"/>
          <w:szCs w:val="20"/>
        </w:rPr>
        <w:t>(42,840 − 648) / 42,840) × 100 = 98.49%.</w:t>
      </w:r>
    </w:p>
    <w:p w14:paraId="495E2972" w14:textId="577C3B72"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The threshold of 99.90% less the Availability of 98.49% = 1.41%.</w:t>
      </w:r>
    </w:p>
    <w:p w14:paraId="3C68E796" w14:textId="55EDF9BD"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The difference is greater than a one percent (1%) reduction but is less than a two percent (2%) reduction; therefore, Customer is due ten percent (10%) of Monthly Fees as a Service Credit.</w:t>
      </w:r>
    </w:p>
    <w:p w14:paraId="1F8931EC" w14:textId="05E89610"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Incident Response (P1/P2) Service Level</w:t>
      </w:r>
      <w:r>
        <w:rPr>
          <w:sz w:val="20"/>
          <w:szCs w:val="20"/>
        </w:rPr>
        <w:t>.</w:t>
      </w:r>
    </w:p>
    <w:p w14:paraId="6D4CE8B3"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Definitions</w:t>
      </w:r>
      <w:r>
        <w:rPr>
          <w:sz w:val="20"/>
          <w:szCs w:val="20"/>
        </w:rPr>
        <w:t>.</w:t>
      </w:r>
    </w:p>
    <w:p w14:paraId="3A87FD2F" w14:textId="0FFDC43C"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“Response” means, with respect to an Incident, the point at which a qualified Service Provider support engineer (not an automated acknowledgment or first-tier intake) has been assigned to the Incident and has initiated active diagnostic or remediation work. For the avoidance of doubt, an automated ticket acknowledgment does not constitute a Response.</w:t>
      </w:r>
    </w:p>
    <w:p w14:paraId="0E08CC1E" w14:textId="46D19A5C"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“Total P1/P2 Incidents” means the total P1 and P2 Incidents occurring in the Measurement Period.</w:t>
      </w:r>
    </w:p>
    <w:p w14:paraId="028B5ECA" w14:textId="2892ED7F"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“P1/P2 Incidents Failing Response Standard” means the number of P1 and P2 Incidents during the Measurement Period for which the Response time exceeded the applicable P1/P2 Response Target.</w:t>
      </w:r>
    </w:p>
    <w:p w14:paraId="37C00E3A" w14:textId="5357D5FB"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“P1/P2 Response Target” has the meaning set forth in the Order Form. Response times for P1 and P2 Incidents shall be measured twenty-four hours per day, seven days per week (24/7), with timestamps recorded in Service Provider’s Incident management system from the date and time of initial report or detection.</w:t>
      </w:r>
    </w:p>
    <w:p w14:paraId="5DEE8C4E" w14:textId="6BB8E775"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Calculation</w:t>
      </w:r>
      <w:r>
        <w:rPr>
          <w:sz w:val="20"/>
          <w:szCs w:val="20"/>
        </w:rPr>
        <w:t xml:space="preserve">. Percentage Incident Response (P1/P2) </w:t>
      </w:r>
      <w:proofErr w:type="gramStart"/>
      <w:r>
        <w:rPr>
          <w:sz w:val="20"/>
          <w:szCs w:val="20"/>
        </w:rPr>
        <w:t>= ((</w:t>
      </w:r>
      <w:proofErr w:type="gramEnd"/>
      <w:r>
        <w:rPr>
          <w:sz w:val="20"/>
          <w:szCs w:val="20"/>
        </w:rPr>
        <w:t>Total P1/P2 Incidents − P1/P2 Incidents Failing Response Standard) / Total P1/P2 Incidents) × 100, as calculated by rounding to two decimal places.</w:t>
      </w:r>
    </w:p>
    <w:p w14:paraId="238976E3" w14:textId="2F945536"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Service Credit</w:t>
      </w:r>
      <w:r>
        <w:rPr>
          <w:sz w:val="20"/>
          <w:szCs w:val="20"/>
        </w:rPr>
        <w:t>.</w:t>
      </w:r>
    </w:p>
    <w:p w14:paraId="6BA2A12D" w14:textId="55E8AD7C"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Percentage Incident Response (P1/P2) is greater than or equal to 99.00%, no Service Credit will be due to Customer.</w:t>
      </w:r>
    </w:p>
    <w:p w14:paraId="590E3CD3" w14:textId="6E35A0A6"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Where Percentage Incident Response (P1/P2) is less than 99.00%, Customer shall be </w:t>
      </w:r>
      <w:proofErr w:type="gramStart"/>
      <w:r>
        <w:rPr>
          <w:sz w:val="20"/>
          <w:szCs w:val="20"/>
        </w:rPr>
        <w:t>due</w:t>
      </w:r>
      <w:proofErr w:type="gramEnd"/>
      <w:r>
        <w:rPr>
          <w:sz w:val="20"/>
          <w:szCs w:val="20"/>
        </w:rPr>
        <w:t xml:space="preserve"> a Service Credit in the amount of one percent (1%) of Monthly Fees for each full one percentage point (1%) reduction in Percentage Incident Response (P1/P2).</w:t>
      </w:r>
    </w:p>
    <w:p w14:paraId="12403FB3"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Example Calculation</w:t>
      </w:r>
      <w:r>
        <w:rPr>
          <w:sz w:val="20"/>
          <w:szCs w:val="20"/>
        </w:rPr>
        <w:t>.</w:t>
      </w:r>
    </w:p>
    <w:p w14:paraId="45D86FB9" w14:textId="1A60E623"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Total P1/P2 Incidents during the Measurement Period </w:t>
      </w:r>
      <w:proofErr w:type="gramStart"/>
      <w:r>
        <w:rPr>
          <w:sz w:val="20"/>
          <w:szCs w:val="20"/>
        </w:rPr>
        <w:t>equal</w:t>
      </w:r>
      <w:proofErr w:type="gramEnd"/>
      <w:r>
        <w:rPr>
          <w:sz w:val="20"/>
          <w:szCs w:val="20"/>
        </w:rPr>
        <w:t xml:space="preserve"> 68.</w:t>
      </w:r>
    </w:p>
    <w:p w14:paraId="1B42E0CE" w14:textId="7777777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P1/P2 Incidents Failing Response Standard equal 3.</w:t>
      </w:r>
    </w:p>
    <w:p w14:paraId="6FB6F515" w14:textId="12697A80"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Percentage Incident Response (P1/P2) is calculated as follows: ((68 − 3) / 68) × 100 = 95.59%.</w:t>
      </w:r>
    </w:p>
    <w:p w14:paraId="58E513F3" w14:textId="738D334C"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The threshold of 99.00% less the Percentage Incident Response (P1/P2) of 95.59% = 3.41%.</w:t>
      </w:r>
    </w:p>
    <w:p w14:paraId="673B2BB7" w14:textId="181E353A"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The difference is greater than a three percent (3%) reduction but is less than a four percent (4%) reduction; therefore, Customer is due three percent (3%) of Monthly Fees as a Service Credit.</w:t>
      </w:r>
    </w:p>
    <w:p w14:paraId="6408EE89" w14:textId="59EC9D87" w:rsidR="00FA3E61" w:rsidRPr="00EB1109" w:rsidRDefault="00FA3E61" w:rsidP="00FA3E61">
      <w:pPr>
        <w:pStyle w:val="LegalLevel2"/>
        <w:numPr>
          <w:ilvl w:val="1"/>
          <w:numId w:val="4"/>
        </w:numPr>
        <w:spacing w:before="240" w:line="240" w:lineRule="auto"/>
        <w:rPr>
          <w:sz w:val="20"/>
          <w:szCs w:val="20"/>
        </w:rPr>
      </w:pPr>
      <w:r>
        <w:rPr>
          <w:sz w:val="20"/>
          <w:szCs w:val="20"/>
          <w:u w:val="single"/>
        </w:rPr>
        <w:t>Incident Resolution (P1/P2) Service Level</w:t>
      </w:r>
      <w:r>
        <w:rPr>
          <w:sz w:val="20"/>
          <w:szCs w:val="20"/>
        </w:rPr>
        <w:t>.</w:t>
      </w:r>
    </w:p>
    <w:p w14:paraId="45B3DC8E"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Definitions</w:t>
      </w:r>
      <w:r>
        <w:rPr>
          <w:sz w:val="20"/>
          <w:szCs w:val="20"/>
        </w:rPr>
        <w:t>.</w:t>
      </w:r>
    </w:p>
    <w:p w14:paraId="202104CF" w14:textId="65642B5E"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lastRenderedPageBreak/>
        <w:t>“Resolution” means, with respect to an Incident, the point at which the affected functionality of the Services is restored to normal operation and the root cause has been addressed, or a workaround has been implemented that restores the Services to substantially equivalent functionality without material degradation to Customer’s use. A workaround shall constitute Resolution for purposes of measuring the target resolution time but shall not relieve Service Provider of its obligation to implement a permanent fix.</w:t>
      </w:r>
    </w:p>
    <w:p w14:paraId="2DC24F25" w14:textId="1CC2EC80"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“Total P1/P2 Incidents” has the meaning set forth in Section 4.2.1 (Definitions).</w:t>
      </w:r>
    </w:p>
    <w:p w14:paraId="1262FF08" w14:textId="1AA051A4"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“P1/P2 Incidents Failing Resolution Standard” means the number of P1 and P2 Incidents during the Measurement Period for which the Resolution time exceeded the applicable P1/P2 Resolution Target.</w:t>
      </w:r>
    </w:p>
    <w:p w14:paraId="7ADE9F68" w14:textId="356E10A0"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“P1/P2 Resolution Target” has the meaning set forth in the Order Form. Resolution times for P1 and P2 Incidents shall be measured twenty-four hours per day, seven days per week (24/7).</w:t>
      </w:r>
    </w:p>
    <w:p w14:paraId="49966040" w14:textId="41C00B3F"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Calculation</w:t>
      </w:r>
      <w:r>
        <w:rPr>
          <w:sz w:val="20"/>
          <w:szCs w:val="20"/>
        </w:rPr>
        <w:t xml:space="preserve">. Percentage Incident Resolution (P1/P2) </w:t>
      </w:r>
      <w:proofErr w:type="gramStart"/>
      <w:r>
        <w:rPr>
          <w:sz w:val="20"/>
          <w:szCs w:val="20"/>
        </w:rPr>
        <w:t>= ((</w:t>
      </w:r>
      <w:proofErr w:type="gramEnd"/>
      <w:r>
        <w:rPr>
          <w:sz w:val="20"/>
          <w:szCs w:val="20"/>
        </w:rPr>
        <w:t>Total P1/P2 Incidents − P1/P2 Incidents Failing Resolution Standard) / Total P1/P2 Incidents) × 100, as calculated by rounding to two decimal places.</w:t>
      </w:r>
    </w:p>
    <w:p w14:paraId="28F760AD" w14:textId="5A80A264"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Service Credit</w:t>
      </w:r>
      <w:r>
        <w:rPr>
          <w:sz w:val="20"/>
          <w:szCs w:val="20"/>
        </w:rPr>
        <w:t>.</w:t>
      </w:r>
    </w:p>
    <w:p w14:paraId="35449621" w14:textId="13E2AF1F"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Percentage Incident Resolution (P1/P2) is greater than or equal to 99.00%, no Service Credit will be due to Customer.</w:t>
      </w:r>
    </w:p>
    <w:p w14:paraId="23403C31" w14:textId="0E1BD32B"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Where Percentage Incident Resolution (P1/P2) is less than 99.00%, Customer shall be </w:t>
      </w:r>
      <w:proofErr w:type="gramStart"/>
      <w:r>
        <w:rPr>
          <w:sz w:val="20"/>
          <w:szCs w:val="20"/>
        </w:rPr>
        <w:t>due</w:t>
      </w:r>
      <w:proofErr w:type="gramEnd"/>
      <w:r>
        <w:rPr>
          <w:sz w:val="20"/>
          <w:szCs w:val="20"/>
        </w:rPr>
        <w:t xml:space="preserve"> a Service Credit in the amount of five percent (5%) of Monthly Fees for each full one percentage point (1%) reduction in Percentage Incident Resolution (P1/P2).</w:t>
      </w:r>
    </w:p>
    <w:p w14:paraId="7251F339"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Example Calculation</w:t>
      </w:r>
      <w:r>
        <w:rPr>
          <w:sz w:val="20"/>
          <w:szCs w:val="20"/>
        </w:rPr>
        <w:t>.</w:t>
      </w:r>
    </w:p>
    <w:p w14:paraId="4CECC03A" w14:textId="5C80E1AD"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Total P1/P2 Incidents during the Measurement Period equal 52.</w:t>
      </w:r>
    </w:p>
    <w:p w14:paraId="319747EA" w14:textId="7777777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P1/P2 Incidents Failing Resolution Standard equal 2.</w:t>
      </w:r>
    </w:p>
    <w:p w14:paraId="13AEA37E" w14:textId="77814AB4"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Percentage Incident Resolution (P1/P2) is calculated as follows: ((52 − 2) / 52) × 100 = 96.15%.</w:t>
      </w:r>
    </w:p>
    <w:p w14:paraId="2DC2D731" w14:textId="7777777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The threshold of 99.00% </w:t>
      </w:r>
      <w:proofErr w:type="gramStart"/>
      <w:r>
        <w:rPr>
          <w:sz w:val="20"/>
          <w:szCs w:val="20"/>
        </w:rPr>
        <w:t>less</w:t>
      </w:r>
      <w:proofErr w:type="gramEnd"/>
      <w:r>
        <w:rPr>
          <w:sz w:val="20"/>
          <w:szCs w:val="20"/>
        </w:rPr>
        <w:t xml:space="preserve"> the Percentage Incident Resolution (P1/P2) of 96.15% = 2.85%.</w:t>
      </w:r>
    </w:p>
    <w:p w14:paraId="26C6320B" w14:textId="60816203"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The difference is greater than a two percent (2%) reduction but is less than a three percent (3%) reduction; therefore, Customer is due ten percent (10%) of Monthly Fees as a Service Credit.</w:t>
      </w:r>
    </w:p>
    <w:p w14:paraId="1C7A8F2A" w14:textId="542B4861"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Services Response Time Service Level</w:t>
      </w:r>
      <w:r>
        <w:rPr>
          <w:sz w:val="20"/>
          <w:szCs w:val="20"/>
        </w:rPr>
        <w:t>.</w:t>
      </w:r>
    </w:p>
    <w:p w14:paraId="24D2F675"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Definitions</w:t>
      </w:r>
      <w:r>
        <w:rPr>
          <w:sz w:val="20"/>
          <w:szCs w:val="20"/>
        </w:rPr>
        <w:t>.</w:t>
      </w:r>
    </w:p>
    <w:p w14:paraId="4C45A2D2" w14:textId="1B848935"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“Total Page Loads” means the total end-to-end page loads or response deliveries occurring during the Measurement Period.</w:t>
      </w:r>
    </w:p>
    <w:p w14:paraId="26843499" w14:textId="4690732C"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lastRenderedPageBreak/>
        <w:t>“Compliant Page Loads” means the number of page loads during the Measurement Period for which the end-to-end load time was equal to or less than the Services Response Target.</w:t>
      </w:r>
    </w:p>
    <w:p w14:paraId="38E2910C" w14:textId="2B73BDEC"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“Services Response Target” has the meaning set forth in the Order Form. Unless otherwise specified in the applicable Order Form, the Services Response Target shall default to three (3) seconds. End-to-end response shall be measured from user interaction to full page render or response delivery, using synthetic monitoring or real user monitoring as agreed by the Parties.</w:t>
      </w:r>
    </w:p>
    <w:p w14:paraId="66E34D6D" w14:textId="60A35988"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Calculation</w:t>
      </w:r>
      <w:r>
        <w:rPr>
          <w:sz w:val="20"/>
          <w:szCs w:val="20"/>
        </w:rPr>
        <w:t>. Percentage Services Response = (Compliant Page Loads / Total Page Loads) × 100, as calculated by rounding to two decimal places.</w:t>
      </w:r>
    </w:p>
    <w:p w14:paraId="391E4728" w14:textId="1249DDCE"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Service Credit</w:t>
      </w:r>
      <w:r>
        <w:rPr>
          <w:sz w:val="20"/>
          <w:szCs w:val="20"/>
        </w:rPr>
        <w:t>.</w:t>
      </w:r>
    </w:p>
    <w:p w14:paraId="599CAD56" w14:textId="36CEDDDC"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Percentage Services Response is greater than or equal to 95.00%, no Service Credit will be due to Customer.</w:t>
      </w:r>
    </w:p>
    <w:p w14:paraId="6AB293FB" w14:textId="6C32DEF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Percentage Services Response is less than 95.00%, Customer shall be due a Service Credit in the amount of one percent (1%) of Monthly Fees for each full one percentage point (1%) reduction in Percentage Services Response.</w:t>
      </w:r>
    </w:p>
    <w:p w14:paraId="5FE3F8EC"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Example Calculation</w:t>
      </w:r>
      <w:r>
        <w:rPr>
          <w:sz w:val="20"/>
          <w:szCs w:val="20"/>
        </w:rPr>
        <w:t>.</w:t>
      </w:r>
    </w:p>
    <w:p w14:paraId="47D14F6C" w14:textId="76A0AB0E"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Total Page Loads during the Measurement Period equal 200,000.</w:t>
      </w:r>
    </w:p>
    <w:p w14:paraId="43E0CC55" w14:textId="7777777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Compliant Page Loads equal 186,000.</w:t>
      </w:r>
    </w:p>
    <w:p w14:paraId="220BBA83" w14:textId="7777777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Percentage Services Response is calculated as follows: (186,000 / 200,000) × 100 = 93.00%.</w:t>
      </w:r>
    </w:p>
    <w:p w14:paraId="36FF0111" w14:textId="7777777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 xml:space="preserve">The threshold of 95.00% </w:t>
      </w:r>
      <w:proofErr w:type="gramStart"/>
      <w:r>
        <w:rPr>
          <w:sz w:val="20"/>
          <w:szCs w:val="20"/>
        </w:rPr>
        <w:t>less</w:t>
      </w:r>
      <w:proofErr w:type="gramEnd"/>
      <w:r>
        <w:rPr>
          <w:sz w:val="20"/>
          <w:szCs w:val="20"/>
        </w:rPr>
        <w:t xml:space="preserve"> the Percentage Services Response of 93.00% = 2.00%.</w:t>
      </w:r>
    </w:p>
    <w:p w14:paraId="6FD8BBF8" w14:textId="01E660B5" w:rsidR="00FA3E61" w:rsidRPr="00EB1109" w:rsidRDefault="00162E73" w:rsidP="00FA3E61">
      <w:pPr>
        <w:pStyle w:val="LegalLevel3"/>
        <w:numPr>
          <w:ilvl w:val="3"/>
          <w:numId w:val="4"/>
        </w:numPr>
        <w:tabs>
          <w:tab w:val="clear" w:pos="2741"/>
        </w:tabs>
        <w:spacing w:before="240" w:after="120" w:line="240" w:lineRule="auto"/>
        <w:rPr>
          <w:sz w:val="20"/>
          <w:szCs w:val="20"/>
        </w:rPr>
      </w:pPr>
      <w:r>
        <w:rPr>
          <w:sz w:val="20"/>
          <w:szCs w:val="20"/>
        </w:rPr>
        <w:t>The difference is a two percent (2%) reduction; therefore, Customer is due two percent (2%) of Monthly Fees as a Service Credit.</w:t>
      </w:r>
    </w:p>
    <w:p w14:paraId="68B00E48" w14:textId="2AE2CCCF" w:rsidR="00FA3E61" w:rsidRPr="00EB1109" w:rsidRDefault="00FA3E61" w:rsidP="00FA3E61">
      <w:pPr>
        <w:pStyle w:val="LegalLevel2"/>
        <w:numPr>
          <w:ilvl w:val="1"/>
          <w:numId w:val="4"/>
        </w:numPr>
        <w:spacing w:before="240" w:line="240" w:lineRule="auto"/>
        <w:rPr>
          <w:sz w:val="20"/>
          <w:szCs w:val="20"/>
        </w:rPr>
      </w:pPr>
      <w:r>
        <w:rPr>
          <w:sz w:val="20"/>
          <w:szCs w:val="20"/>
          <w:u w:val="single"/>
        </w:rPr>
        <w:t>API Response Time Service Level</w:t>
      </w:r>
      <w:r>
        <w:rPr>
          <w:sz w:val="20"/>
          <w:szCs w:val="20"/>
        </w:rPr>
        <w:t>.</w:t>
      </w:r>
    </w:p>
    <w:p w14:paraId="4520BD4B"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Definitions</w:t>
      </w:r>
      <w:r>
        <w:rPr>
          <w:sz w:val="20"/>
          <w:szCs w:val="20"/>
        </w:rPr>
        <w:t>.</w:t>
      </w:r>
    </w:p>
    <w:p w14:paraId="140AB79F" w14:textId="4AFAC082"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“Total API Requests” means the total API requests processed during the Measurement Period.</w:t>
      </w:r>
    </w:p>
    <w:p w14:paraId="7A330C46" w14:textId="7F88F04E"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“Compliant API Requests” means the number of API requests during the Measurement Period for which the server-side processing time was equal to or less than the API Response Target.</w:t>
      </w:r>
    </w:p>
    <w:p w14:paraId="136ADE81" w14:textId="1AEB8582" w:rsidR="00FA3E61" w:rsidRPr="00EB1109" w:rsidRDefault="00A72FF4" w:rsidP="00FA3E61">
      <w:pPr>
        <w:pStyle w:val="LegalLevel3"/>
        <w:numPr>
          <w:ilvl w:val="3"/>
          <w:numId w:val="4"/>
        </w:numPr>
        <w:tabs>
          <w:tab w:val="clear" w:pos="2741"/>
        </w:tabs>
        <w:spacing w:before="240" w:after="120" w:line="240" w:lineRule="auto"/>
        <w:rPr>
          <w:sz w:val="20"/>
          <w:szCs w:val="20"/>
        </w:rPr>
      </w:pPr>
      <w:r>
        <w:rPr>
          <w:sz w:val="20"/>
          <w:szCs w:val="20"/>
        </w:rPr>
        <w:t>“API Response Target” has the meaning set forth in the Order Form. Unless otherwise specified in the applicable Order Form, the API Response Target shall default to two hundred (200) milliseconds. Server-side processing time shall be measured at the application layer from receipt of request to delivery of response, sampled continuously during the Measurement Period.</w:t>
      </w:r>
    </w:p>
    <w:p w14:paraId="05E6C51F" w14:textId="586D7D2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lastRenderedPageBreak/>
        <w:t>Calculation</w:t>
      </w:r>
      <w:r>
        <w:rPr>
          <w:sz w:val="20"/>
          <w:szCs w:val="20"/>
        </w:rPr>
        <w:t>. Percentage API Response = (Compliant API Requests / Total API Requests) × 100, as calculated by rounding to two decimal places.</w:t>
      </w:r>
    </w:p>
    <w:p w14:paraId="0124E9F7" w14:textId="7B673275"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Service Credit</w:t>
      </w:r>
      <w:r>
        <w:rPr>
          <w:sz w:val="20"/>
          <w:szCs w:val="20"/>
        </w:rPr>
        <w:t>.</w:t>
      </w:r>
    </w:p>
    <w:p w14:paraId="003068F3" w14:textId="5D4EB34C"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Percentage API Response is greater than or equal to 95.00%, no Service Credit will be due to Customer.</w:t>
      </w:r>
    </w:p>
    <w:p w14:paraId="5C36D8F1" w14:textId="39558BC7"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Where Percentage API Response is less than 95.00%, Customer shall be due a Service Credit in the amount of one percent (1%) of Monthly Fees for each full one percentage point (1%) reduction in Percentage API Response.</w:t>
      </w:r>
    </w:p>
    <w:p w14:paraId="3F2D7066"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u w:val="single"/>
        </w:rPr>
        <w:t>Example Calculation</w:t>
      </w:r>
      <w:r>
        <w:rPr>
          <w:sz w:val="20"/>
          <w:szCs w:val="20"/>
        </w:rPr>
        <w:t>.</w:t>
      </w:r>
    </w:p>
    <w:p w14:paraId="4D3DDB23" w14:textId="2C4BB269"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Total API Requests during the Measurement Period equal 1,000,000.</w:t>
      </w:r>
    </w:p>
    <w:p w14:paraId="590C9EA3" w14:textId="6F08278E"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Compliant API Requests equal 940,000.</w:t>
      </w:r>
    </w:p>
    <w:p w14:paraId="542EB3A6" w14:textId="26E26261"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Percentage API Response is calculated as follows: (940,000 / 1,000,000) × 100 = 94.00%.</w:t>
      </w:r>
    </w:p>
    <w:p w14:paraId="1EAEB861" w14:textId="55E4FD60" w:rsidR="00FA3E61" w:rsidRPr="00EB1109" w:rsidRDefault="00FA3E61" w:rsidP="00FA3E61">
      <w:pPr>
        <w:pStyle w:val="LegalLevel3"/>
        <w:numPr>
          <w:ilvl w:val="3"/>
          <w:numId w:val="4"/>
        </w:numPr>
        <w:tabs>
          <w:tab w:val="clear" w:pos="2741"/>
        </w:tabs>
        <w:spacing w:before="240" w:after="120" w:line="240" w:lineRule="auto"/>
        <w:rPr>
          <w:sz w:val="20"/>
          <w:szCs w:val="20"/>
        </w:rPr>
      </w:pPr>
      <w:r>
        <w:rPr>
          <w:sz w:val="20"/>
          <w:szCs w:val="20"/>
        </w:rPr>
        <w:t>The threshold of 95.00% less the Percentage API Response of 94.00% = 1.00%.</w:t>
      </w:r>
    </w:p>
    <w:p w14:paraId="2FE4293F" w14:textId="447CAD24" w:rsidR="00FA3E61" w:rsidRPr="00EB1109" w:rsidRDefault="00C25A31" w:rsidP="00FA3E61">
      <w:pPr>
        <w:pStyle w:val="LegalLevel3"/>
        <w:numPr>
          <w:ilvl w:val="3"/>
          <w:numId w:val="4"/>
        </w:numPr>
        <w:tabs>
          <w:tab w:val="clear" w:pos="2741"/>
        </w:tabs>
        <w:spacing w:before="240" w:after="120" w:line="240" w:lineRule="auto"/>
        <w:rPr>
          <w:sz w:val="20"/>
          <w:szCs w:val="20"/>
        </w:rPr>
      </w:pPr>
      <w:r>
        <w:rPr>
          <w:sz w:val="20"/>
          <w:szCs w:val="20"/>
        </w:rPr>
        <w:t>The difference is a one percent (1%) reduction; therefore, Customer is due one percent (1%) of Monthly Fees as a Service Credit.</w:t>
      </w:r>
    </w:p>
    <w:p w14:paraId="5F0F1EB7" w14:textId="572324DC" w:rsidR="00FA3E61" w:rsidRPr="00EB1109" w:rsidRDefault="00FA3E61" w:rsidP="00FA3E61">
      <w:pPr>
        <w:pStyle w:val="LegalLevel2"/>
        <w:numPr>
          <w:ilvl w:val="1"/>
          <w:numId w:val="4"/>
        </w:numPr>
        <w:spacing w:before="240" w:line="240" w:lineRule="auto"/>
        <w:rPr>
          <w:sz w:val="20"/>
          <w:szCs w:val="20"/>
        </w:rPr>
      </w:pPr>
      <w:r>
        <w:rPr>
          <w:sz w:val="20"/>
          <w:szCs w:val="20"/>
          <w:u w:val="single"/>
        </w:rPr>
        <w:t>Escalating Credits for Chronic Failures</w:t>
      </w:r>
      <w:r>
        <w:rPr>
          <w:sz w:val="20"/>
          <w:szCs w:val="20"/>
        </w:rPr>
        <w:t>. If a Service Level is missed for two (2) or more consecutive Measurement Periods, the applicable Service Credit rate set forth in Section 4.1 (Availability Service Level), Section 4.2 (Incident Response (P1/P2) Service Level), Section 4.3 (Incident Resolution (P1/P2) Service Level), Section 4.4 (Services Response Time Service Level), and Section 4.5 (API Response Time Service Level) of this Service Level Addendum shall be doubled for the second and each subsequent consecutive Measurement Period of failure.</w:t>
      </w:r>
    </w:p>
    <w:p w14:paraId="621A4199" w14:textId="1C775FF6" w:rsidR="00FA3E61" w:rsidRPr="00EB1109" w:rsidRDefault="00FA3E61" w:rsidP="00FA3E61">
      <w:pPr>
        <w:pStyle w:val="LegalLevel2"/>
        <w:numPr>
          <w:ilvl w:val="1"/>
          <w:numId w:val="4"/>
        </w:numPr>
        <w:spacing w:before="240" w:line="240" w:lineRule="auto"/>
        <w:rPr>
          <w:sz w:val="20"/>
          <w:szCs w:val="20"/>
        </w:rPr>
      </w:pPr>
      <w:r>
        <w:rPr>
          <w:sz w:val="20"/>
          <w:szCs w:val="20"/>
          <w:u w:val="single"/>
        </w:rPr>
        <w:t>Credit Application and Cap</w:t>
      </w:r>
      <w:r>
        <w:rPr>
          <w:sz w:val="20"/>
          <w:szCs w:val="20"/>
        </w:rPr>
        <w:t>. Service Credits shall be applied in accordance with Section 9.2 (Service Credits; Cure) of the Master Agreement. The aggregate Service Credits in any Measurement Period, including any escalation applied under Section 4.6 (Escalating Credits for Chronic Failures), shall not exceed one hundred percent (100%) of the Monthly Fees for the affected Services.</w:t>
      </w:r>
    </w:p>
    <w:p w14:paraId="245372BC" w14:textId="674C904F" w:rsidR="00FA3E61" w:rsidRPr="00EB1109" w:rsidRDefault="00FA3E61" w:rsidP="00FA3E61">
      <w:pPr>
        <w:pStyle w:val="LegalLevel2"/>
        <w:numPr>
          <w:ilvl w:val="1"/>
          <w:numId w:val="4"/>
        </w:numPr>
        <w:spacing w:before="240" w:line="240" w:lineRule="auto"/>
        <w:rPr>
          <w:sz w:val="20"/>
          <w:szCs w:val="20"/>
        </w:rPr>
      </w:pPr>
      <w:r>
        <w:rPr>
          <w:sz w:val="20"/>
          <w:szCs w:val="20"/>
          <w:u w:val="single"/>
        </w:rPr>
        <w:t>Cumulative Remedies</w:t>
      </w:r>
      <w:r>
        <w:rPr>
          <w:sz w:val="20"/>
          <w:szCs w:val="20"/>
        </w:rPr>
        <w:t>. Service Credits are in addition to, and not in lieu of, any other rights or remedies available to Customer under the Agreement, including the Corrective Action Plan process set forth in Section 8.4 (Corrective Action Plans) of the Master Agreement and termination rights under Section 9.3 (Termination for Material and Repeated Failures) of the Master Agreement.</w:t>
      </w:r>
    </w:p>
    <w:p w14:paraId="30655C35" w14:textId="7F492639"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Service Level Reporting and Monitoring</w:t>
      </w:r>
      <w:r>
        <w:rPr>
          <w:sz w:val="20"/>
          <w:szCs w:val="20"/>
        </w:rPr>
        <w:t>.</w:t>
      </w:r>
    </w:p>
    <w:p w14:paraId="3B8F22CA" w14:textId="70DBEA4D" w:rsidR="00FA3E61" w:rsidRPr="00EB1109" w:rsidRDefault="00FA3E61" w:rsidP="00FA3E61">
      <w:pPr>
        <w:pStyle w:val="LegalLevel2"/>
        <w:numPr>
          <w:ilvl w:val="1"/>
          <w:numId w:val="4"/>
        </w:numPr>
        <w:spacing w:before="240" w:line="240" w:lineRule="auto"/>
        <w:rPr>
          <w:sz w:val="20"/>
          <w:szCs w:val="20"/>
        </w:rPr>
      </w:pPr>
      <w:r>
        <w:rPr>
          <w:sz w:val="20"/>
          <w:szCs w:val="20"/>
          <w:u w:val="single"/>
        </w:rPr>
        <w:t>Performance Dashboard</w:t>
      </w:r>
      <w:r>
        <w:rPr>
          <w:sz w:val="20"/>
          <w:szCs w:val="20"/>
        </w:rPr>
        <w:t>. Service Provider shall provide Customer with real-time or near-real-time access to a performance dashboard displaying current and historical Service Level metrics.</w:t>
      </w:r>
    </w:p>
    <w:p w14:paraId="7D36686F" w14:textId="754AD607" w:rsidR="00FA3E61" w:rsidRPr="00EB1109" w:rsidRDefault="00FA3E61" w:rsidP="00FA3E61">
      <w:pPr>
        <w:pStyle w:val="LegalLevel2"/>
        <w:numPr>
          <w:ilvl w:val="1"/>
          <w:numId w:val="4"/>
        </w:numPr>
        <w:spacing w:before="240" w:line="240" w:lineRule="auto"/>
        <w:rPr>
          <w:sz w:val="20"/>
          <w:szCs w:val="20"/>
        </w:rPr>
      </w:pPr>
      <w:r>
        <w:rPr>
          <w:sz w:val="20"/>
          <w:szCs w:val="20"/>
          <w:u w:val="single"/>
        </w:rPr>
        <w:t>Monthly Performance Reports</w:t>
      </w:r>
      <w:r>
        <w:rPr>
          <w:sz w:val="20"/>
          <w:szCs w:val="20"/>
        </w:rPr>
        <w:t xml:space="preserve">. Service Provider shall deliver a written Service Level performance report to Customer no later than the tenth (10th) Business Day following the end of each Measurement Period. The report shall be in a form agreed to by Customer and shall contain no less than the following information: (a) actual performance for each Service Level metric as compared to the applicable target; (b) any Downtime incidents, including duration, root cause, and remediation; (c) the cause or basis for not meeting any Service Level target; (d) the specific </w:t>
      </w:r>
      <w:r>
        <w:rPr>
          <w:sz w:val="20"/>
          <w:szCs w:val="20"/>
        </w:rPr>
        <w:lastRenderedPageBreak/>
        <w:t>remedial actions Service Provider has undertaken or will undertake to ensure that the Service Level target will be subsequently achieved; (e) any Service Credits earned; and (f) trend analysis. Service Provider shall, without charge, make Customer’s historical Service Level reports available to Customer upon request.</w:t>
      </w:r>
    </w:p>
    <w:p w14:paraId="2B516E59" w14:textId="02B86202" w:rsidR="00FA3E61" w:rsidRPr="00EB1109" w:rsidRDefault="00FA3E61" w:rsidP="00FA3E61">
      <w:pPr>
        <w:pStyle w:val="LegalLevel2"/>
        <w:numPr>
          <w:ilvl w:val="1"/>
          <w:numId w:val="4"/>
        </w:numPr>
        <w:spacing w:before="240" w:line="240" w:lineRule="auto"/>
        <w:rPr>
          <w:sz w:val="20"/>
          <w:szCs w:val="20"/>
        </w:rPr>
      </w:pPr>
      <w:r>
        <w:rPr>
          <w:sz w:val="20"/>
          <w:szCs w:val="20"/>
          <w:u w:val="single"/>
        </w:rPr>
        <w:t>Independent Monitoring</w:t>
      </w:r>
      <w:r>
        <w:rPr>
          <w:sz w:val="20"/>
          <w:szCs w:val="20"/>
        </w:rPr>
        <w:t xml:space="preserve">. </w:t>
      </w:r>
      <w:proofErr w:type="gramStart"/>
      <w:r>
        <w:rPr>
          <w:sz w:val="20"/>
          <w:szCs w:val="20"/>
        </w:rPr>
        <w:t>Customer</w:t>
      </w:r>
      <w:proofErr w:type="gramEnd"/>
      <w:r>
        <w:rPr>
          <w:sz w:val="20"/>
          <w:szCs w:val="20"/>
        </w:rPr>
        <w:t xml:space="preserve"> </w:t>
      </w:r>
      <w:proofErr w:type="gramStart"/>
      <w:r>
        <w:rPr>
          <w:sz w:val="20"/>
          <w:szCs w:val="20"/>
        </w:rPr>
        <w:t>shall</w:t>
      </w:r>
      <w:proofErr w:type="gramEnd"/>
      <w:r>
        <w:rPr>
          <w:sz w:val="20"/>
          <w:szCs w:val="20"/>
        </w:rPr>
        <w:t xml:space="preserve"> have the right to deploy independent monitoring tools to verify Service Provider’s Service Level performance. Service Provider shall cooperate with the deployment of such tools and shall not restrict or interfere with their operation, including by providing reasonable access to endpoints, refraining from blocking or throttling monitoring traffic, and not configuring infrastructure to behave differently when monitoring traffic is detected. Data produced by Customer’s independent monitoring tools shall be admissible in any dispute under Section 5.5 (Measurement Disputes).</w:t>
      </w:r>
    </w:p>
    <w:p w14:paraId="6E032844" w14:textId="3DD2AFBB" w:rsidR="00FA3E61" w:rsidRPr="00EB1109" w:rsidRDefault="00FA3E61" w:rsidP="00FA3E61">
      <w:pPr>
        <w:pStyle w:val="LegalLevel2"/>
        <w:numPr>
          <w:ilvl w:val="1"/>
          <w:numId w:val="4"/>
        </w:numPr>
        <w:spacing w:before="240" w:line="240" w:lineRule="auto"/>
        <w:rPr>
          <w:sz w:val="20"/>
          <w:szCs w:val="20"/>
        </w:rPr>
      </w:pPr>
      <w:r>
        <w:rPr>
          <w:sz w:val="20"/>
          <w:szCs w:val="20"/>
          <w:u w:val="single"/>
        </w:rPr>
        <w:t>Measurement Methodology Transparency</w:t>
      </w:r>
      <w:r>
        <w:rPr>
          <w:sz w:val="20"/>
          <w:szCs w:val="20"/>
        </w:rPr>
        <w:t>. Service Provider shall provide Customer with transparency into its measurement methodology, including the data sources, calculation methods, and exclusion criteria used to determine Service Level performance. Any change to measurement methodology requires Customer’s prior written consent. [Alternative: “Any material change to measurement methodology requires Customer’s prior written consent. Non-material changes to measurement methodology (meaning changes that do not alter the overall measurement outcome by more than one percentage point for any Service Level target) may be made upon not less than thirty (30) days’ prior written notice to Customer, provided that such non-material changes do not reduce the rigor of the measurement methodology or disadvantage Customer.”]</w:t>
      </w:r>
    </w:p>
    <w:p w14:paraId="0A2CB40A" w14:textId="29CBDC38" w:rsidR="00FA3E61" w:rsidRPr="00EB1109" w:rsidRDefault="00FA3E61" w:rsidP="00FA3E61">
      <w:pPr>
        <w:pStyle w:val="LegalLevel2"/>
        <w:numPr>
          <w:ilvl w:val="1"/>
          <w:numId w:val="4"/>
        </w:numPr>
        <w:spacing w:before="240" w:line="240" w:lineRule="auto"/>
        <w:rPr>
          <w:sz w:val="20"/>
          <w:szCs w:val="20"/>
        </w:rPr>
      </w:pPr>
      <w:r>
        <w:rPr>
          <w:sz w:val="20"/>
          <w:szCs w:val="20"/>
          <w:u w:val="single"/>
        </w:rPr>
        <w:t>Measurement Disputes</w:t>
      </w:r>
      <w:r>
        <w:rPr>
          <w:sz w:val="20"/>
          <w:szCs w:val="20"/>
        </w:rPr>
        <w:t>. In the event of a discrepancy between Service Provider’s reported Service Level measurements and Customer’s independent monitoring data, the following dispute resolution process shall apply: (a) Service Provider’s measurements shall be presumed authoritative for credit calculations unless Customer provides reasonable evidence of a discrepancy; (b) upon Customer’s written notice of a discrepancy, the Parties shall meet within five (5) Business Days to review the respective data sets and attempt to reconcile the discrepancy; (c) if the Parties are unable to reconcile the discrepancy within ten (10) Business Days of Customer’s notice, the Parties shall engage a mutually agreed independent third party auditor to review the measurement data, and the auditor’s determination shall be binding on both Parties for the affected Measurement Period (with costs borne by the Party whose measurement is further from the auditor’s determination); and (d) pending resolution of any measurement dispute, Service Credits shall accrue based on Customer’s independent monitoring data and shall be trued up following resolution.</w:t>
      </w:r>
    </w:p>
    <w:p w14:paraId="70039682" w14:textId="6027EA84" w:rsidR="00FA3E61" w:rsidRPr="00EB1109" w:rsidRDefault="00FA3E61" w:rsidP="00FA3E61">
      <w:pPr>
        <w:pStyle w:val="LegalLevel2"/>
        <w:numPr>
          <w:ilvl w:val="1"/>
          <w:numId w:val="4"/>
        </w:numPr>
        <w:spacing w:before="240" w:line="240" w:lineRule="auto"/>
        <w:rPr>
          <w:sz w:val="20"/>
          <w:szCs w:val="20"/>
        </w:rPr>
      </w:pPr>
      <w:r>
        <w:rPr>
          <w:sz w:val="20"/>
          <w:szCs w:val="20"/>
          <w:u w:val="single"/>
        </w:rPr>
        <w:t>Performance Review Meetings</w:t>
      </w:r>
      <w:r>
        <w:rPr>
          <w:sz w:val="20"/>
          <w:szCs w:val="20"/>
        </w:rPr>
        <w:t>. Service Level performance shall be reviewed at each quarterly business review conducted under Section 8.1.2 (Quarterly Business Reviews) of the Master Agreement. Such review shall include, at minimum, actual performance against each Service Level target for each Measurement Period in the preceding quarter and root cause analysis for any Service Level failures. In addition, where any Service Level is missed during a Measurement Period, Customer may request an ad hoc Service Level performance review under Section 8.1.4 (Ad Hoc Reviews) of the Master Agreement, and Service Provider shall make appropriate personnel available within five (5) Business Days of such request.</w:t>
      </w:r>
    </w:p>
    <w:p w14:paraId="54B1DFE1" w14:textId="70F0AD6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Exclusions</w:t>
      </w:r>
      <w:r>
        <w:rPr>
          <w:sz w:val="20"/>
          <w:szCs w:val="20"/>
        </w:rPr>
        <w:t>. The following exclusions shall apply to the Service Levels set forth in Section 4 (Service Levels and Service Credits) of this Service Level Addendum. For the avoidance of doubt, cybersecurity incidents, data breaches, and Service Provider infrastructure failures are not exclusions and shall be counted as Downtime and, as applicable, as Incidents for purposes of the Service Levels set forth in Section 4 (Service Levels and Service Credits) of this Service Level Addendum.</w:t>
      </w:r>
    </w:p>
    <w:p w14:paraId="46E68EE2" w14:textId="28EE7EB3" w:rsidR="00FA3E61" w:rsidRPr="00EB1109" w:rsidRDefault="00FA3E61" w:rsidP="00FA3E61">
      <w:pPr>
        <w:pStyle w:val="LegalLevel2"/>
        <w:numPr>
          <w:ilvl w:val="1"/>
          <w:numId w:val="4"/>
        </w:numPr>
        <w:spacing w:before="240" w:line="240" w:lineRule="auto"/>
        <w:rPr>
          <w:sz w:val="20"/>
          <w:szCs w:val="20"/>
        </w:rPr>
      </w:pPr>
      <w:r>
        <w:rPr>
          <w:sz w:val="20"/>
          <w:szCs w:val="20"/>
        </w:rPr>
        <w:t>Scheduled Downtime in compliance with the applicable Order Form and Section 2 (Scheduled Downtime and Emergency Downtime) of this Service Level Addendum shall be excluded from Downtime calculations under Section 4.1 (Availability Service Level).</w:t>
      </w:r>
    </w:p>
    <w:p w14:paraId="16044D45" w14:textId="56B87FE0" w:rsidR="00FA3E61" w:rsidRPr="00EB1109" w:rsidRDefault="00FA3E61" w:rsidP="00FA3E61">
      <w:pPr>
        <w:pStyle w:val="LegalLevel2"/>
        <w:numPr>
          <w:ilvl w:val="1"/>
          <w:numId w:val="4"/>
        </w:numPr>
        <w:spacing w:before="240" w:line="240" w:lineRule="auto"/>
        <w:rPr>
          <w:sz w:val="20"/>
          <w:szCs w:val="20"/>
        </w:rPr>
      </w:pPr>
      <w:r>
        <w:rPr>
          <w:sz w:val="20"/>
          <w:szCs w:val="20"/>
        </w:rPr>
        <w:t>Emergency Downtime that meets the qualifying requirements set forth in the definition of Emergency Downtime in Section 2 (Definitions) of the Master Agreement shall be excluded from Downtime calculations under Section 4.1 (Availability Service Level).</w:t>
      </w:r>
    </w:p>
    <w:p w14:paraId="3E150963" w14:textId="7F0E8931" w:rsidR="00FA3E61" w:rsidRPr="00EB1109" w:rsidRDefault="00FA3E61" w:rsidP="00FA3E61">
      <w:pPr>
        <w:pStyle w:val="LegalLevel2"/>
        <w:numPr>
          <w:ilvl w:val="1"/>
          <w:numId w:val="4"/>
        </w:numPr>
        <w:spacing w:before="240" w:line="240" w:lineRule="auto"/>
        <w:rPr>
          <w:sz w:val="20"/>
          <w:szCs w:val="20"/>
        </w:rPr>
      </w:pPr>
      <w:r>
        <w:rPr>
          <w:sz w:val="20"/>
          <w:szCs w:val="20"/>
        </w:rPr>
        <w:lastRenderedPageBreak/>
        <w:t>Outages or performance degradation to the extent directly caused by Customer’s equipment, software, or network (not provided by Service Provider) and not contributed to by any act or omission of Service Provider or its Subcontractors shall be excluded from calculations under all Service Levels, provided that Service Provider shall bear the burden of demonstrating the applicability of this exclusion by providing reasonable evidence, including relevant log data.</w:t>
      </w:r>
    </w:p>
    <w:p w14:paraId="4815F315" w14:textId="58748937" w:rsidR="00FA3E61" w:rsidRPr="00EB1109" w:rsidRDefault="00FA3E61" w:rsidP="00FA3E61">
      <w:pPr>
        <w:pStyle w:val="LegalLevel2"/>
        <w:numPr>
          <w:ilvl w:val="1"/>
          <w:numId w:val="4"/>
        </w:numPr>
        <w:spacing w:before="240" w:line="240" w:lineRule="auto"/>
        <w:rPr>
          <w:sz w:val="20"/>
          <w:szCs w:val="20"/>
        </w:rPr>
      </w:pPr>
      <w:r>
        <w:rPr>
          <w:sz w:val="20"/>
          <w:szCs w:val="20"/>
        </w:rPr>
        <w:t>Force Majeure Events (as defined in the Master Agreement, subject to the exclusions in Section 20.2 (Exclusions) of the Master Agreement) shall be excluded from calculations under Section 4.1 (Availability Service Level), Section 4.4 (Services Response Time Service Level), and Section 4.5 (API Response Time Service Level) only; Section 4.2 (Incident Response (P1/P2) Service Level) and Section 4.3 (Incident Resolution (P1/P2) Service Level) shall remain in effect during any Force Majeure Event.</w:t>
      </w:r>
    </w:p>
    <w:p w14:paraId="0D1B377C" w14:textId="09C0E584" w:rsidR="00FA3E61" w:rsidRPr="00EB1109" w:rsidRDefault="00FA3E61" w:rsidP="00FA3E61">
      <w:pPr>
        <w:pStyle w:val="LegalLevel2"/>
        <w:numPr>
          <w:ilvl w:val="1"/>
          <w:numId w:val="4"/>
        </w:numPr>
        <w:spacing w:before="240" w:line="240" w:lineRule="auto"/>
        <w:rPr>
          <w:sz w:val="20"/>
          <w:szCs w:val="20"/>
        </w:rPr>
      </w:pPr>
      <w:r>
        <w:rPr>
          <w:sz w:val="20"/>
          <w:szCs w:val="20"/>
        </w:rPr>
        <w:t>Periods during which Customer has suspended the Services pursuant to mutual agreement shall be excluded from calculations under all Service Levels.</w:t>
      </w:r>
    </w:p>
    <w:p w14:paraId="682C5521" w14:textId="29944AAC"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Continuous Improvement</w:t>
      </w:r>
      <w:r>
        <w:rPr>
          <w:sz w:val="20"/>
          <w:szCs w:val="20"/>
        </w:rPr>
        <w:t xml:space="preserve">. Service Provider shall use commercially reasonable efforts to improve Service Level performance during the applicable Order Form term. The Parties shall review and, as appropriate, update the Service Level targets set forth in this Service Level Addendum at each renewal of the applicable Order Form. In connection with any such renewal review, Customer shall have the right to benchmark the Service Level targets against then-current industry standards for comparable services, using an independent </w:t>
      </w:r>
      <w:proofErr w:type="gramStart"/>
      <w:r>
        <w:rPr>
          <w:sz w:val="20"/>
          <w:szCs w:val="20"/>
        </w:rPr>
        <w:t>third party</w:t>
      </w:r>
      <w:proofErr w:type="gramEnd"/>
      <w:r>
        <w:rPr>
          <w:sz w:val="20"/>
          <w:szCs w:val="20"/>
        </w:rPr>
        <w:t xml:space="preserve"> benchmarking firm selected by Customer (subject to reasonable confidentiality obligations). Where such benchmarking demonstrates that the then-current Service Level targets are materially below industry standards, the Parties shall negotiate in good faith to adjust the Service Level targets to align with industry standards, effective as of the next Renewal Term.</w:t>
      </w:r>
    </w:p>
    <w:p w14:paraId="07CABEF7" w14:textId="77777777" w:rsidR="00FA3E61" w:rsidRPr="00EB1109" w:rsidRDefault="00FA3E61" w:rsidP="00FA3E61">
      <w:pPr>
        <w:spacing w:before="240" w:after="120" w:line="240" w:lineRule="auto"/>
        <w:rPr>
          <w:rFonts w:ascii="Arial" w:hAnsi="Arial" w:cs="Arial"/>
          <w:b/>
          <w:bCs/>
          <w:sz w:val="20"/>
          <w:szCs w:val="20"/>
        </w:rPr>
      </w:pPr>
    </w:p>
    <w:p w14:paraId="080CB365" w14:textId="77777777" w:rsidR="00FA3E61" w:rsidRPr="00EB1109" w:rsidRDefault="00FA3E61" w:rsidP="00FA3E61">
      <w:pPr>
        <w:spacing w:before="240" w:after="120" w:line="240" w:lineRule="auto"/>
        <w:rPr>
          <w:rFonts w:ascii="Arial" w:hAnsi="Arial" w:cs="Arial"/>
          <w:sz w:val="20"/>
          <w:szCs w:val="20"/>
        </w:rPr>
      </w:pPr>
    </w:p>
    <w:p w14:paraId="6A4ADCDD" w14:textId="77777777" w:rsidR="00FA3E61" w:rsidRPr="00EB1109" w:rsidRDefault="00FA3E61" w:rsidP="00FA3E61">
      <w:pPr>
        <w:pStyle w:val="LegalHeader"/>
        <w:spacing w:after="120"/>
        <w:rPr>
          <w:rFonts w:cs="Arial"/>
          <w:sz w:val="20"/>
        </w:rPr>
      </w:pPr>
      <w:r>
        <w:rPr>
          <w:rFonts w:cs="Arial"/>
          <w:sz w:val="20"/>
        </w:rPr>
        <w:br w:type="page"/>
      </w:r>
      <w:r>
        <w:rPr>
          <w:rFonts w:cs="Arial"/>
          <w:sz w:val="20"/>
        </w:rPr>
        <w:lastRenderedPageBreak/>
        <w:t>ADDENDUM A – INSURANCE ADDENDUM</w:t>
      </w:r>
    </w:p>
    <w:p w14:paraId="55080CCF" w14:textId="77777777" w:rsidR="00FA3E61" w:rsidRPr="00EB1109" w:rsidRDefault="00FA3E61" w:rsidP="00FA3E61">
      <w:pPr>
        <w:spacing w:before="240" w:after="120" w:line="240" w:lineRule="auto"/>
        <w:jc w:val="center"/>
        <w:rPr>
          <w:rFonts w:ascii="Arial" w:hAnsi="Arial" w:cs="Arial"/>
          <w:sz w:val="20"/>
          <w:szCs w:val="20"/>
        </w:rPr>
      </w:pPr>
      <w:r>
        <w:rPr>
          <w:rFonts w:ascii="Arial" w:hAnsi="Arial" w:cs="Arial"/>
          <w:i/>
          <w:iCs/>
          <w:sz w:val="20"/>
          <w:szCs w:val="20"/>
        </w:rPr>
        <w:t>to the Master Software as a Service Agreement by and between Customer and Service Provider</w:t>
      </w:r>
    </w:p>
    <w:p w14:paraId="30E04B13" w14:textId="10857E5E"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Addendum A – Insurance Addendum (“Insurance Addendum”) is incorporated into and forms part of the Agreement. Capitalized terms used but not defined in this Insurance Addendum shall have the meanings ascribed to them in the Master Agreement. In the event of any conflict between this Insurance Addendum and the Master Agreement, this Insurance Addendum shall prevail with respect to insurance matters.</w:t>
      </w:r>
    </w:p>
    <w:p w14:paraId="27ACE4A1" w14:textId="0F2CD44F" w:rsidR="00FA3E61" w:rsidRPr="00EB1109" w:rsidRDefault="00FA3E61" w:rsidP="00FA3E61">
      <w:pPr>
        <w:pStyle w:val="LegalLevel1"/>
        <w:numPr>
          <w:ilvl w:val="0"/>
          <w:numId w:val="9"/>
        </w:numPr>
        <w:tabs>
          <w:tab w:val="num" w:pos="1939"/>
        </w:tabs>
        <w:spacing w:before="240" w:line="240" w:lineRule="auto"/>
        <w:rPr>
          <w:sz w:val="20"/>
          <w:szCs w:val="20"/>
        </w:rPr>
      </w:pPr>
      <w:r>
        <w:rPr>
          <w:sz w:val="20"/>
          <w:szCs w:val="20"/>
          <w:u w:val="single"/>
        </w:rPr>
        <w:t>Required Coverage Types and Minimum Amounts</w:t>
      </w:r>
      <w:r>
        <w:rPr>
          <w:sz w:val="20"/>
          <w:szCs w:val="20"/>
        </w:rPr>
        <w:t>. Service Provider shall obtain and maintain, at its sole cost and expense, the following insurance coverage for so long as the Master Agreement remains in effect or any Order Form remains in effect, and for a period of not less than three (3) [Alternative: five (5)] years following termination or expiration of the Agreement (the “Tail Period”):</w:t>
      </w:r>
    </w:p>
    <w:p w14:paraId="2ECBCE54" w14:textId="6EECCEB3" w:rsidR="00FA3E61" w:rsidRPr="00EB1109" w:rsidRDefault="00FA3E61" w:rsidP="00FA3E61">
      <w:pPr>
        <w:pStyle w:val="LegalLevel2"/>
        <w:numPr>
          <w:ilvl w:val="1"/>
          <w:numId w:val="4"/>
        </w:numPr>
        <w:spacing w:before="240" w:line="240" w:lineRule="auto"/>
        <w:rPr>
          <w:sz w:val="20"/>
          <w:szCs w:val="20"/>
        </w:rPr>
      </w:pPr>
      <w:r>
        <w:rPr>
          <w:sz w:val="20"/>
          <w:szCs w:val="20"/>
          <w:u w:val="single"/>
        </w:rPr>
        <w:t>Commercial General Liability (“CGL”)</w:t>
      </w:r>
      <w:r>
        <w:rPr>
          <w:sz w:val="20"/>
          <w:szCs w:val="20"/>
        </w:rPr>
        <w:t>. [$ amount] per occurrence / [$ amount] annual general aggregate / [$ amount] annual aggregate for products and completed operations, providing coverage on an occurrence form basis and including coverage for bodily injury, property damage, personal injury, advertising injury, blanket contractual liability (including coverage for Service Provider’s indemnification obligations under this Agreement), and products and completed operations liability. Service Provider’s CGL policy or policies shall: (</w:t>
      </w:r>
      <w:proofErr w:type="spellStart"/>
      <w:r>
        <w:rPr>
          <w:sz w:val="20"/>
          <w:szCs w:val="20"/>
        </w:rPr>
        <w:t>i</w:t>
      </w:r>
      <w:proofErr w:type="spellEnd"/>
      <w:r>
        <w:rPr>
          <w:sz w:val="20"/>
          <w:szCs w:val="20"/>
        </w:rPr>
        <w:t>) provide that the insurance company has the duty to defend all insureds under the policy; (ii) provide that defense costs are paid in addition to, and do not deplete, any policy limits; and (iii) contain a cross-liability or separation of insureds provision providing that the insurance applies separately to each insured against whom a claim is filed and that the policy does not exclude coverage for claims or suits by one insured against another insured.</w:t>
      </w:r>
    </w:p>
    <w:p w14:paraId="5BB73E30" w14:textId="54903F96" w:rsidR="00FA3E61" w:rsidRPr="00EB1109" w:rsidRDefault="00FA3E61" w:rsidP="00FA3E61">
      <w:pPr>
        <w:pStyle w:val="LegalLevel2"/>
        <w:numPr>
          <w:ilvl w:val="1"/>
          <w:numId w:val="4"/>
        </w:numPr>
        <w:spacing w:before="240" w:line="240" w:lineRule="auto"/>
        <w:rPr>
          <w:sz w:val="20"/>
          <w:szCs w:val="20"/>
        </w:rPr>
      </w:pPr>
      <w:r>
        <w:rPr>
          <w:sz w:val="20"/>
          <w:szCs w:val="20"/>
          <w:u w:val="single"/>
        </w:rPr>
        <w:t>Professional Liability / Technology Errors and Omissions</w:t>
      </w:r>
      <w:r>
        <w:rPr>
          <w:sz w:val="20"/>
          <w:szCs w:val="20"/>
        </w:rPr>
        <w:t>. [$ amount] per claim / [$ amount] aggregate, covering all acts, errors, omissions, negligent acts, or failures in the performance of the Services, including claims arising from technology products, software, systems design, consulting, data management, IT professional services, and the design, deployment, or operation of AI Features (including claims arising from algorithmic bias, erroneous or misleading AI outputs, and AI-related data processing failures).</w:t>
      </w:r>
    </w:p>
    <w:p w14:paraId="1FD990D4" w14:textId="2B260158" w:rsidR="00FA3E61" w:rsidRPr="00EB1109" w:rsidRDefault="00FA3E61" w:rsidP="00FA3E61">
      <w:pPr>
        <w:pStyle w:val="LegalLevel2"/>
        <w:numPr>
          <w:ilvl w:val="1"/>
          <w:numId w:val="4"/>
        </w:numPr>
        <w:spacing w:before="240" w:line="240" w:lineRule="auto"/>
        <w:rPr>
          <w:sz w:val="20"/>
          <w:szCs w:val="20"/>
        </w:rPr>
      </w:pPr>
      <w:r>
        <w:rPr>
          <w:sz w:val="20"/>
          <w:szCs w:val="20"/>
          <w:u w:val="single"/>
        </w:rPr>
        <w:t>Cyber Liability and Privacy Insurance</w:t>
      </w:r>
      <w:r>
        <w:rPr>
          <w:sz w:val="20"/>
          <w:szCs w:val="20"/>
        </w:rPr>
        <w:t>. [$ amount] per claim / [$ amount] annual aggregate, covering all acts, errors, omissions, and negligence in the handling of Confidential Information, including: (</w:t>
      </w:r>
      <w:proofErr w:type="spellStart"/>
      <w:r>
        <w:rPr>
          <w:sz w:val="20"/>
          <w:szCs w:val="20"/>
        </w:rPr>
        <w:t>i</w:t>
      </w:r>
      <w:proofErr w:type="spellEnd"/>
      <w:r>
        <w:rPr>
          <w:sz w:val="20"/>
          <w:szCs w:val="20"/>
        </w:rPr>
        <w:t>) unauthorized access to or failure of security of systems used to provide the Services; (ii) breach of privacy, wrongful disclosure, collection, or other negligence in the handling of Personal Data and Customer Data; (iii) Data Breach notification and response expenses, including consumer notification (whether or not required by law), computer forensic investigations, public relations and crisis management firm fees, and credit file or identity monitoring and remediation services; (iv) regulatory defense and penalties (to the extent insurable); (v) infringement of Intellectual Property rights (except patent and trade secret); (vi) business interruption arising from security events; and (vii) ransomware and cyber extortion. If a sub-limit applies to any element of coverage, the certificate of insurance evidencing such coverage shall specify the coverage element and the amount of the sub-limit, and Customer shall have reasonable discretion over the adequacy of such sub-limits.</w:t>
      </w:r>
    </w:p>
    <w:p w14:paraId="7895E33D" w14:textId="6C0E5B1E" w:rsidR="00FA3E61" w:rsidRPr="00EB1109" w:rsidRDefault="00FA3E61" w:rsidP="00FA3E61">
      <w:pPr>
        <w:pStyle w:val="LegalLevel2"/>
        <w:numPr>
          <w:ilvl w:val="1"/>
          <w:numId w:val="4"/>
        </w:numPr>
        <w:spacing w:before="240" w:line="240" w:lineRule="auto"/>
        <w:rPr>
          <w:sz w:val="20"/>
          <w:szCs w:val="20"/>
        </w:rPr>
      </w:pPr>
      <w:r>
        <w:rPr>
          <w:sz w:val="20"/>
          <w:szCs w:val="20"/>
          <w:u w:val="single"/>
        </w:rPr>
        <w:t>Workers’ Compensation</w:t>
      </w:r>
      <w:r>
        <w:rPr>
          <w:sz w:val="20"/>
          <w:szCs w:val="20"/>
        </w:rPr>
        <w:t>. Workers’ Compensation insurance or qualified self-insurance in compliance with the requirements of each state or jurisdiction in which the Services are performed, in statutory limits.</w:t>
      </w:r>
    </w:p>
    <w:p w14:paraId="293B8D47" w14:textId="7DCA790B" w:rsidR="00FA3E61" w:rsidRPr="00EB1109" w:rsidRDefault="00FA3E61" w:rsidP="00FA3E61">
      <w:pPr>
        <w:pStyle w:val="LegalLevel2"/>
        <w:numPr>
          <w:ilvl w:val="1"/>
          <w:numId w:val="4"/>
        </w:numPr>
        <w:spacing w:before="240" w:line="240" w:lineRule="auto"/>
        <w:rPr>
          <w:sz w:val="20"/>
          <w:szCs w:val="20"/>
        </w:rPr>
      </w:pPr>
      <w:r>
        <w:rPr>
          <w:sz w:val="20"/>
          <w:szCs w:val="20"/>
          <w:u w:val="single"/>
        </w:rPr>
        <w:t>Employers’ Liability</w:t>
      </w:r>
      <w:r>
        <w:rPr>
          <w:sz w:val="20"/>
          <w:szCs w:val="20"/>
        </w:rPr>
        <w:t xml:space="preserve">. Employers’ Liability insurance with a limit of not less than [$ amount] for bodily </w:t>
      </w:r>
      <w:proofErr w:type="gramStart"/>
      <w:r>
        <w:rPr>
          <w:sz w:val="20"/>
          <w:szCs w:val="20"/>
        </w:rPr>
        <w:t>injury</w:t>
      </w:r>
      <w:proofErr w:type="gramEnd"/>
      <w:r>
        <w:rPr>
          <w:sz w:val="20"/>
          <w:szCs w:val="20"/>
        </w:rPr>
        <w:t xml:space="preserve"> by accident (each accident), [$ amount] for bodily injury by disease per employee, and [$ amount] policy limit for disease.</w:t>
      </w:r>
    </w:p>
    <w:p w14:paraId="6CA7A8D8" w14:textId="40716B88" w:rsidR="00FA3E61" w:rsidRPr="00EB1109" w:rsidRDefault="00FA3E61" w:rsidP="00FA3E61">
      <w:pPr>
        <w:pStyle w:val="LegalLevel2"/>
        <w:numPr>
          <w:ilvl w:val="1"/>
          <w:numId w:val="4"/>
        </w:numPr>
        <w:spacing w:before="240" w:line="240" w:lineRule="auto"/>
        <w:rPr>
          <w:sz w:val="20"/>
          <w:szCs w:val="20"/>
        </w:rPr>
      </w:pPr>
      <w:r>
        <w:rPr>
          <w:sz w:val="20"/>
          <w:szCs w:val="20"/>
          <w:u w:val="single"/>
        </w:rPr>
        <w:t>Umbrella/Excess Liability</w:t>
      </w:r>
      <w:r>
        <w:rPr>
          <w:sz w:val="20"/>
          <w:szCs w:val="20"/>
        </w:rPr>
        <w:t xml:space="preserve">. [$ amount] per occurrence / [$ amount] aggregate, excess of the coverage required in Sections 1.1 (Commercial General Liability), 1.2 (Professional Liability / </w:t>
      </w:r>
      <w:r>
        <w:rPr>
          <w:sz w:val="20"/>
          <w:szCs w:val="20"/>
        </w:rPr>
        <w:lastRenderedPageBreak/>
        <w:t>Technology Errors and Omissions), and 1.3 (Cyber Liability and Privacy Insurance). Umbrella/excess coverage shall be at least as broad as the coverage under the underlying primary policies, including coverage for all additional insureds.</w:t>
      </w:r>
    </w:p>
    <w:p w14:paraId="77054E51" w14:textId="5A37294E" w:rsidR="00FA3E61" w:rsidRPr="00EB1109" w:rsidRDefault="00FA3E61" w:rsidP="00FA3E61">
      <w:pPr>
        <w:spacing w:before="240" w:after="120" w:line="240" w:lineRule="auto"/>
        <w:ind w:left="1440"/>
        <w:rPr>
          <w:rFonts w:ascii="Arial" w:hAnsi="Arial" w:cs="Arial"/>
          <w:sz w:val="20"/>
          <w:szCs w:val="20"/>
        </w:rPr>
      </w:pPr>
      <w:r>
        <w:rPr>
          <w:rFonts w:ascii="Arial" w:hAnsi="Arial" w:cs="Arial"/>
          <w:sz w:val="20"/>
          <w:szCs w:val="20"/>
        </w:rPr>
        <w:t xml:space="preserve">[Optional: “1.x </w:t>
      </w:r>
      <w:r>
        <w:rPr>
          <w:rFonts w:ascii="Arial" w:hAnsi="Arial" w:cs="Arial"/>
          <w:sz w:val="20"/>
          <w:szCs w:val="20"/>
          <w:u w:val="single"/>
        </w:rPr>
        <w:t>Crime/Fidelity Insurance</w:t>
      </w:r>
      <w:r>
        <w:rPr>
          <w:rFonts w:ascii="Arial" w:hAnsi="Arial" w:cs="Arial"/>
          <w:sz w:val="20"/>
          <w:szCs w:val="20"/>
        </w:rPr>
        <w:t>. [$ amount] per claim / [$ amount] aggregate, covering employee dishonesty, theft, fraud, forgery, and computer fraud. Required where the Services involve access to Customer’s financial data, payment processing systems, or funds transfer capabilities.”]</w:t>
      </w:r>
    </w:p>
    <w:p w14:paraId="219A7057" w14:textId="79DA0666" w:rsidR="00FA3E61" w:rsidRPr="00EB1109" w:rsidRDefault="000E710B" w:rsidP="00FA3E61">
      <w:pPr>
        <w:pStyle w:val="LegalLevel2"/>
        <w:numPr>
          <w:ilvl w:val="1"/>
          <w:numId w:val="4"/>
        </w:numPr>
        <w:spacing w:before="240" w:line="240" w:lineRule="auto"/>
        <w:rPr>
          <w:sz w:val="20"/>
          <w:szCs w:val="20"/>
        </w:rPr>
      </w:pPr>
      <w:r>
        <w:rPr>
          <w:sz w:val="20"/>
          <w:szCs w:val="20"/>
          <w:u w:val="single"/>
        </w:rPr>
        <w:t>Coverage Adjustment</w:t>
      </w:r>
      <w:r>
        <w:rPr>
          <w:sz w:val="20"/>
          <w:szCs w:val="20"/>
        </w:rPr>
        <w:t>. Customer may, upon reasonable written notice, request an adjustment to the types of coverage or the limits of liability specified in this Section 1 (Required Coverage Types and Minimum Amounts) as Customer’s exposure to Service Provider increases or changes, and Service Provider shall use commercially reasonable efforts to obtain such adjusted coverage within sixty (60) days of such request.</w:t>
      </w:r>
    </w:p>
    <w:p w14:paraId="3CD47746" w14:textId="11387A91"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Insurance Coverage Requirements</w:t>
      </w:r>
      <w:r>
        <w:rPr>
          <w:sz w:val="20"/>
          <w:szCs w:val="20"/>
        </w:rPr>
        <w:t>.</w:t>
      </w:r>
    </w:p>
    <w:p w14:paraId="3DF07EB6" w14:textId="3EC2CF5D" w:rsidR="00FA3E61" w:rsidRPr="00EB1109" w:rsidRDefault="00DA6EA4" w:rsidP="00FA3E61">
      <w:pPr>
        <w:pStyle w:val="LegalLevel2"/>
        <w:numPr>
          <w:ilvl w:val="1"/>
          <w:numId w:val="4"/>
        </w:numPr>
        <w:spacing w:before="240" w:line="240" w:lineRule="auto"/>
        <w:rPr>
          <w:sz w:val="20"/>
          <w:szCs w:val="20"/>
        </w:rPr>
      </w:pPr>
      <w:r>
        <w:rPr>
          <w:sz w:val="20"/>
          <w:szCs w:val="20"/>
          <w:u w:val="single"/>
        </w:rPr>
        <w:t>Carrier Rating Requirements</w:t>
      </w:r>
      <w:r>
        <w:rPr>
          <w:sz w:val="20"/>
          <w:szCs w:val="20"/>
        </w:rPr>
        <w:t>. All insurance policies shall be issued by companies licensed or authorized in the jurisdictions where the Services are performed and holding a current Policyholder Alphabetic Category Rating of not less than “A-” and a Financial Size Category Rating of not less than “VII” according to the latest edition of A.M. Best’s Key Rating Guide (or equivalent rating from Standard &amp; Poor’s or Moody’s).</w:t>
      </w:r>
    </w:p>
    <w:p w14:paraId="4E39F47E" w14:textId="07C20D87" w:rsidR="00FA3E61" w:rsidRPr="00EB1109" w:rsidRDefault="00DA6EA4" w:rsidP="00FA3E61">
      <w:pPr>
        <w:pStyle w:val="LegalLevel2"/>
        <w:numPr>
          <w:ilvl w:val="1"/>
          <w:numId w:val="4"/>
        </w:numPr>
        <w:spacing w:before="240" w:line="240" w:lineRule="auto"/>
        <w:rPr>
          <w:sz w:val="20"/>
          <w:szCs w:val="20"/>
        </w:rPr>
      </w:pPr>
      <w:r>
        <w:rPr>
          <w:sz w:val="20"/>
          <w:szCs w:val="20"/>
          <w:u w:val="single"/>
        </w:rPr>
        <w:t>Occurrence vs. Claims-Made</w:t>
      </w:r>
      <w:r>
        <w:rPr>
          <w:sz w:val="20"/>
          <w:szCs w:val="20"/>
        </w:rPr>
        <w:t>. All insurance policies shall be occurrence-based or, if claims-made, shall provide for a retroactive date no later than the Effective Date and shall be maintained for the Tail Period.</w:t>
      </w:r>
    </w:p>
    <w:p w14:paraId="20656097" w14:textId="67606AFC" w:rsidR="00FA3E61" w:rsidRPr="00EB1109" w:rsidRDefault="00DA6EA4" w:rsidP="00FA3E61">
      <w:pPr>
        <w:pStyle w:val="LegalLevel2"/>
        <w:numPr>
          <w:ilvl w:val="1"/>
          <w:numId w:val="4"/>
        </w:numPr>
        <w:spacing w:before="240" w:line="240" w:lineRule="auto"/>
        <w:rPr>
          <w:sz w:val="20"/>
          <w:szCs w:val="20"/>
        </w:rPr>
      </w:pPr>
      <w:r>
        <w:rPr>
          <w:sz w:val="20"/>
          <w:szCs w:val="20"/>
          <w:u w:val="single"/>
        </w:rPr>
        <w:t xml:space="preserve">Primary and </w:t>
      </w:r>
      <w:proofErr w:type="gramStart"/>
      <w:r>
        <w:rPr>
          <w:sz w:val="20"/>
          <w:szCs w:val="20"/>
          <w:u w:val="single"/>
        </w:rPr>
        <w:t>Non-Contributing</w:t>
      </w:r>
      <w:proofErr w:type="gramEnd"/>
      <w:r>
        <w:rPr>
          <w:sz w:val="20"/>
          <w:szCs w:val="20"/>
        </w:rPr>
        <w:t>. Service Provider’s CGL policy shall be deemed primary and non-contributing with any insurance carried by Customer. Any insurance carried by Customer that may be applicable shall be deemed excess insurance. It is the intent of the Parties that Service Provider’s, and not Customer’s, insurance cover claims brought against either Party that arise out of or are related to this Agreement. Service Provider’s insurance may be provided on the basis of primary and umbrella/excess coverage, provided that the primary coverage is not less than the minimum amounts specified in Section 1 (Required Coverage Types and Minimum Amounts) for the applicable coverage type and the umbrella/excess coverage is at least as broad as the coverage under the primary policy, including coverage for all additional insureds.</w:t>
      </w:r>
    </w:p>
    <w:p w14:paraId="6C373A06" w14:textId="74706932" w:rsidR="00FA3E61" w:rsidRPr="00EB1109" w:rsidRDefault="00DA6EA4" w:rsidP="00FA3E61">
      <w:pPr>
        <w:pStyle w:val="LegalLevel2"/>
        <w:numPr>
          <w:ilvl w:val="1"/>
          <w:numId w:val="4"/>
        </w:numPr>
        <w:spacing w:before="240" w:line="240" w:lineRule="auto"/>
        <w:rPr>
          <w:sz w:val="20"/>
          <w:szCs w:val="20"/>
        </w:rPr>
      </w:pPr>
      <w:r>
        <w:rPr>
          <w:sz w:val="20"/>
          <w:szCs w:val="20"/>
          <w:u w:val="single"/>
        </w:rPr>
        <w:t>Limits Are Minimums</w:t>
      </w:r>
      <w:r>
        <w:rPr>
          <w:sz w:val="20"/>
          <w:szCs w:val="20"/>
        </w:rPr>
        <w:t xml:space="preserve">. Insurance limits specified in this Insurance Addendum are minimum requirements. None of the insurance requirements set forth herein is intended to, or shall be construed to, limit Service Provider’s obligations under this Agreement in any manner. Customer does not represent that the insurance </w:t>
      </w:r>
      <w:proofErr w:type="gramStart"/>
      <w:r>
        <w:rPr>
          <w:sz w:val="20"/>
          <w:szCs w:val="20"/>
        </w:rPr>
        <w:t>coverages</w:t>
      </w:r>
      <w:proofErr w:type="gramEnd"/>
      <w:r>
        <w:rPr>
          <w:sz w:val="20"/>
          <w:szCs w:val="20"/>
        </w:rPr>
        <w:t xml:space="preserve"> required herein </w:t>
      </w:r>
      <w:proofErr w:type="gramStart"/>
      <w:r>
        <w:rPr>
          <w:sz w:val="20"/>
          <w:szCs w:val="20"/>
        </w:rPr>
        <w:t>are</w:t>
      </w:r>
      <w:proofErr w:type="gramEnd"/>
      <w:r>
        <w:rPr>
          <w:sz w:val="20"/>
          <w:szCs w:val="20"/>
        </w:rPr>
        <w:t xml:space="preserve"> adequate to protect the obligations of Service Provider. Service Provider is solely responsible for any deficiencies in its insurance program.</w:t>
      </w:r>
    </w:p>
    <w:p w14:paraId="1DB9E8B9" w14:textId="17809548" w:rsidR="00FA3E61" w:rsidRDefault="00690DDA" w:rsidP="00FA3E61">
      <w:pPr>
        <w:pStyle w:val="LegalLevel2"/>
        <w:numPr>
          <w:ilvl w:val="1"/>
          <w:numId w:val="4"/>
        </w:numPr>
        <w:spacing w:before="240" w:line="240" w:lineRule="auto"/>
        <w:rPr>
          <w:sz w:val="20"/>
          <w:szCs w:val="20"/>
        </w:rPr>
      </w:pPr>
      <w:r>
        <w:rPr>
          <w:sz w:val="20"/>
          <w:szCs w:val="20"/>
          <w:u w:val="single"/>
        </w:rPr>
        <w:t>Lapse and Cancellation Notice</w:t>
      </w:r>
      <w:r>
        <w:rPr>
          <w:sz w:val="20"/>
          <w:szCs w:val="20"/>
        </w:rPr>
        <w:t>. Service Provider shall not allow any required policy to lapse, be canceled, be materially reduced, or be non-renewed without providing Customer not less than thirty (30) days’ prior written notice (ten (10) days for non-payment of premiums). In the event of any such lapse, cancellation, material reduction, or non-renewal, Customer may require Service Provider to obtain replacement coverage within fifteen (15) days. Customer’s remedies under Section 12 (Term, Renewal, and Termination) of the Master Agreement are not limited by this Section.</w:t>
      </w:r>
    </w:p>
    <w:p w14:paraId="5BBEA424" w14:textId="77777777" w:rsidR="00D97A3F" w:rsidRDefault="00D97A3F" w:rsidP="0023476E">
      <w:pPr>
        <w:pStyle w:val="LegalLevel2"/>
        <w:numPr>
          <w:ilvl w:val="0"/>
          <w:numId w:val="0"/>
        </w:numPr>
        <w:spacing w:before="240" w:line="240" w:lineRule="auto"/>
        <w:ind w:left="720"/>
        <w:rPr>
          <w:sz w:val="20"/>
          <w:szCs w:val="20"/>
        </w:rPr>
      </w:pPr>
    </w:p>
    <w:p w14:paraId="6C4FBC2D" w14:textId="77777777" w:rsidR="0023476E" w:rsidRDefault="0023476E" w:rsidP="0023476E">
      <w:pPr>
        <w:pStyle w:val="LegalLevel2"/>
        <w:numPr>
          <w:ilvl w:val="0"/>
          <w:numId w:val="0"/>
        </w:numPr>
        <w:spacing w:before="240" w:line="240" w:lineRule="auto"/>
        <w:ind w:left="720"/>
        <w:rPr>
          <w:sz w:val="20"/>
          <w:szCs w:val="20"/>
        </w:rPr>
      </w:pPr>
    </w:p>
    <w:p w14:paraId="0A506756" w14:textId="77777777" w:rsidR="0023476E" w:rsidRPr="00EB1109" w:rsidRDefault="0023476E" w:rsidP="0023476E">
      <w:pPr>
        <w:pStyle w:val="LegalLevel2"/>
        <w:numPr>
          <w:ilvl w:val="0"/>
          <w:numId w:val="0"/>
        </w:numPr>
        <w:spacing w:before="240" w:line="240" w:lineRule="auto"/>
        <w:ind w:left="720"/>
        <w:rPr>
          <w:sz w:val="20"/>
          <w:szCs w:val="20"/>
        </w:rPr>
      </w:pPr>
    </w:p>
    <w:p w14:paraId="0021D475" w14:textId="3AEBB736"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Additional Insured and Certificate of Insurance</w:t>
      </w:r>
      <w:r>
        <w:rPr>
          <w:sz w:val="20"/>
          <w:szCs w:val="20"/>
        </w:rPr>
        <w:t>.</w:t>
      </w:r>
    </w:p>
    <w:p w14:paraId="2CE0386A" w14:textId="2202A759" w:rsidR="00FA3E61" w:rsidRPr="00EB1109" w:rsidRDefault="00F75778" w:rsidP="00FA3E61">
      <w:pPr>
        <w:pStyle w:val="LegalLevel2"/>
        <w:numPr>
          <w:ilvl w:val="1"/>
          <w:numId w:val="4"/>
        </w:numPr>
        <w:spacing w:before="240" w:line="240" w:lineRule="auto"/>
        <w:rPr>
          <w:sz w:val="20"/>
          <w:szCs w:val="20"/>
        </w:rPr>
      </w:pPr>
      <w:r>
        <w:rPr>
          <w:sz w:val="20"/>
          <w:szCs w:val="20"/>
          <w:u w:val="single"/>
        </w:rPr>
        <w:t>Additional Insured Status</w:t>
      </w:r>
      <w:r>
        <w:rPr>
          <w:sz w:val="20"/>
          <w:szCs w:val="20"/>
        </w:rPr>
        <w:t xml:space="preserve">. Service Provider shall name Customer, its Affiliates, and their respective officers, directors, employees, and agents as additional insureds on Service Provider’s CGL and umbrella/excess liability policies (but not professional liability or cyber liability, where additional insured status is not customary). The coverage provided to such additional insureds shall be as broad </w:t>
      </w:r>
      <w:proofErr w:type="gramStart"/>
      <w:r>
        <w:rPr>
          <w:sz w:val="20"/>
          <w:szCs w:val="20"/>
        </w:rPr>
        <w:t>as that</w:t>
      </w:r>
      <w:proofErr w:type="gramEnd"/>
      <w:r>
        <w:rPr>
          <w:sz w:val="20"/>
          <w:szCs w:val="20"/>
        </w:rPr>
        <w:t xml:space="preserve"> provided to the named insured under such policies.</w:t>
      </w:r>
    </w:p>
    <w:p w14:paraId="30E0FEEC" w14:textId="0DD0E8E8" w:rsidR="00FA3E61" w:rsidRPr="00EB1109" w:rsidRDefault="00F75778" w:rsidP="00FA3E61">
      <w:pPr>
        <w:pStyle w:val="LegalLevel2"/>
        <w:numPr>
          <w:ilvl w:val="1"/>
          <w:numId w:val="4"/>
        </w:numPr>
        <w:spacing w:before="240" w:line="240" w:lineRule="auto"/>
        <w:rPr>
          <w:sz w:val="20"/>
          <w:szCs w:val="20"/>
        </w:rPr>
      </w:pPr>
      <w:r>
        <w:rPr>
          <w:sz w:val="20"/>
          <w:szCs w:val="20"/>
          <w:u w:val="single"/>
        </w:rPr>
        <w:t>Certificate Requirements</w:t>
      </w:r>
      <w:r>
        <w:rPr>
          <w:sz w:val="20"/>
          <w:szCs w:val="20"/>
        </w:rPr>
        <w:t>. Service Provider shall provide Customer with certificates of insurance and copies of additional insured endorsements evidencing the required coverage: (a) prior to the Effective Date; (b) annually upon each renewal of coverage; and (c) within ten (10) Business Days of Customer’s written request. Certificates shall identify the Agreement, confirm compliance with the requirements of this Insurance Addendum, and specify any sub-limits applicable to elements of coverage. If Service Provider fails to provide certificates of insurance or additional insured endorsements within fifteen (15) calendar days of Customer’s written request, such failure shall constitute grounds for termination under clause (d) of Section 12.3.2 (Immediate Termination) of the Master Agreement</w:t>
      </w:r>
      <w:r>
        <w:t>.</w:t>
      </w:r>
    </w:p>
    <w:p w14:paraId="42A05F61" w14:textId="621C2F9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Subrogation Waiver</w:t>
      </w:r>
      <w:r>
        <w:rPr>
          <w:sz w:val="20"/>
          <w:szCs w:val="20"/>
        </w:rPr>
        <w:t>. Service Provider hereby waives all rights of recovery against Customer, its Affiliates, and their respective officers, directors, employees, and agents on account of loss or damage to the extent such loss or damage is insured against under any of Service Provider’s insurance policies that may be in force at the time of the loss or damage, or would have been insured against had Service Provider complied with its obligations under this Insurance Addendum. Service Provider shall cause its insurers to include a clause providing, or endorse all required policies to provide, a waiver of subrogation against Customer, its Affiliates, and their respective officers, directors, employees, and agents.</w:t>
      </w:r>
    </w:p>
    <w:p w14:paraId="1D77D632" w14:textId="554873F4"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Tail Coverage</w:t>
      </w:r>
      <w:r>
        <w:rPr>
          <w:sz w:val="20"/>
          <w:szCs w:val="20"/>
        </w:rPr>
        <w:t>. If any required policy is written on a claims-made basis, Service Provider shall purchase, at its sole cost and expense, tail coverage (or an extended reporting period) for the duration of the Tail Period, with retroactive dates no later than the Effective Date.</w:t>
      </w:r>
    </w:p>
    <w:p w14:paraId="1960FA5B" w14:textId="15DC5C3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Cooperation with Claims</w:t>
      </w:r>
      <w:r>
        <w:rPr>
          <w:sz w:val="20"/>
          <w:szCs w:val="20"/>
        </w:rPr>
        <w:t>. Service Provider shall cooperate fully with Customer in connection with any claim or proceeding covered by the insurance required under this Insurance Addendum, including providing timely notice to insurers, preserving evidence, and facilitating the claims process.</w:t>
      </w:r>
    </w:p>
    <w:p w14:paraId="387145C2" w14:textId="57366852"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Subcontractor Insurance</w:t>
      </w:r>
      <w:r>
        <w:rPr>
          <w:sz w:val="20"/>
          <w:szCs w:val="20"/>
        </w:rPr>
        <w:t>. Service Provider shall require all Subcontractors performing services or any work under this Agreement to maintain appropriate insurance to protect the Subcontractor, Service Provider, and Customer and its Affiliates, and their respective officers, directors, employees, and agents, against loss arising from the services or work performed. Such coverage shall be consistent with the types and limits required under this Insurance Addendum, proportionate to the scope and risk of the subcontracted services.</w:t>
      </w:r>
    </w:p>
    <w:p w14:paraId="6C8DEF00" w14:textId="7251043A"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No Limitation of Liability</w:t>
      </w:r>
      <w:r>
        <w:rPr>
          <w:sz w:val="20"/>
          <w:szCs w:val="20"/>
        </w:rPr>
        <w:t>. The insurance requirements set forth in this Insurance Addendum are independent of, and shall not limit or modify, Service Provider’s indemnification obligations or liability under the Agreement. Service Provider’s obligations under the Agreement are not contingent upon the availability of insurance proceeds. Nothing in this Insurance Addendum shall be construed to limit Service Provider’s liability under this Agreement.</w:t>
      </w:r>
    </w:p>
    <w:p w14:paraId="1C16D6CD" w14:textId="77777777" w:rsidR="00FA3E61" w:rsidRPr="00EB1109" w:rsidRDefault="00FA3E61" w:rsidP="00FA3E61">
      <w:pPr>
        <w:pStyle w:val="LegalHeader"/>
        <w:spacing w:after="120"/>
        <w:rPr>
          <w:rFonts w:cs="Arial"/>
          <w:sz w:val="20"/>
        </w:rPr>
      </w:pPr>
      <w:r>
        <w:rPr>
          <w:rFonts w:cs="Arial"/>
          <w:sz w:val="20"/>
        </w:rPr>
        <w:br w:type="page"/>
      </w:r>
      <w:r>
        <w:rPr>
          <w:rFonts w:cs="Arial"/>
          <w:sz w:val="20"/>
        </w:rPr>
        <w:lastRenderedPageBreak/>
        <w:t>ADDENDUM B – DATA PROCESSING ADDENDUM</w:t>
      </w:r>
    </w:p>
    <w:p w14:paraId="333B3D6E" w14:textId="77777777" w:rsidR="00FA3E61" w:rsidRPr="00EB1109" w:rsidRDefault="00FA3E61" w:rsidP="00FA3E61">
      <w:pPr>
        <w:spacing w:before="240" w:after="120" w:line="240" w:lineRule="auto"/>
        <w:jc w:val="center"/>
        <w:rPr>
          <w:rFonts w:ascii="Arial" w:hAnsi="Arial" w:cs="Arial"/>
          <w:sz w:val="20"/>
          <w:szCs w:val="20"/>
        </w:rPr>
      </w:pPr>
      <w:r>
        <w:rPr>
          <w:rFonts w:ascii="Arial" w:hAnsi="Arial" w:cs="Arial"/>
          <w:i/>
          <w:iCs/>
          <w:sz w:val="20"/>
          <w:szCs w:val="20"/>
        </w:rPr>
        <w:t>to the Master Software as a Service Agreement by and between Customer and Service Provider</w:t>
      </w:r>
    </w:p>
    <w:p w14:paraId="02B07F54" w14:textId="17F4A1E4"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Addendum B – Data Processing Addendum (“Data Processing Addendum”) is incorporated into and forms part of the Agreement. This Data Processing Addendum is organized in two parts. Part 1 (Processing Governance) applies to all Order Forms under the Agreement and governs the Processing of all Customer Data. Part 2 (Personal Data Provisions) applies to an Order Form if and to the extent that Service Provider Processes Personal Data on behalf of Customer in connection with the Services, as indicated in the applicable Order Form. In the event of any conflict between this Data Processing Addendum and the Master Agreement, this Data Processing Addendum shall prevail with respect to the subject matter hereof.</w:t>
      </w:r>
    </w:p>
    <w:p w14:paraId="48116F3D" w14:textId="77777777" w:rsidR="00FA3E61" w:rsidRPr="00EB1109" w:rsidRDefault="00FA3E61" w:rsidP="00FA3E61">
      <w:pPr>
        <w:spacing w:before="360" w:after="120" w:line="240" w:lineRule="auto"/>
        <w:jc w:val="center"/>
        <w:rPr>
          <w:rFonts w:ascii="Arial" w:hAnsi="Arial" w:cs="Arial"/>
          <w:b/>
          <w:bCs/>
          <w:sz w:val="20"/>
          <w:szCs w:val="20"/>
        </w:rPr>
      </w:pPr>
      <w:r>
        <w:rPr>
          <w:rFonts w:ascii="Arial" w:hAnsi="Arial" w:cs="Arial"/>
          <w:b/>
          <w:bCs/>
          <w:sz w:val="20"/>
          <w:szCs w:val="20"/>
        </w:rPr>
        <w:t>PART 1 – PROCESSING GOVERNANCE</w:t>
      </w:r>
    </w:p>
    <w:p w14:paraId="5FE55A11" w14:textId="78A0D567"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Part 1 applies to all Customer Data Processed by Service Provider in connection with the Services, regardless of whether such Customer Data includes Personal Data.</w:t>
      </w:r>
    </w:p>
    <w:p w14:paraId="7CBD2606" w14:textId="696A4B49" w:rsidR="00FA3E61" w:rsidRPr="00EB1109" w:rsidRDefault="00FA3E61" w:rsidP="00FA3E61">
      <w:pPr>
        <w:pStyle w:val="LegalLevel1"/>
        <w:numPr>
          <w:ilvl w:val="0"/>
          <w:numId w:val="12"/>
        </w:numPr>
        <w:tabs>
          <w:tab w:val="num" w:pos="1939"/>
        </w:tabs>
        <w:spacing w:before="240" w:line="240" w:lineRule="auto"/>
        <w:rPr>
          <w:sz w:val="20"/>
          <w:szCs w:val="20"/>
        </w:rPr>
      </w:pPr>
      <w:r>
        <w:rPr>
          <w:sz w:val="20"/>
          <w:szCs w:val="20"/>
          <w:u w:val="single"/>
        </w:rPr>
        <w:t>Definitions</w:t>
      </w:r>
      <w:r>
        <w:rPr>
          <w:sz w:val="20"/>
          <w:szCs w:val="20"/>
        </w:rPr>
        <w:t>. Capitalized terms not defined in this Data Processing Addendum shall have the meanings ascribed to them in the Master Agreement. For purposes of this Data Processing Addendum, the following terms shall have the meanings set forth below:</w:t>
      </w:r>
    </w:p>
    <w:p w14:paraId="7F68AAF0" w14:textId="764EBE42"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“Processing” (and “Process”) means any operation or set of operations performed on Customer Data (including Personal Data), whether or not by automated means, including collection, recording, organization, structuring, storage, adaptation, alteration, retrieval, consultation, use, disclosure by transmission, dissemination, alignment, combination, restriction, erasure, or destruction.</w:t>
      </w:r>
    </w:p>
    <w:p w14:paraId="6D72B5A4" w14:textId="25E76882"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“Sub-processor” means any third party engaged by Service Provider (or by another Sub-processor of Service Provider) to Process Customer Data on behalf of Customer in connection with the Services.</w:t>
      </w:r>
    </w:p>
    <w:p w14:paraId="64AF498A"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Scope</w:t>
      </w:r>
      <w:r>
        <w:rPr>
          <w:sz w:val="20"/>
          <w:szCs w:val="20"/>
        </w:rPr>
        <w:t>.</w:t>
      </w:r>
    </w:p>
    <w:p w14:paraId="33A521CE" w14:textId="63320045" w:rsidR="00FA3E61" w:rsidRPr="00EB1109" w:rsidRDefault="00FA3E61" w:rsidP="00FA3E61">
      <w:pPr>
        <w:pStyle w:val="LegalLevel2"/>
        <w:numPr>
          <w:ilvl w:val="1"/>
          <w:numId w:val="4"/>
        </w:numPr>
        <w:spacing w:before="240" w:line="240" w:lineRule="auto"/>
        <w:rPr>
          <w:sz w:val="20"/>
          <w:szCs w:val="20"/>
        </w:rPr>
      </w:pPr>
      <w:r>
        <w:rPr>
          <w:sz w:val="20"/>
          <w:szCs w:val="20"/>
          <w:u w:val="single"/>
        </w:rPr>
        <w:t>Scope of Processing</w:t>
      </w:r>
      <w:r>
        <w:rPr>
          <w:sz w:val="20"/>
          <w:szCs w:val="20"/>
        </w:rPr>
        <w:t>. This Data Processing Addendum governs the Processing of Customer Data by Service Provider on behalf of Customer in connection with the Services described in the applicable Order Form.</w:t>
      </w:r>
    </w:p>
    <w:p w14:paraId="610E9A2D" w14:textId="042D8F29" w:rsidR="00FA3E61" w:rsidRPr="00EB1109" w:rsidRDefault="00FA3E61" w:rsidP="00FA3E61">
      <w:pPr>
        <w:pStyle w:val="LegalLevel2"/>
        <w:numPr>
          <w:ilvl w:val="1"/>
          <w:numId w:val="4"/>
        </w:numPr>
        <w:spacing w:before="240" w:line="240" w:lineRule="auto"/>
        <w:rPr>
          <w:sz w:val="20"/>
          <w:szCs w:val="20"/>
        </w:rPr>
      </w:pPr>
      <w:r>
        <w:rPr>
          <w:sz w:val="20"/>
          <w:szCs w:val="20"/>
          <w:u w:val="single"/>
        </w:rPr>
        <w:t>Purpose Limitation</w:t>
      </w:r>
      <w:r>
        <w:rPr>
          <w:sz w:val="20"/>
          <w:szCs w:val="20"/>
        </w:rPr>
        <w:t xml:space="preserve">. Without limiting the restrictions set forth in Section 5.2 (Permitted Use of Customer Data) of the Master Agreement, Service Provider shall Process Customer Data only to the extent necessary to provide the Services in accordance with the Master Agreement, this Data Processing Addendum, the applicable Order Form, and Customer’s documented instructions. Service Provider shall apply the principle of data minimization and shall ensure that Customer Data Processed is adequate, relevant, and limited to what is necessary in relation to the purposes for which it is Processed. Service Provider shall not collect, access, retain, or otherwise Process Customer Data </w:t>
      </w:r>
      <w:proofErr w:type="gramStart"/>
      <w:r>
        <w:rPr>
          <w:sz w:val="20"/>
          <w:szCs w:val="20"/>
        </w:rPr>
        <w:t>in excess of</w:t>
      </w:r>
      <w:proofErr w:type="gramEnd"/>
      <w:r>
        <w:rPr>
          <w:sz w:val="20"/>
          <w:szCs w:val="20"/>
        </w:rPr>
        <w:t xml:space="preserve"> what is strictly required to fulfill the applicable processing purpose.</w:t>
      </w:r>
    </w:p>
    <w:p w14:paraId="083D8EFC" w14:textId="62D9C872"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Processing Instructions</w:t>
      </w:r>
      <w:r>
        <w:rPr>
          <w:sz w:val="20"/>
          <w:szCs w:val="20"/>
        </w:rPr>
        <w:t>.</w:t>
      </w:r>
    </w:p>
    <w:p w14:paraId="3CA31CD5" w14:textId="7DFD348B" w:rsidR="00FA3E61" w:rsidRPr="00EB1109" w:rsidRDefault="00FA3E61" w:rsidP="00FA3E61">
      <w:pPr>
        <w:pStyle w:val="LegalLevel2"/>
        <w:numPr>
          <w:ilvl w:val="1"/>
          <w:numId w:val="4"/>
        </w:numPr>
        <w:spacing w:before="240" w:line="240" w:lineRule="auto"/>
        <w:rPr>
          <w:sz w:val="20"/>
          <w:szCs w:val="20"/>
        </w:rPr>
      </w:pPr>
      <w:r>
        <w:rPr>
          <w:sz w:val="20"/>
          <w:szCs w:val="20"/>
          <w:u w:val="single"/>
        </w:rPr>
        <w:t>Documented Instructions</w:t>
      </w:r>
      <w:r>
        <w:rPr>
          <w:sz w:val="20"/>
          <w:szCs w:val="20"/>
        </w:rPr>
        <w:t>. Service Provider shall Process Customer Data only on documented instructions from Customer, unless required to do so by Applicable Law to which Service Provider is subject. In such a case, Service Provider shall inform Customer of that legal requirement before Processing, unless such law prohibits such notification on important grounds of public interest.</w:t>
      </w:r>
    </w:p>
    <w:p w14:paraId="5895F590" w14:textId="75D5C0DD" w:rsidR="00FA3E61" w:rsidRPr="00EB1109" w:rsidRDefault="00FA3E61" w:rsidP="00FA3E61">
      <w:pPr>
        <w:pStyle w:val="LegalLevel2"/>
        <w:numPr>
          <w:ilvl w:val="1"/>
          <w:numId w:val="4"/>
        </w:numPr>
        <w:spacing w:before="240" w:line="240" w:lineRule="auto"/>
        <w:rPr>
          <w:sz w:val="20"/>
          <w:szCs w:val="20"/>
        </w:rPr>
      </w:pPr>
      <w:r>
        <w:rPr>
          <w:sz w:val="20"/>
          <w:szCs w:val="20"/>
          <w:u w:val="single"/>
        </w:rPr>
        <w:t>Notification of Infringement</w:t>
      </w:r>
      <w:r>
        <w:rPr>
          <w:sz w:val="20"/>
          <w:szCs w:val="20"/>
        </w:rPr>
        <w:t>. Service Provider shall immediately inform Customer if, in Service Provider’s opinion, an instruction from Customer infringes Applicable Law. Service Provider shall not be required to comply with any instruction that it reasonably believes would cause it to violate Applicable Law, and shall notify Customer promptly of such belief.</w:t>
      </w:r>
    </w:p>
    <w:p w14:paraId="0BFA7B85" w14:textId="49C23AF2"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Processing Details</w:t>
      </w:r>
      <w:r>
        <w:rPr>
          <w:sz w:val="20"/>
          <w:szCs w:val="20"/>
        </w:rPr>
        <w:t>. The subject matter, duration, nature, and purpose of the Processing, as well as the categories of Customer Data Processed, are as set forth in the applicable Order Form and in the Master Agreement.</w:t>
      </w:r>
    </w:p>
    <w:p w14:paraId="23614781"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Service Provider Personnel Obligations</w:t>
      </w:r>
      <w:r>
        <w:rPr>
          <w:sz w:val="20"/>
          <w:szCs w:val="20"/>
        </w:rPr>
        <w:t>.</w:t>
      </w:r>
    </w:p>
    <w:p w14:paraId="6600DD74" w14:textId="1B288D1E" w:rsidR="00FA3E61" w:rsidRPr="00EB1109" w:rsidRDefault="00FA3E61" w:rsidP="00FA3E61">
      <w:pPr>
        <w:pStyle w:val="LegalLevel2"/>
        <w:numPr>
          <w:ilvl w:val="1"/>
          <w:numId w:val="4"/>
        </w:numPr>
        <w:spacing w:before="240" w:line="240" w:lineRule="auto"/>
        <w:rPr>
          <w:sz w:val="20"/>
          <w:szCs w:val="20"/>
        </w:rPr>
      </w:pPr>
      <w:r>
        <w:rPr>
          <w:sz w:val="20"/>
          <w:szCs w:val="20"/>
          <w:u w:val="single"/>
        </w:rPr>
        <w:t>Confidentiality</w:t>
      </w:r>
      <w:r>
        <w:rPr>
          <w:sz w:val="20"/>
          <w:szCs w:val="20"/>
        </w:rPr>
        <w:t>. Service Provider shall ensure that all personnel authorized to Process Customer Data under this Data Processing Addendum are bound by appropriate contractual obligations of confidentiality that survive the termination of their engagement.</w:t>
      </w:r>
    </w:p>
    <w:p w14:paraId="4A3C90D1" w14:textId="75314A5A" w:rsidR="00FA3E61" w:rsidRPr="00EB1109" w:rsidRDefault="00FA3E61" w:rsidP="00FA3E61">
      <w:pPr>
        <w:pStyle w:val="LegalLevel2"/>
        <w:numPr>
          <w:ilvl w:val="1"/>
          <w:numId w:val="4"/>
        </w:numPr>
        <w:spacing w:before="240" w:line="240" w:lineRule="auto"/>
        <w:rPr>
          <w:sz w:val="20"/>
          <w:szCs w:val="20"/>
        </w:rPr>
      </w:pPr>
      <w:r>
        <w:rPr>
          <w:sz w:val="20"/>
          <w:szCs w:val="20"/>
          <w:u w:val="single"/>
        </w:rPr>
        <w:t>Access Control</w:t>
      </w:r>
      <w:r>
        <w:rPr>
          <w:sz w:val="20"/>
          <w:szCs w:val="20"/>
        </w:rPr>
        <w:t xml:space="preserve">. Service Provider </w:t>
      </w:r>
      <w:proofErr w:type="gramStart"/>
      <w:r>
        <w:rPr>
          <w:sz w:val="20"/>
          <w:szCs w:val="20"/>
        </w:rPr>
        <w:t>shall</w:t>
      </w:r>
      <w:proofErr w:type="gramEnd"/>
      <w:r>
        <w:rPr>
          <w:sz w:val="20"/>
          <w:szCs w:val="20"/>
        </w:rPr>
        <w:t xml:space="preserve"> ensure that access to Customer Data is limited to those personnel who require access to perform the Services and who have received appropriate training on data protection requirements and the requirements of this Data Processing Addendum.</w:t>
      </w:r>
    </w:p>
    <w:p w14:paraId="108C8E6D" w14:textId="7EFE541B" w:rsidR="00FA3E61" w:rsidRPr="00EB1109" w:rsidRDefault="00FA3E61" w:rsidP="00FA3E61">
      <w:pPr>
        <w:pStyle w:val="LegalLevel2"/>
        <w:numPr>
          <w:ilvl w:val="1"/>
          <w:numId w:val="4"/>
        </w:numPr>
        <w:spacing w:before="240" w:line="240" w:lineRule="auto"/>
        <w:rPr>
          <w:sz w:val="20"/>
          <w:szCs w:val="20"/>
        </w:rPr>
      </w:pPr>
      <w:r>
        <w:rPr>
          <w:sz w:val="20"/>
          <w:szCs w:val="20"/>
          <w:u w:val="single"/>
        </w:rPr>
        <w:t>Training</w:t>
      </w:r>
      <w:r>
        <w:rPr>
          <w:sz w:val="20"/>
          <w:szCs w:val="20"/>
        </w:rPr>
        <w:t>. Service Provider shall maintain a training program for personnel who Process Customer Data, covering data protection, security awareness, and the handling of Customer Data, and shall provide such training at least annually.</w:t>
      </w:r>
    </w:p>
    <w:p w14:paraId="7B409FAB" w14:textId="618CA6DE" w:rsidR="00FA3E61" w:rsidRPr="00EB1109" w:rsidRDefault="00FA3E61" w:rsidP="00FA3E61">
      <w:pPr>
        <w:pStyle w:val="LegalLevel2"/>
        <w:numPr>
          <w:ilvl w:val="0"/>
          <w:numId w:val="4"/>
        </w:numPr>
        <w:spacing w:before="240" w:line="240" w:lineRule="auto"/>
        <w:rPr>
          <w:sz w:val="20"/>
          <w:szCs w:val="20"/>
        </w:rPr>
      </w:pPr>
      <w:r>
        <w:rPr>
          <w:sz w:val="20"/>
          <w:szCs w:val="20"/>
          <w:u w:val="single"/>
        </w:rPr>
        <w:t>Security Measures</w:t>
      </w:r>
      <w:r>
        <w:rPr>
          <w:sz w:val="20"/>
          <w:szCs w:val="20"/>
        </w:rPr>
        <w:t>. The technical and organizational security measures applicable to the Processing of Customer Data under this Data Processing Addendum are as set forth in the Data Security Addendum.</w:t>
      </w:r>
    </w:p>
    <w:p w14:paraId="793A6C89" w14:textId="6BEA80F1"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Sub-processor Management</w:t>
      </w:r>
      <w:r>
        <w:rPr>
          <w:sz w:val="20"/>
          <w:szCs w:val="20"/>
        </w:rPr>
        <w:t>.</w:t>
      </w:r>
    </w:p>
    <w:p w14:paraId="5162C911" w14:textId="61EE6944" w:rsidR="00FA3E61" w:rsidRPr="00EB1109" w:rsidRDefault="00FA3E61" w:rsidP="00FA3E61">
      <w:pPr>
        <w:pStyle w:val="LegalLevel2"/>
        <w:numPr>
          <w:ilvl w:val="1"/>
          <w:numId w:val="4"/>
        </w:numPr>
        <w:spacing w:before="240" w:after="240" w:line="240" w:lineRule="auto"/>
        <w:rPr>
          <w:sz w:val="20"/>
          <w:szCs w:val="20"/>
        </w:rPr>
      </w:pPr>
      <w:r>
        <w:rPr>
          <w:sz w:val="20"/>
          <w:szCs w:val="20"/>
          <w:u w:val="single"/>
        </w:rPr>
        <w:t>Prior Authorization</w:t>
      </w:r>
      <w:r>
        <w:rPr>
          <w:sz w:val="20"/>
          <w:szCs w:val="20"/>
        </w:rPr>
        <w:t>. Customer hereby provides general written authorization for the use of Sub-processors, subject to the notification requirements set forth in Section 6.2 (Sub-processor Change Notification) and the objection and termination rights set forth in Section 6.3 (Customer Objection). The list of Sub-processors authorized as of the Effective Date is set forth in the following table:</w:t>
      </w:r>
    </w:p>
    <w:tbl>
      <w:tblPr>
        <w:tblW w:w="7020" w:type="dxa"/>
        <w:jc w:val="center"/>
        <w:tblLayout w:type="fixed"/>
        <w:tblLook w:val="04A0" w:firstRow="1" w:lastRow="0" w:firstColumn="1" w:lastColumn="0" w:noHBand="0" w:noVBand="1"/>
      </w:tblPr>
      <w:tblGrid>
        <w:gridCol w:w="2340"/>
        <w:gridCol w:w="2340"/>
        <w:gridCol w:w="2340"/>
      </w:tblGrid>
      <w:tr w:rsidR="00FA3E61" w:rsidRPr="00EB1109" w14:paraId="68750146" w14:textId="77777777" w:rsidTr="00DC2752">
        <w:trPr>
          <w:jc w:val="center"/>
        </w:trPr>
        <w:tc>
          <w:tcPr>
            <w:tcW w:w="2340" w:type="dxa"/>
            <w:tcBorders>
              <w:top w:val="single" w:sz="4" w:space="0" w:color="auto"/>
              <w:left w:val="single" w:sz="4" w:space="0" w:color="auto"/>
              <w:bottom w:val="single" w:sz="4" w:space="0" w:color="auto"/>
              <w:right w:val="single" w:sz="4" w:space="0" w:color="auto"/>
            </w:tcBorders>
            <w:shd w:val="clear" w:color="auto" w:fill="F2F2F2"/>
            <w:vAlign w:val="center"/>
          </w:tcPr>
          <w:p w14:paraId="55C87069" w14:textId="12494161" w:rsidR="00FA3E61" w:rsidRPr="00EB1109" w:rsidRDefault="00FA3E61" w:rsidP="00DC2752">
            <w:pPr>
              <w:jc w:val="center"/>
              <w:rPr>
                <w:rFonts w:ascii="Arial" w:hAnsi="Arial" w:cs="Arial"/>
                <w:b/>
                <w:bCs/>
                <w:sz w:val="20"/>
                <w:szCs w:val="20"/>
              </w:rPr>
            </w:pPr>
            <w:r>
              <w:rPr>
                <w:rFonts w:ascii="Arial" w:hAnsi="Arial" w:cs="Arial"/>
                <w:b/>
                <w:bCs/>
                <w:sz w:val="20"/>
                <w:szCs w:val="20"/>
              </w:rPr>
              <w:t>Sub-processor Name</w:t>
            </w:r>
          </w:p>
        </w:tc>
        <w:tc>
          <w:tcPr>
            <w:tcW w:w="2340" w:type="dxa"/>
            <w:tcBorders>
              <w:top w:val="single" w:sz="4" w:space="0" w:color="auto"/>
              <w:left w:val="single" w:sz="4" w:space="0" w:color="auto"/>
              <w:bottom w:val="single" w:sz="4" w:space="0" w:color="auto"/>
              <w:right w:val="single" w:sz="4" w:space="0" w:color="auto"/>
            </w:tcBorders>
            <w:shd w:val="clear" w:color="auto" w:fill="F2F2F2"/>
            <w:vAlign w:val="center"/>
          </w:tcPr>
          <w:p w14:paraId="058D40D1" w14:textId="1F5DDA64" w:rsidR="00FA3E61" w:rsidRPr="00EB1109" w:rsidRDefault="00FA3E61" w:rsidP="00DC2752">
            <w:pPr>
              <w:jc w:val="center"/>
              <w:rPr>
                <w:rFonts w:ascii="Arial" w:hAnsi="Arial" w:cs="Arial"/>
                <w:b/>
                <w:bCs/>
                <w:sz w:val="20"/>
                <w:szCs w:val="20"/>
              </w:rPr>
            </w:pPr>
            <w:r>
              <w:rPr>
                <w:rFonts w:ascii="Arial" w:hAnsi="Arial" w:cs="Arial"/>
                <w:b/>
                <w:bCs/>
                <w:sz w:val="20"/>
                <w:szCs w:val="20"/>
              </w:rPr>
              <w:t>Processing Activities</w:t>
            </w:r>
          </w:p>
        </w:tc>
        <w:tc>
          <w:tcPr>
            <w:tcW w:w="2340" w:type="dxa"/>
            <w:tcBorders>
              <w:top w:val="single" w:sz="4" w:space="0" w:color="auto"/>
              <w:left w:val="single" w:sz="4" w:space="0" w:color="auto"/>
              <w:bottom w:val="single" w:sz="4" w:space="0" w:color="auto"/>
              <w:right w:val="single" w:sz="4" w:space="0" w:color="auto"/>
            </w:tcBorders>
            <w:shd w:val="clear" w:color="auto" w:fill="F2F2F2"/>
            <w:vAlign w:val="center"/>
          </w:tcPr>
          <w:p w14:paraId="16FC4F25" w14:textId="77777777" w:rsidR="00FA3E61" w:rsidRPr="00EB1109" w:rsidRDefault="00FA3E61" w:rsidP="00DC2752">
            <w:pPr>
              <w:jc w:val="center"/>
              <w:rPr>
                <w:rFonts w:ascii="Arial" w:hAnsi="Arial" w:cs="Arial"/>
                <w:b/>
                <w:bCs/>
                <w:sz w:val="20"/>
                <w:szCs w:val="20"/>
              </w:rPr>
            </w:pPr>
            <w:r>
              <w:rPr>
                <w:rFonts w:ascii="Arial" w:hAnsi="Arial" w:cs="Arial"/>
                <w:b/>
                <w:bCs/>
                <w:sz w:val="20"/>
                <w:szCs w:val="20"/>
              </w:rPr>
              <w:t>Location</w:t>
            </w:r>
          </w:p>
        </w:tc>
      </w:tr>
      <w:tr w:rsidR="00FA3E61" w:rsidRPr="00EB1109" w14:paraId="7ED592EF" w14:textId="77777777" w:rsidTr="00DC2752">
        <w:trPr>
          <w:jc w:val="center"/>
        </w:trPr>
        <w:tc>
          <w:tcPr>
            <w:tcW w:w="2340" w:type="dxa"/>
            <w:tcBorders>
              <w:top w:val="single" w:sz="4" w:space="0" w:color="auto"/>
              <w:left w:val="single" w:sz="4" w:space="0" w:color="auto"/>
              <w:bottom w:val="single" w:sz="4" w:space="0" w:color="auto"/>
              <w:right w:val="single" w:sz="4" w:space="0" w:color="auto"/>
            </w:tcBorders>
          </w:tcPr>
          <w:p w14:paraId="6BBEDB87"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13F8C8F9"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4A42C6E8"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r>
      <w:tr w:rsidR="00FA3E61" w:rsidRPr="00EB1109" w14:paraId="5CDF2579" w14:textId="77777777" w:rsidTr="00DC2752">
        <w:trPr>
          <w:jc w:val="center"/>
        </w:trPr>
        <w:tc>
          <w:tcPr>
            <w:tcW w:w="2340" w:type="dxa"/>
            <w:tcBorders>
              <w:top w:val="single" w:sz="4" w:space="0" w:color="auto"/>
              <w:left w:val="single" w:sz="4" w:space="0" w:color="auto"/>
              <w:bottom w:val="single" w:sz="4" w:space="0" w:color="auto"/>
              <w:right w:val="single" w:sz="4" w:space="0" w:color="auto"/>
            </w:tcBorders>
          </w:tcPr>
          <w:p w14:paraId="6272E72A"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6D1B1856"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43819287"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r>
      <w:tr w:rsidR="00FA3E61" w:rsidRPr="00EB1109" w14:paraId="7C765B8B" w14:textId="77777777" w:rsidTr="00DC2752">
        <w:trPr>
          <w:jc w:val="center"/>
        </w:trPr>
        <w:tc>
          <w:tcPr>
            <w:tcW w:w="2340" w:type="dxa"/>
            <w:tcBorders>
              <w:top w:val="single" w:sz="4" w:space="0" w:color="auto"/>
              <w:left w:val="single" w:sz="4" w:space="0" w:color="auto"/>
              <w:bottom w:val="single" w:sz="4" w:space="0" w:color="auto"/>
              <w:right w:val="single" w:sz="4" w:space="0" w:color="auto"/>
            </w:tcBorders>
          </w:tcPr>
          <w:p w14:paraId="77AD8A64"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57A30CB2"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252AF7EF" w14:textId="77777777" w:rsidR="00FA3E61" w:rsidRPr="00EB1109" w:rsidRDefault="00FA3E61" w:rsidP="00DC2752">
            <w:pPr>
              <w:jc w:val="left"/>
              <w:rPr>
                <w:rFonts w:ascii="Arial" w:hAnsi="Arial" w:cs="Arial"/>
                <w:sz w:val="20"/>
                <w:szCs w:val="20"/>
              </w:rPr>
            </w:pPr>
            <w:r>
              <w:rPr>
                <w:rFonts w:ascii="Arial" w:hAnsi="Arial" w:cs="Arial"/>
                <w:sz w:val="20"/>
                <w:szCs w:val="20"/>
              </w:rPr>
              <w:t xml:space="preserve"> </w:t>
            </w:r>
          </w:p>
        </w:tc>
      </w:tr>
    </w:tbl>
    <w:p w14:paraId="63A2EDE3" w14:textId="689D4626" w:rsidR="00FA3E61" w:rsidRPr="00EB1109" w:rsidRDefault="00FA3E61" w:rsidP="00FA3E61">
      <w:pPr>
        <w:pStyle w:val="LegalLevel2"/>
        <w:numPr>
          <w:ilvl w:val="1"/>
          <w:numId w:val="4"/>
        </w:numPr>
        <w:spacing w:before="360" w:line="240" w:lineRule="auto"/>
        <w:rPr>
          <w:sz w:val="20"/>
          <w:szCs w:val="20"/>
        </w:rPr>
      </w:pPr>
      <w:r>
        <w:rPr>
          <w:sz w:val="20"/>
          <w:szCs w:val="20"/>
          <w:u w:val="single"/>
        </w:rPr>
        <w:t>Sub-processor Change Notification</w:t>
      </w:r>
      <w:r>
        <w:rPr>
          <w:sz w:val="20"/>
          <w:szCs w:val="20"/>
        </w:rPr>
        <w:t>. Service Provider shall notify Customer in writing not less than thirty (30) days prior to engaging any new Sub-processor or replacing an existing Sub-processor. Such notice shall include the identity of the proposed Sub-processor, the Processing activities to be performed, and the location of Processing.</w:t>
      </w:r>
    </w:p>
    <w:p w14:paraId="7C8D0A2F" w14:textId="3E242556"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Objection</w:t>
      </w:r>
      <w:r>
        <w:rPr>
          <w:sz w:val="20"/>
          <w:szCs w:val="20"/>
        </w:rPr>
        <w:t>. Customer may object to a proposed Sub-processor on reasonable grounds by providing written notice to Service Provider within fifteen (15) days of receiving Service Provider’s notification. If Customer objects, then: (a) Service Provider shall use commercially reasonable efforts to make available an alternative Sub-processor or other arrangement acceptable to Customer; or (b) if no alternative is reasonably available, Customer may terminate the applicable Order Form upon thirty (30) days’ written notice, and Customer shall be entitled to a pro rata refund of prepaid Fees attributable to the unexpired portion of the then-current term of the affected Order Form.</w:t>
      </w:r>
    </w:p>
    <w:p w14:paraId="49CC9C6B" w14:textId="29C09A29" w:rsidR="00FA3E61" w:rsidRPr="00EB1109" w:rsidRDefault="00FA3E61" w:rsidP="00FA3E61">
      <w:pPr>
        <w:pStyle w:val="LegalLevel2"/>
        <w:numPr>
          <w:ilvl w:val="1"/>
          <w:numId w:val="4"/>
        </w:numPr>
        <w:spacing w:before="240" w:line="240" w:lineRule="auto"/>
        <w:rPr>
          <w:sz w:val="20"/>
          <w:szCs w:val="20"/>
        </w:rPr>
      </w:pPr>
      <w:r>
        <w:rPr>
          <w:sz w:val="20"/>
          <w:szCs w:val="20"/>
          <w:u w:val="single"/>
        </w:rPr>
        <w:t>Sub-processor Agreements</w:t>
      </w:r>
      <w:r>
        <w:rPr>
          <w:sz w:val="20"/>
          <w:szCs w:val="20"/>
        </w:rPr>
        <w:t>. Service Provider shall enter into a written agreement with each Sub-processor imposing data protection and data governance obligations no less protective than those set forth in this Data Processing Addendum. Service Provider shall remain fully liable to Customer for the acts and omissions of each Sub-processor as if they were the acts and omissions of Service Provider itself.</w:t>
      </w:r>
    </w:p>
    <w:p w14:paraId="49998BB6" w14:textId="270B9F58" w:rsidR="00FA3E61" w:rsidRPr="00EB1109" w:rsidRDefault="00FA3E61" w:rsidP="00FA3E61">
      <w:pPr>
        <w:pStyle w:val="LegalLevel2"/>
        <w:numPr>
          <w:ilvl w:val="1"/>
          <w:numId w:val="4"/>
        </w:numPr>
        <w:spacing w:before="240" w:line="240" w:lineRule="auto"/>
        <w:rPr>
          <w:sz w:val="20"/>
          <w:szCs w:val="20"/>
        </w:rPr>
      </w:pPr>
      <w:r>
        <w:rPr>
          <w:sz w:val="20"/>
          <w:szCs w:val="20"/>
          <w:u w:val="single"/>
        </w:rPr>
        <w:t>Sub-processor List Management</w:t>
      </w:r>
      <w:r>
        <w:rPr>
          <w:sz w:val="20"/>
          <w:szCs w:val="20"/>
        </w:rPr>
        <w:t xml:space="preserve">. Service Provider shall maintain the Sub-processor list set forth in Part 1, Section 6.1 (Prior Authorization) as a living schedule, updated promptly upon any change in Sub-processors. Service Provider may, at its election, maintain the Sub-processor list at a </w:t>
      </w:r>
      <w:r>
        <w:rPr>
          <w:sz w:val="20"/>
          <w:szCs w:val="20"/>
        </w:rPr>
        <w:lastRenderedPageBreak/>
        <w:t>uniform resource locator (“URL”), subject to the hyperlink change restrictions set forth in Section 1.3 (Hyperlink Change Restriction) of the Master Agreement. Service Provider shall provide Customer with an annual written certification, no later than thirty (30) days following each anniversary of the Effective Date, confirming that the Sub-processor list is current and complete and that all listed Sub-processors remain bound by agreements satisfying the requirements of this Section.</w:t>
      </w:r>
    </w:p>
    <w:p w14:paraId="2291B2F7"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Cross-Border Data Transfer Governance</w:t>
      </w:r>
      <w:r>
        <w:rPr>
          <w:sz w:val="20"/>
          <w:szCs w:val="20"/>
        </w:rPr>
        <w:t>.</w:t>
      </w:r>
    </w:p>
    <w:p w14:paraId="4A8B6C25" w14:textId="4DA6BEB3" w:rsidR="00FA3E61" w:rsidRPr="00EB1109" w:rsidRDefault="00FA3E61" w:rsidP="00FA3E61">
      <w:pPr>
        <w:pStyle w:val="LegalLevel2"/>
        <w:numPr>
          <w:ilvl w:val="1"/>
          <w:numId w:val="4"/>
        </w:numPr>
        <w:spacing w:before="240" w:line="240" w:lineRule="auto"/>
        <w:rPr>
          <w:sz w:val="20"/>
          <w:szCs w:val="20"/>
        </w:rPr>
      </w:pPr>
      <w:r>
        <w:rPr>
          <w:sz w:val="20"/>
          <w:szCs w:val="20"/>
          <w:u w:val="single"/>
        </w:rPr>
        <w:t>Transfer Restrictions</w:t>
      </w:r>
      <w:r>
        <w:rPr>
          <w:sz w:val="20"/>
          <w:szCs w:val="20"/>
        </w:rPr>
        <w:t>. Service Provider shall not transfer Customer Data to any country outside the approved data processing locations set forth in the applicable Order Form without Customer’s prior written consent. For purposes of this Section, “transfer” includes: (a) storing or Processing Customer Data outside the approved data processing locations; and (b) remote access to Customer Data by Service Provider personnel (or permitted third parties) located outside the approved data processing locations, including for support, administration, maintenance, or security operations. Where Customer consents to cross-border transfer, Service Provider shall ensure that appropriate safeguards are implemented in accordance with Applicable Law and that such transfer does not diminish the protections afforded to Customer Data under this Agreement. [Alternative: “Notwithstanding the foregoing, Customer’s prior written consent shall be deemed granted for incidental, time-bound remote access from outside the approved data processing locations solely to provide support, maintain the Services, or respond to a Security Incident, provided that such access is: (</w:t>
      </w:r>
      <w:proofErr w:type="spellStart"/>
      <w:r>
        <w:rPr>
          <w:sz w:val="20"/>
          <w:szCs w:val="20"/>
        </w:rPr>
        <w:t>i</w:t>
      </w:r>
      <w:proofErr w:type="spellEnd"/>
      <w:r>
        <w:rPr>
          <w:sz w:val="20"/>
          <w:szCs w:val="20"/>
        </w:rPr>
        <w:t>) limited to the minimum necessary; (ii) protected by multi-factor authentication and role-based access controls; (iii) logged and retained in accordance with Service Provider’s audit logging obligations; (iv) encrypted in transit; and (v) not used for persistent storage of Customer Data outside the approved locations.”]</w:t>
      </w:r>
    </w:p>
    <w:p w14:paraId="61C0AD0B" w14:textId="28040428" w:rsidR="00FA3E61" w:rsidRPr="00EB1109" w:rsidRDefault="00FA3E61" w:rsidP="00FA3E61">
      <w:pPr>
        <w:pStyle w:val="LegalLevel2"/>
        <w:numPr>
          <w:ilvl w:val="1"/>
          <w:numId w:val="4"/>
        </w:numPr>
        <w:spacing w:before="240" w:line="240" w:lineRule="auto"/>
        <w:rPr>
          <w:sz w:val="20"/>
          <w:szCs w:val="20"/>
        </w:rPr>
      </w:pPr>
      <w:r>
        <w:rPr>
          <w:sz w:val="20"/>
          <w:szCs w:val="20"/>
          <w:u w:val="single"/>
        </w:rPr>
        <w:t>Inability to Ensure Protection</w:t>
      </w:r>
      <w:r>
        <w:rPr>
          <w:sz w:val="20"/>
          <w:szCs w:val="20"/>
        </w:rPr>
        <w:t xml:space="preserve">. If Service Provider determines that it cannot ensure adequate protection of transferred Customer Data due to changes in law, government access requests, or other circumstances, Service Provider shall promptly notify Customer. Customer may suspend the transfer of Customer Data and, if adequate </w:t>
      </w:r>
      <w:proofErr w:type="gramStart"/>
      <w:r>
        <w:rPr>
          <w:sz w:val="20"/>
          <w:szCs w:val="20"/>
        </w:rPr>
        <w:t>protections</w:t>
      </w:r>
      <w:proofErr w:type="gramEnd"/>
      <w:r>
        <w:rPr>
          <w:sz w:val="20"/>
          <w:szCs w:val="20"/>
        </w:rPr>
        <w:t xml:space="preserve"> cannot be restored within thirty (30) days, may terminate the applicable Order Form without penalty. Customer shall be entitled to a pro rata refund of prepaid Fees attributable to the unexpired portion of the then-current term of the affected Order Form.</w:t>
      </w:r>
    </w:p>
    <w:p w14:paraId="37BB6486" w14:textId="5F5DD190" w:rsidR="00FA3E61" w:rsidRPr="00EB1109" w:rsidRDefault="00FA3E61" w:rsidP="00FA3E61">
      <w:pPr>
        <w:pStyle w:val="LegalLevel2"/>
        <w:numPr>
          <w:ilvl w:val="1"/>
          <w:numId w:val="4"/>
        </w:numPr>
        <w:spacing w:before="240" w:line="240" w:lineRule="auto"/>
        <w:rPr>
          <w:sz w:val="20"/>
          <w:szCs w:val="20"/>
        </w:rPr>
      </w:pPr>
      <w:r>
        <w:rPr>
          <w:sz w:val="20"/>
          <w:szCs w:val="20"/>
          <w:u w:val="single"/>
        </w:rPr>
        <w:t>Personal Data Transfer Mechanisms</w:t>
      </w:r>
      <w:r>
        <w:rPr>
          <w:sz w:val="20"/>
          <w:szCs w:val="20"/>
        </w:rPr>
        <w:t>. Additional requirements for cross-border transfers of Personal Data, including transfer mechanisms and Standard Contractual Clauses, are set forth in Part 2, Section 15 (Cross-Border Transfers of Personal Data).</w:t>
      </w:r>
    </w:p>
    <w:p w14:paraId="2B0C473E"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Retention and Deletion</w:t>
      </w:r>
      <w:r>
        <w:rPr>
          <w:sz w:val="20"/>
          <w:szCs w:val="20"/>
        </w:rPr>
        <w:t>.</w:t>
      </w:r>
    </w:p>
    <w:p w14:paraId="1115D1D8" w14:textId="39591A82" w:rsidR="00FA3E61" w:rsidRPr="00EB1109" w:rsidRDefault="00FA3E61" w:rsidP="00FA3E61">
      <w:pPr>
        <w:pStyle w:val="LegalLevel2"/>
        <w:numPr>
          <w:ilvl w:val="1"/>
          <w:numId w:val="4"/>
        </w:numPr>
        <w:spacing w:before="240" w:line="240" w:lineRule="auto"/>
        <w:rPr>
          <w:sz w:val="20"/>
          <w:szCs w:val="20"/>
        </w:rPr>
      </w:pPr>
      <w:r>
        <w:rPr>
          <w:sz w:val="20"/>
          <w:szCs w:val="20"/>
          <w:u w:val="single"/>
        </w:rPr>
        <w:t>Processing Duration</w:t>
      </w:r>
      <w:r>
        <w:rPr>
          <w:sz w:val="20"/>
          <w:szCs w:val="20"/>
        </w:rPr>
        <w:t>. Service Provider shall Process Customer Data only for the duration of the applicable Order Form, the completion of the applicable Services, the duration of this Data Processing Addendum, or as otherwise instructed by Customer in writing, whichever requires the shortest Processing period, unless longer retention is required by Applicable Law. Upon termination or expiration of the applicable Order Form, completion of the applicable Services, termination or expiration of this Agreement, or Customer’s written instruction, Service Provider shall return or delete Customer Data in accordance with Section 14 (Data Return and Destruction) of the Master Agreement and this Data Processing Addendum.</w:t>
      </w:r>
    </w:p>
    <w:p w14:paraId="0D20076A" w14:textId="6ED2BF13" w:rsidR="00FA3E61" w:rsidRPr="00EB1109" w:rsidRDefault="00FA3E61" w:rsidP="00FA3E61">
      <w:pPr>
        <w:pStyle w:val="LegalLevel2"/>
        <w:numPr>
          <w:ilvl w:val="1"/>
          <w:numId w:val="4"/>
        </w:numPr>
        <w:spacing w:before="240" w:line="240" w:lineRule="auto"/>
        <w:rPr>
          <w:sz w:val="20"/>
          <w:szCs w:val="20"/>
        </w:rPr>
      </w:pPr>
      <w:r>
        <w:rPr>
          <w:sz w:val="20"/>
          <w:szCs w:val="20"/>
          <w:u w:val="single"/>
        </w:rPr>
        <w:t>Post-Termination Retention</w:t>
      </w:r>
      <w:r>
        <w:rPr>
          <w:sz w:val="20"/>
          <w:szCs w:val="20"/>
        </w:rPr>
        <w:t>. Service Provider shall not retain Customer Data following termination or expiration of the applicable Order Form, completion of the applicable Services, termination or expiration of this Agreement, or Customer’s written instruction, except as required by Applicable Law, in which case Service Provider shall: (a) promptly notify Customer of such legal requirement; (b) limit retention to the minimum required; (c) continue to protect the retained Customer Data in accordance with this Data Processing Addendum; and (d) securely delete or destroy such data promptly upon the expiration of the retention obligation.</w:t>
      </w:r>
    </w:p>
    <w:p w14:paraId="20C92CF9" w14:textId="6EBC4989"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Data Protection Contacts</w:t>
      </w:r>
      <w:r>
        <w:rPr>
          <w:sz w:val="20"/>
          <w:szCs w:val="20"/>
        </w:rPr>
        <w:t>. Each Party shall designate a data protection contact responsible for communications under this Data Processing Addendum. Each Party’s data protection contact (or, in Service Provider’s case, its Data Protection Officer (“DPO”), where appointed) shall be identified in the applicable Order Form or by written notice, and each Party shall promptly notify the other Party of any change in its designated contact.</w:t>
      </w:r>
    </w:p>
    <w:p w14:paraId="051FAD3E" w14:textId="77777777" w:rsidR="00FA3E61" w:rsidRPr="00EB1109" w:rsidRDefault="00FA3E61" w:rsidP="00FA3E61">
      <w:pPr>
        <w:spacing w:before="360" w:after="120" w:line="240" w:lineRule="auto"/>
        <w:jc w:val="center"/>
        <w:rPr>
          <w:rFonts w:ascii="Arial" w:hAnsi="Arial" w:cs="Arial"/>
          <w:b/>
          <w:bCs/>
          <w:sz w:val="20"/>
          <w:szCs w:val="20"/>
        </w:rPr>
      </w:pPr>
      <w:r>
        <w:rPr>
          <w:rFonts w:ascii="Arial" w:hAnsi="Arial" w:cs="Arial"/>
          <w:b/>
          <w:bCs/>
          <w:sz w:val="20"/>
          <w:szCs w:val="20"/>
        </w:rPr>
        <w:t>PART 2 – PERSONAL DATA PROVISIONS</w:t>
      </w:r>
    </w:p>
    <w:p w14:paraId="2B45E0F7" w14:textId="5A302945"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 xml:space="preserve">Where </w:t>
      </w:r>
      <w:proofErr w:type="gramStart"/>
      <w:r>
        <w:rPr>
          <w:rFonts w:ascii="Arial" w:hAnsi="Arial" w:cs="Arial"/>
          <w:sz w:val="20"/>
          <w:szCs w:val="20"/>
        </w:rPr>
        <w:t>this Part</w:t>
      </w:r>
      <w:proofErr w:type="gramEnd"/>
      <w:r>
        <w:rPr>
          <w:rFonts w:ascii="Arial" w:hAnsi="Arial" w:cs="Arial"/>
          <w:sz w:val="20"/>
          <w:szCs w:val="20"/>
        </w:rPr>
        <w:t xml:space="preserve"> 2 applies, its provisions supplement (and do not replace) the obligations set forth in Part 1. In the event of any conflict between Part 1 and Part 2 with respect to the Processing of Personal Data, Part 2 shall prevail.</w:t>
      </w:r>
    </w:p>
    <w:p w14:paraId="32D43B79"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Additional Definitions</w:t>
      </w:r>
      <w:r>
        <w:rPr>
          <w:sz w:val="20"/>
          <w:szCs w:val="20"/>
        </w:rPr>
        <w:t>. For purposes of this Part 2, the following additional terms shall have the meanings set forth below:</w:t>
      </w:r>
    </w:p>
    <w:p w14:paraId="12FA5F56" w14:textId="03D25540"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“Controller” means the natural or legal person, public authority, agency, or other body which, alone or jointly with others, determines the purposes and means of the Processing of Personal Data. Where Applicable Law uses an equivalent term (such as “Business” under the CCPA/CPRA), such term shall be interpreted consistently with this definition.</w:t>
      </w:r>
    </w:p>
    <w:p w14:paraId="2A281992" w14:textId="4B614F37"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“Data Protection Laws” means all Applicable Laws relating to the Processing, privacy, or protection of Personal Data, including but not limited to the EU General Data Protection Regulation (Regulation (EU) 2016/679) (“GDPR”), the UK GDPR, and the California Consumer Privacy Act as amended by the California Privacy Rights Act (“CCPA/CPRA”), each as amended, superseded, or replaced from time to time.</w:t>
      </w:r>
    </w:p>
    <w:p w14:paraId="5F69B9C6" w14:textId="11FDB1D0"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“Data Subject” means an identified or identifiable natural person to whom Personal Data relates, or an equivalent concept under Applicable Law.</w:t>
      </w:r>
    </w:p>
    <w:p w14:paraId="7608C28F" w14:textId="6E10CF0F"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“Personal Data” has the meaning set forth in the Master Agreement, and for purposes of this Data Processing Addendum includes “personal data” as defined by the GDPR, “personal information” as defined by the CCPA/CPRA, and equivalent terms under other Data Protection Laws.</w:t>
      </w:r>
    </w:p>
    <w:p w14:paraId="491CDBCA" w14:textId="5E4EB465"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“Processor” means a natural or legal person, public authority, agency, or other body which Processes Personal Data on behalf of the Controller. Where Applicable Law uses an equivalent term (such as “Service Provider” under the CCPA/CPRA), such term shall be interpreted consistently with this definition.</w:t>
      </w:r>
    </w:p>
    <w:p w14:paraId="7328A753" w14:textId="11DE2AFD"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“Standard Contractual Clauses” or “SCCs” means the standard contractual clauses for the transfer of Personal Data to third countries, as approved by the European Commission (currently Commission Implementing Decision (EU) 2021/914), as may be amended, superseded, or replaced from time to time.</w:t>
      </w:r>
    </w:p>
    <w:p w14:paraId="79A81E46" w14:textId="1399A21F"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“Supervisory Authority” means an independent public authority established by a member state of the European Union pursuant to the GDPR, or any equivalent regulatory authority under other Data Protection Laws.</w:t>
      </w:r>
    </w:p>
    <w:p w14:paraId="419E5ED6" w14:textId="728476B9"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“Transfer Impact Assessment” means an assessment conducted by a data exporter, with the cooperation of the data importer, to evaluate whether the laws and practices of a recipient country ensure a level of protection for Personal Data that is essentially equivalent to that guaranteed under the applicable Data Protection Laws, including an evaluation of whether supplementary measures are necessary to ensure such equivalent protection.</w:t>
      </w:r>
    </w:p>
    <w:p w14:paraId="73A917DF" w14:textId="3FDED289"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“UK International Data Transfer Agreement” or “UK IDTA” means the International Data Transfer Agreement issued by the UK Information Commissioner under Section 119A(1) of the Data Protection Act 2018, as may be amended, superseded, or replaced from time to time.</w:t>
      </w:r>
    </w:p>
    <w:p w14:paraId="3905C7F0" w14:textId="2B66ECB5"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“Personal Data Breach” means a breach of security leading to the accidental or unlawful destruction, loss, alteration, unauthorized disclosure of, or access to, Personal Data transmitted, stored, or otherwise Processed under this Data Processing Addendum.</w:t>
      </w:r>
    </w:p>
    <w:p w14:paraId="2DD41AD4"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Roles and Responsibilities</w:t>
      </w:r>
      <w:r>
        <w:rPr>
          <w:sz w:val="20"/>
          <w:szCs w:val="20"/>
        </w:rPr>
        <w:t>.</w:t>
      </w:r>
    </w:p>
    <w:p w14:paraId="3D160C49" w14:textId="2B99FE11" w:rsidR="00FA3E61" w:rsidRPr="00EB1109" w:rsidRDefault="00FA3E61" w:rsidP="00FA3E61">
      <w:pPr>
        <w:pStyle w:val="LegalLevel2"/>
        <w:numPr>
          <w:ilvl w:val="1"/>
          <w:numId w:val="4"/>
        </w:numPr>
        <w:spacing w:before="240" w:line="240" w:lineRule="auto"/>
        <w:rPr>
          <w:sz w:val="20"/>
          <w:szCs w:val="20"/>
        </w:rPr>
      </w:pPr>
      <w:r>
        <w:rPr>
          <w:sz w:val="20"/>
          <w:szCs w:val="20"/>
          <w:u w:val="single"/>
        </w:rPr>
        <w:t>Controller-Processor Designation</w:t>
      </w:r>
      <w:r>
        <w:rPr>
          <w:sz w:val="20"/>
          <w:szCs w:val="20"/>
        </w:rPr>
        <w:t>. The Parties acknowledge and agree that, with respect to the Processing of Personal Data under this Data Processing Addendum: (a) Customer is the Controller (or Business, or equivalent designation under Applicable Law); and (b) Service Provider is the Processor (or Service Provider, or equivalent designation under Applicable Law) acting on behalf of Customer.</w:t>
      </w:r>
    </w:p>
    <w:p w14:paraId="11E21B1F" w14:textId="7BE3B6F1" w:rsidR="00FA3E61" w:rsidRPr="00EB1109" w:rsidRDefault="00FA3E61" w:rsidP="00FA3E61">
      <w:pPr>
        <w:pStyle w:val="LegalLevel2"/>
        <w:numPr>
          <w:ilvl w:val="1"/>
          <w:numId w:val="4"/>
        </w:numPr>
        <w:spacing w:before="240" w:line="240" w:lineRule="auto"/>
        <w:rPr>
          <w:sz w:val="20"/>
          <w:szCs w:val="20"/>
        </w:rPr>
      </w:pPr>
      <w:r>
        <w:rPr>
          <w:sz w:val="20"/>
          <w:szCs w:val="20"/>
          <w:u w:val="single"/>
        </w:rPr>
        <w:t>Compliance Obligation</w:t>
      </w:r>
      <w:r>
        <w:rPr>
          <w:sz w:val="20"/>
          <w:szCs w:val="20"/>
        </w:rPr>
        <w:t>. Where the Processing of Personal Data is governed by Data Protection Laws, Service Provider shall Process Personal Data in compliance with such Data Protection Laws in addition to the requirements of Part 1 of this Data Processing Addendum.</w:t>
      </w:r>
    </w:p>
    <w:p w14:paraId="2A373C7F" w14:textId="629FA3D6" w:rsidR="00FA3E61" w:rsidRPr="00EB1109" w:rsidRDefault="00FA3E61" w:rsidP="00FA3E61">
      <w:pPr>
        <w:pStyle w:val="LegalLevel2"/>
        <w:numPr>
          <w:ilvl w:val="1"/>
          <w:numId w:val="4"/>
        </w:numPr>
        <w:spacing w:before="240" w:line="240" w:lineRule="auto"/>
        <w:rPr>
          <w:sz w:val="20"/>
          <w:szCs w:val="20"/>
        </w:rPr>
      </w:pPr>
      <w:r>
        <w:rPr>
          <w:sz w:val="20"/>
          <w:szCs w:val="20"/>
          <w:u w:val="single"/>
        </w:rPr>
        <w:t>Processing Details</w:t>
      </w:r>
      <w:r>
        <w:rPr>
          <w:sz w:val="20"/>
          <w:szCs w:val="20"/>
        </w:rPr>
        <w:t>. The types of Personal Data, categories of Data Subjects, lawful basis for processing, and special categories of Personal Data (if any) shall be as set forth in the applicable Order Form. Such Order Form details, together with the Master Agreement and this Data Processing Addendum, constitute the documented processing details required by Article 28(3) of the GDPR and equivalent provisions of other Data Protection Laws.</w:t>
      </w:r>
    </w:p>
    <w:p w14:paraId="24188B83" w14:textId="25E0A27B" w:rsidR="00FA3E61" w:rsidRPr="00EB1109" w:rsidRDefault="00FA3E61" w:rsidP="00FA3E61">
      <w:pPr>
        <w:pStyle w:val="LegalLevel2"/>
        <w:numPr>
          <w:ilvl w:val="1"/>
          <w:numId w:val="4"/>
        </w:numPr>
        <w:spacing w:before="240" w:line="240" w:lineRule="auto"/>
        <w:rPr>
          <w:sz w:val="20"/>
          <w:szCs w:val="20"/>
        </w:rPr>
      </w:pPr>
      <w:r>
        <w:rPr>
          <w:sz w:val="20"/>
          <w:szCs w:val="20"/>
          <w:u w:val="single"/>
        </w:rPr>
        <w:t>Special Categories Guardrail</w:t>
      </w:r>
      <w:r>
        <w:rPr>
          <w:sz w:val="20"/>
          <w:szCs w:val="20"/>
        </w:rPr>
        <w:t>. Service Provider shall not Process any special categories of Personal Data (as defined by Article 9 of the GDPR, or sensitive data under other applicable Data Protection Laws) unless such categories are expressly identified and approved in the applicable Order Form. Where special categories are identified, Service Provider shall Process such data only in accordance with the additional safeguards specified in the Order Form and the Data Security Addendum.</w:t>
      </w:r>
    </w:p>
    <w:p w14:paraId="5CACDCFB" w14:textId="3491438E"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Compliance with Data Protection Laws</w:t>
      </w:r>
      <w:r>
        <w:rPr>
          <w:sz w:val="20"/>
          <w:szCs w:val="20"/>
        </w:rPr>
        <w:t>. Service Provider shall immediately inform Customer if, in Service Provider’s opinion, an instruction from Customer infringes Data Protection Laws. This obligation supplements the general obligation in Part 1, Section 3 (Processing Instructions) to inform Customer of instructions that infringe Applicable Law.</w:t>
      </w:r>
    </w:p>
    <w:p w14:paraId="6EA67275" w14:textId="43D97F05"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Subject Rights</w:t>
      </w:r>
      <w:r>
        <w:rPr>
          <w:sz w:val="20"/>
          <w:szCs w:val="20"/>
        </w:rPr>
        <w:t>.</w:t>
      </w:r>
    </w:p>
    <w:p w14:paraId="0281D437" w14:textId="39AB687C" w:rsidR="00FA3E61" w:rsidRPr="00EB1109" w:rsidRDefault="00FA3E61" w:rsidP="00FA3E61">
      <w:pPr>
        <w:pStyle w:val="LegalLevel2"/>
        <w:numPr>
          <w:ilvl w:val="1"/>
          <w:numId w:val="4"/>
        </w:numPr>
        <w:spacing w:before="240" w:line="240" w:lineRule="auto"/>
        <w:rPr>
          <w:sz w:val="20"/>
          <w:szCs w:val="20"/>
        </w:rPr>
      </w:pPr>
      <w:r>
        <w:rPr>
          <w:sz w:val="20"/>
          <w:szCs w:val="20"/>
          <w:u w:val="single"/>
        </w:rPr>
        <w:t>Assistance with Data Subject Requests</w:t>
      </w:r>
      <w:r>
        <w:rPr>
          <w:sz w:val="20"/>
          <w:szCs w:val="20"/>
        </w:rPr>
        <w:t>. Service Provider shall, taking into account the nature of the Processing, assist Customer by implementing appropriate technical and organizational measures, insofar as this is possible, for the fulfillment of Customer’s obligation to respond to requests from Data Subjects exercising their rights under Data Protection Laws, including rights of access, rectification, erasure, data portability, restriction of Processing, and objection to Processing.</w:t>
      </w:r>
    </w:p>
    <w:p w14:paraId="49B6F010" w14:textId="5D76F5B6" w:rsidR="00FA3E61" w:rsidRPr="00EB1109" w:rsidRDefault="00FA3E61" w:rsidP="00FA3E61">
      <w:pPr>
        <w:pStyle w:val="LegalLevel2"/>
        <w:numPr>
          <w:ilvl w:val="1"/>
          <w:numId w:val="4"/>
        </w:numPr>
        <w:spacing w:before="240" w:line="240" w:lineRule="auto"/>
        <w:rPr>
          <w:sz w:val="20"/>
          <w:szCs w:val="20"/>
        </w:rPr>
      </w:pPr>
      <w:r>
        <w:rPr>
          <w:sz w:val="20"/>
          <w:szCs w:val="20"/>
          <w:u w:val="single"/>
        </w:rPr>
        <w:t>Data Subject Request Notification</w:t>
      </w:r>
      <w:r>
        <w:rPr>
          <w:sz w:val="20"/>
          <w:szCs w:val="20"/>
        </w:rPr>
        <w:t>. Service Provider shall promptly notify Customer (and in no event later than forty-eight (48) hours after receipt) if Service Provider receives a request from a Data Subject with respect to Personal Data Processed under this Data Processing Addendum. Service Provider shall not respond to any such request directly unless authorized in writing by Customer or required by Applicable Law.</w:t>
      </w:r>
    </w:p>
    <w:p w14:paraId="0A24647E" w14:textId="23794E22" w:rsidR="00FA3E61" w:rsidRPr="00EB1109" w:rsidRDefault="00FA3E61" w:rsidP="00FA3E61">
      <w:pPr>
        <w:pStyle w:val="LegalLevel2"/>
        <w:numPr>
          <w:ilvl w:val="1"/>
          <w:numId w:val="4"/>
        </w:numPr>
        <w:spacing w:before="240" w:line="240" w:lineRule="auto"/>
        <w:rPr>
          <w:sz w:val="20"/>
          <w:szCs w:val="20"/>
        </w:rPr>
      </w:pPr>
      <w:r>
        <w:rPr>
          <w:sz w:val="20"/>
          <w:szCs w:val="20"/>
          <w:u w:val="single"/>
        </w:rPr>
        <w:t>Data Subject Request Cooperation</w:t>
      </w:r>
      <w:r>
        <w:rPr>
          <w:sz w:val="20"/>
          <w:szCs w:val="20"/>
        </w:rPr>
        <w:t xml:space="preserve">. Service Provider shall provide Customer with such cooperation and information as Customer may reasonably </w:t>
      </w:r>
      <w:proofErr w:type="gramStart"/>
      <w:r>
        <w:rPr>
          <w:sz w:val="20"/>
          <w:szCs w:val="20"/>
        </w:rPr>
        <w:t>require</w:t>
      </w:r>
      <w:proofErr w:type="gramEnd"/>
      <w:r>
        <w:rPr>
          <w:sz w:val="20"/>
          <w:szCs w:val="20"/>
        </w:rPr>
        <w:t xml:space="preserve"> to respond to Data Subject requests within the timeframes required by Data Protection Laws, at no additional cost to Customer.</w:t>
      </w:r>
    </w:p>
    <w:p w14:paraId="312FF59D" w14:textId="5536CC8B" w:rsidR="00FA3E61"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Protection Impact Assessments</w:t>
      </w:r>
      <w:r>
        <w:rPr>
          <w:sz w:val="20"/>
          <w:szCs w:val="20"/>
        </w:rPr>
        <w:t xml:space="preserve">. Service Provider shall provide reasonable assistance to Customer in conducting data protection impact assessments and prior consultations with Supervisory Authorities, where required by Data Protection Laws, </w:t>
      </w:r>
      <w:proofErr w:type="gramStart"/>
      <w:r>
        <w:rPr>
          <w:sz w:val="20"/>
          <w:szCs w:val="20"/>
        </w:rPr>
        <w:t>taking into account</w:t>
      </w:r>
      <w:proofErr w:type="gramEnd"/>
      <w:r>
        <w:rPr>
          <w:sz w:val="20"/>
          <w:szCs w:val="20"/>
        </w:rPr>
        <w:t xml:space="preserve"> the nature of the Processing and the information available to Service Provider. Such assistance shall be provided at no additional cost to Customer.</w:t>
      </w:r>
    </w:p>
    <w:p w14:paraId="69C475EC" w14:textId="77777777" w:rsidR="00DD39B9" w:rsidRPr="00EB1109" w:rsidRDefault="00DD39B9" w:rsidP="00DD39B9">
      <w:pPr>
        <w:pStyle w:val="LegalLevel1"/>
        <w:numPr>
          <w:ilvl w:val="0"/>
          <w:numId w:val="0"/>
        </w:numPr>
        <w:tabs>
          <w:tab w:val="num" w:pos="1939"/>
        </w:tabs>
        <w:spacing w:before="240" w:line="240" w:lineRule="auto"/>
        <w:ind w:left="720"/>
        <w:rPr>
          <w:sz w:val="20"/>
          <w:szCs w:val="20"/>
        </w:rPr>
      </w:pPr>
    </w:p>
    <w:p w14:paraId="17EE5896" w14:textId="0AB18A0B"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Cross-Border Transfers of Personal Data</w:t>
      </w:r>
      <w:r>
        <w:rPr>
          <w:sz w:val="20"/>
          <w:szCs w:val="20"/>
        </w:rPr>
        <w:t>.</w:t>
      </w:r>
    </w:p>
    <w:p w14:paraId="2DC93016" w14:textId="43E28890" w:rsidR="00FA3E61" w:rsidRPr="00EB1109" w:rsidRDefault="00FA3E61" w:rsidP="00FA3E61">
      <w:pPr>
        <w:pStyle w:val="LegalLevel2"/>
        <w:numPr>
          <w:ilvl w:val="1"/>
          <w:numId w:val="4"/>
        </w:numPr>
        <w:spacing w:before="240" w:line="240" w:lineRule="auto"/>
        <w:rPr>
          <w:sz w:val="20"/>
          <w:szCs w:val="20"/>
        </w:rPr>
      </w:pPr>
      <w:r>
        <w:rPr>
          <w:sz w:val="20"/>
          <w:szCs w:val="20"/>
          <w:u w:val="single"/>
        </w:rPr>
        <w:t>Transfer Requirements</w:t>
      </w:r>
      <w:r>
        <w:rPr>
          <w:sz w:val="20"/>
          <w:szCs w:val="20"/>
        </w:rPr>
        <w:t>. In addition to the general cross-border transfer governance set forth in Part 1, Section 7 (Cross-Border Data Transfer Governance), Service Provider shall not transfer Personal Data to any country outside the country of origin of such data unless: (a) such transfer is to a country that has been deemed to provide an adequate level of data protection by the European Commission or other competent body under applicable Data Protection Laws; (b) appropriate safeguards have been implemented in accordance with Data Protection Laws, including the execution of Standard Contractual Clauses or the UK International Data Transfer Agreement, as applicable; or (c) another valid transfer mechanism under Data Protection Laws applies and has been documented.</w:t>
      </w:r>
    </w:p>
    <w:p w14:paraId="1A467B4F" w14:textId="11EAC3EF" w:rsidR="00FA3E61" w:rsidRPr="00EB1109" w:rsidRDefault="00FA3E61" w:rsidP="00FA3E61">
      <w:pPr>
        <w:pStyle w:val="LegalLevel2"/>
        <w:numPr>
          <w:ilvl w:val="1"/>
          <w:numId w:val="4"/>
        </w:numPr>
        <w:spacing w:before="240" w:line="240" w:lineRule="auto"/>
        <w:rPr>
          <w:sz w:val="20"/>
          <w:szCs w:val="20"/>
        </w:rPr>
      </w:pPr>
      <w:r>
        <w:rPr>
          <w:sz w:val="20"/>
          <w:szCs w:val="20"/>
          <w:u w:val="single"/>
        </w:rPr>
        <w:t>Standard Contractual Clauses</w:t>
      </w:r>
      <w:r>
        <w:rPr>
          <w:sz w:val="20"/>
          <w:szCs w:val="20"/>
        </w:rPr>
        <w:t>. Where Standard Contractual Clauses are required, the Parties agree to execute and comply with the SCCs (Commission Implementing Decision (EU) 2021/914, Module 2: Controller to Processor), with Customer as the data exporter and Service Provider as the data importer. Notwithstanding the foregoing, where Customer is acting as a Processor (rather than a Controller) with respect to the relevant Personal Data (as determined under Applicable Law), the Parties agree that the SCCs shall apply under Module 3 (Processor to Processor), with Customer as the data exporter and Service Provider as the data importer. The SCC Annexes shall be populated as follows: (a) Annex I shall be completed as follows: Annex I.A (List of Parties) from the identifying and contact information for Customer, as data exporter, and Service Provider, as data importer, set forth in the Agreement; Annex I.B (Description of the Transfer) from the applicable Order Form fields for categories of Data Subjects, types of Personal Data, special categories (if any), processing purpose, and duration; and Annex I.C (Competent Supervisory Authority) as determined under Clause 13 of the SCCs, being the supervisory authority of Customer’s establishment in the EEA or, where Customer is not established in the EEA, the supervisory authority determined under Clause 13 for that circumstance; (b) Annex II (Technical and Organizational Measures) shall consist of the measures set forth in the Data Security Addendum; and (c) Annex III (List of Sub-processors) shall consist of the Sub-processor table maintained under Part 1, Section 6 (Sub-processor Management) of this Data Processing Addendum, as updated pursuant to the notification and objection process set forth therein.</w:t>
      </w:r>
    </w:p>
    <w:p w14:paraId="1CF54BD6" w14:textId="6A0484F9" w:rsidR="00FA3E61" w:rsidRPr="00EB1109" w:rsidRDefault="00FA3E61" w:rsidP="00FA3E61">
      <w:pPr>
        <w:pStyle w:val="LegalLevel2"/>
        <w:numPr>
          <w:ilvl w:val="1"/>
          <w:numId w:val="4"/>
        </w:numPr>
        <w:spacing w:before="240" w:line="240" w:lineRule="auto"/>
        <w:rPr>
          <w:sz w:val="20"/>
          <w:szCs w:val="20"/>
        </w:rPr>
      </w:pPr>
      <w:r>
        <w:rPr>
          <w:sz w:val="20"/>
          <w:szCs w:val="20"/>
          <w:u w:val="single"/>
        </w:rPr>
        <w:t>UK Transfer Mechanism</w:t>
      </w:r>
      <w:r>
        <w:rPr>
          <w:sz w:val="20"/>
          <w:szCs w:val="20"/>
        </w:rPr>
        <w:t xml:space="preserve">. Where a UK international data transfer mechanism (as issued by the UK Information Commissioner under Section 119A(1) of the Data Protection Act 2018) is required under Data Protection Laws, the Parties agree to execute and comply with the UK Addendum to the EU SCCs, unless the applicable Order Form specifies use of the standalone UK IDTA instead. Where the UK Addendum applies, the EU </w:t>
      </w:r>
      <w:proofErr w:type="gramStart"/>
      <w:r>
        <w:rPr>
          <w:sz w:val="20"/>
          <w:szCs w:val="20"/>
        </w:rPr>
        <w:t>SCCs as</w:t>
      </w:r>
      <w:proofErr w:type="gramEnd"/>
      <w:r>
        <w:rPr>
          <w:sz w:val="20"/>
          <w:szCs w:val="20"/>
        </w:rPr>
        <w:t xml:space="preserve"> supplemented by the UK Addendum shall govern the transfer. The executed SCCs, UK Addendum or UK IDTA (as applicable), and any supplementary provisions shall be appended to this Data Processing Addendum upon execution and incorporated herein by reference.</w:t>
      </w:r>
    </w:p>
    <w:p w14:paraId="096B04D2" w14:textId="79E9B43A" w:rsidR="00FA3E61" w:rsidRPr="00EB1109" w:rsidRDefault="00FA3E61" w:rsidP="00FA3E61">
      <w:pPr>
        <w:pStyle w:val="LegalLevel2"/>
        <w:numPr>
          <w:ilvl w:val="1"/>
          <w:numId w:val="4"/>
        </w:numPr>
        <w:spacing w:before="240" w:line="240" w:lineRule="auto"/>
        <w:rPr>
          <w:sz w:val="20"/>
          <w:szCs w:val="20"/>
        </w:rPr>
      </w:pPr>
      <w:r>
        <w:rPr>
          <w:sz w:val="20"/>
          <w:szCs w:val="20"/>
          <w:u w:val="single"/>
        </w:rPr>
        <w:t>Precedence</w:t>
      </w:r>
      <w:r>
        <w:rPr>
          <w:sz w:val="20"/>
          <w:szCs w:val="20"/>
        </w:rPr>
        <w:t>. In the event of a conflict between this Data Processing Addendum and the SCCs or UK transfer mechanism solely with respect to cross-border transfer terms, the SCCs or UK transfer mechanism (as applicable) shall prevail to the minimum extent necessary to resolve the conflict; in all other respects, this Data Processing Addendum shall govern.</w:t>
      </w:r>
    </w:p>
    <w:p w14:paraId="69A4A8FB" w14:textId="6C7F8EDE" w:rsidR="00FA3E61" w:rsidRPr="00EB1109" w:rsidRDefault="00FA3E61" w:rsidP="00FA3E61">
      <w:pPr>
        <w:pStyle w:val="LegalLevel2"/>
        <w:numPr>
          <w:ilvl w:val="1"/>
          <w:numId w:val="4"/>
        </w:numPr>
        <w:spacing w:before="240" w:line="240" w:lineRule="auto"/>
        <w:rPr>
          <w:sz w:val="20"/>
          <w:szCs w:val="20"/>
        </w:rPr>
      </w:pPr>
      <w:proofErr w:type="gramStart"/>
      <w:r>
        <w:rPr>
          <w:sz w:val="20"/>
          <w:szCs w:val="20"/>
          <w:u w:val="single"/>
        </w:rPr>
        <w:t>Transfer Impact</w:t>
      </w:r>
      <w:proofErr w:type="gramEnd"/>
      <w:r>
        <w:rPr>
          <w:sz w:val="20"/>
          <w:szCs w:val="20"/>
          <w:u w:val="single"/>
        </w:rPr>
        <w:t xml:space="preserve"> Assessment Cooperation</w:t>
      </w:r>
      <w:r>
        <w:rPr>
          <w:sz w:val="20"/>
          <w:szCs w:val="20"/>
        </w:rPr>
        <w:t>. Service Provider shall cooperate with Customer in conducting Transfer Impact Assessments where required by Data Protection Laws or Supervisory Authority guidance, and shall provide Customer with such information as Customer may reasonably require to complete such assessments, including information regarding: (a) Service Provider’s policies and procedures for responding to law enforcement and governmental access requests; (b) encryption and key-management practices applicable to Personal Data in transit and at rest; (c) the locations of Sub-processors involved in the transfer; and (d) Service Provider’s assessment of relevant laws and practices in the recipient country that may affect the protections afforded to the transferred Personal Data. Such cooperation shall be provided without additional charge and within commercially reasonable timelines consistent with Customer’s compliance obligations.</w:t>
      </w:r>
    </w:p>
    <w:p w14:paraId="6CF383F7" w14:textId="49A6E9ED"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Government Access</w:t>
      </w:r>
      <w:r>
        <w:rPr>
          <w:sz w:val="20"/>
          <w:szCs w:val="20"/>
        </w:rPr>
        <w:t>. Section 21 (Government and Subpoena Response) of the Data Security Addendum shall apply with equal force to any governmental request for access to Personal Data Processed under this Data Processing Addendum. Where such a request relates to Personal Data that is the subject of a cross-border transfer under this Section, Service Provider shall additionally assess whether the request conflicts with Data Protection Laws applicable to the transferred Personal Data and, where it does, shall challenge such request to the extent permitted by Applicable Law.</w:t>
      </w:r>
    </w:p>
    <w:p w14:paraId="551A9251" w14:textId="2112A0F2"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Cooperation with Supervisory Authorities</w:t>
      </w:r>
      <w:r>
        <w:rPr>
          <w:sz w:val="20"/>
          <w:szCs w:val="20"/>
        </w:rPr>
        <w:t xml:space="preserve">. Service Provider shall cooperate with and assist Customer in connection with any inquiry, investigation, audit, or enforcement action by a Supervisory Authority relating to Personal Data Processed under this </w:t>
      </w:r>
      <w:proofErr w:type="gramStart"/>
      <w:r>
        <w:rPr>
          <w:sz w:val="20"/>
          <w:szCs w:val="20"/>
        </w:rPr>
        <w:t>Data Processing</w:t>
      </w:r>
      <w:proofErr w:type="gramEnd"/>
      <w:r>
        <w:rPr>
          <w:sz w:val="20"/>
          <w:szCs w:val="20"/>
        </w:rPr>
        <w:t xml:space="preserve"> Addendum, including by providing information, access, and support as reasonably required by Customer, at no additional cost to Customer.</w:t>
      </w:r>
    </w:p>
    <w:p w14:paraId="776C035E" w14:textId="14206C9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Records of Processing Activities</w:t>
      </w:r>
      <w:r>
        <w:rPr>
          <w:sz w:val="20"/>
          <w:szCs w:val="20"/>
        </w:rPr>
        <w:t xml:space="preserve">. Service Provider shall maintain complete and accurate records of all Processing activities involving Personal Data carried out on behalf of Customer as required by Article 30(2) of the GDPR (or equivalent requirements under other Data Protection Laws). Service Provider shall make such records available to Customer and to </w:t>
      </w:r>
      <w:proofErr w:type="gramStart"/>
      <w:r>
        <w:rPr>
          <w:sz w:val="20"/>
          <w:szCs w:val="20"/>
        </w:rPr>
        <w:t>any</w:t>
      </w:r>
      <w:proofErr w:type="gramEnd"/>
      <w:r>
        <w:rPr>
          <w:sz w:val="20"/>
          <w:szCs w:val="20"/>
        </w:rPr>
        <w:t xml:space="preserve"> Supervisory Authority upon request.</w:t>
      </w:r>
    </w:p>
    <w:p w14:paraId="05CA141B" w14:textId="07F0CF09"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Personal Data Breach Notification</w:t>
      </w:r>
      <w:r>
        <w:rPr>
          <w:sz w:val="20"/>
          <w:szCs w:val="20"/>
        </w:rPr>
        <w:t>.</w:t>
      </w:r>
    </w:p>
    <w:p w14:paraId="3471F31A" w14:textId="309F5C8C" w:rsidR="00FA3E61" w:rsidRPr="00EB1109" w:rsidRDefault="00FA3E61" w:rsidP="00FA3E61">
      <w:pPr>
        <w:pStyle w:val="LegalLevel2"/>
        <w:numPr>
          <w:ilvl w:val="1"/>
          <w:numId w:val="4"/>
        </w:numPr>
        <w:spacing w:before="240" w:line="240" w:lineRule="auto"/>
        <w:rPr>
          <w:sz w:val="20"/>
          <w:szCs w:val="20"/>
        </w:rPr>
      </w:pPr>
      <w:r>
        <w:rPr>
          <w:sz w:val="20"/>
          <w:szCs w:val="20"/>
          <w:u w:val="single"/>
        </w:rPr>
        <w:t>Notification Timeline</w:t>
      </w:r>
      <w:r>
        <w:rPr>
          <w:sz w:val="20"/>
          <w:szCs w:val="20"/>
        </w:rPr>
        <w:t>. Service Provider shall notify Customer without undue delay, and in no event later than twenty-four (24) hours, after Becoming Aware of or reasonably suspecting any Personal Data Breach. Such notification shall be made to the contact designated by Customer in the applicable Order Form or by written notice.</w:t>
      </w:r>
    </w:p>
    <w:p w14:paraId="1287F521" w14:textId="555A721B" w:rsidR="00FA3E61" w:rsidRPr="00EB1109" w:rsidRDefault="00FA3E61" w:rsidP="00FA3E61">
      <w:pPr>
        <w:pStyle w:val="LegalLevel2"/>
        <w:numPr>
          <w:ilvl w:val="1"/>
          <w:numId w:val="4"/>
        </w:numPr>
        <w:spacing w:before="240" w:line="240" w:lineRule="auto"/>
        <w:rPr>
          <w:sz w:val="20"/>
          <w:szCs w:val="20"/>
        </w:rPr>
      </w:pPr>
      <w:r>
        <w:rPr>
          <w:sz w:val="20"/>
          <w:szCs w:val="20"/>
          <w:u w:val="single"/>
        </w:rPr>
        <w:t>Notification Content</w:t>
      </w:r>
      <w:r>
        <w:rPr>
          <w:sz w:val="20"/>
          <w:szCs w:val="20"/>
        </w:rPr>
        <w:t>. Such notification shall include, to the extent reasonably available: (a) a description of the nature of the Personal Data Breach, including the categories and approximate number of Data Subjects and Personal Data records concerned; (b) the likely consequences of the Personal Data Breach; (c) a description of the measures taken or proposed to be taken to address the Personal Data Breach, including measures to mitigate its possible adverse effects; and (d) the name and contact details of Service Provider’s data protection contact or Data Protection Officer from whom additional information may be obtained. Service Provider shall supplement the initial notification as additional information becomes available.</w:t>
      </w:r>
    </w:p>
    <w:p w14:paraId="04D3ADD0" w14:textId="74DE2252"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Notification Assistance</w:t>
      </w:r>
      <w:r>
        <w:rPr>
          <w:sz w:val="20"/>
          <w:szCs w:val="20"/>
        </w:rPr>
        <w:t xml:space="preserve">. Service Provider shall cooperate with and assist Customer in fulfilling Customer’s obligations to notify Supervisory Authorities and affected Data Subjects of the Personal Data Breach, as required by Data Protection Laws, including by providing such additional information and support as Customer may reasonably </w:t>
      </w:r>
      <w:proofErr w:type="gramStart"/>
      <w:r>
        <w:rPr>
          <w:sz w:val="20"/>
          <w:szCs w:val="20"/>
        </w:rPr>
        <w:t>require</w:t>
      </w:r>
      <w:proofErr w:type="gramEnd"/>
      <w:r>
        <w:rPr>
          <w:sz w:val="20"/>
          <w:szCs w:val="20"/>
        </w:rPr>
        <w:t xml:space="preserve"> to enable Customer to comply with the notification timeframes and content requirements of the applicable Data Protection Laws.</w:t>
      </w:r>
    </w:p>
    <w:p w14:paraId="47BFA83A" w14:textId="46837D69" w:rsidR="00FA3E61" w:rsidRPr="00EB1109" w:rsidRDefault="00FA3E61" w:rsidP="00FA3E61">
      <w:pPr>
        <w:pStyle w:val="LegalLevel2"/>
        <w:numPr>
          <w:ilvl w:val="1"/>
          <w:numId w:val="4"/>
        </w:numPr>
        <w:spacing w:before="240" w:line="240" w:lineRule="auto"/>
        <w:rPr>
          <w:sz w:val="20"/>
          <w:szCs w:val="20"/>
        </w:rPr>
      </w:pPr>
      <w:r>
        <w:rPr>
          <w:sz w:val="20"/>
          <w:szCs w:val="20"/>
          <w:u w:val="single"/>
        </w:rPr>
        <w:t>Public Disclosure Restriction</w:t>
      </w:r>
      <w:r>
        <w:rPr>
          <w:sz w:val="20"/>
          <w:szCs w:val="20"/>
        </w:rPr>
        <w:t>. Service Provider shall not make any public announcement or notification to any third party regarding a Personal Data Breach without Customer’s prior written approval, except as required by Applicable Law, in which case Service Provider shall use commercially reasonable efforts to consult with Customer on the content of any such disclosure prior to its release.</w:t>
      </w:r>
    </w:p>
    <w:p w14:paraId="1EA5A498" w14:textId="7ADA8E7C" w:rsidR="00FA3E61" w:rsidRPr="00EB1109" w:rsidRDefault="00FA3E61" w:rsidP="00FA3E61">
      <w:pPr>
        <w:pStyle w:val="LegalLevel2"/>
        <w:numPr>
          <w:ilvl w:val="1"/>
          <w:numId w:val="4"/>
        </w:numPr>
        <w:spacing w:before="240" w:line="240" w:lineRule="auto"/>
        <w:rPr>
          <w:sz w:val="20"/>
          <w:szCs w:val="20"/>
        </w:rPr>
      </w:pPr>
      <w:r>
        <w:rPr>
          <w:sz w:val="20"/>
          <w:szCs w:val="20"/>
          <w:u w:val="single"/>
        </w:rPr>
        <w:t>Cost Allocation</w:t>
      </w:r>
      <w:r>
        <w:rPr>
          <w:sz w:val="20"/>
          <w:szCs w:val="20"/>
        </w:rPr>
        <w:t>. Service Provider shall bear all costs and expenses arising from the investigation, remediation, and notification of a Personal Data Breach attributable to Service Provider’s acts or omissions (or the acts or omissions of its Sub-processors), including the costs of: (a) forensic investigation; (b) notification to Supervisory Authorities and affected Data Subjects; (c) credit monitoring, identity restoration, and equivalent services for affected individuals; (d) establishment of toll-free telephone assistance lines; and (e) such other remediation measures as Customer may reasonably require, commensurate with the nature and severity of the Personal Data Breach. This obligation supplements the cost allocation provisions of the Data Security Addendum.</w:t>
      </w:r>
    </w:p>
    <w:p w14:paraId="53A827CB" w14:textId="30E2D52F"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Root Cause Analysis</w:t>
      </w:r>
      <w:r>
        <w:rPr>
          <w:sz w:val="20"/>
          <w:szCs w:val="20"/>
        </w:rPr>
        <w:t>. Service Provider shall provide Customer with a written root cause analysis of any Personal Data Breach within thirty (30) days of its resolution, including a description of the root cause, the remediation measures implemented, and the steps taken to prevent recurrence.</w:t>
      </w:r>
    </w:p>
    <w:p w14:paraId="750B8902" w14:textId="7B238B32" w:rsidR="00FA3E61" w:rsidRPr="00EB1109" w:rsidRDefault="00FA3E61" w:rsidP="00FA3E61">
      <w:pPr>
        <w:pStyle w:val="LegalLevel2"/>
        <w:numPr>
          <w:ilvl w:val="1"/>
          <w:numId w:val="4"/>
        </w:numPr>
        <w:spacing w:before="240" w:line="240" w:lineRule="auto"/>
        <w:rPr>
          <w:sz w:val="20"/>
          <w:szCs w:val="20"/>
        </w:rPr>
      </w:pPr>
      <w:r>
        <w:rPr>
          <w:sz w:val="20"/>
          <w:szCs w:val="20"/>
          <w:u w:val="single"/>
        </w:rPr>
        <w:t>Relationship to Data Security Addendum</w:t>
      </w:r>
      <w:r>
        <w:rPr>
          <w:sz w:val="20"/>
          <w:szCs w:val="20"/>
        </w:rPr>
        <w:t>. This Section supplements (and does not replace) the Security Incident notification and response provisions of the Data Security Addendum. Where a Security Incident under the Data Security Addendum also constitutes a Personal Data Breach, Service Provider shall comply with both the Data Security Addendum requirements and the additional requirements of this Section.</w:t>
      </w:r>
    </w:p>
    <w:p w14:paraId="56941201" w14:textId="1D9FF26E"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Compliance Verification</w:t>
      </w:r>
      <w:r>
        <w:rPr>
          <w:sz w:val="20"/>
          <w:szCs w:val="20"/>
        </w:rPr>
        <w:t>.</w:t>
      </w:r>
    </w:p>
    <w:p w14:paraId="0DBDE711" w14:textId="66CA4ABF" w:rsidR="002B5A94" w:rsidRPr="002B5A94" w:rsidRDefault="002B5A94" w:rsidP="00FA3E61">
      <w:pPr>
        <w:pStyle w:val="LegalLevel2"/>
        <w:numPr>
          <w:ilvl w:val="1"/>
          <w:numId w:val="4"/>
        </w:numPr>
        <w:spacing w:before="240" w:line="240" w:lineRule="auto"/>
        <w:rPr>
          <w:sz w:val="20"/>
          <w:szCs w:val="20"/>
        </w:rPr>
      </w:pPr>
      <w:r>
        <w:rPr>
          <w:sz w:val="20"/>
          <w:szCs w:val="20"/>
          <w:u w:val="single"/>
        </w:rPr>
        <w:t>Information Availability</w:t>
      </w:r>
      <w:r>
        <w:rPr>
          <w:sz w:val="20"/>
          <w:szCs w:val="20"/>
        </w:rPr>
        <w:t xml:space="preserve">. Service Provider shall make available to Customer all information necessary to demonstrate compliance with the obligations set forth in this Data Processing Addendum, including the obligations arising under Article 28 of the GDPR and equivalent provisions of other Data Protection Laws, and shall allow for and contribute to audits, including inspections, conducted by Customer or an independent auditor mandated by Customer. [Alternative: “19.1 </w:t>
      </w:r>
      <w:r>
        <w:rPr>
          <w:sz w:val="20"/>
          <w:szCs w:val="20"/>
          <w:u w:val="single"/>
        </w:rPr>
        <w:t>Reports-First Verification</w:t>
      </w:r>
      <w:r>
        <w:rPr>
          <w:sz w:val="20"/>
          <w:szCs w:val="20"/>
        </w:rPr>
        <w:t xml:space="preserve">. In satisfying this Section, Service Provider shall, upon request, provide Customer with its then-current System and Organization Controls 2 (“SOC 2”) Type 2 report and any other audit reports or certifications required under the Data Security Addendum, together with a completed Standardized Information Gathering (“SIG”) questionnaire, Consensus Assessments Initiative Questionnaire (“CAIQ”), or equivalent industry-standard questionnaire. </w:t>
      </w:r>
      <w:proofErr w:type="gramStart"/>
      <w:r>
        <w:rPr>
          <w:sz w:val="20"/>
          <w:szCs w:val="20"/>
        </w:rPr>
        <w:t>Customer</w:t>
      </w:r>
      <w:proofErr w:type="gramEnd"/>
      <w:r>
        <w:rPr>
          <w:sz w:val="20"/>
          <w:szCs w:val="20"/>
        </w:rPr>
        <w:t xml:space="preserve"> </w:t>
      </w:r>
      <w:proofErr w:type="gramStart"/>
      <w:r>
        <w:rPr>
          <w:sz w:val="20"/>
          <w:szCs w:val="20"/>
        </w:rPr>
        <w:t>shall</w:t>
      </w:r>
      <w:proofErr w:type="gramEnd"/>
      <w:r>
        <w:rPr>
          <w:sz w:val="20"/>
          <w:szCs w:val="20"/>
        </w:rPr>
        <w:t xml:space="preserve"> review such materials and may submit reasonable follow-up inquiries, to which Service Provider </w:t>
      </w:r>
      <w:proofErr w:type="gramStart"/>
      <w:r>
        <w:rPr>
          <w:sz w:val="20"/>
          <w:szCs w:val="20"/>
        </w:rPr>
        <w:t>shall</w:t>
      </w:r>
      <w:proofErr w:type="gramEnd"/>
      <w:r>
        <w:rPr>
          <w:sz w:val="20"/>
          <w:szCs w:val="20"/>
        </w:rPr>
        <w:t xml:space="preserve"> respond within ten (10) Business Days. Customer agrees that review of these materials and such follow-up inquiries will generally satisfy Customer’s verification needs under this Section; however, Customer may proceed to an audit or inspection as provided below if: (a) such materials are unavailable or are not provided within thirty (30) days of Customer’s request; (b) such materials are insufficient to address a reasonable compliance concern; or (c) a Security Incident has occurred or Customer has reasonable grounds to believe Service Provider is in material breach of this Data Processing Addendum. Service Provider shall bear the costs of providing the foregoing materials.”]</w:t>
      </w:r>
    </w:p>
    <w:p w14:paraId="2789D574" w14:textId="02D503D9" w:rsidR="00FA3E61" w:rsidRPr="00EB1109" w:rsidRDefault="00FA3E61" w:rsidP="00FA3E61">
      <w:pPr>
        <w:pStyle w:val="LegalLevel2"/>
        <w:numPr>
          <w:ilvl w:val="1"/>
          <w:numId w:val="4"/>
        </w:numPr>
        <w:spacing w:before="240" w:line="240" w:lineRule="auto"/>
        <w:rPr>
          <w:sz w:val="20"/>
          <w:szCs w:val="20"/>
        </w:rPr>
      </w:pPr>
      <w:r>
        <w:rPr>
          <w:sz w:val="20"/>
          <w:szCs w:val="20"/>
          <w:u w:val="single"/>
        </w:rPr>
        <w:t>Audit Right</w:t>
      </w:r>
      <w:r>
        <w:rPr>
          <w:sz w:val="20"/>
          <w:szCs w:val="20"/>
        </w:rPr>
        <w:t>. Customer may exercise its audit right under this Section not more than once per calendar year, upon not less than thirty (30) days’ prior written notice to Service Provider, unless Customer has reasonable grounds to believe that Service Provider is in material breach of this Data Processing Addendum, in which case Customer may conduct an audit at any time upon reasonable notice. Audits shall be conducted during normal Business Hours, subject to reasonable confidentiality obligations, and in a manner designed to minimize disruption to Service Provider’s operations. Service Provider shall not be required to disclose information relating to other customers.</w:t>
      </w:r>
    </w:p>
    <w:p w14:paraId="6DCE8B5E" w14:textId="64D290F6" w:rsidR="00FA3E61" w:rsidRPr="00EB1109" w:rsidRDefault="00FA3E61" w:rsidP="00FA3E61">
      <w:pPr>
        <w:pStyle w:val="LegalLevel2"/>
        <w:numPr>
          <w:ilvl w:val="1"/>
          <w:numId w:val="4"/>
        </w:numPr>
        <w:spacing w:before="240" w:line="240" w:lineRule="auto"/>
        <w:rPr>
          <w:sz w:val="20"/>
          <w:szCs w:val="20"/>
        </w:rPr>
      </w:pPr>
      <w:r>
        <w:rPr>
          <w:sz w:val="20"/>
          <w:szCs w:val="20"/>
          <w:u w:val="single"/>
        </w:rPr>
        <w:t>Audit Scope</w:t>
      </w:r>
      <w:r>
        <w:rPr>
          <w:sz w:val="20"/>
          <w:szCs w:val="20"/>
        </w:rPr>
        <w:t>. Audits under this Section may include verification of Service Provider’s compliance with: (a) documented Processing instructions; (b) Sub-processor management obligations; (c) cross-border data transfer requirements; (d) Data Subject rights fulfillment procedures; (e) records of Processing activities; (f) Personal Data Breach notification and response procedures; and (g) all other obligations under this Data Processing Addendum and Data Protection Laws. This audit right is in addition to, and does not limit, Customer’s audit rights under the Data Security Addendum with respect to security-specific matters.</w:t>
      </w:r>
    </w:p>
    <w:p w14:paraId="27C59940" w14:textId="7D100D32" w:rsidR="00FA3E61" w:rsidRPr="00EB1109" w:rsidRDefault="00FA3E61" w:rsidP="00FA3E61">
      <w:pPr>
        <w:pStyle w:val="LegalLevel2"/>
        <w:numPr>
          <w:ilvl w:val="1"/>
          <w:numId w:val="4"/>
        </w:numPr>
        <w:spacing w:before="240" w:line="240" w:lineRule="auto"/>
        <w:rPr>
          <w:sz w:val="20"/>
          <w:szCs w:val="20"/>
        </w:rPr>
      </w:pPr>
      <w:r>
        <w:rPr>
          <w:sz w:val="20"/>
          <w:szCs w:val="20"/>
          <w:u w:val="single"/>
        </w:rPr>
        <w:t>Remediation</w:t>
      </w:r>
      <w:r>
        <w:rPr>
          <w:sz w:val="20"/>
          <w:szCs w:val="20"/>
        </w:rPr>
        <w:t>. Service Provider shall promptly remediate any non-compliance identified through an audit conducted under this Section. If material non-compliance is identified, Customer may exercise its termination rights under Section 6.3 (Termination for Deficiencies) of the Master Agreement.</w:t>
      </w:r>
    </w:p>
    <w:p w14:paraId="6294E8B7" w14:textId="5A577FE2"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U.S. State Privacy Law Requirements</w:t>
      </w:r>
      <w:r>
        <w:rPr>
          <w:sz w:val="20"/>
          <w:szCs w:val="20"/>
        </w:rPr>
        <w:t>. Where Service Provider Processes Personal Data within the scope of the CCPA/CPRA or other U.S. state Data Protection Laws, Service Provider makes the following additional commitments, which supplement (and do not limit) the other provisions of this Data Processing Addendum.</w:t>
      </w:r>
    </w:p>
    <w:p w14:paraId="05B0A4BA" w14:textId="633897CC"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Do Not Sell or Share</w:t>
      </w:r>
      <w:r>
        <w:rPr>
          <w:sz w:val="20"/>
          <w:szCs w:val="20"/>
        </w:rPr>
        <w:t>. Service Provider shall not sell or share (as those terms are defined by the CCPA/CPRA or equivalent terms under other applicable U.S. state Data Protection Laws) any Personal Data received from, or collected on behalf of, Customer. Service Provider certifies that it understands and will comply with this prohibition.</w:t>
      </w:r>
    </w:p>
    <w:p w14:paraId="64AC2ACA" w14:textId="4095767B" w:rsidR="00FA3E61" w:rsidRPr="00EB1109" w:rsidRDefault="00FA3E61" w:rsidP="00FA3E61">
      <w:pPr>
        <w:pStyle w:val="LegalLevel2"/>
        <w:numPr>
          <w:ilvl w:val="1"/>
          <w:numId w:val="4"/>
        </w:numPr>
        <w:spacing w:before="240" w:line="240" w:lineRule="auto"/>
        <w:rPr>
          <w:sz w:val="20"/>
          <w:szCs w:val="20"/>
        </w:rPr>
      </w:pPr>
      <w:r>
        <w:rPr>
          <w:sz w:val="20"/>
          <w:szCs w:val="20"/>
          <w:u w:val="single"/>
        </w:rPr>
        <w:t>Purpose Limitation</w:t>
      </w:r>
      <w:r>
        <w:rPr>
          <w:sz w:val="20"/>
          <w:szCs w:val="20"/>
        </w:rPr>
        <w:t>. Service Provider shall not retain, use, or disclose Personal Data: (a) for any purpose other than the business purposes specified in the Agreement and this Data Processing Addendum, or as otherwise permitted under the applicable Data Protection Laws; (b) outside the direct business relationship between Service Provider and Customer; or (c) in any manner that is inconsistent with the obligations of a “service provider” (or equivalent designation) under the applicable Data Protection Laws.</w:t>
      </w:r>
    </w:p>
    <w:p w14:paraId="3BF28291" w14:textId="33C4FBE9" w:rsidR="00FA3E61" w:rsidRPr="00EB1109" w:rsidRDefault="00FA3E61" w:rsidP="00FA3E61">
      <w:pPr>
        <w:pStyle w:val="LegalLevel2"/>
        <w:numPr>
          <w:ilvl w:val="1"/>
          <w:numId w:val="4"/>
        </w:numPr>
        <w:spacing w:before="240" w:line="240" w:lineRule="auto"/>
        <w:rPr>
          <w:sz w:val="20"/>
          <w:szCs w:val="20"/>
        </w:rPr>
      </w:pPr>
      <w:r>
        <w:rPr>
          <w:sz w:val="20"/>
          <w:szCs w:val="20"/>
          <w:u w:val="single"/>
        </w:rPr>
        <w:t>Combination Restriction</w:t>
      </w:r>
      <w:r>
        <w:rPr>
          <w:sz w:val="20"/>
          <w:szCs w:val="20"/>
        </w:rPr>
        <w:t>. Service Provider shall not combine Personal Data received from Customer with personal information that Service Provider receives from or on behalf of another person, or that Service Provider collects from its own interactions with consumers, except as permitted by the applicable Data Protection Laws for the performance of the Services.</w:t>
      </w:r>
    </w:p>
    <w:p w14:paraId="6187BFD4" w14:textId="2700E76C" w:rsidR="00FA3E61" w:rsidRPr="00EB1109" w:rsidRDefault="00FA3E61" w:rsidP="00FA3E61">
      <w:pPr>
        <w:pStyle w:val="LegalLevel2"/>
        <w:numPr>
          <w:ilvl w:val="1"/>
          <w:numId w:val="4"/>
        </w:numPr>
        <w:spacing w:before="240" w:line="240" w:lineRule="auto"/>
        <w:rPr>
          <w:sz w:val="20"/>
          <w:szCs w:val="20"/>
        </w:rPr>
      </w:pPr>
      <w:r>
        <w:rPr>
          <w:sz w:val="20"/>
          <w:szCs w:val="20"/>
          <w:u w:val="single"/>
        </w:rPr>
        <w:t>Inability-to-Comply Notification</w:t>
      </w:r>
      <w:r>
        <w:rPr>
          <w:sz w:val="20"/>
          <w:szCs w:val="20"/>
        </w:rPr>
        <w:t>. If Service Provider determines that it can no longer meet its obligations under the applicable U.S. state Data Protection Laws, Service Provider shall promptly notify Customer and shall provide Customer with reasonable detail regarding the nature of the inability to comply.</w:t>
      </w:r>
    </w:p>
    <w:p w14:paraId="2FD708F9" w14:textId="43A06C60" w:rsidR="00FA3E61" w:rsidRPr="00EB1109" w:rsidRDefault="00FA3E61" w:rsidP="00FA3E61">
      <w:pPr>
        <w:pStyle w:val="LegalLevel2"/>
        <w:numPr>
          <w:ilvl w:val="1"/>
          <w:numId w:val="4"/>
        </w:numPr>
        <w:spacing w:before="240" w:line="240" w:lineRule="auto"/>
        <w:rPr>
          <w:sz w:val="20"/>
          <w:szCs w:val="20"/>
        </w:rPr>
      </w:pPr>
      <w:r>
        <w:rPr>
          <w:sz w:val="20"/>
          <w:szCs w:val="20"/>
          <w:u w:val="single"/>
        </w:rPr>
        <w:t xml:space="preserve">Stop and </w:t>
      </w:r>
      <w:proofErr w:type="gramStart"/>
      <w:r>
        <w:rPr>
          <w:sz w:val="20"/>
          <w:szCs w:val="20"/>
          <w:u w:val="single"/>
        </w:rPr>
        <w:t>Remediate</w:t>
      </w:r>
      <w:proofErr w:type="gramEnd"/>
      <w:r>
        <w:rPr>
          <w:sz w:val="20"/>
          <w:szCs w:val="20"/>
        </w:rPr>
        <w:t>. Upon receipt of a notification under Part 2, Section 20.4 (Inability-to-Comply Notification), or upon Customer’s reasonable determination that Service Provider has used Personal Data in an unauthorized manner, Customer shall have the right to take reasonable and appropriate steps to stop and remediate such unauthorized use, including by: (a) directing Service Provider to cease the unauthorized Processing; (b) requiring Service Provider to return or destroy the affected Personal Data; or (c) exercising its termination rights under Section 6.3 (Termination for Deficiencies) of the Master Agreement.</w:t>
      </w:r>
    </w:p>
    <w:p w14:paraId="678013F1" w14:textId="77777777" w:rsidR="00FA3E61" w:rsidRPr="00EB1109" w:rsidRDefault="00FA3E61" w:rsidP="00FA3E61">
      <w:pPr>
        <w:pStyle w:val="LegalHeader"/>
        <w:rPr>
          <w:rFonts w:cs="Arial"/>
          <w:sz w:val="20"/>
        </w:rPr>
      </w:pPr>
      <w:r>
        <w:rPr>
          <w:rFonts w:cs="Arial"/>
          <w:sz w:val="20"/>
        </w:rPr>
        <w:br w:type="page"/>
      </w:r>
      <w:r>
        <w:rPr>
          <w:rFonts w:cs="Arial"/>
          <w:sz w:val="20"/>
        </w:rPr>
        <w:lastRenderedPageBreak/>
        <w:t>ADDENDUM C – DATA SECURITY ADDENDUM</w:t>
      </w:r>
    </w:p>
    <w:p w14:paraId="3789FC70" w14:textId="77777777" w:rsidR="00FA3E61" w:rsidRPr="00EB1109" w:rsidRDefault="00FA3E61" w:rsidP="00FA3E61">
      <w:pPr>
        <w:spacing w:before="240" w:after="120" w:line="240" w:lineRule="auto"/>
        <w:jc w:val="center"/>
        <w:rPr>
          <w:rFonts w:ascii="Arial" w:hAnsi="Arial" w:cs="Arial"/>
          <w:sz w:val="20"/>
          <w:szCs w:val="20"/>
        </w:rPr>
      </w:pPr>
      <w:r>
        <w:rPr>
          <w:rFonts w:ascii="Arial" w:hAnsi="Arial" w:cs="Arial"/>
          <w:i/>
          <w:iCs/>
          <w:sz w:val="20"/>
          <w:szCs w:val="20"/>
        </w:rPr>
        <w:t>to the Master Software as a Service Agreement by and between Customer and Service Provider</w:t>
      </w:r>
    </w:p>
    <w:p w14:paraId="43A62024" w14:textId="281EB690"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Addendum C – Data Security Addendum (“Data Security Addendum”) is incorporated into and forms part of the Agreement. This Data Security Addendum applies whenever Service Provider accesses, hosts, Processes, stores, or transmits Customer Data. In the event of any conflict between this Data Security Addendum and the Master Agreement, this Data Security Addendum shall prevail with respect to data security matters.</w:t>
      </w:r>
    </w:p>
    <w:p w14:paraId="572BDB8B" w14:textId="090A69DA" w:rsidR="00FA3E61" w:rsidRPr="00EB1109" w:rsidRDefault="00FA3E61" w:rsidP="00FA3E61">
      <w:pPr>
        <w:pStyle w:val="LegalLevel1"/>
        <w:numPr>
          <w:ilvl w:val="0"/>
          <w:numId w:val="13"/>
        </w:numPr>
        <w:tabs>
          <w:tab w:val="num" w:pos="1939"/>
        </w:tabs>
        <w:spacing w:before="240" w:line="240" w:lineRule="auto"/>
        <w:rPr>
          <w:sz w:val="20"/>
          <w:szCs w:val="20"/>
        </w:rPr>
      </w:pPr>
      <w:r>
        <w:rPr>
          <w:sz w:val="20"/>
          <w:szCs w:val="20"/>
          <w:u w:val="single"/>
        </w:rPr>
        <w:t>Definitions</w:t>
      </w:r>
      <w:r>
        <w:rPr>
          <w:sz w:val="20"/>
          <w:szCs w:val="20"/>
        </w:rPr>
        <w:t>. Capitalized terms not defined in this Data Security Addendum shall have the meanings ascribed to them in the Master Agreement. For purposes of this Data Security Addendum, the following terms shall have the meanings set forth below:</w:t>
      </w:r>
    </w:p>
    <w:p w14:paraId="489254DD" w14:textId="581BBA13"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 xml:space="preserve">“Becoming Aware” means the point at which Service Provider’s security, operations, or engineering personnel first receive a credible indicator of a Security Incident, whether through automated alerting, manual discovery, third party notification, or any other means, regardless of whether the scope or severity of the incident has been fully assessed. For purposes of clarity, routine alerts, anomalous activity, or low-confidence indicators that are resolved as false positives through reasonable and timely triage shall not constitute Becoming Aware; </w:t>
      </w:r>
      <w:proofErr w:type="gramStart"/>
      <w:r>
        <w:rPr>
          <w:rFonts w:ascii="Arial" w:hAnsi="Arial" w:cs="Arial"/>
          <w:sz w:val="20"/>
          <w:szCs w:val="20"/>
        </w:rPr>
        <w:t>provided that</w:t>
      </w:r>
      <w:proofErr w:type="gramEnd"/>
      <w:r>
        <w:rPr>
          <w:rFonts w:ascii="Arial" w:hAnsi="Arial" w:cs="Arial"/>
          <w:sz w:val="20"/>
          <w:szCs w:val="20"/>
        </w:rPr>
        <w:t xml:space="preserve"> Service Provider maintains documentation of the triage and resolution of such events.</w:t>
      </w:r>
    </w:p>
    <w:p w14:paraId="7B771510" w14:textId="48A1D496"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“Material Deficiency” means any non-compliance with this Data Security Addendum or the Security Program that: (a) could reasonably be expected to result in unauthorized access to, disclosure of, or loss of Customer Data; (b) involves the failure of a critical security control (including, without limitation, encryption, access control, or intrusion detection); (c) constitutes a pattern of recurring non-compliance; or (d) is classified as “high” or “critical” severity by the auditor, assessor, or penetration tester identifying the deficiency. Where a finding or deficiency is assigned differing severity ratings by more than one source (e.g., auditor, assessor, penetration tester, or Service Provider’s internal security team), the highest severity rating shall govern for purposes of remediation timelines and Customer remedies unless Service Provider provides Customer with written evidence reasonably acceptable to Customer supporting a lower severity rating.</w:t>
      </w:r>
    </w:p>
    <w:p w14:paraId="226FFDF3" w14:textId="5E155E47"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“Material Security Change” means any change to the Security Program that: (a) alters the encryption standards, key management practices, or authentication mechanisms applicable to Customer Data; (b) modifies the logical or physical segregation of Customer Data; (c) changes the scope, frequency, or methodology of vulnerability scanning, penetration testing, or security monitoring; (d) removes, replaces, or materially reconfigures a security tool, platform, or service that is part of the Security Program; or (e) modifies access control policies in a manner that broadens the categories of personnel with access to Customer Data.</w:t>
      </w:r>
    </w:p>
    <w:p w14:paraId="3D6E25EC" w14:textId="0A8E4623"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“Security Incident” means any unauthorized or unlawful access to, acquisition of, use of, disclosure of, modification of, or destruction of Customer Data, or any breach of Service Provider’s security safeguards that compromises the confidentiality, integrity, or availability of Customer Data.</w:t>
      </w:r>
    </w:p>
    <w:p w14:paraId="45B1B5FC" w14:textId="27750EA6"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“Security Program” means Service Provider’s comprehensive information security program encompassing the administrative, technical, physical, and organizational safeguards described in this Data Security Addendum.</w:t>
      </w:r>
    </w:p>
    <w:p w14:paraId="4D9F69ED" w14:textId="50BFB4B8"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“Zero-Day Vulnerability” means a software vulnerability that is actively being exploited in the wild or for which a patch or mitigation is not yet available from the applicable vendor, as identified by the vendor, a CERT, or a reputable threat intelligence source.</w:t>
      </w:r>
    </w:p>
    <w:p w14:paraId="77AF79B8" w14:textId="0F3AB355"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Customer Data Ownership and Use</w:t>
      </w:r>
      <w:r>
        <w:rPr>
          <w:sz w:val="20"/>
          <w:szCs w:val="20"/>
        </w:rPr>
        <w:t xml:space="preserve">. The ownership, use, and processing restrictions applicable to Customer Data </w:t>
      </w:r>
      <w:proofErr w:type="gramStart"/>
      <w:r>
        <w:rPr>
          <w:sz w:val="20"/>
          <w:szCs w:val="20"/>
        </w:rPr>
        <w:t>are as</w:t>
      </w:r>
      <w:proofErr w:type="gramEnd"/>
      <w:r>
        <w:rPr>
          <w:sz w:val="20"/>
          <w:szCs w:val="20"/>
        </w:rPr>
        <w:t xml:space="preserve"> set forth in Section 5 (Customer Data) of the Master Agreement and Part 1, Section 2.2 (Purpose Limitation) of the Data Processing Addendum. Service Provider’s security obligations, </w:t>
      </w:r>
      <w:r>
        <w:rPr>
          <w:sz w:val="20"/>
          <w:szCs w:val="20"/>
        </w:rPr>
        <w:lastRenderedPageBreak/>
        <w:t>controls, and requirements under this Data Security Addendum protect Customer Data subject to those ownership rights and use and processing restrictions.</w:t>
      </w:r>
    </w:p>
    <w:p w14:paraId="610EA137" w14:textId="59FE7195"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Security Program</w:t>
      </w:r>
      <w:r>
        <w:rPr>
          <w:sz w:val="20"/>
          <w:szCs w:val="20"/>
        </w:rPr>
        <w:t>.</w:t>
      </w:r>
    </w:p>
    <w:p w14:paraId="094BB425" w14:textId="37AFD43D" w:rsidR="00FA3E61" w:rsidRPr="00EB1109" w:rsidRDefault="00FA3E61" w:rsidP="00FA3E61">
      <w:pPr>
        <w:pStyle w:val="LegalLevel2"/>
        <w:numPr>
          <w:ilvl w:val="1"/>
          <w:numId w:val="4"/>
        </w:numPr>
        <w:spacing w:before="240" w:line="240" w:lineRule="auto"/>
        <w:rPr>
          <w:sz w:val="20"/>
          <w:szCs w:val="20"/>
        </w:rPr>
      </w:pPr>
      <w:r>
        <w:rPr>
          <w:sz w:val="20"/>
          <w:szCs w:val="20"/>
          <w:u w:val="single"/>
        </w:rPr>
        <w:t>Program Requirements</w:t>
      </w:r>
      <w:r>
        <w:rPr>
          <w:sz w:val="20"/>
          <w:szCs w:val="20"/>
        </w:rPr>
        <w:t>. Service Provider shall establish, implement, and maintain a Security Program that is: (a) consistent with industry standards and best practices, including the NIST Cybersecurity Framework, International Organization for Standardization / International Electrotechnical Commission (“ISO/IEC”) 27001, or equivalent frameworks; (b) appropriate to the nature, scope, and sensitivity of the Customer Data Processed; (c) designed to meet the safeguard requirements set forth in Section 6.1 (Information Security) of the Master Agreement; and (d) compliant with all Applicable Law. For purposes of this Section, “equivalent frameworks” means only those frameworks that are independently auditable and map to the NIST Cybersecurity Framework or ISO/IEC 27001 control families.</w:t>
      </w:r>
    </w:p>
    <w:p w14:paraId="384A97E7" w14:textId="6B7A9539" w:rsidR="00FA3E61" w:rsidRPr="00EB1109" w:rsidRDefault="00FA3E61" w:rsidP="00FA3E61">
      <w:pPr>
        <w:pStyle w:val="LegalLevel2"/>
        <w:numPr>
          <w:ilvl w:val="1"/>
          <w:numId w:val="4"/>
        </w:numPr>
        <w:spacing w:before="240" w:line="240" w:lineRule="auto"/>
        <w:rPr>
          <w:sz w:val="20"/>
          <w:szCs w:val="20"/>
        </w:rPr>
      </w:pPr>
      <w:r>
        <w:rPr>
          <w:sz w:val="20"/>
          <w:szCs w:val="20"/>
          <w:u w:val="single"/>
        </w:rPr>
        <w:t>Minimum Controls</w:t>
      </w:r>
      <w:r>
        <w:rPr>
          <w:sz w:val="20"/>
          <w:szCs w:val="20"/>
        </w:rPr>
        <w:t>. Service Provider’s Security Program shall include, at minimum, the controls and measures described in this Data Security Addendum.</w:t>
      </w:r>
    </w:p>
    <w:p w14:paraId="20B2560E" w14:textId="58BB9BE0" w:rsidR="00FA3E61" w:rsidRPr="00EB1109" w:rsidRDefault="00FA3E61" w:rsidP="00FA3E61">
      <w:pPr>
        <w:pStyle w:val="LegalLevel2"/>
        <w:numPr>
          <w:ilvl w:val="1"/>
          <w:numId w:val="4"/>
        </w:numPr>
        <w:spacing w:before="240" w:line="240" w:lineRule="auto"/>
        <w:rPr>
          <w:sz w:val="20"/>
          <w:szCs w:val="20"/>
        </w:rPr>
      </w:pPr>
      <w:r>
        <w:rPr>
          <w:sz w:val="20"/>
          <w:szCs w:val="20"/>
          <w:u w:val="single"/>
        </w:rPr>
        <w:t>Security Lead</w:t>
      </w:r>
      <w:r>
        <w:rPr>
          <w:sz w:val="20"/>
          <w:szCs w:val="20"/>
        </w:rPr>
        <w:t>. Service Provider shall designate a qualified individual (such as a Chief Information Security Officer or equivalent) responsible for the development, implementation, and oversight of the Security Program. Such individual shall have sufficient authority and resources to implement and enforce the Security Program and shall serve as Service Provider’s primary security contact for Customer.</w:t>
      </w:r>
    </w:p>
    <w:p w14:paraId="749C2875" w14:textId="696934E9" w:rsidR="00FA3E61" w:rsidRPr="00EB1109" w:rsidRDefault="00FA3E61" w:rsidP="00FA3E61">
      <w:pPr>
        <w:pStyle w:val="LegalLevel2"/>
        <w:numPr>
          <w:ilvl w:val="1"/>
          <w:numId w:val="4"/>
        </w:numPr>
        <w:spacing w:before="240" w:line="240" w:lineRule="auto"/>
        <w:rPr>
          <w:sz w:val="20"/>
          <w:szCs w:val="20"/>
        </w:rPr>
      </w:pPr>
      <w:r>
        <w:rPr>
          <w:sz w:val="20"/>
          <w:szCs w:val="20"/>
          <w:u w:val="single"/>
        </w:rPr>
        <w:t>Control Mapping and Attestation</w:t>
      </w:r>
      <w:r>
        <w:rPr>
          <w:sz w:val="20"/>
          <w:szCs w:val="20"/>
        </w:rPr>
        <w:t>. Service Provider shall maintain a written mapping of its Security Program controls to the SOC 2 Trust Services Criteria (or the applicable audit framework) and shall provide such mapping to Customer upon request. Service Provider shall provide an annual written attestation, within thirty (30) days following each anniversary of the Effective Date, confirming that: (a) the scope of the Services and supporting systems covered by Service Provider’s most recent SOC 2 Type 2 report (or equivalent audit) includes all systems and infrastructure used to Process Customer Data; (b) any subservice organizations relevant to the Processing of Customer Data are identified and their treatment (inclusive or carve-out) is disclosed; and (c) all exceptions, qualifications, or control failures identified in the most recent audit report have been remediated or are subject to a Corrective Action Plan with target completion dates.</w:t>
      </w:r>
    </w:p>
    <w:p w14:paraId="25C8F463" w14:textId="415AE4E5" w:rsidR="00FA3E61" w:rsidRPr="00EB1109" w:rsidRDefault="00FA3E61" w:rsidP="00FA3E61">
      <w:pPr>
        <w:pStyle w:val="LegalLevel2"/>
        <w:numPr>
          <w:ilvl w:val="1"/>
          <w:numId w:val="4"/>
        </w:numPr>
        <w:spacing w:before="240" w:line="240" w:lineRule="auto"/>
        <w:rPr>
          <w:sz w:val="20"/>
          <w:szCs w:val="20"/>
        </w:rPr>
      </w:pPr>
      <w:r>
        <w:rPr>
          <w:sz w:val="20"/>
          <w:szCs w:val="20"/>
          <w:u w:val="single"/>
        </w:rPr>
        <w:t>Audit Exception Remediation</w:t>
      </w:r>
      <w:r>
        <w:rPr>
          <w:sz w:val="20"/>
          <w:szCs w:val="20"/>
        </w:rPr>
        <w:t>. For any exception, qualification, or control failure identified in a SOC 2 Type 2 report or equivalent audit, Service Provider shall provide Customer with: (a) a Corrective Action Plan within fifteen (15) Business Days of the report date; and (b) written confirmation of remediation upon completion. Service Provider shall remediate Material Deficiencies classified as critical within thirty (30) days, high within sixty (60) days, and medium within ninety (90) days, unless a shorter timeline is required under other provisions of this Data Security Addendum.</w:t>
      </w:r>
    </w:p>
    <w:p w14:paraId="29543263" w14:textId="570C0B18"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Location</w:t>
      </w:r>
      <w:r>
        <w:rPr>
          <w:sz w:val="20"/>
          <w:szCs w:val="20"/>
        </w:rPr>
        <w:t>.</w:t>
      </w:r>
    </w:p>
    <w:p w14:paraId="1E1DD131" w14:textId="2A810359" w:rsidR="00FA3E61" w:rsidRPr="00EB1109" w:rsidRDefault="00FA3E61" w:rsidP="00FA3E61">
      <w:pPr>
        <w:pStyle w:val="LegalLevel2"/>
        <w:numPr>
          <w:ilvl w:val="1"/>
          <w:numId w:val="4"/>
        </w:numPr>
        <w:spacing w:before="240" w:line="240" w:lineRule="auto"/>
        <w:rPr>
          <w:sz w:val="20"/>
          <w:szCs w:val="20"/>
        </w:rPr>
      </w:pPr>
      <w:r>
        <w:rPr>
          <w:sz w:val="20"/>
          <w:szCs w:val="20"/>
          <w:u w:val="single"/>
        </w:rPr>
        <w:t>Approved Locations</w:t>
      </w:r>
      <w:r>
        <w:rPr>
          <w:sz w:val="20"/>
          <w:szCs w:val="20"/>
        </w:rPr>
        <w:t>. Service Provider shall store and Process all Customer Data only in the approved data processing locations set forth in the applicable Order Form, in accordance with Section 5.4 (Data Processing Locations) of the Master Agreement. In the absence of a specification in the applicable Order Form, the default approved data processing location shall be the United States.</w:t>
      </w:r>
    </w:p>
    <w:p w14:paraId="78EEF461" w14:textId="326A48E5" w:rsidR="00FA3E61" w:rsidRPr="00EB1109" w:rsidRDefault="00FA3E61" w:rsidP="00FA3E61">
      <w:pPr>
        <w:pStyle w:val="LegalLevel2"/>
        <w:numPr>
          <w:ilvl w:val="1"/>
          <w:numId w:val="4"/>
        </w:numPr>
        <w:spacing w:before="240" w:line="240" w:lineRule="auto"/>
        <w:rPr>
          <w:sz w:val="20"/>
          <w:szCs w:val="20"/>
        </w:rPr>
      </w:pPr>
      <w:r>
        <w:rPr>
          <w:sz w:val="20"/>
          <w:szCs w:val="20"/>
          <w:u w:val="single"/>
        </w:rPr>
        <w:t>Location Inventory</w:t>
      </w:r>
      <w:r>
        <w:rPr>
          <w:sz w:val="20"/>
          <w:szCs w:val="20"/>
        </w:rPr>
        <w:t>. Service Provider shall maintain a current and accurate inventory of all locations where Customer Data is stored, Processed, or accessible (including locations from which Service Provider personnel access Customer Data remotely for support, maintenance, or security operations), and shall provide such inventory to Customer upon request.</w:t>
      </w:r>
    </w:p>
    <w:p w14:paraId="02221432" w14:textId="5EFA341F" w:rsidR="00FA3E61" w:rsidRPr="00EB1109" w:rsidRDefault="00FA3E61" w:rsidP="00FA3E61">
      <w:pPr>
        <w:pStyle w:val="LegalLevel2"/>
        <w:numPr>
          <w:ilvl w:val="1"/>
          <w:numId w:val="4"/>
        </w:numPr>
        <w:spacing w:before="240" w:line="240" w:lineRule="auto"/>
        <w:rPr>
          <w:sz w:val="20"/>
          <w:szCs w:val="20"/>
        </w:rPr>
      </w:pPr>
      <w:r>
        <w:rPr>
          <w:sz w:val="20"/>
          <w:szCs w:val="20"/>
          <w:u w:val="single"/>
        </w:rPr>
        <w:t>Location Changes</w:t>
      </w:r>
      <w:r>
        <w:rPr>
          <w:sz w:val="20"/>
          <w:szCs w:val="20"/>
        </w:rPr>
        <w:t xml:space="preserve">. Service Provider shall not change the location where Customer Data is stored or Processed without Customer’s prior written consent. Service Provider shall notify Customer in </w:t>
      </w:r>
      <w:r>
        <w:rPr>
          <w:sz w:val="20"/>
          <w:szCs w:val="20"/>
        </w:rPr>
        <w:lastRenderedPageBreak/>
        <w:t xml:space="preserve">writing not less than ninety (90) days prior to any proposed change in such location. Such notice shall include: (a) the proposed new location; (b) the reason for the proposed change; (c) an assessment of any data protection or regulatory implications; and (d) the measures Service Provider will implement to ensure continued compliance with Applicable Law, including Data Protection Laws and cross-border data transfer requirements. </w:t>
      </w:r>
      <w:proofErr w:type="gramStart"/>
      <w:r>
        <w:rPr>
          <w:sz w:val="20"/>
          <w:szCs w:val="20"/>
        </w:rPr>
        <w:t>Customer</w:t>
      </w:r>
      <w:proofErr w:type="gramEnd"/>
      <w:r>
        <w:rPr>
          <w:sz w:val="20"/>
          <w:szCs w:val="20"/>
        </w:rPr>
        <w:t xml:space="preserve"> may object to any proposed location change within thirty (30) days of receiving such notice. If Customer objects, Service Provider shall not proceed with the change. If Customer does not respond within such thirty (30) day period, the proposed change shall be deemed rejected.</w:t>
      </w:r>
    </w:p>
    <w:p w14:paraId="706D6574" w14:textId="5E0303D1" w:rsidR="00FA3E61" w:rsidRPr="00EB1109" w:rsidRDefault="00FA3E61" w:rsidP="00FA3E61">
      <w:pPr>
        <w:pStyle w:val="LegalLevel2"/>
        <w:numPr>
          <w:ilvl w:val="1"/>
          <w:numId w:val="4"/>
        </w:numPr>
        <w:spacing w:before="240" w:line="240" w:lineRule="auto"/>
        <w:rPr>
          <w:sz w:val="20"/>
          <w:szCs w:val="20"/>
        </w:rPr>
      </w:pPr>
      <w:r>
        <w:rPr>
          <w:sz w:val="20"/>
          <w:szCs w:val="20"/>
          <w:u w:val="single"/>
        </w:rPr>
        <w:t>Emergency Relocation</w:t>
      </w:r>
      <w:r>
        <w:rPr>
          <w:sz w:val="20"/>
          <w:szCs w:val="20"/>
        </w:rPr>
        <w:t>. Notwithstanding the foregoing, Service Provider may temporarily relocate the storage or Processing of Customer Data outside the approved data processing locations without prior consent solely where: (a) such relocation is strictly necessary to mitigate an active, ongoing threat to the security, integrity, or availability of Customer Data (including failover in response to a Disaster as defined in the BC/DR Addendum); or (b) such relocation is required by Applicable Law or a binding order of a court or governmental authority. Any emergency relocation shall: (</w:t>
      </w:r>
      <w:proofErr w:type="spellStart"/>
      <w:r>
        <w:rPr>
          <w:sz w:val="20"/>
          <w:szCs w:val="20"/>
        </w:rPr>
        <w:t>i</w:t>
      </w:r>
      <w:proofErr w:type="spellEnd"/>
      <w:r>
        <w:rPr>
          <w:sz w:val="20"/>
          <w:szCs w:val="20"/>
        </w:rPr>
        <w:t>) be limited to the minimum scope and duration necessary to address the threat or legal requirement; (ii) be protected by security safeguards no less protective than those applied in the approved location; (iii) be accompanied by notice to Customer within twenty-four (24) hours of the relocation, including the reason, destination, scope, and estimated duration; (iv) be reversed as soon as reasonably practicable after the threat or legal requirement has been resolved; (v) not exceed thirty (30) days in duration without Customer’s written consent; (vi) not involve storage or Processing in any jurisdiction subject to comprehensive sanctions applicable to Customer or Service Provider or in any jurisdiction where compelled disclosure protections are materially weaker than in the approved locations, unless required by binding legal process and no less-risky alternative is reasonably available; and (vii) not involve any change to encryption key residency or key management controls without Customer’s prior written consent. Service Provider shall provide Customer with a written summary of the emergency relocation, including a root cause analysis, within ten (10) Business Days of the return to the approved location. This Section shall not be construed to authorize any permanent change to approved data processing locations.</w:t>
      </w:r>
    </w:p>
    <w:p w14:paraId="2FDA0230"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Personnel Security</w:t>
      </w:r>
      <w:r>
        <w:rPr>
          <w:sz w:val="20"/>
          <w:szCs w:val="20"/>
        </w:rPr>
        <w:t>.</w:t>
      </w:r>
    </w:p>
    <w:p w14:paraId="5992BD55" w14:textId="11342B84" w:rsidR="00FA3E61" w:rsidRPr="00EB1109" w:rsidRDefault="00FA3E61" w:rsidP="00FA3E61">
      <w:pPr>
        <w:pStyle w:val="LegalLevel2"/>
        <w:numPr>
          <w:ilvl w:val="1"/>
          <w:numId w:val="4"/>
        </w:numPr>
        <w:spacing w:before="240" w:line="240" w:lineRule="auto"/>
        <w:rPr>
          <w:sz w:val="20"/>
          <w:szCs w:val="20"/>
        </w:rPr>
      </w:pPr>
      <w:r>
        <w:rPr>
          <w:sz w:val="20"/>
          <w:szCs w:val="20"/>
          <w:u w:val="single"/>
        </w:rPr>
        <w:t>Background Checks</w:t>
      </w:r>
      <w:r>
        <w:rPr>
          <w:sz w:val="20"/>
          <w:szCs w:val="20"/>
        </w:rPr>
        <w:t>. Service Provider shall conduct background checks on all personnel with access to Customer Data prior to granting access, to the extent permitted by Applicable Law.</w:t>
      </w:r>
    </w:p>
    <w:p w14:paraId="6D76542C" w14:textId="2FBF87DF" w:rsidR="00FA3E61" w:rsidRPr="00EB1109" w:rsidRDefault="00FA3E61" w:rsidP="00FA3E61">
      <w:pPr>
        <w:pStyle w:val="LegalLevel2"/>
        <w:numPr>
          <w:ilvl w:val="1"/>
          <w:numId w:val="4"/>
        </w:numPr>
        <w:spacing w:before="240" w:line="240" w:lineRule="auto"/>
        <w:rPr>
          <w:sz w:val="20"/>
          <w:szCs w:val="20"/>
        </w:rPr>
      </w:pPr>
      <w:r>
        <w:rPr>
          <w:sz w:val="20"/>
          <w:szCs w:val="20"/>
          <w:u w:val="single"/>
        </w:rPr>
        <w:t>Security Awareness Training</w:t>
      </w:r>
      <w:r>
        <w:rPr>
          <w:sz w:val="20"/>
          <w:szCs w:val="20"/>
        </w:rPr>
        <w:t>. Service Provider shall maintain a security awareness training program for all personnel with access to Customer Data, with training conducted at least annually and upon onboarding. Training shall include, at minimum, phishing and social engineering awareness, data handling and classification procedures, incident reporting obligations, and the personnel’s specific responsibilities under the Security Program.</w:t>
      </w:r>
    </w:p>
    <w:p w14:paraId="6F880435" w14:textId="7479A2E0" w:rsidR="00FA3E61" w:rsidRPr="00EB1109" w:rsidRDefault="00FA3E61" w:rsidP="00FA3E61">
      <w:pPr>
        <w:pStyle w:val="LegalLevel2"/>
        <w:numPr>
          <w:ilvl w:val="1"/>
          <w:numId w:val="4"/>
        </w:numPr>
        <w:spacing w:before="240" w:line="240" w:lineRule="auto"/>
        <w:rPr>
          <w:sz w:val="20"/>
          <w:szCs w:val="20"/>
        </w:rPr>
      </w:pPr>
      <w:r>
        <w:rPr>
          <w:sz w:val="20"/>
          <w:szCs w:val="20"/>
          <w:u w:val="single"/>
        </w:rPr>
        <w:t>Access Revocation</w:t>
      </w:r>
      <w:r>
        <w:rPr>
          <w:sz w:val="20"/>
          <w:szCs w:val="20"/>
        </w:rPr>
        <w:t>. Service Provider shall promptly revoke access to Customer Data for any personnel whose employment or engagement terminates, or who no longer require access to perform their duties. Such revocation shall occur within twenty-four (24) hours of the triggering event.</w:t>
      </w:r>
    </w:p>
    <w:p w14:paraId="50165891"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Access Controls and Authentication</w:t>
      </w:r>
      <w:r>
        <w:rPr>
          <w:sz w:val="20"/>
          <w:szCs w:val="20"/>
        </w:rPr>
        <w:t>.</w:t>
      </w:r>
    </w:p>
    <w:p w14:paraId="0450A180" w14:textId="01690D35" w:rsidR="00FA3E61" w:rsidRPr="00EB1109" w:rsidRDefault="00FA3E61" w:rsidP="00FA3E61">
      <w:pPr>
        <w:pStyle w:val="LegalLevel2"/>
        <w:numPr>
          <w:ilvl w:val="1"/>
          <w:numId w:val="4"/>
        </w:numPr>
        <w:spacing w:before="240" w:line="240" w:lineRule="auto"/>
        <w:rPr>
          <w:sz w:val="20"/>
          <w:szCs w:val="20"/>
        </w:rPr>
      </w:pPr>
      <w:r>
        <w:rPr>
          <w:sz w:val="20"/>
          <w:szCs w:val="20"/>
          <w:u w:val="single"/>
        </w:rPr>
        <w:t>Role-Based Access</w:t>
      </w:r>
      <w:r>
        <w:rPr>
          <w:sz w:val="20"/>
          <w:szCs w:val="20"/>
        </w:rPr>
        <w:t>. Service Provider shall implement and maintain role-based access controls ensuring that access to Customer Data is limited to personnel with a legitimate business need. Service Provider shall apply the principle of least privilege in granting access.</w:t>
      </w:r>
    </w:p>
    <w:p w14:paraId="2450516A" w14:textId="3A1E0A7A" w:rsidR="00FA3E61" w:rsidRPr="00EB1109" w:rsidRDefault="00FA3E61" w:rsidP="00FA3E61">
      <w:pPr>
        <w:pStyle w:val="LegalLevel2"/>
        <w:numPr>
          <w:ilvl w:val="1"/>
          <w:numId w:val="4"/>
        </w:numPr>
        <w:spacing w:before="240" w:line="240" w:lineRule="auto"/>
        <w:rPr>
          <w:sz w:val="20"/>
          <w:szCs w:val="20"/>
        </w:rPr>
      </w:pPr>
      <w:r>
        <w:rPr>
          <w:sz w:val="20"/>
          <w:szCs w:val="20"/>
          <w:u w:val="single"/>
        </w:rPr>
        <w:t>Multi-Factor Authentication</w:t>
      </w:r>
      <w:r>
        <w:rPr>
          <w:sz w:val="20"/>
          <w:szCs w:val="20"/>
        </w:rPr>
        <w:t xml:space="preserve">. Service Provider shall support and implement multi-factor authentication (“MFA”) for all administrative access to systems Processing Customer Data, including cloud management consoles, continuous integration / continuous deployment (“CI/CD”) pipelines, database administration interfaces, and infrastructure management tools. Service Provider shall support industry-standard single sign-on (“SSO”) and federated identity protocols </w:t>
      </w:r>
      <w:r>
        <w:rPr>
          <w:sz w:val="20"/>
          <w:szCs w:val="20"/>
        </w:rPr>
        <w:lastRenderedPageBreak/>
        <w:t>(Security Assertion Markup Language (“SAML”) 2.0, OpenID Connect (“OIDC”), or equivalent) for Authorized User access.</w:t>
      </w:r>
    </w:p>
    <w:p w14:paraId="385025E7" w14:textId="64271ED0" w:rsidR="00FA3E61" w:rsidRPr="00EB1109" w:rsidRDefault="00FA3E61" w:rsidP="00FA3E61">
      <w:pPr>
        <w:pStyle w:val="LegalLevel2"/>
        <w:numPr>
          <w:ilvl w:val="1"/>
          <w:numId w:val="4"/>
        </w:numPr>
        <w:spacing w:before="240" w:line="240" w:lineRule="auto"/>
        <w:rPr>
          <w:sz w:val="20"/>
          <w:szCs w:val="20"/>
        </w:rPr>
      </w:pPr>
      <w:r>
        <w:rPr>
          <w:sz w:val="20"/>
          <w:szCs w:val="20"/>
          <w:u w:val="single"/>
        </w:rPr>
        <w:t>Privileged Access Management</w:t>
      </w:r>
      <w:r>
        <w:rPr>
          <w:sz w:val="20"/>
          <w:szCs w:val="20"/>
        </w:rPr>
        <w:t>. Service Provider shall implement and maintain privileged access management controls that include: (a) prohibition of shared administrative accounts; (b) just-in-time privilege elevation for administrative access, with time-limited sessions; (c) MFA for all privileged actions; (d) logging and monitoring of all privileged access sessions (including session recording for high-risk environments where specified in the applicable Order Form); and (e) periodic access reviews of all privileged accounts, conducted no less frequently than quarterly.</w:t>
      </w:r>
    </w:p>
    <w:p w14:paraId="75CAD2F3" w14:textId="07735463"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Controls</w:t>
      </w:r>
      <w:r>
        <w:rPr>
          <w:sz w:val="20"/>
          <w:szCs w:val="20"/>
        </w:rPr>
        <w:t>. Service Provider shall provide Customer with the ability to: (a) enforce SSO-only authentication for Authorized Users, disabling local password-based authentication; (b) configure and enforce MFA requirements for all Authorized Users; (c) define and enforce password complexity, length, expiration, and lockout policies; (d) configure session timeout and idle session termination policies; and (e) review and export Authorized User access logs.</w:t>
      </w:r>
    </w:p>
    <w:p w14:paraId="010BB1C9" w14:textId="5BF83D1C" w:rsidR="00FA3E61" w:rsidRPr="00EB1109" w:rsidRDefault="00FA3E61" w:rsidP="00FA3E61">
      <w:pPr>
        <w:pStyle w:val="LegalLevel2"/>
        <w:numPr>
          <w:ilvl w:val="1"/>
          <w:numId w:val="4"/>
        </w:numPr>
        <w:spacing w:before="240" w:line="240" w:lineRule="auto"/>
        <w:rPr>
          <w:sz w:val="20"/>
          <w:szCs w:val="20"/>
        </w:rPr>
      </w:pPr>
      <w:r>
        <w:rPr>
          <w:sz w:val="20"/>
          <w:szCs w:val="20"/>
          <w:u w:val="single"/>
        </w:rPr>
        <w:t>Authorized Systems Authentication</w:t>
      </w:r>
      <w:r>
        <w:rPr>
          <w:sz w:val="20"/>
          <w:szCs w:val="20"/>
        </w:rPr>
        <w:t>. Authentication and credential requirements for Authorized Systems shall include, at minimum: (a) API authentication via OAuth 2.0, API keys, or equivalent token-based mechanisms with least-privilege scopes; (b) token rotation at intervals not to exceed ninety (90) days (or shorter as specified in the applicable Order Form); (c) IP allowlisting capabilities; and (d) mutual TLS (“mTLS”) as an available option for integrations designated as high-risk in the applicable Order Form. Service Provider shall not support or permit the use of basic authentication (username and password transmitted in the clear or Base64-encoded) for API access to production systems.</w:t>
      </w:r>
    </w:p>
    <w:p w14:paraId="38B02916" w14:textId="790B2253" w:rsidR="00FA3E61" w:rsidRPr="00EB1109" w:rsidRDefault="00FA3E61" w:rsidP="00FA3E61">
      <w:pPr>
        <w:pStyle w:val="LegalLevel2"/>
        <w:numPr>
          <w:ilvl w:val="1"/>
          <w:numId w:val="4"/>
        </w:numPr>
        <w:spacing w:before="240" w:line="240" w:lineRule="auto"/>
        <w:rPr>
          <w:sz w:val="20"/>
          <w:szCs w:val="20"/>
        </w:rPr>
      </w:pPr>
      <w:r>
        <w:rPr>
          <w:sz w:val="20"/>
          <w:szCs w:val="20"/>
          <w:u w:val="single"/>
        </w:rPr>
        <w:t>Access Logging</w:t>
      </w:r>
      <w:r>
        <w:rPr>
          <w:sz w:val="20"/>
          <w:szCs w:val="20"/>
        </w:rPr>
        <w:t>. Service Provider shall maintain audit logs of all access to Customer Data, including identity, timestamp, nature of access, and source IP address, and shall retain such logs for not less than eighteen (18) months (or longer if required by Applicable Law or Customer’s written retention policy).</w:t>
      </w:r>
    </w:p>
    <w:p w14:paraId="59250C41" w14:textId="3B30B946"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Monitoring and Logging</w:t>
      </w:r>
      <w:r>
        <w:rPr>
          <w:sz w:val="20"/>
          <w:szCs w:val="20"/>
        </w:rPr>
        <w:t>.</w:t>
      </w:r>
    </w:p>
    <w:p w14:paraId="7D54080E" w14:textId="5EBA2E1F" w:rsidR="00FA3E61" w:rsidRPr="00EB1109" w:rsidRDefault="00FA3E61" w:rsidP="00FA3E61">
      <w:pPr>
        <w:pStyle w:val="LegalLevel2"/>
        <w:numPr>
          <w:ilvl w:val="1"/>
          <w:numId w:val="4"/>
        </w:numPr>
        <w:spacing w:before="240" w:line="240" w:lineRule="auto"/>
        <w:rPr>
          <w:sz w:val="20"/>
          <w:szCs w:val="20"/>
        </w:rPr>
      </w:pPr>
      <w:r>
        <w:rPr>
          <w:sz w:val="20"/>
          <w:szCs w:val="20"/>
          <w:u w:val="single"/>
        </w:rPr>
        <w:t>Centralized Monitoring</w:t>
      </w:r>
      <w:r>
        <w:rPr>
          <w:sz w:val="20"/>
          <w:szCs w:val="20"/>
        </w:rPr>
        <w:t>. Service Provider shall implement centralized security monitoring using a security information and event management (“SIEM”) system or equivalent technology capable of aggregating, correlating, and alerting on security events across all systems used to Process Customer Data.</w:t>
      </w:r>
    </w:p>
    <w:p w14:paraId="1BC5F740" w14:textId="2E895FF4" w:rsidR="00FA3E61" w:rsidRPr="00EB1109" w:rsidRDefault="00FA3E61" w:rsidP="00FA3E61">
      <w:pPr>
        <w:pStyle w:val="LegalLevel2"/>
        <w:numPr>
          <w:ilvl w:val="1"/>
          <w:numId w:val="4"/>
        </w:numPr>
        <w:spacing w:before="240" w:line="240" w:lineRule="auto"/>
        <w:rPr>
          <w:sz w:val="20"/>
          <w:szCs w:val="20"/>
        </w:rPr>
      </w:pPr>
      <w:r>
        <w:rPr>
          <w:sz w:val="20"/>
          <w:szCs w:val="20"/>
          <w:u w:val="single"/>
        </w:rPr>
        <w:t>Minimum Log Events</w:t>
      </w:r>
      <w:r>
        <w:rPr>
          <w:sz w:val="20"/>
          <w:szCs w:val="20"/>
        </w:rPr>
        <w:t>. Service Provider shall generate and retain, at minimum, the following categories of audit log events: (a) administrative and privileged user actions; (b) authentication events (successful and failed), including MFA events; (c) privilege escalation and role changes; (d) data export, bulk download, and data extraction events; (e) configuration changes to security controls, network rules, and access policies; (f) tenant boundary and data isolation events; (g) API access events, including token creation, revocation, and usage; and (h) changes to logging and monitoring configurations.</w:t>
      </w:r>
    </w:p>
    <w:p w14:paraId="14AB16F6" w14:textId="6732DAD2" w:rsidR="00FA3E61" w:rsidRPr="00EB1109" w:rsidRDefault="00FA3E61" w:rsidP="00FA3E61">
      <w:pPr>
        <w:pStyle w:val="LegalLevel2"/>
        <w:numPr>
          <w:ilvl w:val="1"/>
          <w:numId w:val="4"/>
        </w:numPr>
        <w:spacing w:before="240" w:line="240" w:lineRule="auto"/>
        <w:rPr>
          <w:sz w:val="20"/>
          <w:szCs w:val="20"/>
        </w:rPr>
      </w:pPr>
      <w:r>
        <w:rPr>
          <w:sz w:val="20"/>
          <w:szCs w:val="20"/>
          <w:u w:val="single"/>
        </w:rPr>
        <w:t>Automated Alerting</w:t>
      </w:r>
      <w:r>
        <w:rPr>
          <w:sz w:val="20"/>
          <w:szCs w:val="20"/>
        </w:rPr>
        <w:t>. Service Provider shall implement automated alerting on critical security events, including but not limited to: (a) multiple failed authentication attempts; (b) privilege escalation; (c) access from anomalous locations or devices; (d) bulk data export or extraction; and (e) changes to security configurations. Service Provider shall investigate all critical alerts within four (4) hours of generation. For purposes of this Section, “investigate” means triage by qualified security personnel sufficient to (</w:t>
      </w:r>
      <w:proofErr w:type="spellStart"/>
      <w:r>
        <w:rPr>
          <w:sz w:val="20"/>
          <w:szCs w:val="20"/>
        </w:rPr>
        <w:t>i</w:t>
      </w:r>
      <w:proofErr w:type="spellEnd"/>
      <w:r>
        <w:rPr>
          <w:sz w:val="20"/>
          <w:szCs w:val="20"/>
        </w:rPr>
        <w:t>) determine whether the alert is a false positive, (ii) assess likely scope and impact, and (iii) initiate containment where warranted. The four (4) hour period applies twenty-four hours per day, seven days per week, three hundred sixty-five days per year, and runs from the time the alert is generated by the monitoring system.</w:t>
      </w:r>
    </w:p>
    <w:p w14:paraId="029CA480" w14:textId="496CD2AC"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Log Access and Export</w:t>
      </w:r>
      <w:r>
        <w:rPr>
          <w:sz w:val="20"/>
          <w:szCs w:val="20"/>
        </w:rPr>
        <w:t xml:space="preserve">. Service Provider shall provide Customer with the ability to access and export Customer’s tenant-scoped audit logs in a commonly used format (e.g., JSON or CSV) via portal and API. Where requested by Customer, Service Provider shall support </w:t>
      </w:r>
      <w:r>
        <w:rPr>
          <w:sz w:val="20"/>
          <w:szCs w:val="20"/>
        </w:rPr>
        <w:lastRenderedPageBreak/>
        <w:t>forwarding of tenant-scoped security logs to Customer’s designated SIEM or log management platform (e.g., via syslog, webhook, or API integration), subject to reasonable rate limits and security controls. Service Provider shall synchronize all system clocks to a common authoritative time source (e.g., NTP) and shall maintain consistent log schema across all systems generating logs under this Section to ensure forensic timeline reliability.</w:t>
      </w:r>
    </w:p>
    <w:p w14:paraId="4E5F80C4" w14:textId="60E3323C" w:rsidR="00FA3E61" w:rsidRPr="00EB1109" w:rsidRDefault="00FA3E61" w:rsidP="00FA3E61">
      <w:pPr>
        <w:pStyle w:val="LegalLevel2"/>
        <w:numPr>
          <w:ilvl w:val="1"/>
          <w:numId w:val="4"/>
        </w:numPr>
        <w:spacing w:before="240" w:line="240" w:lineRule="auto"/>
        <w:rPr>
          <w:sz w:val="20"/>
          <w:szCs w:val="20"/>
        </w:rPr>
      </w:pPr>
      <w:r>
        <w:rPr>
          <w:sz w:val="20"/>
          <w:szCs w:val="20"/>
          <w:u w:val="single"/>
        </w:rPr>
        <w:t>Log Retention and Integrity</w:t>
      </w:r>
      <w:r>
        <w:rPr>
          <w:sz w:val="20"/>
          <w:szCs w:val="20"/>
        </w:rPr>
        <w:t xml:space="preserve">. Service Provider shall retain audit logs for not less than eighteen (18) months in searchable, tamper-evident storage. Logs shall not be </w:t>
      </w:r>
      <w:proofErr w:type="gramStart"/>
      <w:r>
        <w:rPr>
          <w:sz w:val="20"/>
          <w:szCs w:val="20"/>
        </w:rPr>
        <w:t>modifiable</w:t>
      </w:r>
      <w:proofErr w:type="gramEnd"/>
      <w:r>
        <w:rPr>
          <w:sz w:val="20"/>
          <w:szCs w:val="20"/>
        </w:rPr>
        <w:t xml:space="preserve"> or deletable by the personnel whose activities they record. Service Provider shall retain logs for a longer period where required by Applicable Law, regulatory guidance, or Customer’s written retention policy provided at the time of the applicable Order Form.</w:t>
      </w:r>
    </w:p>
    <w:p w14:paraId="40DBB6DF" w14:textId="070B1053"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Encryption</w:t>
      </w:r>
      <w:r>
        <w:rPr>
          <w:sz w:val="20"/>
          <w:szCs w:val="20"/>
        </w:rPr>
        <w:t>.</w:t>
      </w:r>
    </w:p>
    <w:p w14:paraId="4803676C" w14:textId="2EFE1E19" w:rsidR="00FA3E61" w:rsidRPr="00EB1109" w:rsidRDefault="00FA3E61" w:rsidP="00FA3E61">
      <w:pPr>
        <w:pStyle w:val="LegalLevel2"/>
        <w:numPr>
          <w:ilvl w:val="1"/>
          <w:numId w:val="4"/>
        </w:numPr>
        <w:spacing w:before="240" w:line="240" w:lineRule="auto"/>
        <w:rPr>
          <w:sz w:val="20"/>
          <w:szCs w:val="20"/>
        </w:rPr>
      </w:pPr>
      <w:r>
        <w:rPr>
          <w:sz w:val="20"/>
          <w:szCs w:val="20"/>
          <w:u w:val="single"/>
        </w:rPr>
        <w:t>Encryption at Rest</w:t>
      </w:r>
      <w:r>
        <w:rPr>
          <w:sz w:val="20"/>
          <w:szCs w:val="20"/>
        </w:rPr>
        <w:t>. Service Provider shall encrypt all Customer Data at rest using Advanced Encryption Standard (“AES”) 256-bit encryption (or equivalent or stronger standard), including Customer Data in backups, replicas, archives, and log files that contain Customer Data.</w:t>
      </w:r>
    </w:p>
    <w:p w14:paraId="45A36EFA" w14:textId="33007672" w:rsidR="00FA3E61" w:rsidRPr="00EB1109" w:rsidRDefault="00FA3E61" w:rsidP="00FA3E61">
      <w:pPr>
        <w:pStyle w:val="LegalLevel2"/>
        <w:numPr>
          <w:ilvl w:val="1"/>
          <w:numId w:val="4"/>
        </w:numPr>
        <w:spacing w:before="240" w:line="240" w:lineRule="auto"/>
        <w:rPr>
          <w:sz w:val="20"/>
          <w:szCs w:val="20"/>
        </w:rPr>
      </w:pPr>
      <w:r>
        <w:rPr>
          <w:sz w:val="20"/>
          <w:szCs w:val="20"/>
          <w:u w:val="single"/>
        </w:rPr>
        <w:t>Encryption in Transit</w:t>
      </w:r>
      <w:r>
        <w:rPr>
          <w:sz w:val="20"/>
          <w:szCs w:val="20"/>
        </w:rPr>
        <w:t>. Service Provider shall encrypt all Customer Data in transit using Transport Layer Security (“TLS”) 1.2 or higher (or equivalent or stronger standard). Service Provider shall monitor and adopt updated encryption protocols as industry standards evolve and shall deprecate older protocol versions within the timelines recommended by NIST or equivalent standards body.</w:t>
      </w:r>
    </w:p>
    <w:p w14:paraId="29E5575F" w14:textId="55D2D767" w:rsidR="00FA3E61" w:rsidRPr="00EB1109" w:rsidRDefault="00FA3E61" w:rsidP="00FA3E61">
      <w:pPr>
        <w:pStyle w:val="LegalLevel2"/>
        <w:numPr>
          <w:ilvl w:val="1"/>
          <w:numId w:val="4"/>
        </w:numPr>
        <w:spacing w:before="240" w:line="240" w:lineRule="auto"/>
        <w:rPr>
          <w:sz w:val="20"/>
          <w:szCs w:val="20"/>
        </w:rPr>
      </w:pPr>
      <w:r>
        <w:rPr>
          <w:sz w:val="20"/>
          <w:szCs w:val="20"/>
          <w:u w:val="single"/>
        </w:rPr>
        <w:t>Key Management</w:t>
      </w:r>
      <w:r>
        <w:rPr>
          <w:sz w:val="20"/>
          <w:szCs w:val="20"/>
        </w:rPr>
        <w:t>. Service Provider shall implement and maintain a key management program that includes: (a) secure generation of encryption keys using cryptographically secure methods; (b) storage of encryption keys in a hardware security module (“HSM”) or cloud key management service (“KMS”) that enforces separation of duties between key administrators and data administrators; (c) automated key rotation at intervals not to exceed twelve (12) months (or shorter where required by Applicable Law or industry standards); (d) secure destruction of retired keys in accordance with NIST SP 800-57 or its successor; and (e) a prohibition on storing encryption keys alongside the data they protect.</w:t>
      </w:r>
    </w:p>
    <w:p w14:paraId="5E55963A" w14:textId="181B9DE9"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Customer-Managed Keys</w:t>
      </w:r>
      <w:r>
        <w:rPr>
          <w:sz w:val="20"/>
          <w:szCs w:val="20"/>
        </w:rPr>
        <w:t>. Where specified in the applicable Order Form, Service Provider shall support customer-managed encryption keys (“BYOK” or “CMK”), enabling Customer to generate, manage, rotate, and revoke encryption keys used to encrypt Customer Data at rest. Where CMK is implemented: (a) Service Provider shall not have the ability to access Customer Data without Customer’s key; (b) revocation of the key by Customer shall render the encrypted Customer Data inaccessible; and (c) Service Provider shall provide Customer with documentation of the key management architecture sufficient to enable Customer to assess key custody and access controls. Regardless of whether CMK is specified in the applicable Order Form, Service Provider shall, upon Customer’s request, provide a written description of its key management architecture, including the identity of key custodians and access controls.</w:t>
      </w:r>
    </w:p>
    <w:p w14:paraId="3307E718" w14:textId="6CCAA93F" w:rsidR="00CE41D9" w:rsidRPr="00DD39B9" w:rsidRDefault="00FA3E61" w:rsidP="00DD39B9">
      <w:pPr>
        <w:pStyle w:val="LegalLevel1"/>
        <w:numPr>
          <w:ilvl w:val="0"/>
          <w:numId w:val="4"/>
        </w:numPr>
        <w:tabs>
          <w:tab w:val="num" w:pos="1939"/>
        </w:tabs>
        <w:spacing w:before="240" w:line="240" w:lineRule="auto"/>
        <w:rPr>
          <w:sz w:val="20"/>
          <w:szCs w:val="20"/>
        </w:rPr>
      </w:pPr>
      <w:r>
        <w:rPr>
          <w:sz w:val="20"/>
          <w:szCs w:val="20"/>
          <w:u w:val="single"/>
        </w:rPr>
        <w:t>Network and Infrastructure Security</w:t>
      </w:r>
      <w:r>
        <w:rPr>
          <w:sz w:val="20"/>
          <w:szCs w:val="20"/>
        </w:rPr>
        <w:t>. Service Provider shall implement and maintain: (a) firewalls and intrusion detection/prevention systems; (b) network segmentation separating systems Processing Customer Data from other systems, including separation of management, production, and development networks; (c) web application firewalls for internet-facing applications; (d) distributed denial-of-service (“DDoS”) mitigation capabilities; and (e) secure configuration management in accordance with industry benchmarks (e.g., Center for Internet Security (“CIS”) Benchmarks or their successors).</w:t>
      </w:r>
    </w:p>
    <w:p w14:paraId="4FA0821E" w14:textId="3FFFEEE9"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Vulnerability Management and Patching</w:t>
      </w:r>
      <w:r>
        <w:rPr>
          <w:sz w:val="20"/>
          <w:szCs w:val="20"/>
        </w:rPr>
        <w:t>.</w:t>
      </w:r>
    </w:p>
    <w:p w14:paraId="5BAC98F5" w14:textId="07EDE23A" w:rsidR="00FA3E61" w:rsidRPr="00EB1109" w:rsidRDefault="00FA3E61" w:rsidP="00FA3E61">
      <w:pPr>
        <w:pStyle w:val="LegalLevel2"/>
        <w:numPr>
          <w:ilvl w:val="1"/>
          <w:numId w:val="4"/>
        </w:numPr>
        <w:spacing w:before="240" w:line="240" w:lineRule="auto"/>
        <w:rPr>
          <w:sz w:val="20"/>
          <w:szCs w:val="20"/>
        </w:rPr>
      </w:pPr>
      <w:r>
        <w:rPr>
          <w:sz w:val="20"/>
          <w:szCs w:val="20"/>
          <w:u w:val="single"/>
        </w:rPr>
        <w:t>Vulnerability Management Program</w:t>
      </w:r>
      <w:r>
        <w:rPr>
          <w:sz w:val="20"/>
          <w:szCs w:val="20"/>
        </w:rPr>
        <w:t xml:space="preserve">. Service Provider shall implement a vulnerability management program that includes: (a) regular automated vulnerability scanning of all systems Processing Customer Data (no less frequently than weekly for internet-facing systems and monthly for internal systems); (b) timely remediation of identified vulnerabilities based on severity: critical within forty-eight (48) hours, high within fourteen (14) days, medium within sixty (60) days, and low within ninety </w:t>
      </w:r>
      <w:r>
        <w:rPr>
          <w:sz w:val="20"/>
          <w:szCs w:val="20"/>
        </w:rPr>
        <w:lastRenderedPageBreak/>
        <w:t>(90) days; and (c) tracking and reporting of remediation status. Where remediation of a high-severity vulnerability cannot be completed within fourteen (14) days, Service Provider shall implement documented compensating controls within forty-eight (48) hours, provide Customer with a written remediation plan with target dates, and obtain Customer’s written approval for any interim risk acceptance that materially affects the confidentiality, integrity, or availability of Customer Data.</w:t>
      </w:r>
    </w:p>
    <w:p w14:paraId="0774C39A" w14:textId="1CC521E4" w:rsidR="00FA3E61" w:rsidRPr="00EB1109" w:rsidRDefault="00FA3E61" w:rsidP="00FA3E61">
      <w:pPr>
        <w:pStyle w:val="LegalLevel2"/>
        <w:numPr>
          <w:ilvl w:val="1"/>
          <w:numId w:val="4"/>
        </w:numPr>
        <w:spacing w:before="240" w:line="240" w:lineRule="auto"/>
        <w:rPr>
          <w:sz w:val="20"/>
          <w:szCs w:val="20"/>
        </w:rPr>
      </w:pPr>
      <w:r>
        <w:rPr>
          <w:sz w:val="20"/>
          <w:szCs w:val="20"/>
          <w:u w:val="single"/>
        </w:rPr>
        <w:t>Patching</w:t>
      </w:r>
      <w:r>
        <w:rPr>
          <w:sz w:val="20"/>
          <w:szCs w:val="20"/>
        </w:rPr>
        <w:t>. Service Provider shall apply security patches and updates to all systems Processing Customer Data in accordance with the remediation timelines in Section 10.1 (Vulnerability Management Program).</w:t>
      </w:r>
    </w:p>
    <w:p w14:paraId="2580A132" w14:textId="3FC9A260" w:rsidR="00FA3E61" w:rsidRPr="00EB1109" w:rsidRDefault="00FA3E61" w:rsidP="00FA3E61">
      <w:pPr>
        <w:pStyle w:val="LegalLevel2"/>
        <w:numPr>
          <w:ilvl w:val="1"/>
          <w:numId w:val="4"/>
        </w:numPr>
        <w:spacing w:before="240" w:line="240" w:lineRule="auto"/>
        <w:rPr>
          <w:sz w:val="20"/>
          <w:szCs w:val="20"/>
        </w:rPr>
      </w:pPr>
      <w:r>
        <w:rPr>
          <w:sz w:val="20"/>
          <w:szCs w:val="20"/>
          <w:u w:val="single"/>
        </w:rPr>
        <w:t>Zero-Day Vulnerability Response</w:t>
      </w:r>
      <w:r>
        <w:rPr>
          <w:sz w:val="20"/>
          <w:szCs w:val="20"/>
        </w:rPr>
        <w:t>. Upon identification of a Zero-Day Vulnerability affecting systems used to Process Customer Data, Service Provider shall: (a) implement available mitigations (including temporary workarounds, virtual patching, or compensating controls) within twenty-four (24) hours of identification; (b) notify Customer within twenty-four (24) hours of identification, including the nature of the vulnerability, the systems affected, and the mitigations deployed; (c) apply a permanent patch or fix within seventy-two (72) hours of its availability from the applicable vendor; and (d) provide Customer with a written summary of the vulnerability, mitigations, and permanent resolution within five (5) Business Days of resolution.</w:t>
      </w:r>
    </w:p>
    <w:p w14:paraId="52B4C21F" w14:textId="719CEFB6" w:rsidR="00FA3E61" w:rsidRPr="00EB1109" w:rsidRDefault="00FA3E61" w:rsidP="00FA3E61">
      <w:pPr>
        <w:pStyle w:val="LegalLevel2"/>
        <w:numPr>
          <w:ilvl w:val="1"/>
          <w:numId w:val="4"/>
        </w:numPr>
        <w:spacing w:before="240" w:line="240" w:lineRule="auto"/>
        <w:rPr>
          <w:sz w:val="20"/>
          <w:szCs w:val="20"/>
        </w:rPr>
      </w:pPr>
      <w:r>
        <w:rPr>
          <w:sz w:val="20"/>
          <w:szCs w:val="20"/>
          <w:u w:val="single"/>
        </w:rPr>
        <w:t>Vulnerability Disclosure Program</w:t>
      </w:r>
      <w:r>
        <w:rPr>
          <w:sz w:val="20"/>
          <w:szCs w:val="20"/>
        </w:rPr>
        <w:t>. Service Provider shall maintain a vulnerability disclosure program (or equivalent intake mechanism) through which external security researchers may report vulnerabilities in the Services. Service Provider shall acknowledge receipt of reported vulnerabilities within two (2) Business Days and shall triage and assess reported vulnerabilities within five (5) Business Days of receipt. Service Provider shall disclose to Customer the existence and status of any critical or high reported vulnerability (or any vulnerability being actively exploited in the wild) that reasonably could affect the confidentiality, integrity, or availability of Customer Data, and shall provide updates consistent with the remediation timelines in Section 10.1 (Vulnerability Management Program).</w:t>
      </w:r>
    </w:p>
    <w:p w14:paraId="7B87F99F" w14:textId="2CA504B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Penetration Testing</w:t>
      </w:r>
      <w:r>
        <w:rPr>
          <w:sz w:val="20"/>
          <w:szCs w:val="20"/>
        </w:rPr>
        <w:t>.</w:t>
      </w:r>
    </w:p>
    <w:p w14:paraId="2A804B37" w14:textId="51B2B406" w:rsidR="00FA3E61" w:rsidRPr="00EB1109" w:rsidRDefault="00FA3E61" w:rsidP="00FA3E61">
      <w:pPr>
        <w:pStyle w:val="LegalLevel2"/>
        <w:numPr>
          <w:ilvl w:val="1"/>
          <w:numId w:val="4"/>
        </w:numPr>
        <w:spacing w:before="240" w:line="240" w:lineRule="auto"/>
        <w:rPr>
          <w:sz w:val="20"/>
          <w:szCs w:val="20"/>
        </w:rPr>
      </w:pPr>
      <w:r>
        <w:rPr>
          <w:sz w:val="20"/>
          <w:szCs w:val="20"/>
          <w:u w:val="single"/>
        </w:rPr>
        <w:t>Annual Testing</w:t>
      </w:r>
      <w:r>
        <w:rPr>
          <w:sz w:val="20"/>
          <w:szCs w:val="20"/>
        </w:rPr>
        <w:t>. Service Provider shall engage a qualified independent third party to conduct penetration testing of the Services and supporting infrastructure at least annually. The scope of testing shall include application-level and network-level testing.</w:t>
      </w:r>
    </w:p>
    <w:p w14:paraId="16D2399A" w14:textId="32AEBEA6" w:rsidR="00FA3E61" w:rsidRPr="00EB1109" w:rsidRDefault="00FA3E61" w:rsidP="00FA3E61">
      <w:pPr>
        <w:pStyle w:val="LegalLevel2"/>
        <w:numPr>
          <w:ilvl w:val="1"/>
          <w:numId w:val="4"/>
        </w:numPr>
        <w:spacing w:before="240" w:line="240" w:lineRule="auto"/>
        <w:rPr>
          <w:sz w:val="20"/>
          <w:szCs w:val="20"/>
        </w:rPr>
      </w:pPr>
      <w:r>
        <w:rPr>
          <w:sz w:val="20"/>
          <w:szCs w:val="20"/>
          <w:u w:val="single"/>
        </w:rPr>
        <w:t>Reporting and Remediation</w:t>
      </w:r>
      <w:r>
        <w:rPr>
          <w:sz w:val="20"/>
          <w:szCs w:val="20"/>
        </w:rPr>
        <w:t xml:space="preserve">. Service Provider shall provide Customer with the full penetration test report (not solely an executive summary) within thirty (30) days of test completion, subject to confidentiality obligations no less protective than those set forth in Section 7 (Confidential Information) of the Master Agreement. Permitted redactions shall be limited to information that would reasonably enable exploitation (e.g., step-by-step exploit chains) and third party or other customer identifying information, and shall not remove or materially obscure findings, affected components, severity ratings, or remediation recommendations. The report </w:t>
      </w:r>
      <w:proofErr w:type="gramStart"/>
      <w:r>
        <w:rPr>
          <w:sz w:val="20"/>
          <w:szCs w:val="20"/>
        </w:rPr>
        <w:t>shall</w:t>
      </w:r>
      <w:proofErr w:type="gramEnd"/>
      <w:r>
        <w:rPr>
          <w:sz w:val="20"/>
          <w:szCs w:val="20"/>
        </w:rPr>
        <w:t xml:space="preserve"> include: (a) methodology and scope; (b) findings classified by severity; (c) evidence of exploitation where applicable; and (d) a remediation plan with severity-based remediation timelines consistent with the vulnerability management timelines in Section 10.1 (Vulnerability Management Program). Service Provider shall confirm remediation of all critical and high findings through re-testing and shall provide re-test results to Customer.</w:t>
      </w:r>
    </w:p>
    <w:p w14:paraId="19F87A67" w14:textId="1F74CD48" w:rsidR="00FA3E61" w:rsidRDefault="00FA3E61" w:rsidP="00FA3E61">
      <w:pPr>
        <w:pStyle w:val="LegalLevel2"/>
        <w:numPr>
          <w:ilvl w:val="1"/>
          <w:numId w:val="4"/>
        </w:numPr>
        <w:spacing w:before="240" w:line="240" w:lineRule="auto"/>
        <w:rPr>
          <w:sz w:val="20"/>
          <w:szCs w:val="20"/>
        </w:rPr>
      </w:pPr>
      <w:r>
        <w:rPr>
          <w:sz w:val="20"/>
          <w:szCs w:val="20"/>
          <w:u w:val="single"/>
        </w:rPr>
        <w:t>Customer-Initiated Testing</w:t>
      </w:r>
      <w:r>
        <w:rPr>
          <w:sz w:val="20"/>
          <w:szCs w:val="20"/>
        </w:rPr>
        <w:t>. Customer shall have the right, upon not less than fifteen (15) Business Days’ prior written notice, to conduct or commission its own penetration testing of the Services at Customer’s expense, subject to reasonable scope and scheduling coordination with Service Provider. Service Provider shall respond to Customer’s testing request within five (5) Business Days and shall not unreasonably withhold, condition, or delay approval. The Parties shall mutually agree on a testing window within thirty (30) days of Customer’s request.</w:t>
      </w:r>
    </w:p>
    <w:p w14:paraId="637CB8BB" w14:textId="77777777" w:rsidR="00DD39B9" w:rsidRPr="00EB1109" w:rsidRDefault="00DD39B9" w:rsidP="00DD39B9">
      <w:pPr>
        <w:pStyle w:val="LegalLevel2"/>
        <w:numPr>
          <w:ilvl w:val="0"/>
          <w:numId w:val="0"/>
        </w:numPr>
        <w:spacing w:before="240" w:line="240" w:lineRule="auto"/>
        <w:ind w:left="1440"/>
        <w:rPr>
          <w:sz w:val="20"/>
          <w:szCs w:val="20"/>
        </w:rPr>
      </w:pPr>
    </w:p>
    <w:p w14:paraId="6C7C7065" w14:textId="5EF406AA"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Secure Software Development Lifecycle</w:t>
      </w:r>
      <w:r>
        <w:rPr>
          <w:sz w:val="20"/>
          <w:szCs w:val="20"/>
        </w:rPr>
        <w:t>.</w:t>
      </w:r>
    </w:p>
    <w:p w14:paraId="7CF0CE9F" w14:textId="2D6FDFEC" w:rsidR="00FA3E61" w:rsidRPr="00EB1109" w:rsidRDefault="00FA3E61" w:rsidP="00FA3E61">
      <w:pPr>
        <w:pStyle w:val="LegalLevel2"/>
        <w:numPr>
          <w:ilvl w:val="1"/>
          <w:numId w:val="4"/>
        </w:numPr>
        <w:spacing w:before="240" w:line="240" w:lineRule="auto"/>
        <w:rPr>
          <w:sz w:val="20"/>
          <w:szCs w:val="20"/>
        </w:rPr>
      </w:pPr>
      <w:r>
        <w:rPr>
          <w:sz w:val="20"/>
          <w:szCs w:val="20"/>
          <w:u w:val="single"/>
        </w:rPr>
        <w:t>SDLC Program</w:t>
      </w:r>
      <w:r>
        <w:rPr>
          <w:sz w:val="20"/>
          <w:szCs w:val="20"/>
        </w:rPr>
        <w:t>. Service Provider shall maintain a secure software development lifecycle (“SDLC”) program that includes: (a) security requirements analysis during design; (b) secure coding practices and standards; (c) static application security testing (“SAST”) and dynamic application security testing (“DAST”) integrated into the development pipeline; (d) security testing prior to release; (e) dependency management and monitoring for third party libraries and open-source components; and (f) segregation of development, testing, and production environments.</w:t>
      </w:r>
    </w:p>
    <w:p w14:paraId="3D339463" w14:textId="37EE2F09" w:rsidR="00FA3E61" w:rsidRPr="00EB1109" w:rsidRDefault="00FA3E61" w:rsidP="00FA3E61">
      <w:pPr>
        <w:pStyle w:val="LegalLevel2"/>
        <w:numPr>
          <w:ilvl w:val="1"/>
          <w:numId w:val="4"/>
        </w:numPr>
        <w:spacing w:before="240" w:line="240" w:lineRule="auto"/>
        <w:rPr>
          <w:sz w:val="20"/>
          <w:szCs w:val="20"/>
        </w:rPr>
      </w:pPr>
      <w:r>
        <w:rPr>
          <w:sz w:val="20"/>
          <w:szCs w:val="20"/>
          <w:u w:val="single"/>
        </w:rPr>
        <w:t>Production Data Restrictions</w:t>
      </w:r>
      <w:r>
        <w:rPr>
          <w:sz w:val="20"/>
          <w:szCs w:val="20"/>
        </w:rPr>
        <w:t>. Service Provider shall not use production Customer Data in any development, test, sandbox, or staging environment without Customer’s prior written consent. If Customer consents to the use of Customer Data in a non-production environment, Service Provider shall apply anonymization, pseudonymization, or equivalent de-identification techniques sufficient to render such data non-identifiable prior to use, and shall apply security safeguards to such environment that are no less protective than those applied to the production environment.</w:t>
      </w:r>
    </w:p>
    <w:p w14:paraId="7ED05FB8" w14:textId="478F3EFD" w:rsidR="00FA3E61" w:rsidRPr="00EB1109" w:rsidRDefault="00FA3E61" w:rsidP="00FA3E61">
      <w:pPr>
        <w:pStyle w:val="LegalLevel2"/>
        <w:numPr>
          <w:ilvl w:val="1"/>
          <w:numId w:val="4"/>
        </w:numPr>
        <w:spacing w:before="240" w:line="240" w:lineRule="auto"/>
        <w:rPr>
          <w:sz w:val="20"/>
          <w:szCs w:val="20"/>
        </w:rPr>
      </w:pPr>
      <w:r>
        <w:rPr>
          <w:sz w:val="20"/>
          <w:szCs w:val="20"/>
          <w:u w:val="single"/>
        </w:rPr>
        <w:t>Software Bill of Materials</w:t>
      </w:r>
      <w:r>
        <w:rPr>
          <w:sz w:val="20"/>
          <w:szCs w:val="20"/>
        </w:rPr>
        <w:t xml:space="preserve">. Service Provider shall, upon Customer’s written request, provide a software bill of materials (“SBOM”) for the Services, identifying all third party and open-source components, libraries, and frameworks incorporated into the Services, including version numbers and known license types. Service Provider </w:t>
      </w:r>
      <w:proofErr w:type="gramStart"/>
      <w:r>
        <w:rPr>
          <w:sz w:val="20"/>
          <w:szCs w:val="20"/>
        </w:rPr>
        <w:t>shall</w:t>
      </w:r>
      <w:proofErr w:type="gramEnd"/>
      <w:r>
        <w:rPr>
          <w:sz w:val="20"/>
          <w:szCs w:val="20"/>
        </w:rPr>
        <w:t xml:space="preserve"> update and provide a revised SBOM at least annually and upon any major release of the Services.</w:t>
      </w:r>
    </w:p>
    <w:p w14:paraId="1AF51A2B" w14:textId="3AD7F93F" w:rsidR="00FA3E61" w:rsidRPr="00EB1109" w:rsidRDefault="00FA3E61" w:rsidP="00FA3E61">
      <w:pPr>
        <w:pStyle w:val="LegalLevel2"/>
        <w:numPr>
          <w:ilvl w:val="1"/>
          <w:numId w:val="4"/>
        </w:numPr>
        <w:spacing w:before="240" w:line="240" w:lineRule="auto"/>
        <w:rPr>
          <w:sz w:val="20"/>
          <w:szCs w:val="20"/>
        </w:rPr>
      </w:pPr>
      <w:r>
        <w:rPr>
          <w:sz w:val="20"/>
          <w:szCs w:val="20"/>
          <w:u w:val="single"/>
        </w:rPr>
        <w:t>Software Supply Chain Controls</w:t>
      </w:r>
      <w:r>
        <w:rPr>
          <w:sz w:val="20"/>
          <w:szCs w:val="20"/>
        </w:rPr>
        <w:t>. Service Provider shall implement and maintain controls to protect the integrity of its software supply chain, including: (a) secrets scanning in source code repositories; (b) signed builds and artifacts with verifiable provenance; (c) dependency pinning to prevent unauthorized substitution of third party components; (d) CI/CD pipeline security controls, including access controls, audit logging, and integrity checks; and (e) monitoring for known vulnerabilities in third party dependencies with automated alerting when new vulnerabilities are published.</w:t>
      </w:r>
    </w:p>
    <w:p w14:paraId="47F9B511" w14:textId="2D51E381"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Physical Security</w:t>
      </w:r>
      <w:r>
        <w:rPr>
          <w:sz w:val="20"/>
          <w:szCs w:val="20"/>
        </w:rPr>
        <w:t xml:space="preserve">. Service Provider shall implement and maintain physical security controls for all facilities from which Customer Data is accessed, stored, or </w:t>
      </w:r>
      <w:proofErr w:type="gramStart"/>
      <w:r>
        <w:rPr>
          <w:sz w:val="20"/>
          <w:szCs w:val="20"/>
        </w:rPr>
        <w:t>Processed</w:t>
      </w:r>
      <w:proofErr w:type="gramEnd"/>
      <w:r>
        <w:rPr>
          <w:sz w:val="20"/>
          <w:szCs w:val="20"/>
        </w:rPr>
        <w:t>, including: (a) controlled physical access with authentication mechanisms; (b) visitor management procedures; (c) video surveillance and monitoring; (d) environmental controls (fire suppression, climate control, water detection); and (e) secure disposal of physical media.</w:t>
      </w:r>
    </w:p>
    <w:p w14:paraId="51A43806" w14:textId="21A0524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Incident Response and Breach Notification</w:t>
      </w:r>
      <w:r>
        <w:rPr>
          <w:sz w:val="20"/>
          <w:szCs w:val="20"/>
        </w:rPr>
        <w:t>.</w:t>
      </w:r>
    </w:p>
    <w:p w14:paraId="240618C5" w14:textId="0B90353E" w:rsidR="00FA3E61" w:rsidRPr="00EB1109" w:rsidRDefault="00FA3E61" w:rsidP="00FA3E61">
      <w:pPr>
        <w:pStyle w:val="LegalLevel2"/>
        <w:numPr>
          <w:ilvl w:val="1"/>
          <w:numId w:val="4"/>
        </w:numPr>
        <w:spacing w:before="240" w:line="240" w:lineRule="auto"/>
        <w:rPr>
          <w:sz w:val="20"/>
          <w:szCs w:val="20"/>
        </w:rPr>
      </w:pPr>
      <w:r>
        <w:rPr>
          <w:sz w:val="20"/>
          <w:szCs w:val="20"/>
          <w:u w:val="single"/>
        </w:rPr>
        <w:t>Incident Response Plan</w:t>
      </w:r>
      <w:r>
        <w:rPr>
          <w:sz w:val="20"/>
          <w:szCs w:val="20"/>
        </w:rPr>
        <w:t>. Service Provider shall maintain a documented incident response plan that is tested at least annually through tabletop exercises, simulations, or equivalent methods, and that addresses identification, containment, eradication, recovery, evidence preservation, and post-incident review of Security Incidents.</w:t>
      </w:r>
    </w:p>
    <w:p w14:paraId="18F10833" w14:textId="447D2266" w:rsidR="00FA3E61" w:rsidRPr="00EB1109" w:rsidRDefault="00FA3E61" w:rsidP="00FA3E61">
      <w:pPr>
        <w:pStyle w:val="LegalLevel2"/>
        <w:numPr>
          <w:ilvl w:val="1"/>
          <w:numId w:val="4"/>
        </w:numPr>
        <w:spacing w:before="240" w:line="240" w:lineRule="auto"/>
        <w:rPr>
          <w:sz w:val="20"/>
          <w:szCs w:val="20"/>
        </w:rPr>
      </w:pPr>
      <w:r>
        <w:rPr>
          <w:sz w:val="20"/>
          <w:szCs w:val="20"/>
          <w:u w:val="single"/>
        </w:rPr>
        <w:t>Notification</w:t>
      </w:r>
      <w:r>
        <w:rPr>
          <w:sz w:val="20"/>
          <w:szCs w:val="20"/>
        </w:rPr>
        <w:t>. Service Provider shall notify Customer of any Security Incident without undue delay and in no event later than twenty-four (24) hours after Becoming Aware of a Security Incident. Such notification shall include, to the extent known: (a) the nature of the Security Incident; (b) the categories and approximate number of Data Subjects and records affected; (c) the likely consequences of the Security Incident; (d) the measures taken or proposed to address the Security Incident and mitigate its effects; and (e) the identity and contact information of Service Provider’s designated incident response contact.</w:t>
      </w:r>
    </w:p>
    <w:p w14:paraId="71D43CB4" w14:textId="0F9D7567" w:rsidR="00FA3E61" w:rsidRPr="00EB1109" w:rsidRDefault="00FA3E61" w:rsidP="00FA3E61">
      <w:pPr>
        <w:pStyle w:val="LegalLevel2"/>
        <w:numPr>
          <w:ilvl w:val="1"/>
          <w:numId w:val="4"/>
        </w:numPr>
        <w:spacing w:before="240" w:line="240" w:lineRule="auto"/>
        <w:rPr>
          <w:sz w:val="20"/>
          <w:szCs w:val="20"/>
        </w:rPr>
      </w:pPr>
      <w:r>
        <w:rPr>
          <w:sz w:val="20"/>
          <w:szCs w:val="20"/>
          <w:u w:val="single"/>
        </w:rPr>
        <w:t>Status Updates</w:t>
      </w:r>
      <w:r>
        <w:rPr>
          <w:sz w:val="20"/>
          <w:szCs w:val="20"/>
        </w:rPr>
        <w:t xml:space="preserve">. Service Provider shall provide Customer with status updates at least every twelve (12) hours during active incident investigation and containment, and at least every twenty-four (24) hours during remediation, until the Security Incident is fully resolved. Updates shall include: (a) </w:t>
      </w:r>
      <w:proofErr w:type="gramStart"/>
      <w:r>
        <w:rPr>
          <w:sz w:val="20"/>
          <w:szCs w:val="20"/>
        </w:rPr>
        <w:t>current status</w:t>
      </w:r>
      <w:proofErr w:type="gramEnd"/>
      <w:r>
        <w:rPr>
          <w:sz w:val="20"/>
          <w:szCs w:val="20"/>
        </w:rPr>
        <w:t xml:space="preserve"> of containment and remediation; (b) any changes to the scope or severity assessment; (c) newly identified affected data or systems; and (d) estimated time to resolution.</w:t>
      </w:r>
    </w:p>
    <w:p w14:paraId="7629BDB9" w14:textId="728C3B29"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Cooperation and Evidence Preservation</w:t>
      </w:r>
      <w:r>
        <w:rPr>
          <w:sz w:val="20"/>
          <w:szCs w:val="20"/>
        </w:rPr>
        <w:t>. Service Provider shall: (a) cooperate fully with Customer’s incident response procedures and investigations; (b) take immediate steps to contain and remediate the Security Incident at Service Provider’s sole cost and expense; (c) preserve all relevant evidence in a forensically sound manner, including log files, system images, network captures, and access records, and maintain such evidence for not less than three (3) years or the duration of any resulting litigation or regulatory proceeding, whichever is longer; (d) provide Customer with access to relevant logs and forensic artifacts upon request, subject to reasonable protections for other customers’ data; (e) not make any public announcement or notification to Data Subjects regarding the Security Incident without Customer’s prior written consent (unless required by Applicable Law, in which case Service Provider shall consult with Customer to the extent permitted); and (f) not intentionally destroy, materially alter, or render inaccessible evidence that Service Provider has identified as relevant to the Security Incident after preserving forensically sound copies of such evidence; provided that Service Provider may continue routine system operations (including log rotation) so long as relevant evidence has been preserved and maintained in accordance with this Section. For purposes of this subsection, “relevant” means reasonably necessary to investigate the Security Incident’s cause, scope, containment, remediation, and impact on Customer Data.</w:t>
      </w:r>
    </w:p>
    <w:p w14:paraId="3A60579F" w14:textId="54E768F3" w:rsidR="00FA3E61" w:rsidRPr="00EB1109" w:rsidRDefault="00FA3E61" w:rsidP="00FA3E61">
      <w:pPr>
        <w:pStyle w:val="LegalLevel2"/>
        <w:numPr>
          <w:ilvl w:val="1"/>
          <w:numId w:val="4"/>
        </w:numPr>
        <w:spacing w:before="240" w:line="240" w:lineRule="auto"/>
        <w:rPr>
          <w:sz w:val="20"/>
          <w:szCs w:val="20"/>
        </w:rPr>
      </w:pPr>
      <w:r>
        <w:rPr>
          <w:sz w:val="20"/>
          <w:szCs w:val="20"/>
          <w:u w:val="single"/>
        </w:rPr>
        <w:t>Incident Cost Allocation</w:t>
      </w:r>
      <w:r>
        <w:rPr>
          <w:sz w:val="20"/>
          <w:szCs w:val="20"/>
        </w:rPr>
        <w:t>. Service Provider shall bear all costs and expenses arising from a Security Incident attributable to Service Provider, its Subcontractors, or its Sub-processors, including forensic investigation, notification, credit monitoring, call center support, public relations, legal fees, regulatory fines (to the extent insurable and indemnifiable by law), and remediation.</w:t>
      </w:r>
    </w:p>
    <w:p w14:paraId="1D0E3A84" w14:textId="0AD146A9" w:rsidR="00FA3E61" w:rsidRPr="00EB1109" w:rsidRDefault="00FA3E61" w:rsidP="00FA3E61">
      <w:pPr>
        <w:pStyle w:val="LegalLevel2"/>
        <w:numPr>
          <w:ilvl w:val="1"/>
          <w:numId w:val="4"/>
        </w:numPr>
        <w:spacing w:before="240" w:line="240" w:lineRule="auto"/>
        <w:rPr>
          <w:sz w:val="20"/>
          <w:szCs w:val="20"/>
        </w:rPr>
      </w:pPr>
      <w:r>
        <w:rPr>
          <w:sz w:val="20"/>
          <w:szCs w:val="20"/>
          <w:u w:val="single"/>
        </w:rPr>
        <w:t>Post-Incident Reporting</w:t>
      </w:r>
      <w:r>
        <w:rPr>
          <w:sz w:val="20"/>
          <w:szCs w:val="20"/>
        </w:rPr>
        <w:t>. Service Provider shall provide Customer with: (a) an initial written root cause analysis within ten (10) Business Days of the resolution of any Security Incident, including a preliminary identification of the root cause, the remediation measures implemented, and the immediate steps taken to prevent recurrence; and (b) a final post-incident report within thirty (30) days of resolution, including a detailed timeline of events, a confirmed root cause analysis, a comprehensive description of all remediation measures, and a forward-looking plan to prevent recurrence.</w:t>
      </w:r>
    </w:p>
    <w:p w14:paraId="45E7A5EE" w14:textId="0594A685" w:rsidR="00FA3E61" w:rsidRPr="00EB1109" w:rsidRDefault="006927EF" w:rsidP="00FA3E61">
      <w:pPr>
        <w:pStyle w:val="LegalLevel1"/>
        <w:numPr>
          <w:ilvl w:val="0"/>
          <w:numId w:val="4"/>
        </w:numPr>
        <w:tabs>
          <w:tab w:val="num" w:pos="1939"/>
        </w:tabs>
        <w:spacing w:before="240" w:line="240" w:lineRule="auto"/>
        <w:rPr>
          <w:sz w:val="20"/>
          <w:szCs w:val="20"/>
        </w:rPr>
      </w:pPr>
      <w:r>
        <w:rPr>
          <w:sz w:val="20"/>
          <w:szCs w:val="20"/>
          <w:u w:val="single"/>
        </w:rPr>
        <w:t>Security Questionnaire and Change Notification</w:t>
      </w:r>
      <w:r>
        <w:rPr>
          <w:sz w:val="20"/>
          <w:szCs w:val="20"/>
        </w:rPr>
        <w:t>.</w:t>
      </w:r>
    </w:p>
    <w:p w14:paraId="62D57C57" w14:textId="253B3E69" w:rsidR="00FA3E61" w:rsidRPr="00EB1109" w:rsidRDefault="00FA3E61" w:rsidP="00FA3E61">
      <w:pPr>
        <w:pStyle w:val="LegalLevel2"/>
        <w:numPr>
          <w:ilvl w:val="1"/>
          <w:numId w:val="4"/>
        </w:numPr>
        <w:spacing w:before="240" w:line="240" w:lineRule="auto"/>
        <w:rPr>
          <w:sz w:val="20"/>
          <w:szCs w:val="20"/>
        </w:rPr>
      </w:pPr>
      <w:r>
        <w:rPr>
          <w:sz w:val="20"/>
          <w:szCs w:val="20"/>
          <w:u w:val="single"/>
        </w:rPr>
        <w:t>Security Questionnaire</w:t>
      </w:r>
      <w:r>
        <w:rPr>
          <w:sz w:val="20"/>
          <w:szCs w:val="20"/>
        </w:rPr>
        <w:t>. Service Provider represents that, prior to the Effective Date, it has completed Customer’s information security questionnaire (or industry-standard equivalent, such as a Standardized Information Gathering (“SIG”) questionnaire or Consensus Assessments Initiative Questionnaire (“CAIQ”)). Upon Customer’s reasonable request, Service Provider shall complete such questionnaire thereafter, but no more frequently than annually unless a Security Incident has occurred.</w:t>
      </w:r>
    </w:p>
    <w:p w14:paraId="1BF6D112" w14:textId="361EF028" w:rsidR="00D97A3F" w:rsidRPr="00CE41D9" w:rsidRDefault="00FA3E61" w:rsidP="00CE41D9">
      <w:pPr>
        <w:pStyle w:val="LegalLevel2"/>
        <w:numPr>
          <w:ilvl w:val="1"/>
          <w:numId w:val="4"/>
        </w:numPr>
        <w:spacing w:before="240" w:line="240" w:lineRule="auto"/>
        <w:rPr>
          <w:sz w:val="20"/>
          <w:szCs w:val="20"/>
        </w:rPr>
      </w:pPr>
      <w:r>
        <w:rPr>
          <w:sz w:val="20"/>
          <w:szCs w:val="20"/>
          <w:u w:val="single"/>
        </w:rPr>
        <w:t>Change Notification</w:t>
      </w:r>
      <w:r>
        <w:rPr>
          <w:sz w:val="20"/>
          <w:szCs w:val="20"/>
        </w:rPr>
        <w:t>. Service Provider shall notify Customer promptly of any Material Security Change to its Security Program or any event that may materially affect the security of Customer Data.</w:t>
      </w:r>
    </w:p>
    <w:p w14:paraId="0A55610F"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Audit Reports and Certifications</w:t>
      </w:r>
      <w:r>
        <w:rPr>
          <w:sz w:val="20"/>
          <w:szCs w:val="20"/>
        </w:rPr>
        <w:t>.</w:t>
      </w:r>
    </w:p>
    <w:p w14:paraId="0879212B" w14:textId="3B1C623B" w:rsidR="00FA3E61" w:rsidRPr="00EB1109" w:rsidRDefault="00FA3E61" w:rsidP="00FA3E61">
      <w:pPr>
        <w:pStyle w:val="LegalLevel2"/>
        <w:numPr>
          <w:ilvl w:val="1"/>
          <w:numId w:val="4"/>
        </w:numPr>
        <w:spacing w:before="240" w:line="240" w:lineRule="auto"/>
        <w:rPr>
          <w:sz w:val="20"/>
          <w:szCs w:val="20"/>
        </w:rPr>
      </w:pPr>
      <w:r>
        <w:rPr>
          <w:sz w:val="20"/>
          <w:szCs w:val="20"/>
          <w:u w:val="single"/>
        </w:rPr>
        <w:t>SOC 2 Audit</w:t>
      </w:r>
      <w:r>
        <w:rPr>
          <w:sz w:val="20"/>
          <w:szCs w:val="20"/>
        </w:rPr>
        <w:t xml:space="preserve">. Service Provider shall, at its sole cost and expense, engage an independent </w:t>
      </w:r>
      <w:proofErr w:type="gramStart"/>
      <w:r>
        <w:rPr>
          <w:sz w:val="20"/>
          <w:szCs w:val="20"/>
        </w:rPr>
        <w:t>third party</w:t>
      </w:r>
      <w:proofErr w:type="gramEnd"/>
      <w:r>
        <w:rPr>
          <w:sz w:val="20"/>
          <w:szCs w:val="20"/>
        </w:rPr>
        <w:t xml:space="preserve"> auditor to conduct an annual System and Organization Controls 2 (“SOC 2”) Type 2 audit covering the security, availability, and confidentiality Trust Services Criteria (or equivalent audit framework as agreed by the Parties). Service Provider shall provide Customer with a copy of the audit report within thirty (30) days of completion.</w:t>
      </w:r>
    </w:p>
    <w:p w14:paraId="29FA2240" w14:textId="6276292D" w:rsidR="00FA3E61" w:rsidRPr="00EB1109" w:rsidRDefault="00FA3E61" w:rsidP="00FA3E61">
      <w:pPr>
        <w:pStyle w:val="LegalLevel2"/>
        <w:numPr>
          <w:ilvl w:val="1"/>
          <w:numId w:val="4"/>
        </w:numPr>
        <w:spacing w:before="240" w:line="240" w:lineRule="auto"/>
        <w:rPr>
          <w:sz w:val="20"/>
          <w:szCs w:val="20"/>
        </w:rPr>
      </w:pPr>
      <w:r>
        <w:rPr>
          <w:sz w:val="20"/>
          <w:szCs w:val="20"/>
          <w:u w:val="single"/>
        </w:rPr>
        <w:t>Additional Certifications</w:t>
      </w:r>
      <w:r>
        <w:rPr>
          <w:sz w:val="20"/>
          <w:szCs w:val="20"/>
        </w:rPr>
        <w:t xml:space="preserve">. Service Provider shall maintain, and provide evidence of, such additional certifications as specified in the applicable Order Form or as reasonably requested by Customer, which may include ISO/IEC 27001, Cloud Security Alliance Security, Trust, Assurance, and Risk (“CSA STAR”), Federal Risk and Authorization Management Program (“FedRAMP”), or Health </w:t>
      </w:r>
      <w:r>
        <w:rPr>
          <w:sz w:val="20"/>
          <w:szCs w:val="20"/>
        </w:rPr>
        <w:lastRenderedPageBreak/>
        <w:t>Information Trust Alliance (“HITRUST”), as applicable to the nature of the Services and the data classification.</w:t>
      </w:r>
    </w:p>
    <w:p w14:paraId="7C00AA7E" w14:textId="6A167EA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Customer Audit Rights</w:t>
      </w:r>
      <w:r>
        <w:rPr>
          <w:sz w:val="20"/>
          <w:szCs w:val="20"/>
        </w:rPr>
        <w:t>.</w:t>
      </w:r>
    </w:p>
    <w:p w14:paraId="5FE70E91" w14:textId="2A806A2C" w:rsidR="00FA3E61" w:rsidRPr="004B430D" w:rsidRDefault="00FA3E61" w:rsidP="004B430D">
      <w:pPr>
        <w:pStyle w:val="LegalLevel2"/>
        <w:numPr>
          <w:ilvl w:val="1"/>
          <w:numId w:val="4"/>
        </w:numPr>
        <w:tabs>
          <w:tab w:val="clear" w:pos="1440"/>
          <w:tab w:val="clear" w:pos="1939"/>
        </w:tabs>
        <w:spacing w:before="240" w:line="240" w:lineRule="auto"/>
        <w:ind w:hanging="630"/>
        <w:rPr>
          <w:sz w:val="20"/>
          <w:szCs w:val="20"/>
        </w:rPr>
      </w:pPr>
      <w:r>
        <w:rPr>
          <w:sz w:val="20"/>
          <w:szCs w:val="20"/>
          <w:u w:val="single"/>
        </w:rPr>
        <w:t>Audit Right</w:t>
      </w:r>
      <w:r>
        <w:rPr>
          <w:sz w:val="20"/>
          <w:szCs w:val="20"/>
        </w:rPr>
        <w:t xml:space="preserve">. Customer (or its designated </w:t>
      </w:r>
      <w:proofErr w:type="gramStart"/>
      <w:r>
        <w:rPr>
          <w:sz w:val="20"/>
          <w:szCs w:val="20"/>
        </w:rPr>
        <w:t>third party</w:t>
      </w:r>
      <w:proofErr w:type="gramEnd"/>
      <w:r>
        <w:rPr>
          <w:sz w:val="20"/>
          <w:szCs w:val="20"/>
        </w:rPr>
        <w:t xml:space="preserve"> auditor, subject to reasonable confidentiality obligations) shall have the right, upon not less than fifteen (15) Business Days’ prior written notice, to conduct audits of Service Provider’s Security Program, including on-site inspections, interviews, documentation review, and technical assessments, to verify compliance with this Data Security Addendum. Audits shall be conducted during normal Business Hours and in a manner designed to minimize disruption to Service Provider’s operations. Customer’s auditor shall not use vulnerability scanning or penetration testing tools during an audit except (a) for tenant-scoped, non-disruptive testing of Customer’s own environment, and (b) as otherwise approved by Service Provider; provided that Service Provider shall respond to any such request within three (3) Business Days and shall not unreasonably withhold, condition, or delay approval for testing that is reasonably designed to avoid disruption to Service Provider’s operations and exposure of other customers’ data. Comprehensive penetration testing is separately governed by Section 11 (Penetration Testing). [Alternative: “17.1 </w:t>
      </w:r>
      <w:r>
        <w:rPr>
          <w:sz w:val="20"/>
          <w:szCs w:val="20"/>
          <w:u w:val="single"/>
        </w:rPr>
        <w:t>Reports-First Approach</w:t>
      </w:r>
      <w:r>
        <w:rPr>
          <w:sz w:val="20"/>
          <w:szCs w:val="20"/>
        </w:rPr>
        <w:t xml:space="preserve">. Service Provider shall, upon Customer’s request, provide Customer with its then-current SOC 2 Type 2 report (or equivalent audit report), any additional certifications required under Section 16 (Audit Reports and Certifications), and a completed Standardized Information Gathering (“SIG”) questionnaire, Consensus Assessments Initiative Questionnaire (“CAIQ”), or equivalent industry-standard questionnaire. </w:t>
      </w:r>
      <w:proofErr w:type="gramStart"/>
      <w:r>
        <w:rPr>
          <w:sz w:val="20"/>
          <w:szCs w:val="20"/>
        </w:rPr>
        <w:t>Customer</w:t>
      </w:r>
      <w:proofErr w:type="gramEnd"/>
      <w:r>
        <w:rPr>
          <w:sz w:val="20"/>
          <w:szCs w:val="20"/>
        </w:rPr>
        <w:t xml:space="preserve"> </w:t>
      </w:r>
      <w:proofErr w:type="gramStart"/>
      <w:r>
        <w:rPr>
          <w:sz w:val="20"/>
          <w:szCs w:val="20"/>
        </w:rPr>
        <w:t>shall</w:t>
      </w:r>
      <w:proofErr w:type="gramEnd"/>
      <w:r>
        <w:rPr>
          <w:sz w:val="20"/>
          <w:szCs w:val="20"/>
        </w:rPr>
        <w:t xml:space="preserve"> review such materials and may submit reasonable follow-up inquiries, to which Service Provider </w:t>
      </w:r>
      <w:proofErr w:type="gramStart"/>
      <w:r>
        <w:rPr>
          <w:sz w:val="20"/>
          <w:szCs w:val="20"/>
        </w:rPr>
        <w:t>shall</w:t>
      </w:r>
      <w:proofErr w:type="gramEnd"/>
      <w:r>
        <w:rPr>
          <w:sz w:val="20"/>
          <w:szCs w:val="20"/>
        </w:rPr>
        <w:t xml:space="preserve"> respond within ten (10) Business Days. Customer may proceed to an on-site audit under this Section only where: (a) such materials are unavailable or are not provided within thirty (30) days of Customer’s request; (b) such materials are insufficient to address a reasonable security or compliance concern identified by Customer in writing; (c) a Security Incident has occurred; or (d) Customer has reasonable grounds to believe that Service Provider is not in compliance with this Data Security Addendum. Where Customer proceeds to an on-site audit, such audit shall be conducted in accordance with the scope, notice, and cooperation provisions of this Section. Service Provider shall bear the costs of providing the foregoing materials.”]</w:t>
      </w:r>
    </w:p>
    <w:p w14:paraId="3E26C2B8" w14:textId="136601E0" w:rsidR="00FA3E61" w:rsidRPr="00EB1109" w:rsidRDefault="00FA3E61" w:rsidP="00FA3E61">
      <w:pPr>
        <w:pStyle w:val="LegalLevel2"/>
        <w:numPr>
          <w:ilvl w:val="1"/>
          <w:numId w:val="4"/>
        </w:numPr>
        <w:spacing w:before="240" w:line="240" w:lineRule="auto"/>
        <w:rPr>
          <w:sz w:val="20"/>
          <w:szCs w:val="20"/>
        </w:rPr>
      </w:pPr>
      <w:r>
        <w:rPr>
          <w:sz w:val="20"/>
          <w:szCs w:val="20"/>
          <w:u w:val="single"/>
        </w:rPr>
        <w:t>Audit Frequency and Cooperation</w:t>
      </w:r>
      <w:r>
        <w:rPr>
          <w:sz w:val="20"/>
          <w:szCs w:val="20"/>
        </w:rPr>
        <w:t>. Service Provider shall cooperate fully with any such audit and shall provide reasonable access to facilities, systems, personnel, and records. Customer may conduct such audits no more than once per twelve-month period, unless a Security Incident has occurred or Customer has reasonable grounds to believe that Service Provider is not in compliance with this Data Security Addendum.</w:t>
      </w:r>
    </w:p>
    <w:p w14:paraId="7008D1DA" w14:textId="4B62AE83" w:rsidR="00FA3E61" w:rsidRPr="00EB1109" w:rsidRDefault="00FA3E61" w:rsidP="00FA3E61">
      <w:pPr>
        <w:pStyle w:val="LegalLevel2"/>
        <w:numPr>
          <w:ilvl w:val="1"/>
          <w:numId w:val="4"/>
        </w:numPr>
        <w:spacing w:before="240" w:line="240" w:lineRule="auto"/>
        <w:rPr>
          <w:sz w:val="20"/>
          <w:szCs w:val="20"/>
        </w:rPr>
      </w:pPr>
      <w:r>
        <w:rPr>
          <w:sz w:val="20"/>
          <w:szCs w:val="20"/>
          <w:u w:val="single"/>
        </w:rPr>
        <w:t>Cost Allocation</w:t>
      </w:r>
      <w:r>
        <w:rPr>
          <w:sz w:val="20"/>
          <w:szCs w:val="20"/>
        </w:rPr>
        <w:t>. Customer shall bear the costs of routine audits conducted under this Section. Service Provider shall bear the costs of: (a) any re-audit necessitated by Service Provider’s failure to remediate previously identified Material Deficiencies; (b) any audit triggered by a Security Incident attributable to Service Provider; and (c) its own personnel and resources in cooperating with any audit.</w:t>
      </w:r>
    </w:p>
    <w:p w14:paraId="1D677D33" w14:textId="3AEAD0A3" w:rsidR="00FA3E61" w:rsidRDefault="00FA3E61" w:rsidP="00FA3E61">
      <w:pPr>
        <w:pStyle w:val="LegalLevel2"/>
        <w:numPr>
          <w:ilvl w:val="1"/>
          <w:numId w:val="4"/>
        </w:numPr>
        <w:spacing w:before="240" w:line="240" w:lineRule="auto"/>
        <w:rPr>
          <w:sz w:val="20"/>
          <w:szCs w:val="20"/>
        </w:rPr>
      </w:pPr>
      <w:r>
        <w:rPr>
          <w:sz w:val="20"/>
          <w:szCs w:val="20"/>
          <w:u w:val="single"/>
        </w:rPr>
        <w:t>Remediation</w:t>
      </w:r>
      <w:r>
        <w:rPr>
          <w:sz w:val="20"/>
          <w:szCs w:val="20"/>
        </w:rPr>
        <w:t>. If an audit reveals Material Deficiencies, Service Provider shall provide Customer with a Corrective Action Plan within fifteen (15) Business Days of the audit report. Service Provider shall remediate critical deficiencies within thirty (30) days, high deficiencies within sixty (60) days, and medium deficiencies within ninety (90) days. If a Material Deficiency constitutes (or is caused by) an exploitable vulnerability, misconfiguration, or control failure that increases the likelihood of unauthorized access to Customer Data, the remediation timelines in Section 10.1 (Vulnerability Management Program) shall govern to the extent they are more stringent. Service Provider shall provide Customer with written confirmation upon completion of each remediation item. If Service Provider fails to remediate Material Deficiencies within the applicable timeframe, Customer may exercise its termination rights under Section 6.3 (Termination for Deficiencies) of the Master Agreement.</w:t>
      </w:r>
    </w:p>
    <w:p w14:paraId="0499C4D2" w14:textId="77777777" w:rsidR="00DD39B9" w:rsidRPr="00EB1109" w:rsidRDefault="00DD39B9" w:rsidP="00DD39B9">
      <w:pPr>
        <w:pStyle w:val="LegalLevel2"/>
        <w:numPr>
          <w:ilvl w:val="0"/>
          <w:numId w:val="0"/>
        </w:numPr>
        <w:spacing w:before="240" w:line="240" w:lineRule="auto"/>
        <w:ind w:left="1440"/>
        <w:rPr>
          <w:sz w:val="20"/>
          <w:szCs w:val="20"/>
        </w:rPr>
      </w:pPr>
    </w:p>
    <w:p w14:paraId="263AE1AC" w14:textId="4FC0325C"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Material Security Changes to Security Program</w:t>
      </w:r>
      <w:r>
        <w:rPr>
          <w:sz w:val="20"/>
          <w:szCs w:val="20"/>
        </w:rPr>
        <w:t>.</w:t>
      </w:r>
    </w:p>
    <w:p w14:paraId="3BF05CA6" w14:textId="1813FFC9" w:rsidR="00FA3E61" w:rsidRPr="00EB1109" w:rsidRDefault="00FA3E61" w:rsidP="00FA3E61">
      <w:pPr>
        <w:pStyle w:val="LegalLevel2"/>
        <w:numPr>
          <w:ilvl w:val="1"/>
          <w:numId w:val="4"/>
        </w:numPr>
        <w:spacing w:before="240" w:line="240" w:lineRule="auto"/>
        <w:rPr>
          <w:sz w:val="20"/>
          <w:szCs w:val="20"/>
        </w:rPr>
      </w:pPr>
      <w:r>
        <w:rPr>
          <w:sz w:val="20"/>
          <w:szCs w:val="20"/>
          <w:u w:val="single"/>
        </w:rPr>
        <w:t>Consent Requirement</w:t>
      </w:r>
      <w:r>
        <w:rPr>
          <w:sz w:val="20"/>
          <w:szCs w:val="20"/>
        </w:rPr>
        <w:t>. Service Provider shall not make any Material Security Change to its Security Program that diminishes the protections afforded to Customer Data without Customer’s prior written consent. Service Provider shall notify Customer in writing not less than sixty (60) days prior to any proposed Material Security Change, including a description of the change, the reason for the change, and an assessment of the impact on the security of Customer Data. If Customer does not consent to a proposed Material Security Change, Service Provider shall continue to provide the Services under the pre-change Security Program for the remainder of the then-current term of the applicable Order Form. If Service Provider is unable to maintain the pre-change Security Program for Customer’s environment, Customer may terminate the applicable Order Form without penalty and receive a pro rata refund of prepaid Fees for the remainder of the then-current term of the applicable Order Form.</w:t>
      </w:r>
    </w:p>
    <w:p w14:paraId="0F1F2BFE" w14:textId="7025F07F" w:rsidR="00FA3E61" w:rsidRPr="00EB1109" w:rsidRDefault="00FA3E61" w:rsidP="00FA3E61">
      <w:pPr>
        <w:pStyle w:val="LegalLevel2"/>
        <w:numPr>
          <w:ilvl w:val="1"/>
          <w:numId w:val="4"/>
        </w:numPr>
        <w:spacing w:before="240" w:line="240" w:lineRule="auto"/>
        <w:rPr>
          <w:sz w:val="20"/>
          <w:szCs w:val="20"/>
        </w:rPr>
      </w:pPr>
      <w:r>
        <w:rPr>
          <w:sz w:val="20"/>
          <w:szCs w:val="20"/>
          <w:u w:val="single"/>
        </w:rPr>
        <w:t>Security-Enhancing Changes</w:t>
      </w:r>
      <w:r>
        <w:rPr>
          <w:sz w:val="20"/>
          <w:szCs w:val="20"/>
        </w:rPr>
        <w:t>. Notwithstanding the foregoing, the following categories of changes shall not require prior written consent (but shall require prompt notice to Customer): (a) changes that increase or enhance the protections afforded to Customer Data; (b) emergency patches or configuration changes necessary to remediate an active vulnerability or respond to an ongoing Security Incident; and (c) upgrades to encryption protocols, authentication mechanisms, or monitoring tools that maintain or improve the security posture. Service Provider shall notify Customer of any change under this exception as soon as practicable and in no event later than seventy-two (72) hours after implementation. For changes to authentication, logging, encryption, or key management, such notice shall include implementation details and any Customer action items.</w:t>
      </w:r>
    </w:p>
    <w:p w14:paraId="39E76107" w14:textId="76A16FE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Data Segregation</w:t>
      </w:r>
      <w:r>
        <w:rPr>
          <w:sz w:val="20"/>
          <w:szCs w:val="20"/>
        </w:rPr>
        <w:t xml:space="preserve">. Service Provider </w:t>
      </w:r>
      <w:proofErr w:type="gramStart"/>
      <w:r>
        <w:rPr>
          <w:sz w:val="20"/>
          <w:szCs w:val="20"/>
        </w:rPr>
        <w:t>shall logically segregate Customer Data from the data of other customers at all times</w:t>
      </w:r>
      <w:proofErr w:type="gramEnd"/>
      <w:r>
        <w:rPr>
          <w:sz w:val="20"/>
          <w:szCs w:val="20"/>
        </w:rPr>
        <w:t>. Where the data classification designated in the applicable Order Form requires physical segregation or enhanced isolation, Service Provider shall implement such additional measures as specified in the Order Form or this Data Security Addendum.</w:t>
      </w:r>
    </w:p>
    <w:p w14:paraId="7C821465" w14:textId="1A22B506"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Sub-processor Data Security</w:t>
      </w:r>
      <w:r>
        <w:rPr>
          <w:sz w:val="20"/>
          <w:szCs w:val="20"/>
        </w:rPr>
        <w:t>. Service Provider shall ensure that all Subcontractors and Sub-processors with access to Customer Data are bound by security obligations no less protective than those set forth in this Data Security Addendum. Service Provider shall conduct security due diligence on Subcontractors and Sub-processors prior to granting access and on an ongoing basis.</w:t>
      </w:r>
    </w:p>
    <w:p w14:paraId="25555224"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Government and Subpoena Response</w:t>
      </w:r>
      <w:r>
        <w:rPr>
          <w:sz w:val="20"/>
          <w:szCs w:val="20"/>
        </w:rPr>
        <w:t>.</w:t>
      </w:r>
    </w:p>
    <w:p w14:paraId="553CF4D6" w14:textId="3F31D0AB" w:rsidR="00FA3E61" w:rsidRPr="00EB1109" w:rsidRDefault="00FA3E61" w:rsidP="00FA3E61">
      <w:pPr>
        <w:pStyle w:val="LegalLevel2"/>
        <w:numPr>
          <w:ilvl w:val="1"/>
          <w:numId w:val="4"/>
        </w:numPr>
        <w:spacing w:before="240" w:line="240" w:lineRule="auto"/>
        <w:rPr>
          <w:sz w:val="20"/>
          <w:szCs w:val="20"/>
        </w:rPr>
      </w:pPr>
      <w:r>
        <w:rPr>
          <w:sz w:val="20"/>
          <w:szCs w:val="20"/>
          <w:u w:val="single"/>
        </w:rPr>
        <w:t>Response Obligations</w:t>
      </w:r>
      <w:r>
        <w:rPr>
          <w:sz w:val="20"/>
          <w:szCs w:val="20"/>
        </w:rPr>
        <w:t>. In the event that Service Provider receives a subpoena, court order, warrant, or other legal demand from any governmental authority for the disclosure of Customer Data, Service Provider shall: (a) promptly notify Customer (to the extent legally permitted); (b) cooperate with Customer in seeking a protective order or other appropriate remedy; (c) challenge any demand that is overbroad, unduly burdensome, or otherwise legally deficient, to the extent permitted by Applicable Law; (d) disclose only the minimum amount of Customer Data required by law; and (e) exercise all reasonable legal options to protect the confidentiality of Customer Data.</w:t>
      </w:r>
    </w:p>
    <w:p w14:paraId="1E8993B4" w14:textId="751F0024" w:rsidR="00FA3E61" w:rsidRPr="00EB1109" w:rsidRDefault="00FA3E61" w:rsidP="00FA3E61">
      <w:pPr>
        <w:pStyle w:val="LegalLevel2"/>
        <w:numPr>
          <w:ilvl w:val="1"/>
          <w:numId w:val="4"/>
        </w:numPr>
        <w:spacing w:before="240" w:line="240" w:lineRule="auto"/>
        <w:rPr>
          <w:sz w:val="20"/>
          <w:szCs w:val="20"/>
        </w:rPr>
      </w:pPr>
      <w:r>
        <w:rPr>
          <w:sz w:val="20"/>
          <w:szCs w:val="20"/>
          <w:u w:val="single"/>
        </w:rPr>
        <w:t>Notification Timeline</w:t>
      </w:r>
      <w:r>
        <w:rPr>
          <w:sz w:val="20"/>
          <w:szCs w:val="20"/>
        </w:rPr>
        <w:t>. Service Provider shall notify Customer within twenty-four (24) hours of any governmental demand for Customer Data, unless prohibited by law, in which case Service Provider shall use commercially reasonable efforts to obtain permission to notify Customer as soon as possible and shall notify Customer immediately upon the expiration of any non-disclosure obligation.</w:t>
      </w:r>
    </w:p>
    <w:p w14:paraId="1EF431B1" w14:textId="6D4872B6" w:rsidR="00FA3E61" w:rsidRPr="00EB1109" w:rsidRDefault="00FA3E61" w:rsidP="00FA3E61">
      <w:pPr>
        <w:pStyle w:val="LegalLevel2"/>
        <w:numPr>
          <w:ilvl w:val="1"/>
          <w:numId w:val="4"/>
        </w:numPr>
        <w:spacing w:before="240" w:line="240" w:lineRule="auto"/>
        <w:rPr>
          <w:sz w:val="20"/>
          <w:szCs w:val="20"/>
        </w:rPr>
      </w:pPr>
      <w:r>
        <w:rPr>
          <w:sz w:val="20"/>
          <w:szCs w:val="20"/>
          <w:u w:val="single"/>
        </w:rPr>
        <w:t>Transparency Reporting</w:t>
      </w:r>
      <w:r>
        <w:rPr>
          <w:sz w:val="20"/>
          <w:szCs w:val="20"/>
        </w:rPr>
        <w:t xml:space="preserve">. Service Provider shall, upon Customer’s written request (but no more frequently than annually), provide Customer with aggregate statistics regarding governmental demands for Customer Data received by Service Provider during the preceding twelve (12) month period, to the extent such disclosure is permitted by Applicable Law. Such </w:t>
      </w:r>
      <w:proofErr w:type="gramStart"/>
      <w:r>
        <w:rPr>
          <w:sz w:val="20"/>
          <w:szCs w:val="20"/>
        </w:rPr>
        <w:t>statistics shall</w:t>
      </w:r>
      <w:proofErr w:type="gramEnd"/>
      <w:r>
        <w:rPr>
          <w:sz w:val="20"/>
          <w:szCs w:val="20"/>
        </w:rPr>
        <w:t xml:space="preserve"> include, at minimum, the number of demands received, the jurisdictions of origin, and the number of demands challenged or complied with.</w:t>
      </w:r>
    </w:p>
    <w:p w14:paraId="192309DA" w14:textId="0E5510FB"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lastRenderedPageBreak/>
        <w:t>Cardholder Data</w:t>
      </w:r>
      <w:r>
        <w:rPr>
          <w:sz w:val="20"/>
          <w:szCs w:val="20"/>
        </w:rPr>
        <w:t>. Where the Services involve the processing, storage, or transmission of payment cardholder data subject to the Payment Card Industry Data Security Standard (PCI DSS): (a) Service Provider shall maintain PCI DSS compliance at the applicable level and shall provide Customer with its most recent Attestation of Compliance (AOC) upon request; (b) Service Provider shall promptly notify Customer of any change in its PCI DSS compliance status; and (c) Service Provider shall cooperate with Customer’s payment card brands and acquiring banks in connection with any investigation or audit. This Section applies only where cardholder data is within the scope of Services identified in the applicable Order Form.</w:t>
      </w:r>
    </w:p>
    <w:p w14:paraId="703DACA9" w14:textId="5C66B16C"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Technical Security Requirements</w:t>
      </w:r>
      <w:r>
        <w:rPr>
          <w:sz w:val="20"/>
          <w:szCs w:val="20"/>
        </w:rPr>
        <w:t>. This Section sets forth the default minimum technical security control requirements applicable to the Services. These controls apply to all engagements unless the applicable Order Form specifies different or additional requirements, in which case the Order Form requirements shall supplement (and, where more protective, supersede) these defaults. These controls also constitute the technical and organizational measures for purposes of Annex II of the Standard Contractual Clauses where Standard Contractual Clauses are required under the Data Processing Addendum.</w:t>
      </w:r>
    </w:p>
    <w:p w14:paraId="0915BFA4" w14:textId="772BDD1F" w:rsidR="00FA3E61" w:rsidRPr="00EB1109" w:rsidRDefault="00FA3E61" w:rsidP="00FA3E61">
      <w:pPr>
        <w:pStyle w:val="LegalLevel2"/>
        <w:numPr>
          <w:ilvl w:val="1"/>
          <w:numId w:val="4"/>
        </w:numPr>
        <w:spacing w:before="240" w:line="240" w:lineRule="auto"/>
        <w:rPr>
          <w:sz w:val="20"/>
          <w:szCs w:val="20"/>
        </w:rPr>
      </w:pPr>
      <w:r>
        <w:rPr>
          <w:sz w:val="20"/>
          <w:szCs w:val="20"/>
          <w:u w:val="single"/>
        </w:rPr>
        <w:t>Governance and Risk Management</w:t>
      </w:r>
      <w:r>
        <w:rPr>
          <w:sz w:val="20"/>
          <w:szCs w:val="20"/>
        </w:rPr>
        <w:t>. Service Provider shall maintain and follow a comprehensive set of information security policies, standards, and procedures reasonably designed to manage cybersecurity risks, consistent with the National Institute of Standards and Technology (“NIST”) Cybersecurity Framework, International Organization for Standardization / International Electrotechnical Commission (“ISO/IEC”) 27001, and the Center for Internet Security (“CIS”) Critical Security Controls. Such policies shall include, at minimum: (a) processes to assess and manage cybersecurity risk, including an annual risk assessment; (b) data classification and handling requirements; (c) defined roles and responsibilities for managing cybersecurity risk throughout the workforce, including designation of a qualified individual to oversee the Security Program; (d) executive-level management oversight of cybersecurity risk; (e) an information security policy review cycle of no less than annual; and (f) a formal exception and risk acceptance process requiring documented approval by the designated security lead for any deviation from Security Program requirements.</w:t>
      </w:r>
    </w:p>
    <w:p w14:paraId="2265ADF4" w14:textId="127FD98F" w:rsidR="00FA3E61" w:rsidRPr="00EB1109" w:rsidRDefault="00FA3E61" w:rsidP="00FA3E61">
      <w:pPr>
        <w:pStyle w:val="LegalLevel2"/>
        <w:numPr>
          <w:ilvl w:val="1"/>
          <w:numId w:val="4"/>
        </w:numPr>
        <w:spacing w:before="240" w:line="240" w:lineRule="auto"/>
        <w:rPr>
          <w:sz w:val="20"/>
          <w:szCs w:val="20"/>
        </w:rPr>
      </w:pPr>
      <w:r>
        <w:rPr>
          <w:sz w:val="20"/>
          <w:szCs w:val="20"/>
          <w:u w:val="single"/>
        </w:rPr>
        <w:t>Identity and Access Management</w:t>
      </w:r>
      <w:r>
        <w:rPr>
          <w:sz w:val="20"/>
          <w:szCs w:val="20"/>
        </w:rPr>
        <w:t>. Service Provider shall implement and maintain identity and access management controls including: (a) a centralized identity management system for all personnel with access to systems Processing Customer Data; (b) unique user accounts for all personnel (no shared accounts); (c) role-based access control with documented role definitions and access matrices; (d) access provisioning and de-provisioning procedures, including automated de-provisioning upon termination within twenty-four (24) hours; (e) periodic access reviews, no less frequently than quarterly for privileged accounts and semi-annually for all other accounts; (f) multi-factor authentication for all administrative, remote, and cloud management access; (g) password policies requiring minimum length of fifteen (15) characters, screening of new and existing passwords against known breached credentials and common password blocklists, and account lockout after no more than ten (10) consecutive failed attempts; (h) session management controls, including configurable idle session timeouts not to exceed thirty (30) minutes for administrative sessions; and (</w:t>
      </w:r>
      <w:proofErr w:type="spellStart"/>
      <w:r>
        <w:rPr>
          <w:sz w:val="20"/>
          <w:szCs w:val="20"/>
        </w:rPr>
        <w:t>i</w:t>
      </w:r>
      <w:proofErr w:type="spellEnd"/>
      <w:r>
        <w:rPr>
          <w:sz w:val="20"/>
          <w:szCs w:val="20"/>
        </w:rPr>
        <w:t>) just-in-time privilege elevation for administrative access, with time-limited sessions and full audit logging.</w:t>
      </w:r>
    </w:p>
    <w:p w14:paraId="31CF2609" w14:textId="0F5B8133" w:rsidR="00FA3E61" w:rsidRPr="00EB1109" w:rsidRDefault="00FA3E61" w:rsidP="00FA3E61">
      <w:pPr>
        <w:pStyle w:val="LegalLevel2"/>
        <w:numPr>
          <w:ilvl w:val="1"/>
          <w:numId w:val="4"/>
        </w:numPr>
        <w:spacing w:before="240" w:line="240" w:lineRule="auto"/>
        <w:rPr>
          <w:sz w:val="20"/>
          <w:szCs w:val="20"/>
        </w:rPr>
      </w:pPr>
      <w:r>
        <w:rPr>
          <w:sz w:val="20"/>
          <w:szCs w:val="20"/>
          <w:u w:val="single"/>
        </w:rPr>
        <w:t>Data Protection and Encryption</w:t>
      </w:r>
      <w:r>
        <w:rPr>
          <w:sz w:val="20"/>
          <w:szCs w:val="20"/>
        </w:rPr>
        <w:t>. Service Provider shall implement and maintain data protection controls including: (a) Advanced Encryption Standard (“AES”) 256-bit encryption (or equivalent) for all Customer Data at rest, including production databases, backups, replicas, archives, and log files containing Customer Data; (b) Transport Layer Security (“TLS”) 1.2 or higher for all Customer Data in transit, with forward secrecy enabled; (c) encryption key management using a hardware security module (“HSM”) or cloud key management service (“KMS”) with separation of duties between key administrators and data administrators; (d) automated key rotation at intervals not exceeding twelve (12) months; (e) data loss prevention (“DLP”) controls to detect and prevent unauthorized exfiltration of Customer Data; (f) classification-based handling controls, including restrictions on downloading Customer Data to local drives or removable media without authorization; and (g) secure disposal of Customer Data in accordance with NIST Special Publication 800-88.</w:t>
      </w:r>
    </w:p>
    <w:p w14:paraId="72F2EA2D" w14:textId="78155F3C"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Network Security</w:t>
      </w:r>
      <w:r>
        <w:rPr>
          <w:sz w:val="20"/>
          <w:szCs w:val="20"/>
        </w:rPr>
        <w:t>. Service Provider shall implement and maintain network security controls including: (a) defense-in-depth architecture with network segmentation separating production, development, management, and demilitarized zone (“DMZ”) networks; (b) firewalls at all network boundaries with documented rule sets reviewed no less than semi-annually; (c) intrusion detection and prevention systems (“IDS/IPS”) monitoring all network traffic to and from systems Processing Customer Data; (d) web application firewalls for all internet-facing applications; (e) distributed denial-of-service (“DDoS”) mitigation capabilities; (f) documented business justification for all enabled ports, protocols, and services; (g) secure Domain Name System (“DNS”) configuration and protection against DNS-based attacks; and (h) virtual private network (“VPN”) or equivalent encrypted tunneling for all remote administrative access.</w:t>
      </w:r>
    </w:p>
    <w:p w14:paraId="6C0EC86A" w14:textId="3F50B26A" w:rsidR="00FA3E61" w:rsidRPr="00EB1109" w:rsidRDefault="00FA3E61" w:rsidP="00FA3E61">
      <w:pPr>
        <w:pStyle w:val="LegalLevel2"/>
        <w:numPr>
          <w:ilvl w:val="1"/>
          <w:numId w:val="4"/>
        </w:numPr>
        <w:spacing w:before="240" w:line="240" w:lineRule="auto"/>
        <w:rPr>
          <w:sz w:val="20"/>
          <w:szCs w:val="20"/>
        </w:rPr>
      </w:pPr>
      <w:r>
        <w:rPr>
          <w:sz w:val="20"/>
          <w:szCs w:val="20"/>
          <w:u w:val="single"/>
        </w:rPr>
        <w:t>Endpoint Security</w:t>
      </w:r>
      <w:r>
        <w:rPr>
          <w:sz w:val="20"/>
          <w:szCs w:val="20"/>
        </w:rPr>
        <w:t>. Service Provider shall implement and maintain endpoint security controls including: (a) endpoint detection and response (“EDR”) or equivalent next-generation anti-malware on all endpoints used to access Customer Data; (b) full disk encryption on all laptops, workstations, and removable media; (c) automated patch management for operating systems, browsers, and applications; (d) host-based firewalls enabled on all endpoints; (e) centralized endpoint management with the ability to remotely wipe or disable lost or compromised devices; (f) a maintained inventory of all endpoints authorized to access systems Processing Customer Data; and (g) restrictions on installation of unauthorized software.</w:t>
      </w:r>
    </w:p>
    <w:p w14:paraId="0E2B8552" w14:textId="0D9C8383" w:rsidR="00FA3E61" w:rsidRPr="00EB1109" w:rsidRDefault="00FA3E61" w:rsidP="00FA3E61">
      <w:pPr>
        <w:pStyle w:val="LegalLevel2"/>
        <w:numPr>
          <w:ilvl w:val="1"/>
          <w:numId w:val="4"/>
        </w:numPr>
        <w:spacing w:before="240" w:line="240" w:lineRule="auto"/>
        <w:rPr>
          <w:sz w:val="20"/>
          <w:szCs w:val="20"/>
        </w:rPr>
      </w:pPr>
      <w:r>
        <w:rPr>
          <w:sz w:val="20"/>
          <w:szCs w:val="20"/>
          <w:u w:val="single"/>
        </w:rPr>
        <w:t>Application Security</w:t>
      </w:r>
      <w:r>
        <w:rPr>
          <w:sz w:val="20"/>
          <w:szCs w:val="20"/>
        </w:rPr>
        <w:t>. Service Provider shall implement and maintain application security controls including: (a) a secure software development lifecycle (“SDLC”) with security integrated at each phase (design, development, testing, deployment); (b) static application security testing (“SAST”) integrated into the continuous integration / continuous deployment (“CI/CD”) pipeline and executed on each build; (c) dynamic application security testing (“DAST”) performed no less than quarterly on production or production-equivalent environments; (d) code review (manual or automated) for all changes to security-critical components; (e) dependency management with automated scanning for known vulnerabilities in third party libraries; (f) secrets scanning in source code repositories to prevent accidental exposure of credentials; (g) signed builds and artifacts with verifiable provenance; (h) input validation and output encoding to prevent injection and cross-site scripting attacks; and (</w:t>
      </w:r>
      <w:proofErr w:type="spellStart"/>
      <w:r>
        <w:rPr>
          <w:sz w:val="20"/>
          <w:szCs w:val="20"/>
        </w:rPr>
        <w:t>i</w:t>
      </w:r>
      <w:proofErr w:type="spellEnd"/>
      <w:r>
        <w:rPr>
          <w:sz w:val="20"/>
          <w:szCs w:val="20"/>
        </w:rPr>
        <w:t>) segregation of development, testing, staging, and production environments, with no production Customer Data in non-production environments absent Customer consent and de-identification.</w:t>
      </w:r>
    </w:p>
    <w:p w14:paraId="36A6432D" w14:textId="60C0F7BF" w:rsidR="00FA3E61" w:rsidRPr="00EB1109" w:rsidRDefault="00FA3E61" w:rsidP="00FA3E61">
      <w:pPr>
        <w:pStyle w:val="LegalLevel2"/>
        <w:numPr>
          <w:ilvl w:val="1"/>
          <w:numId w:val="4"/>
        </w:numPr>
        <w:spacing w:before="240" w:line="240" w:lineRule="auto"/>
        <w:rPr>
          <w:sz w:val="20"/>
          <w:szCs w:val="20"/>
        </w:rPr>
      </w:pPr>
      <w:r>
        <w:rPr>
          <w:sz w:val="20"/>
          <w:szCs w:val="20"/>
          <w:u w:val="single"/>
        </w:rPr>
        <w:t>Cloud Security</w:t>
      </w:r>
      <w:r>
        <w:rPr>
          <w:sz w:val="20"/>
          <w:szCs w:val="20"/>
        </w:rPr>
        <w:t>. Service Provider shall implement and maintain cloud security controls including: (a) secure configuration of cloud resources in accordance with the cloud service provider’s security best practices and CIS Benchmarks (or their successors) for the applicable platform; (b) cloud security posture management (“CSPM”) with continuous monitoring for misconfigurations; (c) identity and access management controls specific to the cloud platform, including MFA for all console access; (d) network security groups and access control lists restricting traffic to authorized flows; (e) logging enabled for all cloud management actions, API calls, and data access events, with logs forwarded to the centralized security information and event management (“SIEM”) system; (f) infrastructure-as-code with version control and security review; (g) tenant isolation controls appropriate to the cloud deployment model (shared or dedicated); and (h) backup infrastructure protection controls, including logical separation, air-gapping (where technically feasible), separate administrative credentials, and integrity checks, as specified in Section 12.2 (Backup Infrastructure Protection) of the BC/DR Addendum.</w:t>
      </w:r>
    </w:p>
    <w:p w14:paraId="236BEB84" w14:textId="640194B1" w:rsidR="00FA3E61" w:rsidRPr="00EB1109" w:rsidRDefault="00FA3E61" w:rsidP="00FA3E61">
      <w:pPr>
        <w:pStyle w:val="LegalLevel2"/>
        <w:numPr>
          <w:ilvl w:val="1"/>
          <w:numId w:val="4"/>
        </w:numPr>
        <w:spacing w:before="240" w:line="240" w:lineRule="auto"/>
        <w:rPr>
          <w:sz w:val="20"/>
          <w:szCs w:val="20"/>
        </w:rPr>
      </w:pPr>
      <w:r>
        <w:rPr>
          <w:sz w:val="20"/>
          <w:szCs w:val="20"/>
          <w:u w:val="single"/>
        </w:rPr>
        <w:t>Monitoring and Logging</w:t>
      </w:r>
      <w:r>
        <w:rPr>
          <w:sz w:val="20"/>
          <w:szCs w:val="20"/>
        </w:rPr>
        <w:t>. Service Provider shall implement and maintain monitoring and logging controls including: (a) a centralized SIEM system or equivalent technology aggregating logs from all systems Processing Customer Data; (b) log collection for the event categories specified in Section 7.2 (Minimum Log Events) of this Data Security Addendum; (c) automated correlation and alerting on critical security events with investigation within four (4) hours; (d) twenty-four/seven (24/7) security operations center monitoring or equivalent managed detection and response (“MDR”) capability; (e) log retention for eighteen (18) months in searchable, tamper-evident storage; (f) time synchronization across all systems to a reliable source (Network Time Protocol (“NTP”) or equivalent); and (g) protection of log data against unauthorized modification or deletion, including separation of log management from system administration.</w:t>
      </w:r>
    </w:p>
    <w:p w14:paraId="7E36FC71" w14:textId="3E50CC39"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Incident Response</w:t>
      </w:r>
      <w:r>
        <w:rPr>
          <w:sz w:val="20"/>
          <w:szCs w:val="20"/>
        </w:rPr>
        <w:t>. Service Provider shall implement and maintain incident response controls including: (a) a documented incident response plan consistent with NIST Special Publication 800-61 (or equivalent) covering identification, containment, eradication, recovery, evidence preservation, and post-incident review; (b) defined roles and responsibilities for incident response personnel; (c) annual incident response testing through tabletop exercises, simulations, or equivalent; (d) forensic investigation capabilities, including the ability to collect and preserve digital evidence in a forensically sound manner; (e) predefined communication templates and escalation procedures for notification to Customer; (f) documented criteria for declaring and classifying Security Incidents by severity; and (g) post-incident review procedures, including root cause analysis and lessons-learned documentation.</w:t>
      </w:r>
    </w:p>
    <w:p w14:paraId="1E7F84EC" w14:textId="30E88154" w:rsidR="00FA3E61" w:rsidRPr="00EB1109" w:rsidRDefault="00FA3E61" w:rsidP="00FA3E61">
      <w:pPr>
        <w:pStyle w:val="LegalLevel2"/>
        <w:numPr>
          <w:ilvl w:val="1"/>
          <w:numId w:val="4"/>
        </w:numPr>
        <w:spacing w:before="240" w:line="240" w:lineRule="auto"/>
        <w:rPr>
          <w:sz w:val="20"/>
          <w:szCs w:val="20"/>
        </w:rPr>
      </w:pPr>
      <w:r>
        <w:rPr>
          <w:sz w:val="20"/>
          <w:szCs w:val="20"/>
          <w:u w:val="single"/>
        </w:rPr>
        <w:t xml:space="preserve">Vendor and </w:t>
      </w:r>
      <w:proofErr w:type="gramStart"/>
      <w:r>
        <w:rPr>
          <w:sz w:val="20"/>
          <w:szCs w:val="20"/>
          <w:u w:val="single"/>
        </w:rPr>
        <w:t>Third Party</w:t>
      </w:r>
      <w:proofErr w:type="gramEnd"/>
      <w:r>
        <w:rPr>
          <w:sz w:val="20"/>
          <w:szCs w:val="20"/>
          <w:u w:val="single"/>
        </w:rPr>
        <w:t xml:space="preserve"> Risk Management</w:t>
      </w:r>
      <w:r>
        <w:rPr>
          <w:sz w:val="20"/>
          <w:szCs w:val="20"/>
        </w:rPr>
        <w:t>. Service Provider shall implement and maintain vendor and third party risk management controls including: (a) security due diligence on Sub-processors and Subcontractors prior to granting access to Customer Data or systems Processing Customer Data; (b) contractual security obligations for Sub-processors and Subcontractors no less protective than those in this Data Security Addendum; (c) ongoing monitoring and periodic reassessment of Sub-processor and Subcontractor security posture, no less frequently than annually; (d) a process for managing and revoking Sub-processor and Subcontractor access upon termination of the sub-processing or subcontracting relationship; and (e) documentation of the security assessment and monitoring program for Sub-processors and Subcontractors, available to Customer upon request.</w:t>
      </w:r>
    </w:p>
    <w:p w14:paraId="1D1B0D9B" w14:textId="39EE5F08" w:rsidR="00FA3E61" w:rsidRPr="00EB1109" w:rsidRDefault="00FA3E61" w:rsidP="00FA3E61">
      <w:pPr>
        <w:pStyle w:val="LegalLevel2"/>
        <w:numPr>
          <w:ilvl w:val="1"/>
          <w:numId w:val="4"/>
        </w:numPr>
        <w:spacing w:before="240" w:line="240" w:lineRule="auto"/>
        <w:rPr>
          <w:sz w:val="20"/>
          <w:szCs w:val="20"/>
        </w:rPr>
      </w:pPr>
      <w:r>
        <w:rPr>
          <w:sz w:val="20"/>
          <w:szCs w:val="20"/>
          <w:u w:val="single"/>
        </w:rPr>
        <w:t>Physical and Environmental Security</w:t>
      </w:r>
      <w:r>
        <w:rPr>
          <w:sz w:val="20"/>
          <w:szCs w:val="20"/>
        </w:rPr>
        <w:t>. Service Provider shall implement and maintain physical and environmental security controls including: (a) controlled physical access to facilities housing systems that Process Customer Data, using multi-factor access controls (e.g., badge plus biometric); (b) visitor management procedures requiring registration, escort, and logging; (c) video surveillance at facility entry points and server room access points, with recordings retained for not less than ninety (90) days; (d) environmental controls, including fire detection and suppression, climate control, and water detection; (e) secure disposal of physical media containing Customer Data in accordance with NIST Special Publication 800-88; (f) asset tracking for all hardware containing Customer Data; and (g) for colocation or data center facilities, reliance on the physical security controls of the facility operator is permitted only where such operator maintains SOC 2 Type 2 or equivalent certification covering physical security.</w:t>
      </w:r>
    </w:p>
    <w:p w14:paraId="31E5ABCE" w14:textId="6175B2E6" w:rsidR="00FA3E61" w:rsidRPr="00EB1109" w:rsidRDefault="00FA3E61" w:rsidP="00FA3E61">
      <w:pPr>
        <w:pStyle w:val="LegalLevel2"/>
        <w:numPr>
          <w:ilvl w:val="1"/>
          <w:numId w:val="4"/>
        </w:numPr>
        <w:spacing w:before="240" w:line="240" w:lineRule="auto"/>
        <w:rPr>
          <w:sz w:val="20"/>
          <w:szCs w:val="20"/>
        </w:rPr>
      </w:pPr>
      <w:r>
        <w:rPr>
          <w:sz w:val="20"/>
          <w:szCs w:val="20"/>
          <w:u w:val="single"/>
        </w:rPr>
        <w:t>Configuration and Change Management</w:t>
      </w:r>
      <w:r>
        <w:rPr>
          <w:sz w:val="20"/>
          <w:szCs w:val="20"/>
        </w:rPr>
        <w:t>. Service Provider shall implement and maintain configuration and change management controls including: (a) documented baseline configurations for all systems Processing Customer Data, consistent with CIS Benchmarks or equivalent hardening standards; (b) automated configuration monitoring to detect and alert on deviations from baseline; (c) a formal change management process requiring documented approval, testing, and rollback procedures for all changes to production systems; (d) separation of duties between change requesters, approvers, and implementers; (e) emergency change procedures with after-the-fact documentation and review; and (f) an asset management system maintaining a current inventory of all hardware, software, and network assets used to Process Customer Data.</w:t>
      </w:r>
    </w:p>
    <w:p w14:paraId="52FCD607" w14:textId="3E18CA55" w:rsidR="00FA3E61" w:rsidRPr="00EB1109" w:rsidRDefault="00FA3E61" w:rsidP="00FA3E61">
      <w:pPr>
        <w:pStyle w:val="LegalLevel2"/>
        <w:numPr>
          <w:ilvl w:val="1"/>
          <w:numId w:val="4"/>
        </w:numPr>
        <w:spacing w:before="240" w:line="240" w:lineRule="auto"/>
        <w:rPr>
          <w:sz w:val="20"/>
          <w:szCs w:val="20"/>
        </w:rPr>
      </w:pPr>
      <w:r>
        <w:rPr>
          <w:sz w:val="20"/>
          <w:szCs w:val="20"/>
          <w:u w:val="single"/>
        </w:rPr>
        <w:t>Security Awareness and Training</w:t>
      </w:r>
      <w:r>
        <w:rPr>
          <w:sz w:val="20"/>
          <w:szCs w:val="20"/>
        </w:rPr>
        <w:t>. Service Provider shall implement and maintain security awareness and training controls including: (a) security awareness training for all personnel upon onboarding and at least annually thereafter; (b) role-specific training for personnel in security-critical roles (including developers, administrators, and incident responders); (c) phishing simulation exercises conducted no less frequently than quarterly; (d) training on data classification and handling procedures specific to Customer Data; (e) training completion tracking with documented evidence of participation; and (f) consequences for personnel who fail to complete required training or who fail repeated phishing simulations.</w:t>
      </w:r>
    </w:p>
    <w:p w14:paraId="48AB9C5D" w14:textId="77777777" w:rsidR="00FA3E61" w:rsidRPr="00EB1109" w:rsidRDefault="00FA3E61" w:rsidP="00FA3E61">
      <w:pPr>
        <w:pStyle w:val="LegalHeader"/>
        <w:rPr>
          <w:rFonts w:cs="Arial"/>
          <w:sz w:val="20"/>
        </w:rPr>
      </w:pPr>
      <w:r>
        <w:rPr>
          <w:rFonts w:cs="Arial"/>
          <w:sz w:val="20"/>
          <w:u w:val="single"/>
        </w:rPr>
        <w:br w:type="page"/>
      </w:r>
      <w:r>
        <w:rPr>
          <w:rFonts w:cs="Arial"/>
          <w:sz w:val="20"/>
        </w:rPr>
        <w:lastRenderedPageBreak/>
        <w:t>ADDENDUM D – BUSINESS CONTINUITY AND DISASTER RECOVERY ADDENDUM</w:t>
      </w:r>
    </w:p>
    <w:p w14:paraId="7A9A831C" w14:textId="77777777" w:rsidR="00FA3E61" w:rsidRPr="00EB1109" w:rsidRDefault="00FA3E61" w:rsidP="00FA3E61">
      <w:pPr>
        <w:spacing w:before="240" w:after="120" w:line="240" w:lineRule="auto"/>
        <w:jc w:val="center"/>
        <w:rPr>
          <w:rFonts w:ascii="Arial" w:hAnsi="Arial" w:cs="Arial"/>
          <w:sz w:val="20"/>
          <w:szCs w:val="20"/>
        </w:rPr>
      </w:pPr>
      <w:r>
        <w:rPr>
          <w:rFonts w:ascii="Arial" w:hAnsi="Arial" w:cs="Arial"/>
          <w:i/>
          <w:iCs/>
          <w:sz w:val="20"/>
          <w:szCs w:val="20"/>
        </w:rPr>
        <w:t>to the Master Software as a Service Agreement by and between Customer and Service Provider</w:t>
      </w:r>
    </w:p>
    <w:p w14:paraId="14A4B585" w14:textId="237E95FC"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Addendum D – Business Continuity and Disaster Recovery Addendum (“BC/DR Addendum”) is incorporated into and forms part of the Agreement. This BC/DR Addendum applies whenever Service Provider hosts, operates, or maintains the Services or any infrastructure on which Customer Data resides. In the event of any conflict between this BC/DR Addendum and the Master Agreement or the Data Security Addendum, this BC/DR Addendum shall prevail with respect to business continuity and disaster recovery matters; provided that in the event of any conflict between this BC/DR Addendum and the Data Security Addendum with respect to Security Incident notification and response procedures, the Data Security Addendum shall prevail.</w:t>
      </w:r>
    </w:p>
    <w:p w14:paraId="0DD47BF9" w14:textId="7B1725D1"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Definitions</w:t>
      </w:r>
      <w:r>
        <w:rPr>
          <w:sz w:val="20"/>
          <w:szCs w:val="20"/>
        </w:rPr>
        <w:t>. Capitalized terms not defined in this BC/DR Addendum shall have the meanings ascribed to them in the Master Agreement. For purposes of this BC/DR Addendum, the following terms shall have the meanings set forth below:</w:t>
      </w:r>
    </w:p>
    <w:p w14:paraId="2BA4ABF7" w14:textId="4212C60D"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“Backup Infrastructure” means the hardware, software, network components, and storage systems used by Service Provider to create, store, manage, and restore Backups, including replication targets, backup servers, and associated management tools.</w:t>
      </w:r>
    </w:p>
    <w:p w14:paraId="6765F885" w14:textId="33E15370"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“Backups” means copies of Customer Data created and maintained by Service Provider for the purpose of recovery following a Disaster, Disruptive Event, or data loss, including full backups, incremental backups, differential backups, snapshots, and database point-in-time recovery images, but excluding transient caches and temporary processing copies that are not intended for recovery purposes.</w:t>
      </w:r>
    </w:p>
    <w:p w14:paraId="4DFC05B2" w14:textId="4EBE366C"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 xml:space="preserve">“Business Continuity Plan” or “BCP” means Service Provider’s overarching organizational resilience plan for maintaining the continuity of the Services and all critical business functions necessary to deliver the Services during and following a Disruptive Event, encompassing personnel and workforce continuity, supply chain and </w:t>
      </w:r>
      <w:proofErr w:type="gramStart"/>
      <w:r>
        <w:rPr>
          <w:rFonts w:ascii="Arial" w:hAnsi="Arial" w:cs="Arial"/>
          <w:sz w:val="20"/>
          <w:szCs w:val="20"/>
        </w:rPr>
        <w:t>third party</w:t>
      </w:r>
      <w:proofErr w:type="gramEnd"/>
      <w:r>
        <w:rPr>
          <w:rFonts w:ascii="Arial" w:hAnsi="Arial" w:cs="Arial"/>
          <w:sz w:val="20"/>
          <w:szCs w:val="20"/>
        </w:rPr>
        <w:t xml:space="preserve"> dependency management, facilities and work area recovery, stakeholder communications, and coordination with the DRP for technology and data recovery. The BCP is the primary continuity document under which the DRP and all other component recovery plans operate.</w:t>
      </w:r>
    </w:p>
    <w:p w14:paraId="58734F69" w14:textId="4DEC4538"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“Business Impact Analysis” or “BIA” means the process of identifying and evaluating the potential effects of a Disaster or Disruptive Event on the Services, including the determination of Recovery Time Objectives, Recovery Point Objectives, and Maximum Tolerable Downtime for each critical component of the Services.</w:t>
      </w:r>
    </w:p>
    <w:p w14:paraId="5ABA4F80" w14:textId="30BFEBCE"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“Clean Recovery Environment” means an isolated computing environment, separate from the production environment and from any potentially compromised systems, that is used to restore and validate Customer Data and the Services following a Cyber Incident before returning to normal operations.</w:t>
      </w:r>
    </w:p>
    <w:p w14:paraId="3888D1F8" w14:textId="415C527B"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“Concentration Risk” means the risk arising from Service Provider’s reliance on a single cloud infrastructure provider, data center operator, or geographic region for the delivery of the Services or the operation of the Backup Infrastructure.</w:t>
      </w:r>
    </w:p>
    <w:p w14:paraId="73EBE338" w14:textId="512D2370"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“Cyber Incident” means any cybersecurity event that: (</w:t>
      </w:r>
      <w:proofErr w:type="spellStart"/>
      <w:r>
        <w:rPr>
          <w:rFonts w:ascii="Arial" w:hAnsi="Arial" w:cs="Arial"/>
          <w:sz w:val="20"/>
          <w:szCs w:val="20"/>
        </w:rPr>
        <w:t>i</w:t>
      </w:r>
      <w:proofErr w:type="spellEnd"/>
      <w:r>
        <w:rPr>
          <w:rFonts w:ascii="Arial" w:hAnsi="Arial" w:cs="Arial"/>
          <w:sz w:val="20"/>
          <w:szCs w:val="20"/>
        </w:rPr>
        <w:t>) constitutes a Disaster or Disruptive Event; or (ii) materially compromises the integrity, recoverability, or confidentiality of Customer Data, including ransomware, malware, distributed denial-of-service attacks, data exfiltration, or unauthorized access.</w:t>
      </w:r>
    </w:p>
    <w:p w14:paraId="3B78CA2A" w14:textId="70A2B81F"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“Disaster” means any event that causes a material interruption or impairment of the Services or a material risk to the availability, integrity, or recoverability of Customer Data, including natural disasters, infrastructure failures, cybersecurity incidents, pandemics, and other Force Majeure Events.</w:t>
      </w:r>
    </w:p>
    <w:p w14:paraId="23F0799D" w14:textId="1C5972B6"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“Disaster Recovery Plan” or “DRP” means the component plan within the BCP that addresses the recovery of the Services, Customer Data, and supporting technology infrastructure following a Disaster, including backup restoration, failover to recovery sites, and restoration of IT systems and applications to operational status, as further described in this BC/DR Addendum.</w:t>
      </w:r>
    </w:p>
    <w:p w14:paraId="5B763308" w14:textId="41318DD2"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lastRenderedPageBreak/>
        <w:t>“Disruptive Event” means any event or circumstance that disrupts, or threatens to disrupt, the normal operation of the Services or Service Provider’s ability to perform its obligations under the Agreement, but that does not rise to the level of a Disaster.</w:t>
      </w:r>
    </w:p>
    <w:p w14:paraId="6090A02F" w14:textId="4BB9F73A"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“DR Governance Contact” means the individual designated by Service Provider as the primary point of contact for Customer with respect to all business continuity and disaster recovery matters under this BC/DR Addendum, as identified in the applicable Order Form.</w:t>
      </w:r>
    </w:p>
    <w:p w14:paraId="275E0298" w14:textId="35EEAB04"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“Immutable Backup” means a Backup copy of Customer Data that is stored using write-once-read-many (WORM) technology or equivalent controls that prevent the Backup from being altered, encrypted, overwritten, or deleted for a defined retention period, including by personnel with administrative or privileged access credentials.</w:t>
      </w:r>
    </w:p>
    <w:p w14:paraId="5C963AB0" w14:textId="22BA6BA4"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 xml:space="preserve">“Maximum Tolerable Downtime” or “MTD” means the maximum </w:t>
      </w:r>
      <w:proofErr w:type="gramStart"/>
      <w:r>
        <w:rPr>
          <w:rFonts w:ascii="Arial" w:hAnsi="Arial" w:cs="Arial"/>
          <w:sz w:val="20"/>
          <w:szCs w:val="20"/>
        </w:rPr>
        <w:t>period of time</w:t>
      </w:r>
      <w:proofErr w:type="gramEnd"/>
      <w:r>
        <w:rPr>
          <w:rFonts w:ascii="Arial" w:hAnsi="Arial" w:cs="Arial"/>
          <w:sz w:val="20"/>
          <w:szCs w:val="20"/>
        </w:rPr>
        <w:t xml:space="preserve"> following a Disaster that the Services may remain unavailable before the impact on Customer becomes unacceptable, as specified in the applicable Order Form.</w:t>
      </w:r>
    </w:p>
    <w:p w14:paraId="0A5657FE" w14:textId="2CDA541B"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“Minimum Recovery Level” means the minimum level of functionality, expressed as a percentage of full operational capacity, to which the Services must be restored following a Disaster before the Services are considered recovered for purposes of measuring the RTO, as specified in the applicable Order Form.</w:t>
      </w:r>
    </w:p>
    <w:p w14:paraId="2D7A6DE3" w14:textId="0477C556"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“Post-Incident Report” means the written report prepared by Service Provider following a Disaster or Disruptive Event, as described in Section 11 (Post-Incident Reporting).</w:t>
      </w:r>
    </w:p>
    <w:p w14:paraId="4CD6634C" w14:textId="16B5C013"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“Recovery Point Objective” or “RPO” means the maximum acceptable period of data loss measured in time from the point of the Disaster to the last available Backup or recovery point, as specified in the applicable Order Form.</w:t>
      </w:r>
    </w:p>
    <w:p w14:paraId="57AC3F89" w14:textId="6838183D"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“Recovery Time Objective” or “RTO” means the maximum acceptable period from the earliest of: (</w:t>
      </w:r>
      <w:proofErr w:type="spellStart"/>
      <w:r>
        <w:rPr>
          <w:rFonts w:ascii="Arial" w:hAnsi="Arial" w:cs="Arial"/>
          <w:sz w:val="20"/>
          <w:szCs w:val="20"/>
        </w:rPr>
        <w:t>i</w:t>
      </w:r>
      <w:proofErr w:type="spellEnd"/>
      <w:r>
        <w:rPr>
          <w:rFonts w:ascii="Arial" w:hAnsi="Arial" w:cs="Arial"/>
          <w:sz w:val="20"/>
          <w:szCs w:val="20"/>
        </w:rPr>
        <w:t>) the onset of the outage or material impairment of the Services; (ii) the time at which Service Provider knew or reasonably should have known of the event; or (iii) the declaration of a Disaster, to the restoration of the Services to at least the Minimum Recovery Level, as specified in the applicable Order Form.</w:t>
      </w:r>
    </w:p>
    <w:p w14:paraId="060E5E50" w14:textId="4B06D685"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“Vital Records” means any information, data, documentation, or media that is essential for the continuation or restoration of the Services or any business process that supports Customer’s use of the Services.</w:t>
      </w:r>
    </w:p>
    <w:p w14:paraId="7044D9FB" w14:textId="6FD6F76B"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Disaster Recovery Plan</w:t>
      </w:r>
      <w:r>
        <w:rPr>
          <w:sz w:val="20"/>
          <w:szCs w:val="20"/>
        </w:rPr>
        <w:t>.</w:t>
      </w:r>
    </w:p>
    <w:p w14:paraId="1C6B77DC" w14:textId="7D54D6F6" w:rsidR="00FA3E61" w:rsidRPr="00EB1109" w:rsidRDefault="00FA3E61" w:rsidP="00FA3E61">
      <w:pPr>
        <w:pStyle w:val="LegalLevel2"/>
        <w:numPr>
          <w:ilvl w:val="1"/>
          <w:numId w:val="4"/>
        </w:numPr>
        <w:spacing w:before="240" w:line="240" w:lineRule="auto"/>
        <w:rPr>
          <w:sz w:val="20"/>
          <w:szCs w:val="20"/>
        </w:rPr>
      </w:pPr>
      <w:r>
        <w:rPr>
          <w:sz w:val="20"/>
          <w:szCs w:val="20"/>
          <w:u w:val="single"/>
        </w:rPr>
        <w:t>DRP Development and Maintenance</w:t>
      </w:r>
      <w:r>
        <w:rPr>
          <w:sz w:val="20"/>
          <w:szCs w:val="20"/>
        </w:rPr>
        <w:t>. Service Provider shall develop, implement, and maintain a documented DRP that is: (a) consistent with industry standards and best practices, including ISO 22301 (or its successor) or equivalent; (b) designed to achieve the RPO, RTO, MTD, and Minimum Recovery Level specified in the applicable Order Form; (c) reviewed and updated at least semi-annually and following any material change to the Services, the infrastructure supporting the Services, or the Backup Infrastructure; (d) informed by a Business Impact Analysis that is reviewed and updated at least annually; and (e) documented with all assumptions and dependencies that may be outside of Service Provider’s control, including reliance on third party infrastructure, utility services, and telecommunications providers.</w:t>
      </w:r>
    </w:p>
    <w:p w14:paraId="61E1E832" w14:textId="5FDD45DE" w:rsidR="00FA3E61" w:rsidRPr="00EB1109" w:rsidRDefault="00FA3E61" w:rsidP="00FA3E61">
      <w:pPr>
        <w:pStyle w:val="LegalLevel2"/>
        <w:numPr>
          <w:ilvl w:val="1"/>
          <w:numId w:val="4"/>
        </w:numPr>
        <w:spacing w:before="240" w:line="240" w:lineRule="auto"/>
        <w:rPr>
          <w:sz w:val="20"/>
          <w:szCs w:val="20"/>
        </w:rPr>
      </w:pPr>
      <w:r>
        <w:rPr>
          <w:sz w:val="20"/>
          <w:szCs w:val="20"/>
          <w:u w:val="single"/>
        </w:rPr>
        <w:t>DRP Disclosure</w:t>
      </w:r>
      <w:r>
        <w:rPr>
          <w:sz w:val="20"/>
          <w:szCs w:val="20"/>
        </w:rPr>
        <w:t>. Service Provider shall provide Customer with a copy of the DRP (or, with Customer’s consent, a detailed executive summary thereof that identifies, at a minimum, the key recovery strategies, recovery architecture, RPO/RTO commitments, recovery site locations, dependency mapping depth, and test schedule) within thirty (30) days following the Effective Date and thereafter by January 31 of each calendar year. Service Provider shall notify Customer of any material change to the DRP within fifteen (15) days of such change.</w:t>
      </w:r>
    </w:p>
    <w:p w14:paraId="3295A5A0" w14:textId="46CE3734" w:rsidR="00FA3E61" w:rsidRPr="00EB1109" w:rsidRDefault="00FA3E61" w:rsidP="00FA3E61">
      <w:pPr>
        <w:pStyle w:val="LegalLevel2"/>
        <w:numPr>
          <w:ilvl w:val="1"/>
          <w:numId w:val="4"/>
        </w:numPr>
        <w:spacing w:before="240" w:line="240" w:lineRule="auto"/>
        <w:rPr>
          <w:sz w:val="20"/>
          <w:szCs w:val="20"/>
        </w:rPr>
      </w:pPr>
      <w:r>
        <w:rPr>
          <w:sz w:val="20"/>
          <w:szCs w:val="20"/>
          <w:u w:val="single"/>
        </w:rPr>
        <w:t>DRP Offsite Storage</w:t>
      </w:r>
      <w:r>
        <w:rPr>
          <w:sz w:val="20"/>
          <w:szCs w:val="20"/>
        </w:rPr>
        <w:t xml:space="preserve">. Service Provider shall maintain a current copy of the DRP in a secure offsite location, separate from the primary facility, and shall treat the DRP as a Vital Record. The offsite </w:t>
      </w:r>
      <w:r>
        <w:rPr>
          <w:sz w:val="20"/>
          <w:szCs w:val="20"/>
        </w:rPr>
        <w:lastRenderedPageBreak/>
        <w:t>copy shall be accessible to authorized recovery personnel in the event the primary facility is unavailable.</w:t>
      </w:r>
    </w:p>
    <w:p w14:paraId="31FFAE56" w14:textId="69D58B6F"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DRP Program Requirements</w:t>
      </w:r>
      <w:r>
        <w:rPr>
          <w:sz w:val="20"/>
          <w:szCs w:val="20"/>
        </w:rPr>
        <w:t>. Service Provider’s DRP shall, at a minimum, include or address: (a) redundant infrastructure and data replication; (b) geographically separated recovery sites that comply with the same data residency and sovereignty requirements applicable to the primary environment; (c) automated failover capabilities (where applicable); (d) documented recovery procedures and runbooks for all critical Services components; (e) identified recovery personnel with defined roles and responsibilities; (f) communication plans for Customer notification; (g) third party and Subcontractor dependency mapping; (h) Immutable Backup requirements; (</w:t>
      </w:r>
      <w:proofErr w:type="spellStart"/>
      <w:r>
        <w:rPr>
          <w:sz w:val="20"/>
          <w:szCs w:val="20"/>
        </w:rPr>
        <w:t>i</w:t>
      </w:r>
      <w:proofErr w:type="spellEnd"/>
      <w:r>
        <w:rPr>
          <w:sz w:val="20"/>
          <w:szCs w:val="20"/>
        </w:rPr>
        <w:t>) regular testing and validation; (j) an inventory of all assets involved in the disaster recovery process, including hardware (servers, distributed systems, and web-related systems), applications and software, application enablers, capacity requirements, telephony and communications systems, network components, and Vital Records (databases, recovery scripts, configuration data, and other essential media); (k) recovery strategies for each of the following loss types, as applicable: facility inaccessibility, equipment inaccessibility, technology unavailability, human resources unavailability, and third party supplier inaccessibility or unavailability; and (l) work area recovery requirements sufficient to support recovery operations at alternate locations.</w:t>
      </w:r>
    </w:p>
    <w:p w14:paraId="38CFF076" w14:textId="4EE6D8FA"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Disaster Declaration</w:t>
      </w:r>
      <w:r>
        <w:rPr>
          <w:sz w:val="20"/>
          <w:szCs w:val="20"/>
        </w:rPr>
        <w:t>.</w:t>
      </w:r>
    </w:p>
    <w:p w14:paraId="1C48A2D4" w14:textId="42C44C13" w:rsidR="00FA3E61" w:rsidRPr="00EB1109" w:rsidRDefault="00FA3E61" w:rsidP="00FA3E61">
      <w:pPr>
        <w:pStyle w:val="LegalLevel2"/>
        <w:numPr>
          <w:ilvl w:val="1"/>
          <w:numId w:val="4"/>
        </w:numPr>
        <w:spacing w:before="240" w:line="240" w:lineRule="auto"/>
        <w:rPr>
          <w:sz w:val="20"/>
          <w:szCs w:val="20"/>
        </w:rPr>
      </w:pPr>
      <w:r>
        <w:rPr>
          <w:sz w:val="20"/>
          <w:szCs w:val="20"/>
          <w:u w:val="single"/>
        </w:rPr>
        <w:t>Declaration Trigger</w:t>
      </w:r>
      <w:r>
        <w:rPr>
          <w:sz w:val="20"/>
          <w:szCs w:val="20"/>
        </w:rPr>
        <w:t>. Service Provider shall identify in the DRP the authorized personnel at the appropriate management level who are empowered to invoke the DRP, and shall maintain primary and backup contact details for: (</w:t>
      </w:r>
      <w:proofErr w:type="spellStart"/>
      <w:r>
        <w:rPr>
          <w:sz w:val="20"/>
          <w:szCs w:val="20"/>
        </w:rPr>
        <w:t>i</w:t>
      </w:r>
      <w:proofErr w:type="spellEnd"/>
      <w:r>
        <w:rPr>
          <w:sz w:val="20"/>
          <w:szCs w:val="20"/>
        </w:rPr>
        <w:t xml:space="preserve">) Service Provider’s senior management; (ii) disaster recovery team members; and (iii) key partners and suppliers required to support the DRP. Service Provider shall declare a Disaster when an event occurs or is reasonably expected to occur that will or may cause the Services to become unavailable or materially impaired. Immediately following such an event, Service Provider </w:t>
      </w:r>
      <w:proofErr w:type="gramStart"/>
      <w:r>
        <w:rPr>
          <w:sz w:val="20"/>
          <w:szCs w:val="20"/>
        </w:rPr>
        <w:t>shall</w:t>
      </w:r>
      <w:proofErr w:type="gramEnd"/>
      <w:r>
        <w:rPr>
          <w:sz w:val="20"/>
          <w:szCs w:val="20"/>
        </w:rPr>
        <w:t xml:space="preserve"> notify Customer and shall provide Customer with its assessment and plans for restoring the Services. Notwithstanding the foregoing, if the Services remain unavailable or materially impaired for a continuous period exceeding the Maximum Time to Deemed Disaster Declaration specified in the applicable Order Form without a Disaster having been declared, a Disaster shall be deemed declared automatically, and Service Provider shall immediately activate its DRP. Unless otherwise specified in the applicable Order Form, the Maximum Time to Deemed Disaster Declaration shall be four (4) hours.</w:t>
      </w:r>
    </w:p>
    <w:p w14:paraId="299B6F31" w14:textId="47782C21"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Declaration Right</w:t>
      </w:r>
      <w:r>
        <w:rPr>
          <w:sz w:val="20"/>
          <w:szCs w:val="20"/>
        </w:rPr>
        <w:t>. If, following any event that has caused the Services to become unavailable or materially impaired, Customer reasonably determines that Service Provider is unlikely to restore the Services within the applicable RTO, Customer may declare a Disaster by written notice to Service Provider at any time. A Disaster declaration made by either Party or deemed under Section 4.1 (Declaration Trigger) requires Service Provider to immediately implement its DRP.</w:t>
      </w:r>
    </w:p>
    <w:p w14:paraId="4B056BEA" w14:textId="6B111230" w:rsidR="00FA3E61" w:rsidRPr="00EB1109" w:rsidRDefault="00FA3E61" w:rsidP="00FA3E61">
      <w:pPr>
        <w:pStyle w:val="LegalLevel2"/>
        <w:numPr>
          <w:ilvl w:val="1"/>
          <w:numId w:val="4"/>
        </w:numPr>
        <w:spacing w:before="240" w:line="240" w:lineRule="auto"/>
        <w:rPr>
          <w:sz w:val="20"/>
          <w:szCs w:val="20"/>
        </w:rPr>
      </w:pPr>
      <w:r>
        <w:rPr>
          <w:sz w:val="20"/>
          <w:szCs w:val="20"/>
          <w:u w:val="single"/>
        </w:rPr>
        <w:t>Declaration Notification</w:t>
      </w:r>
      <w:r>
        <w:rPr>
          <w:sz w:val="20"/>
          <w:szCs w:val="20"/>
        </w:rPr>
        <w:t>. Service Provider shall notify Customer of a Disaster declaration within one (1) hour of the declaration and shall provide: (a) a description of the event, including whether the event constitutes or involves a Cyber Incident; (b) the expected impact on the Services and Customer Data; (c) the estimated time for recovery; and (d) the designated incident commander or point of contact for the duration of recovery operations.</w:t>
      </w:r>
    </w:p>
    <w:p w14:paraId="2A09C3EE" w14:textId="0492CC75" w:rsidR="00FA3E61" w:rsidRPr="00EB1109" w:rsidRDefault="00FA3E61" w:rsidP="00FA3E61">
      <w:pPr>
        <w:pStyle w:val="LegalLevel2"/>
        <w:numPr>
          <w:ilvl w:val="1"/>
          <w:numId w:val="4"/>
        </w:numPr>
        <w:spacing w:before="240" w:line="240" w:lineRule="auto"/>
        <w:rPr>
          <w:sz w:val="20"/>
          <w:szCs w:val="20"/>
        </w:rPr>
      </w:pPr>
      <w:r>
        <w:rPr>
          <w:sz w:val="20"/>
          <w:szCs w:val="20"/>
          <w:u w:val="single"/>
        </w:rPr>
        <w:t>Status Updates During Recovery</w:t>
      </w:r>
      <w:r>
        <w:rPr>
          <w:sz w:val="20"/>
          <w:szCs w:val="20"/>
        </w:rPr>
        <w:t>. Service Provider shall provide Customer with status updates at least every four (4) hours during active recovery operations, or more frequently as Customer may reasonably request. Status updates shall include: (a) current recovery status; (b) any changes to estimated recovery time; (c) actions taken since the prior update; and (d) any risks to Customer Data integrity or availability.</w:t>
      </w:r>
    </w:p>
    <w:p w14:paraId="53AE45B8" w14:textId="1C9A77B2" w:rsidR="00FA3E61" w:rsidRPr="00EB1109" w:rsidRDefault="00FA3E61" w:rsidP="00FA3E61">
      <w:pPr>
        <w:pStyle w:val="LegalLevel2"/>
        <w:numPr>
          <w:ilvl w:val="1"/>
          <w:numId w:val="4"/>
        </w:numPr>
        <w:spacing w:before="240" w:line="240" w:lineRule="auto"/>
        <w:rPr>
          <w:sz w:val="20"/>
          <w:szCs w:val="20"/>
        </w:rPr>
      </w:pPr>
      <w:r>
        <w:rPr>
          <w:sz w:val="20"/>
          <w:szCs w:val="20"/>
          <w:u w:val="single"/>
        </w:rPr>
        <w:t>Resource Allocation Priority</w:t>
      </w:r>
      <w:r>
        <w:rPr>
          <w:sz w:val="20"/>
          <w:szCs w:val="20"/>
        </w:rPr>
        <w:t>. Without diminishing Service Provider’s other obligations hereunder, if a Disaster challenges Service Provider’s ability to allocate limited resources between or among Service Provider’s customers or Affiliates, Customer shall receive at least the same priority in respect of such allocation as Service Provider’s Affiliates and Service Provider’s other customers.</w:t>
      </w:r>
    </w:p>
    <w:p w14:paraId="5FB58FE4" w14:textId="6CEEADA5"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lastRenderedPageBreak/>
        <w:t>Business Continuity Planning</w:t>
      </w:r>
      <w:r>
        <w:rPr>
          <w:sz w:val="20"/>
          <w:szCs w:val="20"/>
        </w:rPr>
        <w:t>.</w:t>
      </w:r>
    </w:p>
    <w:p w14:paraId="535DF4D2" w14:textId="1D5AA542" w:rsidR="00FA3E61" w:rsidRPr="00EB1109" w:rsidRDefault="00FA3E61" w:rsidP="00FA3E61">
      <w:pPr>
        <w:pStyle w:val="LegalLevel2"/>
        <w:numPr>
          <w:ilvl w:val="1"/>
          <w:numId w:val="4"/>
        </w:numPr>
        <w:spacing w:before="240" w:line="240" w:lineRule="auto"/>
        <w:rPr>
          <w:sz w:val="20"/>
          <w:szCs w:val="20"/>
        </w:rPr>
      </w:pPr>
      <w:r>
        <w:rPr>
          <w:sz w:val="20"/>
          <w:szCs w:val="20"/>
          <w:u w:val="single"/>
        </w:rPr>
        <w:t>BCP Requirements</w:t>
      </w:r>
      <w:r>
        <w:rPr>
          <w:sz w:val="20"/>
          <w:szCs w:val="20"/>
        </w:rPr>
        <w:t>. Service Provider shall develop, implement, and maintain a BCP that addresses the continuity of all functions necessary to deliver the Services, including: (a) personnel and workforce continuity (including key person dependencies and succession planning); (b) organizational readiness to resume operations upon technology recovery, including alignment with and dependencies on the DRP; (c) supply chain and third party dependency management; (d) communications and stakeholder management; (e) pandemic, epidemic, and public health contingency planning; and (f) work area recovery requirements, including alternate workspace arrangements sufficient to support recovery operations.</w:t>
      </w:r>
    </w:p>
    <w:p w14:paraId="5685F1B5" w14:textId="649EE36D" w:rsidR="00FA3E61" w:rsidRPr="00EB1109" w:rsidRDefault="00FA3E61" w:rsidP="00FA3E61">
      <w:pPr>
        <w:pStyle w:val="LegalLevel2"/>
        <w:numPr>
          <w:ilvl w:val="1"/>
          <w:numId w:val="4"/>
        </w:numPr>
        <w:spacing w:before="240" w:line="240" w:lineRule="auto"/>
        <w:rPr>
          <w:sz w:val="20"/>
          <w:szCs w:val="20"/>
        </w:rPr>
      </w:pPr>
      <w:r>
        <w:rPr>
          <w:sz w:val="20"/>
          <w:szCs w:val="20"/>
          <w:u w:val="single"/>
        </w:rPr>
        <w:t>BCP Review and Testing</w:t>
      </w:r>
      <w:r>
        <w:rPr>
          <w:sz w:val="20"/>
          <w:szCs w:val="20"/>
        </w:rPr>
        <w:t>. Service Provider’s BCP shall be reviewed and updated at least semi-annually and shall be tested concurrently with DRP testing.</w:t>
      </w:r>
    </w:p>
    <w:p w14:paraId="6B96894A" w14:textId="4C0EBECA" w:rsidR="00FA3E61" w:rsidRPr="00EB1109" w:rsidRDefault="00FA3E61" w:rsidP="00FA3E61">
      <w:pPr>
        <w:pStyle w:val="LegalLevel2"/>
        <w:numPr>
          <w:ilvl w:val="1"/>
          <w:numId w:val="4"/>
        </w:numPr>
        <w:spacing w:before="240" w:line="240" w:lineRule="auto"/>
        <w:rPr>
          <w:sz w:val="20"/>
          <w:szCs w:val="20"/>
        </w:rPr>
      </w:pPr>
      <w:r>
        <w:rPr>
          <w:sz w:val="20"/>
          <w:szCs w:val="20"/>
          <w:u w:val="single"/>
        </w:rPr>
        <w:t>Subcontractor BC/DR Requirements</w:t>
      </w:r>
      <w:r>
        <w:rPr>
          <w:sz w:val="20"/>
          <w:szCs w:val="20"/>
        </w:rPr>
        <w:t>. Service Provider shall require each Subcontractor or Sub-processor that provides services critical to the delivery or operation of the Services to maintain its own business continuity and disaster recovery plans that are consistent with the requirements of this BC/DR Addendum. Service Provider shall: (a) include business continuity and disaster recovery requirements in its agreements with such Subcontractors; (b) monitor Subcontractor compliance with such requirements; and (c) make available to Customer, upon request, a summary of each critical Subcontractor’s DR capabilities.</w:t>
      </w:r>
    </w:p>
    <w:p w14:paraId="091DC23D" w14:textId="3A21E52D" w:rsidR="00FA3E61" w:rsidRPr="00EB1109" w:rsidRDefault="00FA3E61" w:rsidP="00FA3E61">
      <w:pPr>
        <w:pStyle w:val="LegalLevel2"/>
        <w:numPr>
          <w:ilvl w:val="1"/>
          <w:numId w:val="4"/>
        </w:numPr>
        <w:spacing w:before="240" w:line="240" w:lineRule="auto"/>
        <w:rPr>
          <w:sz w:val="20"/>
          <w:szCs w:val="20"/>
        </w:rPr>
      </w:pPr>
      <w:r>
        <w:rPr>
          <w:sz w:val="20"/>
          <w:szCs w:val="20"/>
          <w:u w:val="single"/>
        </w:rPr>
        <w:t>Concentration Risk Disclosure</w:t>
      </w:r>
      <w:r>
        <w:rPr>
          <w:sz w:val="20"/>
          <w:szCs w:val="20"/>
        </w:rPr>
        <w:t>. Service Provider shall assess and disclose to Customer any Concentration Risk associated with the delivery of the Services, including reliance on a single cloud infrastructure provider, data center operator, or geographic region. Service Provider shall identify in the applicable Order Form the primary cloud infrastructure provider(s) and geographic region(s) on which the Services depend and shall notify Customer at least sixty (60) days prior to any material change to such provider(s) or region(s).</w:t>
      </w:r>
    </w:p>
    <w:p w14:paraId="55B1566E" w14:textId="4161BFE5"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Backup and Data Protection</w:t>
      </w:r>
      <w:r>
        <w:rPr>
          <w:sz w:val="20"/>
          <w:szCs w:val="20"/>
        </w:rPr>
        <w:t>.</w:t>
      </w:r>
    </w:p>
    <w:p w14:paraId="0F4DA39D" w14:textId="3EBA25C5" w:rsidR="00FA3E61" w:rsidRPr="00EB1109" w:rsidRDefault="00FA3E61" w:rsidP="00FA3E61">
      <w:pPr>
        <w:pStyle w:val="LegalLevel2"/>
        <w:numPr>
          <w:ilvl w:val="1"/>
          <w:numId w:val="4"/>
        </w:numPr>
        <w:spacing w:before="240" w:line="240" w:lineRule="auto"/>
        <w:rPr>
          <w:sz w:val="20"/>
          <w:szCs w:val="20"/>
        </w:rPr>
      </w:pPr>
      <w:r>
        <w:rPr>
          <w:sz w:val="20"/>
          <w:szCs w:val="20"/>
          <w:u w:val="single"/>
        </w:rPr>
        <w:t>Backup Program</w:t>
      </w:r>
      <w:r>
        <w:rPr>
          <w:sz w:val="20"/>
          <w:szCs w:val="20"/>
        </w:rPr>
        <w:t>. Service Provider shall maintain a comprehensive backup program for Customer Data that, at a minimum: (a) performs Backups at a frequency sufficient to meet the RPO specified in the applicable Order Form; (b) stores Backups in geographically separated locations that comply with the same data residency, sovereignty, and security requirements applicable to the primary environment under the Agreement and the Data Processing Addendum; and (c) regularly verifies the integrity of Backups through automated integrity checks, including hash or checksum verification.</w:t>
      </w:r>
    </w:p>
    <w:p w14:paraId="308A75DC" w14:textId="0FBE85AC" w:rsidR="00FA3E61" w:rsidRPr="00EB1109" w:rsidRDefault="00FA3E61" w:rsidP="00FA3E61">
      <w:pPr>
        <w:pStyle w:val="LegalLevel2"/>
        <w:numPr>
          <w:ilvl w:val="1"/>
          <w:numId w:val="4"/>
        </w:numPr>
        <w:spacing w:before="240" w:line="240" w:lineRule="auto"/>
        <w:rPr>
          <w:sz w:val="20"/>
          <w:szCs w:val="20"/>
        </w:rPr>
      </w:pPr>
      <w:r>
        <w:rPr>
          <w:sz w:val="20"/>
          <w:szCs w:val="20"/>
          <w:u w:val="single"/>
        </w:rPr>
        <w:t>Immutable Backup Requirements</w:t>
      </w:r>
      <w:r>
        <w:rPr>
          <w:sz w:val="20"/>
          <w:szCs w:val="20"/>
        </w:rPr>
        <w:t>. Service Provider shall maintain Immutable Backups of Customer Data in accordance with the following requirements:</w:t>
      </w:r>
    </w:p>
    <w:p w14:paraId="4AD838C3" w14:textId="2F639B38"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All Backups of Customer Data shall be stored as Immutable Backups for a minimum retention period of sixty (60) days, or such longer period as specified in the applicable Order Form.</w:t>
      </w:r>
    </w:p>
    <w:p w14:paraId="64066163" w14:textId="3B569D51"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Backup Infrastructure shall be logically and physically separated from the production environment. In cloud environments, such separation shall include, at a minimum, separate accounts or tenants, separate administrative credential domains, and separate geographic regions or availability zones. No production administrative credentials shall provide write or delete access to the Immutable Backup environment. If Service Provider is unable to achieve physical separation for any component of the Backup Infrastructure, Service Provider shall: (a) document the specific limitation and the alternative compensating controls in place; (b) prepare a written risk assessment; and (c) obtain Customer’s prior written approval before proceeding without physical separation.</w:t>
      </w:r>
    </w:p>
    <w:p w14:paraId="63D2F6EB" w14:textId="1B9BB0F3"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lastRenderedPageBreak/>
        <w:t>Service Provider shall maintain at least three (3) copies of Customer Data, using at least two (2) independent storage platforms (which, in cloud environments, means separate storage services, separate cloud accounts or tenants, or separate cloud providers), with at least one (1) copy stored in a geographically separate location and at least one (1) copy stored as an Immutable Backup, with zero (0) tolerance for unverified or incomplete Backups.</w:t>
      </w:r>
    </w:p>
    <w:p w14:paraId="2F577B0D" w14:textId="236360D0" w:rsidR="00FA3E61" w:rsidRPr="00EB1109" w:rsidRDefault="00FA3E61" w:rsidP="00FA3E61">
      <w:pPr>
        <w:pStyle w:val="LegalLevel2"/>
        <w:numPr>
          <w:ilvl w:val="1"/>
          <w:numId w:val="4"/>
        </w:numPr>
        <w:spacing w:before="240" w:line="240" w:lineRule="auto"/>
        <w:rPr>
          <w:sz w:val="20"/>
          <w:szCs w:val="20"/>
        </w:rPr>
      </w:pPr>
      <w:r>
        <w:rPr>
          <w:sz w:val="20"/>
          <w:szCs w:val="20"/>
          <w:u w:val="single"/>
        </w:rPr>
        <w:t>Backup Documentation</w:t>
      </w:r>
      <w:r>
        <w:rPr>
          <w:sz w:val="20"/>
          <w:szCs w:val="20"/>
        </w:rPr>
        <w:t>. Service Provider shall provide Customer with documentation describing: (a) the backup methodology (real-time replication, near-real-time, periodic snapshots, or other method); (b) the backup frequency; (c) the geographic location(s) of backup storage; (d) the retention periods; (e) the encryption standards applied to Backups; and (f) the immutability controls in place. Service Provider shall update such documentation within fifteen (15) days of any material change to the backup program.</w:t>
      </w:r>
    </w:p>
    <w:p w14:paraId="4A1867DB" w14:textId="2C86AE61" w:rsidR="00FA3E61" w:rsidRPr="00EB1109" w:rsidRDefault="00FA3E61" w:rsidP="00FA3E61">
      <w:pPr>
        <w:pStyle w:val="LegalLevel2"/>
        <w:numPr>
          <w:ilvl w:val="1"/>
          <w:numId w:val="4"/>
        </w:numPr>
        <w:spacing w:before="240" w:line="240" w:lineRule="auto"/>
        <w:rPr>
          <w:sz w:val="20"/>
          <w:szCs w:val="20"/>
        </w:rPr>
      </w:pPr>
      <w:r>
        <w:rPr>
          <w:sz w:val="20"/>
          <w:szCs w:val="20"/>
          <w:u w:val="single"/>
        </w:rPr>
        <w:t>Recovery Site Data Residency</w:t>
      </w:r>
      <w:r>
        <w:rPr>
          <w:sz w:val="20"/>
          <w:szCs w:val="20"/>
        </w:rPr>
        <w:t>. Recovery sites and Backup Infrastructure shall comply with the same data location, residency, and sovereignty restrictions as the primary environment. Service Provider shall not fail over to, or restore Customer Data from, any facility located in a jurisdiction that does not comply with such restrictions without Customer’s prior written consent. Notwithstanding the foregoing, if, during an actual Disaster, compliance with the foregoing data residency restrictions would prevent Service Provider from restoring the Services within the applicable RTO, Service Provider may temporarily fail over to a pre-approved emergency recovery jurisdiction identified in the applicable Order Form, subject to the following conditions: (</w:t>
      </w:r>
      <w:proofErr w:type="spellStart"/>
      <w:r>
        <w:rPr>
          <w:sz w:val="20"/>
          <w:szCs w:val="20"/>
        </w:rPr>
        <w:t>i</w:t>
      </w:r>
      <w:proofErr w:type="spellEnd"/>
      <w:r>
        <w:rPr>
          <w:sz w:val="20"/>
          <w:szCs w:val="20"/>
        </w:rPr>
        <w:t>) Service Provider shall notify Customer within two (2) hours of such failover; (ii) Service Provider shall repatriate Customer Data to a compliant jurisdiction within seventy-two (72) hours (or such shorter period as Customer may reasonably require); (iii) all data protection and security obligations under the Agreement shall remain in full force during the emergency period; and (iv) Service Provider shall document the circumstances necessitating the emergency failover in the Post-Incident Report.</w:t>
      </w:r>
    </w:p>
    <w:p w14:paraId="25551700" w14:textId="45DC794F" w:rsidR="00FA3E61" w:rsidRPr="00EB1109" w:rsidRDefault="00FA3E61" w:rsidP="00FA3E61">
      <w:pPr>
        <w:pStyle w:val="LegalLevel2"/>
        <w:numPr>
          <w:ilvl w:val="1"/>
          <w:numId w:val="4"/>
        </w:numPr>
        <w:spacing w:before="240" w:line="240" w:lineRule="auto"/>
        <w:rPr>
          <w:sz w:val="20"/>
          <w:szCs w:val="20"/>
        </w:rPr>
      </w:pPr>
      <w:r>
        <w:rPr>
          <w:sz w:val="20"/>
          <w:szCs w:val="20"/>
          <w:u w:val="single"/>
        </w:rPr>
        <w:t>Vital Records</w:t>
      </w:r>
      <w:r>
        <w:rPr>
          <w:sz w:val="20"/>
          <w:szCs w:val="20"/>
        </w:rPr>
        <w:t>. Service Provider shall identify all Vital Records essential to support the restoration of the Services, including databases, recovery scripts, configuration data, and other essential media. All Vital Records shall be stored in a secure location separate from the primary facility. Recovery sites shall have the capacity to process the required volume with sufficient processing time for the anticipated workload.</w:t>
      </w:r>
    </w:p>
    <w:p w14:paraId="4C6017B1" w14:textId="02591FF1"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RPO and RTO</w:t>
      </w:r>
      <w:r>
        <w:rPr>
          <w:sz w:val="20"/>
          <w:szCs w:val="20"/>
        </w:rPr>
        <w:t>.</w:t>
      </w:r>
    </w:p>
    <w:p w14:paraId="1D79C016" w14:textId="2BD1E7DD" w:rsidR="00FA3E61" w:rsidRPr="00EB1109" w:rsidRDefault="00FA3E61" w:rsidP="00FA3E61">
      <w:pPr>
        <w:pStyle w:val="LegalLevel2"/>
        <w:numPr>
          <w:ilvl w:val="1"/>
          <w:numId w:val="4"/>
        </w:numPr>
        <w:spacing w:before="240" w:line="240" w:lineRule="auto"/>
        <w:rPr>
          <w:sz w:val="20"/>
          <w:szCs w:val="20"/>
        </w:rPr>
      </w:pPr>
      <w:r>
        <w:rPr>
          <w:sz w:val="20"/>
          <w:szCs w:val="20"/>
          <w:u w:val="single"/>
        </w:rPr>
        <w:t>Recovery Objectives</w:t>
      </w:r>
      <w:r>
        <w:rPr>
          <w:sz w:val="20"/>
          <w:szCs w:val="20"/>
        </w:rPr>
        <w:t xml:space="preserve">. Service Provider shall design and operate the Services and its disaster recovery infrastructure to meet the RPO, RTO, MTD, and Minimum Recovery Level set forth in the applicable Order Form. Unless otherwise specified in the applicable Order Form, the following default values shall apply: (a) RPO: no greater than four (4) hours; (b) RTO: no greater than eight (8) hours; (c) MTD: no greater than twenty-four (24) hours; and (d) Minimum Recovery Level: eighty percent (80%) of full functionality. The applicable Order Form may specify values that are </w:t>
      </w:r>
      <w:proofErr w:type="gramStart"/>
      <w:r>
        <w:rPr>
          <w:sz w:val="20"/>
          <w:szCs w:val="20"/>
        </w:rPr>
        <w:t>more or less stringent</w:t>
      </w:r>
      <w:proofErr w:type="gramEnd"/>
      <w:r>
        <w:rPr>
          <w:sz w:val="20"/>
          <w:szCs w:val="20"/>
        </w:rPr>
        <w:t xml:space="preserve"> than the foregoing defaults based on the nature and criticality of the Services.</w:t>
      </w:r>
    </w:p>
    <w:p w14:paraId="62CADD36" w14:textId="27687B2C" w:rsidR="00FA3E61" w:rsidRPr="00EB1109" w:rsidRDefault="00FA3E61" w:rsidP="00FA3E61">
      <w:pPr>
        <w:pStyle w:val="LegalLevel2"/>
        <w:numPr>
          <w:ilvl w:val="1"/>
          <w:numId w:val="4"/>
        </w:numPr>
        <w:spacing w:before="240" w:line="240" w:lineRule="auto"/>
        <w:rPr>
          <w:sz w:val="20"/>
          <w:szCs w:val="20"/>
        </w:rPr>
      </w:pPr>
      <w:r>
        <w:rPr>
          <w:sz w:val="20"/>
          <w:szCs w:val="20"/>
          <w:u w:val="single"/>
        </w:rPr>
        <w:t>RPO/RTO Failure as Service Level Failure</w:t>
      </w:r>
      <w:r>
        <w:rPr>
          <w:sz w:val="20"/>
          <w:szCs w:val="20"/>
        </w:rPr>
        <w:t>. If Service Provider fails to meet the specified RPO or RTO following a Disaster, such failure shall constitute a Service Level failure for purposes of Section 9 (Service Levels) of the Master Agreement.</w:t>
      </w:r>
    </w:p>
    <w:p w14:paraId="1B955CED" w14:textId="01FE07AC" w:rsidR="00FA3E61" w:rsidRPr="00EB1109" w:rsidRDefault="00FA3E61" w:rsidP="00FA3E61">
      <w:pPr>
        <w:pStyle w:val="LegalLevel2"/>
        <w:numPr>
          <w:ilvl w:val="1"/>
          <w:numId w:val="4"/>
        </w:numPr>
        <w:spacing w:before="240" w:line="240" w:lineRule="auto"/>
        <w:rPr>
          <w:sz w:val="20"/>
          <w:szCs w:val="20"/>
        </w:rPr>
      </w:pPr>
      <w:r>
        <w:rPr>
          <w:sz w:val="20"/>
          <w:szCs w:val="20"/>
          <w:u w:val="single"/>
        </w:rPr>
        <w:t>Management Escalation for Recovery Failures</w:t>
      </w:r>
      <w:r>
        <w:rPr>
          <w:sz w:val="20"/>
          <w:szCs w:val="20"/>
        </w:rPr>
        <w:t xml:space="preserve">. Where Service Provider fails to achieve the committed RTO or RPO following a Disaster, Service Provider shall escalate the failure through progressively senior levels of Service Provider management as follows: (a) within four (4) hours of such failure, Service Provider’s designated account manager (as designated under Section 8.3 (Key Personnel) of the Master Agreement) and the DR Governance Contact shall be engaged and made directly available to Customer; (b) within eight (8) hours of such failure, Service Provider’s director or vice president-level management shall be engaged and made directly available to Customer; and (c) within twelve (12) hours of such failure, a senior executive of Service Provider shall be engaged and made directly available to Customer’s designated management. At each </w:t>
      </w:r>
      <w:r>
        <w:rPr>
          <w:sz w:val="20"/>
          <w:szCs w:val="20"/>
        </w:rPr>
        <w:lastRenderedPageBreak/>
        <w:t>escalation level, Service Provider shall provide increasing levels of technical expertise and management involvement until the Services are restored to at least the Minimum Recovery Level, and Customer may accelerate escalation to the next level at any time. The obligations under this Section are in addition to, and do not replace, the Disaster notification and status update obligations set forth in Section 4 (Disaster Declaration).</w:t>
      </w:r>
    </w:p>
    <w:p w14:paraId="4C1AB0AF" w14:textId="77777777"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Testing and Exercises</w:t>
      </w:r>
      <w:r>
        <w:rPr>
          <w:sz w:val="20"/>
          <w:szCs w:val="20"/>
        </w:rPr>
        <w:t>.</w:t>
      </w:r>
    </w:p>
    <w:p w14:paraId="36F91971" w14:textId="00561EDA" w:rsidR="00FA3E61" w:rsidRPr="00EB1109" w:rsidRDefault="00FA3E61" w:rsidP="00FA3E61">
      <w:pPr>
        <w:pStyle w:val="LegalLevel2"/>
        <w:numPr>
          <w:ilvl w:val="1"/>
          <w:numId w:val="4"/>
        </w:numPr>
        <w:spacing w:before="240" w:line="240" w:lineRule="auto"/>
        <w:rPr>
          <w:sz w:val="20"/>
          <w:szCs w:val="20"/>
        </w:rPr>
      </w:pPr>
      <w:r>
        <w:rPr>
          <w:sz w:val="20"/>
          <w:szCs w:val="20"/>
          <w:u w:val="single"/>
        </w:rPr>
        <w:t>Annual Testing Requirements</w:t>
      </w:r>
      <w:r>
        <w:rPr>
          <w:sz w:val="20"/>
          <w:szCs w:val="20"/>
        </w:rPr>
        <w:t>. Service Provider shall test its DRP and BCP at least annually through a progression of test types that includes, at a minimum:</w:t>
      </w:r>
    </w:p>
    <w:p w14:paraId="0D51E529" w14:textId="77777777"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at least one (1) tabletop exercise per calendar year;</w:t>
      </w:r>
    </w:p>
    <w:p w14:paraId="19D118F5" w14:textId="0A0CD8DF"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at least one (1) simulation exercise per calendar year; and</w:t>
      </w:r>
    </w:p>
    <w:p w14:paraId="05B7384A" w14:textId="6E87451F" w:rsidR="00FA3E61" w:rsidRPr="00EB1109" w:rsidRDefault="00FA3E61" w:rsidP="00FA3E61">
      <w:pPr>
        <w:pStyle w:val="LegalLevel3"/>
        <w:numPr>
          <w:ilvl w:val="2"/>
          <w:numId w:val="4"/>
        </w:numPr>
        <w:tabs>
          <w:tab w:val="clear" w:pos="1939"/>
        </w:tabs>
        <w:spacing w:before="240" w:after="120" w:line="240" w:lineRule="auto"/>
        <w:rPr>
          <w:sz w:val="20"/>
          <w:szCs w:val="20"/>
        </w:rPr>
      </w:pPr>
      <w:r>
        <w:rPr>
          <w:sz w:val="20"/>
          <w:szCs w:val="20"/>
        </w:rPr>
        <w:t>at least one (1) full failover test per calendar year for all critical Services components, including failover to a recovery site and restoration of Customer Data from Backups.</w:t>
      </w:r>
    </w:p>
    <w:p w14:paraId="60F714B8" w14:textId="2ADFDD52" w:rsidR="00FA3E61" w:rsidRPr="00EB1109" w:rsidRDefault="00FA3E61" w:rsidP="00FA3E61">
      <w:pPr>
        <w:pStyle w:val="LegalLevel2"/>
        <w:numPr>
          <w:ilvl w:val="1"/>
          <w:numId w:val="4"/>
        </w:numPr>
        <w:spacing w:before="240" w:line="240" w:lineRule="auto"/>
        <w:rPr>
          <w:sz w:val="20"/>
          <w:szCs w:val="20"/>
        </w:rPr>
      </w:pPr>
      <w:r>
        <w:rPr>
          <w:sz w:val="20"/>
          <w:szCs w:val="20"/>
          <w:u w:val="single"/>
        </w:rPr>
        <w:t>Test Notice and Schedule</w:t>
      </w:r>
      <w:r>
        <w:rPr>
          <w:sz w:val="20"/>
          <w:szCs w:val="20"/>
        </w:rPr>
        <w:t>. Service Provider shall provide Customer with not less than thirty (30) days’ advance notice of planned tests and shall invite Customer to observe or participate in any test. Service Provider shall provide an annual test schedule to Customer by January 31 of each calendar year, identifying the planned dates, test types, scope, objectives, and participating personnel.</w:t>
      </w:r>
    </w:p>
    <w:p w14:paraId="01E2CCA3" w14:textId="5FB00BDD" w:rsidR="00FA3E61" w:rsidRPr="00EB1109" w:rsidRDefault="00FA3E61" w:rsidP="00FA3E61">
      <w:pPr>
        <w:pStyle w:val="LegalLevel2"/>
        <w:numPr>
          <w:ilvl w:val="1"/>
          <w:numId w:val="4"/>
        </w:numPr>
        <w:spacing w:before="240" w:line="240" w:lineRule="auto"/>
        <w:rPr>
          <w:sz w:val="20"/>
          <w:szCs w:val="20"/>
        </w:rPr>
      </w:pPr>
      <w:r>
        <w:rPr>
          <w:sz w:val="20"/>
          <w:szCs w:val="20"/>
          <w:u w:val="single"/>
        </w:rPr>
        <w:t>Test Results and Gap Closure</w:t>
      </w:r>
      <w:r>
        <w:rPr>
          <w:sz w:val="20"/>
          <w:szCs w:val="20"/>
        </w:rPr>
        <w:t>. Service Provider shall provide Customer with a written summary of test results within ten (10) Business Days of test completion, including: (a) the test definition and objectives; (b) the test participants; (c) the actual RPO and RTO achieved; (d) any deficiencies, gaps, or failures identified; (e) a documented action plan with target dates to close each identified gap; and (f) documented evidence of gap closure (including change records, re-test results, or third party attestation, as appropriate to the nature of the gap), which shall be provided within sixty (60) days of test completion. Any target dates for gap closure that extend beyond sixty (60) days must be approved in writing by Customer.</w:t>
      </w:r>
    </w:p>
    <w:p w14:paraId="74D12B01" w14:textId="10F8A3E3" w:rsidR="00FA3E61" w:rsidRPr="00EB1109" w:rsidRDefault="00FA3E61" w:rsidP="00FA3E61">
      <w:pPr>
        <w:pStyle w:val="LegalLevel2"/>
        <w:numPr>
          <w:ilvl w:val="1"/>
          <w:numId w:val="4"/>
        </w:numPr>
        <w:spacing w:before="240" w:line="240" w:lineRule="auto"/>
        <w:rPr>
          <w:sz w:val="20"/>
          <w:szCs w:val="20"/>
        </w:rPr>
      </w:pPr>
      <w:r>
        <w:rPr>
          <w:sz w:val="20"/>
          <w:szCs w:val="20"/>
          <w:u w:val="single"/>
        </w:rPr>
        <w:t>Test Coverage</w:t>
      </w:r>
      <w:r>
        <w:rPr>
          <w:sz w:val="20"/>
          <w:szCs w:val="20"/>
        </w:rPr>
        <w:t>. Testing shall: (a) cover all critical Services components, including end-to-end recovery from Backups (including Immutable Backups) in a production-representative environment; (b) include verification of Customer Data integrity and completeness following recovery; (c) validate Customer access paths and authentication mechanisms in the recovered environment; (d) measure and document the actual RPO and RTO achieved for each test; (e) where Customer Data is hosted in a multi-tenant environment, include testing with Customer’s specific data or a representative data set approved by Customer at least once every two (2) years; and (f) verify that the security controls, access restrictions, encryption standards, and data protection measures operative in the recovered environment are the same as those applicable to the Services and Customer Data in the production environment. For purposes of this Section, “full failover test” means a test in which the Services are fully transitioned to and operated from a recovery site, including restoration of Customer Data from Backups and confirmation of end-to-end service availability.</w:t>
      </w:r>
    </w:p>
    <w:p w14:paraId="176BC280" w14:textId="2DB3F443"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Remedies for Test Failures</w:t>
      </w:r>
      <w:r>
        <w:rPr>
          <w:sz w:val="20"/>
          <w:szCs w:val="20"/>
        </w:rPr>
        <w:t>. Customer’s remedies for Service Provider’s failure to materially achieve the DRP objectives in testing, including termination rights, are set forth in Section 13 (Customer Rights and Remedies).</w:t>
      </w:r>
    </w:p>
    <w:p w14:paraId="1C1159BB" w14:textId="77777777"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Governance and Review</w:t>
      </w:r>
      <w:r>
        <w:rPr>
          <w:sz w:val="20"/>
          <w:szCs w:val="20"/>
        </w:rPr>
        <w:t>.</w:t>
      </w:r>
    </w:p>
    <w:p w14:paraId="60AC1B5F" w14:textId="7D93B49F" w:rsidR="00FA3E61" w:rsidRPr="00EB1109" w:rsidRDefault="00FA3E61" w:rsidP="00FA3E61">
      <w:pPr>
        <w:pStyle w:val="LegalLevel2"/>
        <w:numPr>
          <w:ilvl w:val="1"/>
          <w:numId w:val="4"/>
        </w:numPr>
        <w:spacing w:before="240" w:line="240" w:lineRule="auto"/>
        <w:rPr>
          <w:sz w:val="20"/>
          <w:szCs w:val="20"/>
        </w:rPr>
      </w:pPr>
      <w:r>
        <w:rPr>
          <w:sz w:val="20"/>
          <w:szCs w:val="20"/>
          <w:u w:val="single"/>
        </w:rPr>
        <w:t>DR Governance Contact</w:t>
      </w:r>
      <w:r>
        <w:rPr>
          <w:sz w:val="20"/>
          <w:szCs w:val="20"/>
        </w:rPr>
        <w:t xml:space="preserve">. Service Provider shall designate a DR Governance Contact who shall serve as the primary point of contact for Customer with respect to all business continuity and disaster recovery matters under this BC/DR Addendum. The DR Governance Contact shall be </w:t>
      </w:r>
      <w:r>
        <w:rPr>
          <w:sz w:val="20"/>
          <w:szCs w:val="20"/>
        </w:rPr>
        <w:lastRenderedPageBreak/>
        <w:t>identified in the applicable Order Form and Service Provider shall notify Customer within five (5) Business Days of any change in the DR Governance Contact.</w:t>
      </w:r>
    </w:p>
    <w:p w14:paraId="45A2ED71" w14:textId="52B850A0" w:rsidR="00FA3E61" w:rsidRPr="00EB1109" w:rsidRDefault="00FA3E61" w:rsidP="00FA3E61">
      <w:pPr>
        <w:pStyle w:val="LegalLevel2"/>
        <w:numPr>
          <w:ilvl w:val="1"/>
          <w:numId w:val="4"/>
        </w:numPr>
        <w:spacing w:before="240" w:line="240" w:lineRule="auto"/>
        <w:rPr>
          <w:sz w:val="20"/>
          <w:szCs w:val="20"/>
        </w:rPr>
      </w:pPr>
      <w:r>
        <w:rPr>
          <w:sz w:val="20"/>
          <w:szCs w:val="20"/>
          <w:u w:val="single"/>
        </w:rPr>
        <w:t>Governance Meetings</w:t>
      </w:r>
      <w:r>
        <w:rPr>
          <w:sz w:val="20"/>
          <w:szCs w:val="20"/>
        </w:rPr>
        <w:t>. The Parties shall conduct BC/DR governance meetings at least semi-annually (or quarterly upon Customer’s request) to: (a) review the status of the DRP and BCP; (b) review upcoming test schedules and results of completed tests; (c) discuss any material changes to the Services, infrastructure, or Backup Infrastructure that may affect recovery posture; (d) review the status of any open deficiencies or gap closure action items; and (e) address any other business continuity or disaster recovery matters raised by either Party.</w:t>
      </w:r>
    </w:p>
    <w:p w14:paraId="167BF167" w14:textId="2D3A3871" w:rsidR="00FA3E61" w:rsidRPr="00EB1109" w:rsidRDefault="00FA3E61" w:rsidP="00FA3E61">
      <w:pPr>
        <w:pStyle w:val="LegalLevel2"/>
        <w:numPr>
          <w:ilvl w:val="1"/>
          <w:numId w:val="4"/>
        </w:numPr>
        <w:spacing w:before="240" w:line="240" w:lineRule="auto"/>
        <w:rPr>
          <w:sz w:val="20"/>
          <w:szCs w:val="20"/>
        </w:rPr>
      </w:pPr>
      <w:r>
        <w:rPr>
          <w:sz w:val="20"/>
          <w:szCs w:val="20"/>
          <w:u w:val="single"/>
        </w:rPr>
        <w:t>Infrastructure Change Notification</w:t>
      </w:r>
      <w:r>
        <w:rPr>
          <w:sz w:val="20"/>
          <w:szCs w:val="20"/>
        </w:rPr>
        <w:t>. Service Provider shall notify Customer at least thirty (30) days prior to any material change to the infrastructure supporting the Services or the Backup Infrastructure that could affect Service Provider’s ability to meet its obligations under this BC/DR Addendum, including any change in cloud infrastructure provider, data center location, backup methodology, or geographic region. Such notification shall include an assessment of the impact, if any, on the RPO, RTO, and overall recovery posture.</w:t>
      </w:r>
    </w:p>
    <w:p w14:paraId="2BE8BEBB" w14:textId="1946DFFD" w:rsidR="00FA3E61" w:rsidRPr="00EB1109" w:rsidRDefault="00FA3E61" w:rsidP="00FA3E61">
      <w:pPr>
        <w:pStyle w:val="LegalLevel2"/>
        <w:numPr>
          <w:ilvl w:val="1"/>
          <w:numId w:val="4"/>
        </w:numPr>
        <w:spacing w:before="240" w:line="240" w:lineRule="auto"/>
        <w:rPr>
          <w:sz w:val="20"/>
          <w:szCs w:val="20"/>
        </w:rPr>
      </w:pPr>
      <w:r>
        <w:rPr>
          <w:sz w:val="20"/>
          <w:szCs w:val="20"/>
          <w:u w:val="single"/>
        </w:rPr>
        <w:t>Audit and Documentation Access</w:t>
      </w:r>
      <w:r>
        <w:rPr>
          <w:sz w:val="20"/>
          <w:szCs w:val="20"/>
        </w:rPr>
        <w:t>. For purposes of this Section, a “BC/DR Deficiency” means: (</w:t>
      </w:r>
      <w:proofErr w:type="spellStart"/>
      <w:r>
        <w:rPr>
          <w:sz w:val="20"/>
          <w:szCs w:val="20"/>
        </w:rPr>
        <w:t>i</w:t>
      </w:r>
      <w:proofErr w:type="spellEnd"/>
      <w:r>
        <w:rPr>
          <w:sz w:val="20"/>
          <w:szCs w:val="20"/>
        </w:rPr>
        <w:t>) a failure to meet the specified RPO or RTO in testing or in an actual Disaster; (ii) a failed failover test; (iii) a material gap identified in a Post-Incident Report; or (iv) a material finding in an audit or regulatory examination relating to Service Provider’s business continuity or disaster recovery capabilities. Customer (or its designated third party auditor, subject to reasonable confidentiality obligations) shall have the right, at Customer’s expense (or at Service Provider’s expense where the audit is triggered by a BC/DR Deficiency), to: (a) audit Service Provider’s DR capabilities, including inspection of recovery sites, Backup Infrastructure, and DR documentation; and (b) request and receive copies of Service Provider’s DRP, BCP, BIA, and related documentation, subject to reasonable confidentiality protections. Service Provider shall reasonably cooperate with any such audit and shall provide access within thirty (30) days of Customer’s request, or within five (5) Business Days if the request is made in connection with an active Disaster, Cyber Incident, regulatory examination, or BC/DR Deficiency.</w:t>
      </w:r>
    </w:p>
    <w:p w14:paraId="1AE9DC42" w14:textId="4F0BA448"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Disaster Response and Recovery</w:t>
      </w:r>
      <w:r>
        <w:rPr>
          <w:sz w:val="20"/>
          <w:szCs w:val="20"/>
        </w:rPr>
        <w:t>.</w:t>
      </w:r>
    </w:p>
    <w:p w14:paraId="18B39F07" w14:textId="6FF7BBDD" w:rsidR="00FA3E61" w:rsidRPr="00EB1109" w:rsidRDefault="00FA3E61" w:rsidP="00FA3E61">
      <w:pPr>
        <w:pStyle w:val="LegalLevel2"/>
        <w:numPr>
          <w:ilvl w:val="1"/>
          <w:numId w:val="4"/>
        </w:numPr>
        <w:spacing w:before="240" w:line="240" w:lineRule="auto"/>
        <w:rPr>
          <w:sz w:val="20"/>
          <w:szCs w:val="20"/>
        </w:rPr>
      </w:pPr>
      <w:r>
        <w:rPr>
          <w:sz w:val="20"/>
          <w:szCs w:val="20"/>
          <w:u w:val="single"/>
        </w:rPr>
        <w:t>Security Controls During Recovery</w:t>
      </w:r>
      <w:r>
        <w:rPr>
          <w:sz w:val="20"/>
          <w:szCs w:val="20"/>
        </w:rPr>
        <w:t>. During and following recovery operations, Service Provider shall maintain all security controls, access restrictions, encryption standards, and data protection measures applicable to the Services and Customer Data under the Agreement, the Data Security Addendum, and this BC/DR Addendum. The occurrence of a Disaster shall not relieve Service Provider of its obligations under the Data Security Addendum.</w:t>
      </w:r>
    </w:p>
    <w:p w14:paraId="3DE89B39" w14:textId="135AA0E4" w:rsidR="00FA3E61" w:rsidRPr="00EB1109" w:rsidRDefault="00FA3E61" w:rsidP="00FA3E61">
      <w:pPr>
        <w:pStyle w:val="LegalLevel2"/>
        <w:numPr>
          <w:ilvl w:val="1"/>
          <w:numId w:val="4"/>
        </w:numPr>
        <w:spacing w:before="240" w:line="240" w:lineRule="auto"/>
        <w:rPr>
          <w:sz w:val="20"/>
          <w:szCs w:val="20"/>
        </w:rPr>
      </w:pPr>
      <w:r>
        <w:rPr>
          <w:sz w:val="20"/>
          <w:szCs w:val="20"/>
          <w:u w:val="single"/>
        </w:rPr>
        <w:t>Data Integrity Verification</w:t>
      </w:r>
      <w:r>
        <w:rPr>
          <w:sz w:val="20"/>
          <w:szCs w:val="20"/>
        </w:rPr>
        <w:t>. Following recovery from a Disaster, Service Provider shall verify and certify in writing to Customer the integrity and completeness of Customer Data. Such verification shall include: (a) comparison of recovered data against the last known-good Backup; (b) identification of any data loss, corruption, or inconsistency; and (c) the actual RPO achieved (i.e., the amount of data loss, if any). Service Provider shall provide such certification within forty-eight (48) hours of declaring the Services restored.</w:t>
      </w:r>
    </w:p>
    <w:p w14:paraId="1F979EB8" w14:textId="16DB0414"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Data Access During Recovery</w:t>
      </w:r>
      <w:r>
        <w:rPr>
          <w:sz w:val="20"/>
          <w:szCs w:val="20"/>
        </w:rPr>
        <w:t xml:space="preserve">. During recovery operations, Service Provider shall use commercially reasonable efforts to provide Customer with at least read-only access to Customer Data, or the ability to extract Customer Data, even if the full Services are not yet restored. If Service Provider is unable to provide such access, Service Provider shall inform Customer of the estimated time until Customer Data access </w:t>
      </w:r>
      <w:proofErr w:type="gramStart"/>
      <w:r>
        <w:rPr>
          <w:sz w:val="20"/>
          <w:szCs w:val="20"/>
        </w:rPr>
        <w:t>will be</w:t>
      </w:r>
      <w:proofErr w:type="gramEnd"/>
      <w:r>
        <w:rPr>
          <w:sz w:val="20"/>
          <w:szCs w:val="20"/>
        </w:rPr>
        <w:t xml:space="preserve"> available.</w:t>
      </w:r>
    </w:p>
    <w:p w14:paraId="16B0B77D" w14:textId="543227B9" w:rsidR="00FA3E61" w:rsidRPr="00EB1109" w:rsidRDefault="00FA3E61" w:rsidP="00FA3E61">
      <w:pPr>
        <w:pStyle w:val="LegalLevel2"/>
        <w:numPr>
          <w:ilvl w:val="1"/>
          <w:numId w:val="4"/>
        </w:numPr>
        <w:spacing w:before="240" w:line="240" w:lineRule="auto"/>
        <w:rPr>
          <w:sz w:val="20"/>
          <w:szCs w:val="20"/>
        </w:rPr>
      </w:pPr>
      <w:r>
        <w:rPr>
          <w:sz w:val="20"/>
          <w:szCs w:val="20"/>
          <w:u w:val="single"/>
        </w:rPr>
        <w:t>Cyber Incident Recovery Procedures</w:t>
      </w:r>
      <w:r>
        <w:rPr>
          <w:sz w:val="20"/>
          <w:szCs w:val="20"/>
        </w:rPr>
        <w:t xml:space="preserve">. In the event of a Cyber Incident, Service Provider shall, in addition to its other obligations under this BC/DR Addendum and the Data Security Addendum: (a) isolate compromised systems from the production environment and from the Backup Infrastructure; (b) restore Customer Data from Immutable Backups to a Clean Recovery Environment before returning to production; (c) verify that recovered data and systems are free from compromise before </w:t>
      </w:r>
      <w:r>
        <w:rPr>
          <w:sz w:val="20"/>
          <w:szCs w:val="20"/>
        </w:rPr>
        <w:lastRenderedPageBreak/>
        <w:t>restoration to production; and (d) preserve forensic evidence in accordance with Applicable Law and the Data Security Addendum.</w:t>
      </w:r>
    </w:p>
    <w:p w14:paraId="57973EF4" w14:textId="18E4DFC2" w:rsidR="00FC4754" w:rsidRDefault="00D26CD8">
      <w:pPr>
        <w:pStyle w:val="LegalLevel2"/>
        <w:numPr>
          <w:ilvl w:val="1"/>
          <w:numId w:val="4"/>
        </w:numPr>
        <w:spacing w:before="240" w:line="240" w:lineRule="auto"/>
        <w:rPr>
          <w:sz w:val="20"/>
          <w:szCs w:val="20"/>
        </w:rPr>
      </w:pPr>
      <w:r>
        <w:rPr>
          <w:sz w:val="20"/>
          <w:szCs w:val="20"/>
          <w:u w:val="single"/>
        </w:rPr>
        <w:t>Restoration and Failback</w:t>
      </w:r>
      <w:r>
        <w:rPr>
          <w:sz w:val="20"/>
          <w:szCs w:val="20"/>
        </w:rPr>
        <w:t xml:space="preserve">. Before returning the Services to the primary production environment following a Disaster, Service Provider shall verify that: (a) the condition that caused the Disaster has been remediated; (b) the primary production environment satisfies the security controls, access restrictions, encryption standards, and data protection measures required under Section 10.1 (Security Controls During Recovery); and (c) where the Disaster involved a Cyber Incident, the primary production environment is free from compromise. Service Provider shall migrate to the primary production environment all Customer Data created or modified while the Services were operating from a recovery site or a Clean Recovery Environment and shall certify to Customer in writing that no Customer Data was lost, corrupted, or duplicated </w:t>
      </w:r>
      <w:proofErr w:type="gramStart"/>
      <w:r>
        <w:rPr>
          <w:sz w:val="20"/>
          <w:szCs w:val="20"/>
        </w:rPr>
        <w:t>in the course of</w:t>
      </w:r>
      <w:proofErr w:type="gramEnd"/>
      <w:r>
        <w:rPr>
          <w:sz w:val="20"/>
          <w:szCs w:val="20"/>
        </w:rPr>
        <w:t xml:space="preserve"> such migration. Service Provider shall provide Customer with not less than five (5) Business Days’ advance notice of any planned failback and shall schedule the failback at a time reasonably acceptable to Customer, except where an earlier failback is necessary to restore the Services to at least the Minimum Recovery Level.</w:t>
      </w:r>
    </w:p>
    <w:p w14:paraId="147BE432" w14:textId="77777777"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Post-Incident Reporting</w:t>
      </w:r>
      <w:r>
        <w:rPr>
          <w:sz w:val="20"/>
          <w:szCs w:val="20"/>
        </w:rPr>
        <w:t>.</w:t>
      </w:r>
    </w:p>
    <w:p w14:paraId="6FEE04F6" w14:textId="44E1CD86" w:rsidR="00FA3E61" w:rsidRPr="00EB1109" w:rsidRDefault="00FA3E61" w:rsidP="00FA3E61">
      <w:pPr>
        <w:pStyle w:val="LegalLevel2"/>
        <w:numPr>
          <w:ilvl w:val="1"/>
          <w:numId w:val="4"/>
        </w:numPr>
        <w:spacing w:before="240" w:line="240" w:lineRule="auto"/>
        <w:rPr>
          <w:sz w:val="20"/>
          <w:szCs w:val="20"/>
        </w:rPr>
      </w:pPr>
      <w:r>
        <w:rPr>
          <w:sz w:val="20"/>
          <w:szCs w:val="20"/>
          <w:u w:val="single"/>
        </w:rPr>
        <w:t>Report Requirements</w:t>
      </w:r>
      <w:r>
        <w:rPr>
          <w:sz w:val="20"/>
          <w:szCs w:val="20"/>
        </w:rPr>
        <w:t>. Following any Disaster or Disruptive Event, Service Provider shall provide Customer with: (a) an initial Post-Incident Report within five (5) Business Days after the Disaster or Disruptive Event, including a timeline of events, the immediate impact on Customer Data, and initial remediation measures; and (b) a comprehensive Post-Incident Report within thirty (30) days after the Disaster or Disruptive Event, including: (</w:t>
      </w:r>
      <w:proofErr w:type="spellStart"/>
      <w:r>
        <w:rPr>
          <w:sz w:val="20"/>
          <w:szCs w:val="20"/>
        </w:rPr>
        <w:t>i</w:t>
      </w:r>
      <w:proofErr w:type="spellEnd"/>
      <w:r>
        <w:rPr>
          <w:sz w:val="20"/>
          <w:szCs w:val="20"/>
        </w:rPr>
        <w:t>) a detailed root cause analysis; (ii) the actual RPO and RTO achieved and whether the MTD was exceeded; (iii) the time of onset of the Disaster or Disruptive Event, the time of Disaster declaration (if any), and the times at which the Services were restored to the Minimum Recovery Level and to full functionality; (iv) an assessment of the impact on Customer Data, including any data loss, corruption, or unauthorized access; (v) a description of all remediation measures implemented; (vi) recommendations for preventing recurrence; and (vii) an action plan for closing any gaps identified during recovery, with target completion dates.</w:t>
      </w:r>
    </w:p>
    <w:p w14:paraId="1941576B" w14:textId="13340BD7" w:rsidR="00FA3E61" w:rsidRPr="00EB1109" w:rsidRDefault="00FA3E61" w:rsidP="00FA3E61">
      <w:pPr>
        <w:pStyle w:val="LegalLevel2"/>
        <w:numPr>
          <w:ilvl w:val="1"/>
          <w:numId w:val="4"/>
        </w:numPr>
        <w:spacing w:before="240" w:line="240" w:lineRule="auto"/>
        <w:rPr>
          <w:sz w:val="20"/>
          <w:szCs w:val="20"/>
        </w:rPr>
      </w:pPr>
      <w:r>
        <w:rPr>
          <w:sz w:val="20"/>
          <w:szCs w:val="20"/>
          <w:u w:val="single"/>
        </w:rPr>
        <w:t>Gap Closure</w:t>
      </w:r>
      <w:r>
        <w:rPr>
          <w:sz w:val="20"/>
          <w:szCs w:val="20"/>
        </w:rPr>
        <w:t>. All gaps identified in a Post-Incident Report shall be closed within sixty (60) days following the Disaster or Disruptive Event. Any target dates for gap closure that extend beyond sixty (60) days must be approved in writing by Customer. Service Provider shall provide Customer with proof of gap closure upon completion.</w:t>
      </w:r>
    </w:p>
    <w:p w14:paraId="7AC355B2" w14:textId="4EB6F512"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Cyber-Resilience Provisions</w:t>
      </w:r>
      <w:r>
        <w:rPr>
          <w:sz w:val="20"/>
          <w:szCs w:val="20"/>
        </w:rPr>
        <w:t>.</w:t>
      </w:r>
    </w:p>
    <w:p w14:paraId="32BB85DA" w14:textId="650B166B" w:rsidR="00FA3E61" w:rsidRPr="00EB1109" w:rsidRDefault="00FA3E61" w:rsidP="00FA3E61">
      <w:pPr>
        <w:pStyle w:val="LegalLevel2"/>
        <w:numPr>
          <w:ilvl w:val="1"/>
          <w:numId w:val="4"/>
        </w:numPr>
        <w:spacing w:before="240" w:line="240" w:lineRule="auto"/>
        <w:rPr>
          <w:sz w:val="20"/>
          <w:szCs w:val="20"/>
        </w:rPr>
      </w:pPr>
      <w:r>
        <w:rPr>
          <w:sz w:val="20"/>
          <w:szCs w:val="20"/>
          <w:u w:val="single"/>
        </w:rPr>
        <w:t>Cyber Incident Response Procedures</w:t>
      </w:r>
      <w:r>
        <w:rPr>
          <w:sz w:val="20"/>
          <w:szCs w:val="20"/>
        </w:rPr>
        <w:t>. Service Provider’s DRP shall include specific procedures for responding to Cyber Incidents, including ransomware, malware, distributed denial-of-service attacks, and other cybersecurity events. Such procedures shall address, at a minimum: (a) immediate isolation of compromised systems; (b) activation of a Clean Recovery Environment; (c) restoration of Customer Data from Immutable Backups; (d) verification that restored data and systems are free from compromise; (e) coordination with law enforcement and regulatory authorities, as applicable; and (f) preservation of forensic evidence.</w:t>
      </w:r>
    </w:p>
    <w:p w14:paraId="5F0ABD28" w14:textId="052DEE04" w:rsidR="00FA3E61" w:rsidRPr="00EB1109" w:rsidRDefault="00FA3E61" w:rsidP="00FA3E61">
      <w:pPr>
        <w:pStyle w:val="LegalLevel2"/>
        <w:numPr>
          <w:ilvl w:val="1"/>
          <w:numId w:val="4"/>
        </w:numPr>
        <w:spacing w:before="240" w:line="240" w:lineRule="auto"/>
        <w:rPr>
          <w:sz w:val="20"/>
          <w:szCs w:val="20"/>
        </w:rPr>
      </w:pPr>
      <w:r>
        <w:rPr>
          <w:sz w:val="20"/>
          <w:szCs w:val="20"/>
          <w:u w:val="single"/>
        </w:rPr>
        <w:t>Backup Infrastructure Protection</w:t>
      </w:r>
      <w:r>
        <w:rPr>
          <w:sz w:val="20"/>
          <w:szCs w:val="20"/>
        </w:rPr>
        <w:t xml:space="preserve">. Service Provider shall ensure that the Backup Infrastructure is protected against ransomware and other cyber threats by: (a) maintaining Immutable Backups as required by Section 6.2 (Immutable Backup Requirements); (b) logically separating, and where technically feasible, air-gapping the Backup Infrastructure from the production environment (if air-gapping is not technically feasible, Service Provider shall document the limitation, prepare a written risk assessment, implement compensating controls, and obtain Customer’s prior written approval in accordance with Section 6.2.2); (c) implementing separate and distinct administrative credentials for the Backup Infrastructure that are not shared with, or accessible from, the production environment, and requiring multi-factor authentication for administrative access to the Backup Infrastructure; and (d) conducting automated integrity checks on Backups, including hash or checksum verification as required by Section 6.1 (Backup Program), at a frequency sufficient to </w:t>
      </w:r>
      <w:r>
        <w:rPr>
          <w:sz w:val="20"/>
          <w:szCs w:val="20"/>
        </w:rPr>
        <w:lastRenderedPageBreak/>
        <w:t>detect unauthorized modification or corruption before the affected Backups are needed for restoration.</w:t>
      </w:r>
    </w:p>
    <w:p w14:paraId="3A0793E1" w14:textId="7661CCFA" w:rsidR="00FA3E61" w:rsidRDefault="00FA3E61" w:rsidP="00FA3E61">
      <w:pPr>
        <w:pStyle w:val="LegalLevel2"/>
        <w:numPr>
          <w:ilvl w:val="1"/>
          <w:numId w:val="4"/>
        </w:numPr>
        <w:spacing w:before="240" w:line="240" w:lineRule="auto"/>
        <w:rPr>
          <w:sz w:val="20"/>
          <w:szCs w:val="20"/>
        </w:rPr>
      </w:pPr>
      <w:r>
        <w:rPr>
          <w:sz w:val="20"/>
          <w:szCs w:val="20"/>
          <w:u w:val="single"/>
        </w:rPr>
        <w:t>Clean Recovery Environments</w:t>
      </w:r>
      <w:r>
        <w:rPr>
          <w:sz w:val="20"/>
          <w:szCs w:val="20"/>
        </w:rPr>
        <w:t>. Service Provider shall maintain one or more Clean Recovery Environments that are available for use in the event of a Cyber Incident. Such environments shall be pre-configured and tested at least annually as part of the testing program under Section 8 (Testing and Exercises) to enable restoration of the Services from Immutable Backups, within the applicable RTO, without reintroducing the threat.</w:t>
      </w:r>
    </w:p>
    <w:p w14:paraId="22CD3627" w14:textId="531B6108" w:rsidR="000D6EDF" w:rsidRDefault="00F777EA">
      <w:pPr>
        <w:pStyle w:val="LegalLevel2"/>
        <w:numPr>
          <w:ilvl w:val="1"/>
          <w:numId w:val="4"/>
        </w:numPr>
        <w:spacing w:before="240" w:line="240" w:lineRule="auto"/>
        <w:rPr>
          <w:sz w:val="20"/>
          <w:szCs w:val="20"/>
        </w:rPr>
      </w:pPr>
      <w:r>
        <w:rPr>
          <w:sz w:val="20"/>
          <w:szCs w:val="20"/>
          <w:u w:val="single"/>
        </w:rPr>
        <w:t>Extortion and Ransom Demands</w:t>
      </w:r>
      <w:r>
        <w:rPr>
          <w:sz w:val="20"/>
          <w:szCs w:val="20"/>
        </w:rPr>
        <w:t xml:space="preserve">. Service Provider shall notify Customer within twenty-four (24) hours of Becoming Aware of any extortion demand, ransom demand, or threatened publication, sale, or misuse of Customer Data arising from or related to a Cyber Incident. Such notification shall include the substance of the demand, the Customer Data known or reasonably suspected to be affected, and Service Provider’s proposed response. Service Provider shall keep Customer reasonably informed of material developments concerning the demand, including any change in the demand, deadline, or Customer Data affected, until the matter is resolved. Service Provider shall not make, offer, or authorize any ransom or extortion payment, and shall not </w:t>
      </w:r>
      <w:proofErr w:type="gramStart"/>
      <w:r>
        <w:rPr>
          <w:sz w:val="20"/>
          <w:szCs w:val="20"/>
        </w:rPr>
        <w:t>enter into</w:t>
      </w:r>
      <w:proofErr w:type="gramEnd"/>
      <w:r>
        <w:rPr>
          <w:sz w:val="20"/>
          <w:szCs w:val="20"/>
        </w:rPr>
        <w:t xml:space="preserve"> any negotiation, settlement, or other communication with a threat actor concerning Customer Data, without Customer’s prior written consent. Service Provider shall not condition, delay, or limit the performance of its recovery obligations under this BC/DR Addendum on the making of, or the refusal to make, any ransom or extortion payment, and Service Provider’s DRP shall provide for recovery of the Services and Customer Data from Immutable Backups without reliance on any decryption key, tool, or other assistance provided by a threat actor. Service Provider shall comply with all Applicable Law governing extortion and ransom payments, including applicable sanctions laws and any regulatory reporting obligations, and shall promptly provide Customer with such information as Customer reasonably </w:t>
      </w:r>
      <w:proofErr w:type="gramStart"/>
      <w:r>
        <w:rPr>
          <w:sz w:val="20"/>
          <w:szCs w:val="20"/>
        </w:rPr>
        <w:t>requires</w:t>
      </w:r>
      <w:proofErr w:type="gramEnd"/>
      <w:r>
        <w:rPr>
          <w:sz w:val="20"/>
          <w:szCs w:val="20"/>
        </w:rPr>
        <w:t xml:space="preserve"> to satisfy Customer’s own regulatory reporting obligations relating to the demand.</w:t>
      </w:r>
    </w:p>
    <w:p w14:paraId="4FC0EB3D" w14:textId="77777777"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Customer Rights and Remedies</w:t>
      </w:r>
      <w:r>
        <w:rPr>
          <w:sz w:val="20"/>
          <w:szCs w:val="20"/>
        </w:rPr>
        <w:t>.</w:t>
      </w:r>
    </w:p>
    <w:p w14:paraId="370D6E75" w14:textId="1EB49C60" w:rsidR="00FA3E61" w:rsidRPr="00EB1109" w:rsidRDefault="00FA3E61" w:rsidP="00FA3E61">
      <w:pPr>
        <w:pStyle w:val="LegalLevel2"/>
        <w:numPr>
          <w:ilvl w:val="1"/>
          <w:numId w:val="4"/>
        </w:numPr>
        <w:spacing w:before="240" w:line="240" w:lineRule="auto"/>
        <w:rPr>
          <w:sz w:val="20"/>
          <w:szCs w:val="20"/>
        </w:rPr>
      </w:pPr>
      <w:r>
        <w:rPr>
          <w:sz w:val="20"/>
          <w:szCs w:val="20"/>
          <w:u w:val="single"/>
        </w:rPr>
        <w:t>Termination and Refund Rights</w:t>
      </w:r>
      <w:r>
        <w:rPr>
          <w:sz w:val="20"/>
          <w:szCs w:val="20"/>
        </w:rPr>
        <w:t>. In addition to any other remedies available to Customer under the Agreement, if Service Provider: (a) fails to materially achieve the DRP objectives in two (2) or more consecutive annual tests; (b) fails to meet the RPO or RTO in an actual Disaster on two (2) or more occasions during any twelve-month period; (c) fails to meet the RPO or RTO in a single Disaster by more than [fifty percent (50%)] of the committed objective, or experiences any unrecoverable loss of Customer Data in excess of the committed RPO; or (d) materially breaches its obligations under this BC/DR Addendum and fails to cure such breach within thirty (30) days of written notice, Customer may, in its sole discretion: (</w:t>
      </w:r>
      <w:proofErr w:type="spellStart"/>
      <w:r>
        <w:rPr>
          <w:sz w:val="20"/>
          <w:szCs w:val="20"/>
        </w:rPr>
        <w:t>i</w:t>
      </w:r>
      <w:proofErr w:type="spellEnd"/>
      <w:r>
        <w:rPr>
          <w:sz w:val="20"/>
          <w:szCs w:val="20"/>
        </w:rPr>
        <w:t>) immediately terminate the Agreement or the applicable Order Form; (ii) require Service Provider to provide Transition Assistance Services in accordance with Section 13 (Transition Assistance Services) of the Master Agreement; and (iii) receive a pro rata refund of prepaid Fees attributable to the unexpired portion of the then-current term of each applicable Order Form.</w:t>
      </w:r>
    </w:p>
    <w:p w14:paraId="2E11F266" w14:textId="2774302D" w:rsidR="00FA3E61" w:rsidRPr="00EB1109" w:rsidRDefault="00FA3E61" w:rsidP="00FA3E61">
      <w:pPr>
        <w:pStyle w:val="LegalLevel2"/>
        <w:numPr>
          <w:ilvl w:val="1"/>
          <w:numId w:val="4"/>
        </w:numPr>
        <w:spacing w:before="240" w:line="240" w:lineRule="auto"/>
        <w:rPr>
          <w:sz w:val="20"/>
          <w:szCs w:val="20"/>
        </w:rPr>
      </w:pPr>
      <w:r>
        <w:rPr>
          <w:sz w:val="20"/>
          <w:szCs w:val="20"/>
          <w:u w:val="single"/>
        </w:rPr>
        <w:t>Chronic Failure as Transition Trigger</w:t>
      </w:r>
      <w:r>
        <w:rPr>
          <w:sz w:val="20"/>
          <w:szCs w:val="20"/>
        </w:rPr>
        <w:t>. A chronic failure by Service Provider to meet its obligations under this BC/DR Addendum (including repeated test failures or repeated failures to meet RPO or RTO in actual Disasters) shall constitute a triggering event for purposes of Section 13 (Transition Assistance Services) of the Master Agreement, and Customer may require Service Provider to commence Transition Assistance Services regardless of whether the Agreement is otherwise being terminated.</w:t>
      </w:r>
    </w:p>
    <w:p w14:paraId="018D0BD9" w14:textId="23FDBED2"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Regulatory Compliance</w:t>
      </w:r>
      <w:r>
        <w:rPr>
          <w:sz w:val="20"/>
          <w:szCs w:val="20"/>
        </w:rPr>
        <w:t xml:space="preserve">. If Customer is subject to Applicable Laws or regulations that impose specific business continuity or disaster recovery requirements on Customer or its service providers (including, without limitation, the Digital Operational Resilience Act (Regulation (EU) 2022/2554), the second Network and Information Systems Directive (Directive (EU) 2022/2555), the Health Insurance Portability and Accountability Act, the Sarbanes-Oxley Act, and applicable state insurance and banking regulations), Service Provider shall comply with the additional BC/DR requirements identified in the applicable Order Form to the extent they apply to the Services. Without limiting the foregoing, Service Provider shall: (a) cooperate with Customer’s regulatory authorities regarding operational resilience, risk management, and </w:t>
      </w:r>
      <w:r>
        <w:rPr>
          <w:sz w:val="20"/>
          <w:szCs w:val="20"/>
        </w:rPr>
        <w:lastRenderedPageBreak/>
        <w:t>incident reporting; (b) participate in threat-led penetration testing as required by Applicable Law or regulation, including testing conducted under the TIBER-EU framework or its national implementations, at Service Provider’s expense; (c) provide such information, certifications, and audit access as Customer may reasonably require to demonstrate compliance with applicable regulatory BC/DR requirements; and (d) notify Customer within five (5) Business Days of Becoming Aware that Service Provider is unable to comply with any regulatory BC/DR requirement applicable to the Services.</w:t>
      </w:r>
    </w:p>
    <w:p w14:paraId="1B0C40AD" w14:textId="39158855"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Record Retention</w:t>
      </w:r>
      <w:r>
        <w:rPr>
          <w:sz w:val="20"/>
          <w:szCs w:val="20"/>
        </w:rPr>
        <w:t>. Service Provider shall maintain complete records of all DRP and BCP documentation (including all versions), test results, test schedules, Disaster declarations, recovery activities, Post-Incident Reports, and gap closure documentation for not less than five (5) years from the date of creation or, if later, from the expiration or termination of the Agreement, or such longer period as required by Applicable Law, and shall make such records available to Customer upon request. Such records shall be retrievable in a timely manner for examination. Service Provider shall preserve all records required by this Section that are relevant to any pending or reasonably anticipated dispute, investigation, regulatory inquiry, or litigation involving Customer or the Services, and shall not destroy or alter such records until Customer confirms in writing that the preservation obligation has been satisfied.</w:t>
      </w:r>
    </w:p>
    <w:p w14:paraId="4019F335" w14:textId="7AF6D460" w:rsidR="00FA3E61" w:rsidRPr="00EB1109" w:rsidRDefault="00FA3E61" w:rsidP="00FA3E61">
      <w:pPr>
        <w:pStyle w:val="LegalLevel1"/>
        <w:numPr>
          <w:ilvl w:val="0"/>
          <w:numId w:val="11"/>
        </w:numPr>
        <w:tabs>
          <w:tab w:val="num" w:pos="1939"/>
        </w:tabs>
        <w:spacing w:before="240" w:line="240" w:lineRule="auto"/>
        <w:rPr>
          <w:sz w:val="20"/>
          <w:szCs w:val="20"/>
        </w:rPr>
      </w:pPr>
      <w:r>
        <w:rPr>
          <w:sz w:val="20"/>
          <w:szCs w:val="20"/>
          <w:u w:val="single"/>
        </w:rPr>
        <w:t>Conflicts</w:t>
      </w:r>
      <w:r>
        <w:rPr>
          <w:sz w:val="20"/>
          <w:szCs w:val="20"/>
        </w:rPr>
        <w:t>. To the extent that any provision of this BC/DR Addendum conflicts with any provision of the Data Security Addendum with respect to Security Incident notification and response procedures, the Data Security Addendum shall control with respect to Security Incident notification and response. In all other respects, this BC/DR Addendum shall control with respect to business continuity and disaster recovery matters. Notwithstanding the foregoing: (a) the operational continuity notifications required by this BC/DR Addendum (including Disaster declaration notifications, status updates during recovery, and post-incident reporting) are independent of, and in addition to, any Security Incident notifications required under the Data Security Addendum; and (b) where an event triggers notification or response obligations under both this BC/DR Addendum and the Data Security Addendum, the more protective requirement (including the shorter timeframe or greater specificity) shall control.</w:t>
      </w:r>
    </w:p>
    <w:p w14:paraId="3E940CBC" w14:textId="77777777" w:rsidR="00FA3E61" w:rsidRPr="00EB1109" w:rsidRDefault="00FA3E61" w:rsidP="00FA3E61">
      <w:pPr>
        <w:pStyle w:val="LegalHeader"/>
        <w:rPr>
          <w:rFonts w:cs="Arial"/>
          <w:sz w:val="20"/>
        </w:rPr>
      </w:pPr>
      <w:r>
        <w:rPr>
          <w:rFonts w:cs="Arial"/>
          <w:sz w:val="20"/>
        </w:rPr>
        <w:br w:type="page"/>
      </w:r>
      <w:r>
        <w:rPr>
          <w:rFonts w:cs="Arial"/>
          <w:sz w:val="20"/>
        </w:rPr>
        <w:lastRenderedPageBreak/>
        <w:t>ADDENDUM E – PROVISIONS RELATED TO ARTIFICIAL INTELLIGENCE FEATURES</w:t>
      </w:r>
    </w:p>
    <w:p w14:paraId="50B96D99" w14:textId="77777777" w:rsidR="00FA3E61" w:rsidRPr="00EB1109" w:rsidRDefault="00FA3E61" w:rsidP="00FA3E61">
      <w:pPr>
        <w:spacing w:before="240" w:after="120" w:line="240" w:lineRule="auto"/>
        <w:jc w:val="center"/>
        <w:rPr>
          <w:rFonts w:ascii="Arial" w:hAnsi="Arial" w:cs="Arial"/>
          <w:sz w:val="20"/>
          <w:szCs w:val="20"/>
        </w:rPr>
      </w:pPr>
      <w:r>
        <w:rPr>
          <w:rFonts w:ascii="Arial" w:hAnsi="Arial" w:cs="Arial"/>
          <w:i/>
          <w:iCs/>
          <w:sz w:val="20"/>
          <w:szCs w:val="20"/>
        </w:rPr>
        <w:t>to the Master Software as a Service Agreement by and between Customer and Service Provider</w:t>
      </w:r>
    </w:p>
    <w:p w14:paraId="74AE7699" w14:textId="7BC92A6B" w:rsidR="00FA3E61" w:rsidRPr="00EB1109" w:rsidRDefault="00FA3E61" w:rsidP="00FA3E61">
      <w:pPr>
        <w:spacing w:before="240" w:after="120" w:line="240" w:lineRule="auto"/>
        <w:rPr>
          <w:rFonts w:ascii="Arial" w:hAnsi="Arial" w:cs="Arial"/>
          <w:sz w:val="20"/>
          <w:szCs w:val="20"/>
        </w:rPr>
      </w:pPr>
      <w:r>
        <w:rPr>
          <w:rFonts w:ascii="Arial" w:hAnsi="Arial" w:cs="Arial"/>
          <w:sz w:val="20"/>
          <w:szCs w:val="20"/>
        </w:rPr>
        <w:t>This Addendum E – Provisions Related to Artificial Intelligence Features (“AI Addendum”) is incorporated into and forms part of the Agreement. This AI Addendum applies when the Services include, or Service Provider later introduces, any AI Features. In the event of any conflict between this AI Addendum and the Master Agreement, this AI Addendum shall prevail with respect to AI Features.</w:t>
      </w:r>
    </w:p>
    <w:p w14:paraId="6408BAA0" w14:textId="4C9B8408" w:rsidR="00FA3E61" w:rsidRPr="00EB1109" w:rsidRDefault="00FA3E61" w:rsidP="00FA3E61">
      <w:pPr>
        <w:pStyle w:val="LegalLevel1"/>
        <w:numPr>
          <w:ilvl w:val="0"/>
          <w:numId w:val="10"/>
        </w:numPr>
        <w:tabs>
          <w:tab w:val="num" w:pos="1939"/>
        </w:tabs>
        <w:spacing w:before="240" w:line="240" w:lineRule="auto"/>
        <w:rPr>
          <w:sz w:val="20"/>
          <w:szCs w:val="20"/>
        </w:rPr>
      </w:pPr>
      <w:r>
        <w:rPr>
          <w:sz w:val="20"/>
          <w:szCs w:val="20"/>
          <w:u w:val="single"/>
        </w:rPr>
        <w:t>Definitions</w:t>
      </w:r>
      <w:r>
        <w:rPr>
          <w:sz w:val="20"/>
          <w:szCs w:val="20"/>
        </w:rPr>
        <w:t>. Capitalized terms not defined in this AI Addendum shall have the meanings ascribed to them in the Master Agreement. For purposes of this AI Addendum, the following terms shall have the meanings set forth below:</w:t>
      </w:r>
    </w:p>
    <w:p w14:paraId="3DEC6D75" w14:textId="6F0A5906"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“Agentic AI Features” means AI Features that are capable of autonomously planning, initiating, or executing multi-step tasks, workflows, or actions without requiring contemporaneous human approval for each step, including AI agents, autonomous workflows, and any AI Feature that can take actions that modify data, initiate transactions, communicate with third parties, or interact with external systems on behalf of Customer or Authorized Users.</w:t>
      </w:r>
    </w:p>
    <w:p w14:paraId="322FF979" w14:textId="06997828"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“AI Regulatory Authority” means any governmental, regulatory, or supervisory body with jurisdiction over the development, deployment, or use of AI Features, including Supervisory Authorities (as defined in the Data Processing Addendum), market surveillance authorities, consumer protection agencies, and any other authority exercising regulatory oversight of artificial intelligence under Applicable Law.</w:t>
      </w:r>
    </w:p>
    <w:p w14:paraId="758253DF" w14:textId="2386C8FF"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“Combined Data Set” means any data set that incorporates, combines, or is derived from both a Customer Data Set and a Service Provider Data Set.</w:t>
      </w:r>
    </w:p>
    <w:p w14:paraId="23D885B4" w14:textId="7199B143"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“Customer Data Set” means all Customer Data provided to, processed by, or used in connection with AI Features, including Inputs.</w:t>
      </w:r>
    </w:p>
    <w:p w14:paraId="448E0F40" w14:textId="1375625A"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“Drift” means a degradation in the performance, accuracy, fairness, or reliability of an AI Feature over time, whether caused by changes in input data distributions, model decay, environmental changes, or other factors.</w:t>
      </w:r>
    </w:p>
    <w:p w14:paraId="18EBE152" w14:textId="6914BF4C"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“External Consumer Data and Information Sources” or “ECDIS” means external consumer data and information sources used by Service Provider in connection with AI Features.</w:t>
      </w:r>
    </w:p>
    <w:p w14:paraId="2C2FBCD0" w14:textId="60190402"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“Hallucination” means the generation by an AI Feature of output that is factually incorrect, fabricated, misleading, or not supported by the input data or training data, presented as if it were accurate or factual.</w:t>
      </w:r>
    </w:p>
    <w:p w14:paraId="3E6B4FFA" w14:textId="357707A4"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“Inputs” means all data, prompts, queries, instructions, and other information provided to an AI Feature by or on behalf of Customer, Authorized Users, or Authorized Systems.</w:t>
      </w:r>
    </w:p>
    <w:p w14:paraId="35E8108C" w14:textId="1711A475"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“Outputs” means all data, content, predictions, recommendations, classifications, decisions, and other results generated by an AI Feature in response to Inputs or through the Processing of Customer Data.</w:t>
      </w:r>
    </w:p>
    <w:p w14:paraId="22CFA5D3" w14:textId="21907BE0" w:rsidR="00FA3E61" w:rsidRPr="00EB1109" w:rsidRDefault="00A72FF4" w:rsidP="00FA3E61">
      <w:pPr>
        <w:spacing w:before="240" w:after="120" w:line="240" w:lineRule="auto"/>
        <w:ind w:left="720"/>
        <w:rPr>
          <w:rFonts w:ascii="Arial" w:hAnsi="Arial" w:cs="Arial"/>
          <w:sz w:val="20"/>
          <w:szCs w:val="20"/>
        </w:rPr>
      </w:pPr>
      <w:r>
        <w:rPr>
          <w:rFonts w:ascii="Arial" w:hAnsi="Arial" w:cs="Arial"/>
          <w:sz w:val="20"/>
          <w:szCs w:val="20"/>
        </w:rPr>
        <w:t>“Service Provider Data Set” means data owned or provided by Service Provider, including ECDIS, and used in connection with AI Features. For the avoidance of doubt, a Service Provider Data Set does not include Customer Data.</w:t>
      </w:r>
    </w:p>
    <w:p w14:paraId="131956C3" w14:textId="3EECFF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AI Feature Disclosure</w:t>
      </w:r>
      <w:r>
        <w:rPr>
          <w:sz w:val="20"/>
          <w:szCs w:val="20"/>
        </w:rPr>
        <w:t>.</w:t>
      </w:r>
    </w:p>
    <w:p w14:paraId="4E2238C7" w14:textId="31867FDF" w:rsidR="00FA3E61" w:rsidRPr="00EB1109" w:rsidRDefault="00FA3E61" w:rsidP="00FA3E61">
      <w:pPr>
        <w:pStyle w:val="LegalLevel2"/>
        <w:numPr>
          <w:ilvl w:val="1"/>
          <w:numId w:val="4"/>
        </w:numPr>
        <w:spacing w:before="240" w:line="240" w:lineRule="auto"/>
        <w:rPr>
          <w:sz w:val="20"/>
          <w:szCs w:val="20"/>
        </w:rPr>
      </w:pPr>
      <w:r>
        <w:rPr>
          <w:sz w:val="20"/>
          <w:szCs w:val="20"/>
          <w:u w:val="single"/>
        </w:rPr>
        <w:t>Initial and Ongoing Disclosure</w:t>
      </w:r>
      <w:r>
        <w:rPr>
          <w:sz w:val="20"/>
          <w:szCs w:val="20"/>
        </w:rPr>
        <w:t xml:space="preserve">. Service Provider shall disclose to Customer all AI Features embedded in, utilized by, or accessible through the Services. Such disclosure shall include: (a) a description of each AI Feature’s functionality and intended use; (b) the types of data used as inputs; (c) a description of the decision-making or output-generation process; (d) known limitations, risks, </w:t>
      </w:r>
      <w:r>
        <w:rPr>
          <w:sz w:val="20"/>
          <w:szCs w:val="20"/>
        </w:rPr>
        <w:lastRenderedPageBreak/>
        <w:t xml:space="preserve">and potential for Hallucination or Drift; and (e) any </w:t>
      </w:r>
      <w:proofErr w:type="gramStart"/>
      <w:r>
        <w:rPr>
          <w:sz w:val="20"/>
          <w:szCs w:val="20"/>
        </w:rPr>
        <w:t>third party</w:t>
      </w:r>
      <w:proofErr w:type="gramEnd"/>
      <w:r>
        <w:rPr>
          <w:sz w:val="20"/>
          <w:szCs w:val="20"/>
        </w:rPr>
        <w:t xml:space="preserve"> models, data sources, or ECDIS utilized.</w:t>
      </w:r>
    </w:p>
    <w:p w14:paraId="11E8FE24" w14:textId="6C1E275E" w:rsidR="00FA3E61" w:rsidRPr="00EB1109" w:rsidRDefault="00FA3E61" w:rsidP="00FA3E61">
      <w:pPr>
        <w:pStyle w:val="LegalLevel2"/>
        <w:numPr>
          <w:ilvl w:val="1"/>
          <w:numId w:val="4"/>
        </w:numPr>
        <w:spacing w:before="240" w:line="240" w:lineRule="auto"/>
        <w:rPr>
          <w:sz w:val="20"/>
          <w:szCs w:val="20"/>
        </w:rPr>
      </w:pPr>
      <w:r>
        <w:rPr>
          <w:sz w:val="20"/>
          <w:szCs w:val="20"/>
          <w:u w:val="single"/>
        </w:rPr>
        <w:t>Change Notice and Customer Approval</w:t>
      </w:r>
      <w:r>
        <w:rPr>
          <w:sz w:val="20"/>
          <w:szCs w:val="20"/>
        </w:rPr>
        <w:t xml:space="preserve">. Service Provider shall provide Customer with prior written notice not less than sixty (60) days before introducing any new AI Feature to the Services or making material changes to an existing AI Feature. </w:t>
      </w:r>
      <w:proofErr w:type="gramStart"/>
      <w:r>
        <w:rPr>
          <w:sz w:val="20"/>
          <w:szCs w:val="20"/>
        </w:rPr>
        <w:t>Customer shall</w:t>
      </w:r>
      <w:proofErr w:type="gramEnd"/>
      <w:r>
        <w:rPr>
          <w:sz w:val="20"/>
          <w:szCs w:val="20"/>
        </w:rPr>
        <w:t xml:space="preserve"> have the right to evaluate and approve, reject, or request modifications to any proposed new or materially changed AI Feature before it is made available to Customer’s Authorized Users or Authorized Systems.</w:t>
      </w:r>
    </w:p>
    <w:p w14:paraId="326A685F" w14:textId="5BD93330"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Representations and Warranties</w:t>
      </w:r>
      <w:r>
        <w:rPr>
          <w:sz w:val="20"/>
          <w:szCs w:val="20"/>
        </w:rPr>
        <w:t>. Service Provider represents and warrants that:</w:t>
      </w:r>
    </w:p>
    <w:p w14:paraId="3732CE51" w14:textId="5EDD6FD1" w:rsidR="00FA3E61" w:rsidRPr="00EB1109" w:rsidRDefault="00FA3E61" w:rsidP="00FA3E61">
      <w:pPr>
        <w:pStyle w:val="LegalLevel2"/>
        <w:numPr>
          <w:ilvl w:val="1"/>
          <w:numId w:val="4"/>
        </w:numPr>
        <w:spacing w:before="240" w:line="240" w:lineRule="auto"/>
        <w:rPr>
          <w:sz w:val="20"/>
          <w:szCs w:val="20"/>
        </w:rPr>
      </w:pPr>
      <w:r>
        <w:rPr>
          <w:sz w:val="20"/>
          <w:szCs w:val="20"/>
        </w:rPr>
        <w:t>all AI Features have been designed and developed in accordance with Applicable Law and generally accepted ethical principles for artificial intelligence, including principles of fairness, accountability, and transparency;</w:t>
      </w:r>
    </w:p>
    <w:p w14:paraId="3321D00B" w14:textId="3F45579A" w:rsidR="00FA3E61" w:rsidRPr="00EB1109" w:rsidRDefault="009E0FDF" w:rsidP="00FA3E61">
      <w:pPr>
        <w:pStyle w:val="LegalLevel2"/>
        <w:numPr>
          <w:ilvl w:val="1"/>
          <w:numId w:val="4"/>
        </w:numPr>
        <w:spacing w:before="240" w:line="240" w:lineRule="auto"/>
        <w:rPr>
          <w:sz w:val="20"/>
          <w:szCs w:val="20"/>
        </w:rPr>
      </w:pPr>
      <w:r>
        <w:rPr>
          <w:sz w:val="20"/>
          <w:szCs w:val="20"/>
        </w:rPr>
        <w:t>Service Provider shall comply with: (a) all sector-specific laws, rules, and regulations applicable to the use of AI Features in connection with the Services; and (b) the following AI governance framework requirements: (</w:t>
      </w:r>
      <w:proofErr w:type="spellStart"/>
      <w:r>
        <w:rPr>
          <w:sz w:val="20"/>
          <w:szCs w:val="20"/>
        </w:rPr>
        <w:t>i</w:t>
      </w:r>
      <w:proofErr w:type="spellEnd"/>
      <w:r>
        <w:rPr>
          <w:sz w:val="20"/>
          <w:szCs w:val="20"/>
        </w:rPr>
        <w:t>) Service Provider shall align its AI governance practices with the NIST AI Risk Management Framework (AI RMF), as voluntary guidance, and document such alignment; (ii) where Service Provider holds or pursues ISO/IEC 42001 (AI Management System) certification, Service Provider shall maintain such certification and provide evidence thereof to Customer upon request; where Service Provider does not hold ISO/IEC 42001 certification as of the Effective Date, Service Provider shall use commercially reasonable efforts to achieve certification within [twenty-four (24)] months of the Effective Date and shall, in the interim, implement controls substantially aligned with ISO/IEC 42001 requirements; and (iii) Service Provider shall align its AI governance practices with the OECD Principles on Artificial Intelligence, as updated from time to time;</w:t>
      </w:r>
    </w:p>
    <w:p w14:paraId="33370EF0" w14:textId="488A878C" w:rsidR="00FA3E61" w:rsidRPr="00EB1109" w:rsidRDefault="00FA3E61" w:rsidP="00FA3E61">
      <w:pPr>
        <w:pStyle w:val="LegalLevel2"/>
        <w:numPr>
          <w:ilvl w:val="1"/>
          <w:numId w:val="4"/>
        </w:numPr>
        <w:spacing w:before="240" w:line="240" w:lineRule="auto"/>
        <w:rPr>
          <w:sz w:val="20"/>
          <w:szCs w:val="20"/>
        </w:rPr>
      </w:pPr>
      <w:r>
        <w:rPr>
          <w:sz w:val="20"/>
          <w:szCs w:val="20"/>
        </w:rPr>
        <w:t>Where Customer’s use of the Services or AI Features is subject to Regulation (EU) 2024/1689 (the EU Artificial Intelligence Act, “EU AI Act”), Service Provider shall support Customer’s compliance with the EU AI Act obligations applicable to the Services and AI Features, including: (a) for AI Features that constitute or incorporate general-purpose AI (GPAI) models, compliance with applicable GPAI provider obligations by the regulatory applicability date; (b) for AI Features classified as high-risk AI systems under the EU AI Act, compliance with applicable high-risk AI system requirements, including conformity assessment, risk management, data governance, transparency, and human oversight obligations, by the applicable regulatory deadline; and (c) providing Customer with such technical documentation, transparency information, and cooperation as Customer may reasonably require to fulfill its obligations as a deployer under the EU AI Act. Service Provider shall monitor developments in the EU AI Act and promptly notify Customer of any change in the classification or regulatory treatment of the AI Features that could affect Customer’s compliance obligations;</w:t>
      </w:r>
    </w:p>
    <w:p w14:paraId="6244D7F7" w14:textId="5A3C2C50" w:rsidR="00FA3E61" w:rsidRPr="00EB1109" w:rsidRDefault="00FA3E61" w:rsidP="00FA3E61">
      <w:pPr>
        <w:pStyle w:val="LegalLevel2"/>
        <w:numPr>
          <w:ilvl w:val="1"/>
          <w:numId w:val="4"/>
        </w:numPr>
        <w:spacing w:before="240" w:line="240" w:lineRule="auto"/>
        <w:rPr>
          <w:sz w:val="20"/>
          <w:szCs w:val="20"/>
        </w:rPr>
      </w:pPr>
      <w:r>
        <w:rPr>
          <w:sz w:val="20"/>
          <w:szCs w:val="20"/>
        </w:rPr>
        <w:t>Service Provider has the legal right to use all data used to train, validate, and test AI Features, including data sourced from third parties and ECDIS, that such data was lawfully obtained, and that the use of such data in connection with the AI Features does not infringe, misappropriate, or otherwise violate the Intellectual Property rights, privacy rights, or other rights of any third party;</w:t>
      </w:r>
    </w:p>
    <w:p w14:paraId="061E0337" w14:textId="401212CB" w:rsidR="00FA3E61" w:rsidRPr="00EB1109" w:rsidRDefault="00FA3E61" w:rsidP="00FA3E61">
      <w:pPr>
        <w:pStyle w:val="LegalLevel2"/>
        <w:numPr>
          <w:ilvl w:val="1"/>
          <w:numId w:val="4"/>
        </w:numPr>
        <w:spacing w:before="240" w:line="240" w:lineRule="auto"/>
        <w:rPr>
          <w:sz w:val="20"/>
          <w:szCs w:val="20"/>
        </w:rPr>
      </w:pPr>
      <w:r>
        <w:rPr>
          <w:sz w:val="20"/>
          <w:szCs w:val="20"/>
        </w:rPr>
        <w:t>AI Features are designed, tested, and monitored using commercially reasonable and documented measures to prevent discrimination on the basis of race, color, national origin, sex, gender, age, religion, disability, sexual orientation, or other protected characteristics, and Service Provider maintains and follows documented processes for proactively identifying and mitigating bias, including regular bias testing against defined metrics and reporting to Customer on bias testing results at least annually;</w:t>
      </w:r>
    </w:p>
    <w:p w14:paraId="486DF859" w14:textId="7834CEF0" w:rsidR="00FA3E61" w:rsidRPr="00EB1109" w:rsidRDefault="00FA3E61" w:rsidP="00FA3E61">
      <w:pPr>
        <w:pStyle w:val="LegalLevel2"/>
        <w:numPr>
          <w:ilvl w:val="1"/>
          <w:numId w:val="4"/>
        </w:numPr>
        <w:spacing w:before="240" w:line="240" w:lineRule="auto"/>
        <w:rPr>
          <w:sz w:val="20"/>
          <w:szCs w:val="20"/>
        </w:rPr>
      </w:pPr>
      <w:r>
        <w:rPr>
          <w:sz w:val="20"/>
          <w:szCs w:val="20"/>
        </w:rPr>
        <w:t>Service Provider has disclosed all external data sources and ECDIS used in connection with AI Features;</w:t>
      </w:r>
    </w:p>
    <w:p w14:paraId="3DDD3DFB" w14:textId="1CF3D0FD" w:rsidR="00FA3E61" w:rsidRPr="00EB1109" w:rsidRDefault="00FA3E61" w:rsidP="00FA3E61">
      <w:pPr>
        <w:pStyle w:val="LegalLevel2"/>
        <w:numPr>
          <w:ilvl w:val="1"/>
          <w:numId w:val="4"/>
        </w:numPr>
        <w:spacing w:before="240" w:line="240" w:lineRule="auto"/>
        <w:rPr>
          <w:sz w:val="20"/>
          <w:szCs w:val="20"/>
        </w:rPr>
      </w:pPr>
      <w:r>
        <w:rPr>
          <w:sz w:val="20"/>
          <w:szCs w:val="20"/>
        </w:rPr>
        <w:lastRenderedPageBreak/>
        <w:t>the data used to train, validate, and test AI Features is relevant, representative, and of sufficient quality for the intended use, and Service Provider can demonstrate the provenance and lineage of such data;</w:t>
      </w:r>
    </w:p>
    <w:p w14:paraId="6B9FA33E" w14:textId="6567D22D" w:rsidR="00FA3E61" w:rsidRPr="00EB1109" w:rsidRDefault="00FA3E61" w:rsidP="00FA3E61">
      <w:pPr>
        <w:pStyle w:val="LegalLevel2"/>
        <w:numPr>
          <w:ilvl w:val="1"/>
          <w:numId w:val="4"/>
        </w:numPr>
        <w:spacing w:before="240" w:line="240" w:lineRule="auto"/>
        <w:rPr>
          <w:sz w:val="20"/>
          <w:szCs w:val="20"/>
        </w:rPr>
      </w:pPr>
      <w:r>
        <w:rPr>
          <w:sz w:val="20"/>
          <w:szCs w:val="20"/>
        </w:rPr>
        <w:t>Service Provider has implemented proactive measures to detect, prevent, and mitigate Drift, Hallucinations, and inaccuracies in AI Feature Outputs;</w:t>
      </w:r>
    </w:p>
    <w:p w14:paraId="6646724A" w14:textId="3DA35F47" w:rsidR="00FA3E61" w:rsidRPr="00EB1109" w:rsidRDefault="00FA3E61" w:rsidP="00FA3E61">
      <w:pPr>
        <w:pStyle w:val="LegalLevel2"/>
        <w:numPr>
          <w:ilvl w:val="1"/>
          <w:numId w:val="4"/>
        </w:numPr>
        <w:spacing w:before="240" w:line="240" w:lineRule="auto"/>
        <w:rPr>
          <w:sz w:val="20"/>
          <w:szCs w:val="20"/>
        </w:rPr>
      </w:pPr>
      <w:r>
        <w:rPr>
          <w:sz w:val="20"/>
          <w:szCs w:val="20"/>
        </w:rPr>
        <w:t>AI Features have been designed to support meaningful human oversight, including the ability for Authorized Users to interpret, review, override, or reverse AI Feature Outputs; and</w:t>
      </w:r>
    </w:p>
    <w:p w14:paraId="379B68F6" w14:textId="1089B1C8" w:rsidR="00FA3E61" w:rsidRPr="00EB1109" w:rsidRDefault="00AC2F55" w:rsidP="00FA3E61">
      <w:pPr>
        <w:pStyle w:val="LegalLevel2"/>
        <w:numPr>
          <w:ilvl w:val="1"/>
          <w:numId w:val="4"/>
        </w:numPr>
        <w:spacing w:before="240" w:line="240" w:lineRule="auto"/>
        <w:rPr>
          <w:sz w:val="20"/>
          <w:szCs w:val="20"/>
        </w:rPr>
      </w:pPr>
      <w:r>
        <w:rPr>
          <w:sz w:val="20"/>
          <w:szCs w:val="20"/>
        </w:rPr>
        <w:t>where the Services include Agentic AI Features, Service Provider further represents and warrants that: (a) Agentic AI Features shall perform their tasks in a professional and workmanlike manner consistent with the standard expected of a qualified human performing the same or equivalent tasks; (b) Agentic AI Features shall operate within the scope of permissions, guardrails, and constraints configured by Customer or as specified in the applicable Order Form; (c) Agentic AI Features shall not take any action that exceeds the scope of their authorized tasks or permissions; and (d) Agentic AI Features shall maintain auditable logs of all autonomous actions taken, including the inputs, decision rationale, and outcomes of each action.</w:t>
      </w:r>
    </w:p>
    <w:p w14:paraId="6016644E" w14:textId="011D07F3"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Transparency and Explainability</w:t>
      </w:r>
      <w:r>
        <w:rPr>
          <w:sz w:val="20"/>
          <w:szCs w:val="20"/>
        </w:rPr>
        <w:t>.</w:t>
      </w:r>
    </w:p>
    <w:p w14:paraId="5612F45A" w14:textId="30C76076" w:rsidR="00FA3E61" w:rsidRPr="00EB1109" w:rsidRDefault="00FA3E61" w:rsidP="00FA3E61">
      <w:pPr>
        <w:pStyle w:val="LegalLevel2"/>
        <w:numPr>
          <w:ilvl w:val="1"/>
          <w:numId w:val="4"/>
        </w:numPr>
        <w:spacing w:before="240" w:line="240" w:lineRule="auto"/>
        <w:rPr>
          <w:sz w:val="20"/>
          <w:szCs w:val="20"/>
        </w:rPr>
      </w:pPr>
      <w:r>
        <w:rPr>
          <w:sz w:val="20"/>
          <w:szCs w:val="20"/>
          <w:u w:val="single"/>
        </w:rPr>
        <w:t>Documentation Requirements</w:t>
      </w:r>
      <w:r>
        <w:rPr>
          <w:sz w:val="20"/>
          <w:szCs w:val="20"/>
        </w:rPr>
        <w:t>. Service Provider shall provide Customer with documentation sufficient to understand how AI Features process data and generate Outputs, consistent with explainable AI principles. Such documentation shall include: (a) data sourcing disclosure, including provenance and data lineage; (b) algorithmic disclosure describing the type of model, training methodology, and decision logic; and (c) information sufficient for Customer to provide meaningful notice to its end users regarding the use of AI Features.</w:t>
      </w:r>
    </w:p>
    <w:p w14:paraId="30350FBE" w14:textId="18EB7B2F" w:rsidR="00FA3E61" w:rsidRPr="00EB1109" w:rsidRDefault="00FA3E61" w:rsidP="00FA3E61">
      <w:pPr>
        <w:pStyle w:val="LegalLevel2"/>
        <w:numPr>
          <w:ilvl w:val="1"/>
          <w:numId w:val="4"/>
        </w:numPr>
        <w:spacing w:before="240" w:line="240" w:lineRule="auto"/>
        <w:rPr>
          <w:sz w:val="20"/>
          <w:szCs w:val="20"/>
        </w:rPr>
      </w:pPr>
      <w:r>
        <w:rPr>
          <w:sz w:val="20"/>
          <w:szCs w:val="20"/>
          <w:u w:val="single"/>
        </w:rPr>
        <w:t>AI-Generated Output Disclosure</w:t>
      </w:r>
      <w:r>
        <w:rPr>
          <w:sz w:val="20"/>
          <w:szCs w:val="20"/>
        </w:rPr>
        <w:t>. Where AI Features generate Outputs that are presented to end users, Service Provider shall implement mechanisms to enable clear disclosure that such Outputs are AI-generated.</w:t>
      </w:r>
    </w:p>
    <w:p w14:paraId="7EA9A6D7" w14:textId="75C1740C"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Customer’s Right to Share Documentation</w:t>
      </w:r>
      <w:r>
        <w:rPr>
          <w:sz w:val="20"/>
          <w:szCs w:val="20"/>
        </w:rPr>
        <w:t xml:space="preserve">. </w:t>
      </w:r>
      <w:proofErr w:type="gramStart"/>
      <w:r>
        <w:rPr>
          <w:sz w:val="20"/>
          <w:szCs w:val="20"/>
        </w:rPr>
        <w:t>Customer shall</w:t>
      </w:r>
      <w:proofErr w:type="gramEnd"/>
      <w:r>
        <w:rPr>
          <w:sz w:val="20"/>
          <w:szCs w:val="20"/>
        </w:rPr>
        <w:t xml:space="preserve"> have the right to use, reproduce, and share explainability documentation with </w:t>
      </w:r>
      <w:proofErr w:type="gramStart"/>
      <w:r>
        <w:rPr>
          <w:sz w:val="20"/>
          <w:szCs w:val="20"/>
        </w:rPr>
        <w:t>its</w:t>
      </w:r>
      <w:proofErr w:type="gramEnd"/>
      <w:r>
        <w:rPr>
          <w:sz w:val="20"/>
          <w:szCs w:val="20"/>
        </w:rPr>
        <w:t xml:space="preserve"> internal stakeholders, auditors, and AI Regulatory Authorities as reasonably necessary for compliance, governance, and risk management purposes.</w:t>
      </w:r>
    </w:p>
    <w:p w14:paraId="4D72767F" w14:textId="04C9A11D" w:rsidR="00FA3E61" w:rsidRPr="00EB1109" w:rsidRDefault="00FA3E61" w:rsidP="00FA3E61">
      <w:pPr>
        <w:pStyle w:val="LegalLevel2"/>
        <w:numPr>
          <w:ilvl w:val="1"/>
          <w:numId w:val="4"/>
        </w:numPr>
        <w:spacing w:before="240" w:line="240" w:lineRule="auto"/>
        <w:rPr>
          <w:sz w:val="20"/>
          <w:szCs w:val="20"/>
        </w:rPr>
      </w:pPr>
      <w:r>
        <w:rPr>
          <w:sz w:val="20"/>
          <w:szCs w:val="20"/>
          <w:u w:val="single"/>
        </w:rPr>
        <w:t>Cooperation in Explanation; Trade Secret Limits</w:t>
      </w:r>
      <w:r>
        <w:rPr>
          <w:sz w:val="20"/>
          <w:szCs w:val="20"/>
        </w:rPr>
        <w:t>. Service Provider shall, upon Customer’s reasonable request, cooperate with Customer in explaining the functioning, logic, and specific Outputs of AI Features to Customer’s internal stakeholders, auditors, AI Regulatory Authorities, and affected individuals. Service Provider’s cooperation obligations under this Section shall not require disclosure of trade secrets or proprietary source code; provided, however, that Service Provider shall not use trade secret protections to avoid providing functionally equivalent explanations sufficient for Customer to meet its compliance and governance obligations.</w:t>
      </w:r>
    </w:p>
    <w:p w14:paraId="3B38D1A9" w14:textId="4636820B"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Human Oversight</w:t>
      </w:r>
      <w:r>
        <w:rPr>
          <w:sz w:val="20"/>
          <w:szCs w:val="20"/>
        </w:rPr>
        <w:t>.</w:t>
      </w:r>
    </w:p>
    <w:p w14:paraId="0DD00CFA" w14:textId="005D925C" w:rsidR="00FA3E61" w:rsidRPr="00EB1109" w:rsidRDefault="00FA3E61" w:rsidP="00FA3E61">
      <w:pPr>
        <w:pStyle w:val="LegalLevel2"/>
        <w:numPr>
          <w:ilvl w:val="1"/>
          <w:numId w:val="4"/>
        </w:numPr>
        <w:spacing w:before="240" w:line="240" w:lineRule="auto"/>
        <w:rPr>
          <w:sz w:val="20"/>
          <w:szCs w:val="20"/>
        </w:rPr>
      </w:pPr>
      <w:r>
        <w:rPr>
          <w:sz w:val="20"/>
          <w:szCs w:val="20"/>
          <w:u w:val="single"/>
        </w:rPr>
        <w:t>Design for Oversight</w:t>
      </w:r>
      <w:r>
        <w:rPr>
          <w:sz w:val="20"/>
          <w:szCs w:val="20"/>
        </w:rPr>
        <w:t>. Service Provider shall design AI Features to support meaningful human oversight, including: (a) the ability for Authorized Users to review, interpret, and understand AI Feature Outputs before acting on them; (b) the ability to disregard, override, or reverse AI Feature Outputs; and (c) a mechanism to disable, deactivate, or suspend any AI Feature (a “kill switch”) without materially degrading other functionality of the Services.</w:t>
      </w:r>
    </w:p>
    <w:p w14:paraId="018E785D" w14:textId="2BCBD602" w:rsidR="00FA3E61" w:rsidRPr="00EB1109" w:rsidRDefault="00FA3E61" w:rsidP="00FA3E61">
      <w:pPr>
        <w:pStyle w:val="LegalLevel2"/>
        <w:numPr>
          <w:ilvl w:val="1"/>
          <w:numId w:val="4"/>
        </w:numPr>
        <w:spacing w:before="240" w:line="240" w:lineRule="auto"/>
        <w:rPr>
          <w:sz w:val="20"/>
          <w:szCs w:val="20"/>
        </w:rPr>
      </w:pPr>
      <w:r>
        <w:rPr>
          <w:sz w:val="20"/>
          <w:szCs w:val="20"/>
          <w:u w:val="single"/>
        </w:rPr>
        <w:t>Training and Support</w:t>
      </w:r>
      <w:r>
        <w:rPr>
          <w:sz w:val="20"/>
          <w:szCs w:val="20"/>
        </w:rPr>
        <w:t>. Service Provider shall provide training and support to Customer’s personnel sufficient to enable them to exercise effective oversight of AI Features, including understanding limitations, recognizing potential errors or bias, and using override mechanisms.</w:t>
      </w:r>
    </w:p>
    <w:p w14:paraId="51AC3B56" w14:textId="6C2EE500" w:rsidR="00FA3E61" w:rsidRPr="00EB1109" w:rsidRDefault="00FA3E61" w:rsidP="00FA3E61">
      <w:pPr>
        <w:pStyle w:val="LegalLevel2"/>
        <w:numPr>
          <w:ilvl w:val="1"/>
          <w:numId w:val="4"/>
        </w:numPr>
        <w:spacing w:before="240" w:line="240" w:lineRule="auto"/>
        <w:rPr>
          <w:sz w:val="20"/>
          <w:szCs w:val="20"/>
        </w:rPr>
      </w:pPr>
      <w:r>
        <w:rPr>
          <w:sz w:val="20"/>
          <w:szCs w:val="20"/>
          <w:u w:val="single"/>
        </w:rPr>
        <w:lastRenderedPageBreak/>
        <w:t>Agentic AI Feature Controls</w:t>
      </w:r>
      <w:r>
        <w:rPr>
          <w:sz w:val="20"/>
          <w:szCs w:val="20"/>
        </w:rPr>
        <w:t>. Where the Services include Agentic AI Features, Customer shall have the ability to: (a) configure the scope and boundaries of autonomous actions permitted by Agentic AI Features; (b) require human-in-the-loop approval for designated categories of actions or actions exceeding specified thresholds (including financial thresholds, data modification thresholds, and external communication thresholds); (c) review, reverse, or undo any autonomous action taken by an Agentic AI Feature; and (d) immediately suspend or disable any Agentic AI Feature without materially degrading other functionality of the Services.</w:t>
      </w:r>
    </w:p>
    <w:p w14:paraId="576D2AE2"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Performance Assessment and Reporting</w:t>
      </w:r>
      <w:r>
        <w:rPr>
          <w:sz w:val="20"/>
          <w:szCs w:val="20"/>
        </w:rPr>
        <w:t>.</w:t>
      </w:r>
    </w:p>
    <w:p w14:paraId="121300D6" w14:textId="5E142BA8" w:rsidR="00FA3E61" w:rsidRPr="00EB1109" w:rsidRDefault="00FA3E61" w:rsidP="00FA3E61">
      <w:pPr>
        <w:pStyle w:val="LegalLevel2"/>
        <w:numPr>
          <w:ilvl w:val="1"/>
          <w:numId w:val="4"/>
        </w:numPr>
        <w:spacing w:before="240" w:line="240" w:lineRule="auto"/>
        <w:rPr>
          <w:sz w:val="20"/>
          <w:szCs w:val="20"/>
        </w:rPr>
      </w:pPr>
      <w:r>
        <w:rPr>
          <w:sz w:val="20"/>
          <w:szCs w:val="20"/>
          <w:u w:val="single"/>
        </w:rPr>
        <w:t>Ongoing Assessment</w:t>
      </w:r>
      <w:r>
        <w:rPr>
          <w:sz w:val="20"/>
          <w:szCs w:val="20"/>
        </w:rPr>
        <w:t>. Service Provider shall conduct ongoing quantitative and qualitative assessments of AI Feature performance.</w:t>
      </w:r>
    </w:p>
    <w:p w14:paraId="7E13D852" w14:textId="46DBB335" w:rsidR="00FA3E61" w:rsidRPr="00EB1109" w:rsidRDefault="00FA3E61" w:rsidP="00FA3E61">
      <w:pPr>
        <w:pStyle w:val="LegalLevel2"/>
        <w:numPr>
          <w:ilvl w:val="1"/>
          <w:numId w:val="4"/>
        </w:numPr>
        <w:spacing w:before="240" w:line="240" w:lineRule="auto"/>
        <w:rPr>
          <w:sz w:val="20"/>
          <w:szCs w:val="20"/>
        </w:rPr>
      </w:pPr>
      <w:r>
        <w:rPr>
          <w:sz w:val="20"/>
          <w:szCs w:val="20"/>
          <w:u w:val="single"/>
        </w:rPr>
        <w:t>Independent Ethics and Fairness Audit</w:t>
      </w:r>
      <w:r>
        <w:rPr>
          <w:sz w:val="20"/>
          <w:szCs w:val="20"/>
        </w:rPr>
        <w:t>. Service Provider shall engage a qualified independent third party to conduct an annual AI ethics, fairness, and compliance audit of the AI Features and shall provide Customer with the results of such audit within thirty (30) days of completion.</w:t>
      </w:r>
    </w:p>
    <w:p w14:paraId="5A5EC609" w14:textId="667A178F" w:rsidR="00FA3E61" w:rsidRPr="00EB1109" w:rsidRDefault="00FA3E61" w:rsidP="00FA3E61">
      <w:pPr>
        <w:pStyle w:val="LegalLevel2"/>
        <w:numPr>
          <w:ilvl w:val="1"/>
          <w:numId w:val="4"/>
        </w:numPr>
        <w:spacing w:before="240" w:line="240" w:lineRule="auto"/>
        <w:rPr>
          <w:sz w:val="20"/>
          <w:szCs w:val="20"/>
        </w:rPr>
      </w:pPr>
      <w:r>
        <w:rPr>
          <w:sz w:val="20"/>
          <w:szCs w:val="20"/>
          <w:u w:val="single"/>
        </w:rPr>
        <w:t>Incident Notification</w:t>
      </w:r>
      <w:r>
        <w:rPr>
          <w:sz w:val="20"/>
          <w:szCs w:val="20"/>
        </w:rPr>
        <w:t>. Service Provider shall immediately notify Customer of any suspected or confirmed issue with an AI Feature, including Drift, Hallucination, bias, inaccuracy, or any performance degradation that may affect the reliability of Outputs.</w:t>
      </w:r>
    </w:p>
    <w:p w14:paraId="00E0380A" w14:textId="74E6C09B" w:rsidR="00FA3E61" w:rsidRPr="00EB1109" w:rsidRDefault="00FA3E61" w:rsidP="00FA3E61">
      <w:pPr>
        <w:pStyle w:val="LegalLevel2"/>
        <w:numPr>
          <w:ilvl w:val="1"/>
          <w:numId w:val="4"/>
        </w:numPr>
        <w:spacing w:before="240" w:line="240" w:lineRule="auto"/>
        <w:rPr>
          <w:sz w:val="20"/>
          <w:szCs w:val="20"/>
        </w:rPr>
      </w:pPr>
      <w:r>
        <w:rPr>
          <w:sz w:val="20"/>
          <w:szCs w:val="20"/>
          <w:u w:val="single"/>
        </w:rPr>
        <w:t>Quarterly Performance Reports</w:t>
      </w:r>
      <w:r>
        <w:rPr>
          <w:sz w:val="20"/>
          <w:szCs w:val="20"/>
        </w:rPr>
        <w:t>. Service Provider shall provide Customer with quarterly performance reports covering AI Feature accuracy, reliability, fairness metrics, incident summaries, and remediation status.</w:t>
      </w:r>
    </w:p>
    <w:p w14:paraId="34D29945" w14:textId="74B506C6" w:rsidR="00FA3E61" w:rsidRPr="00EB1109" w:rsidRDefault="00FA3E61" w:rsidP="00FA3E61">
      <w:pPr>
        <w:pStyle w:val="LegalLevel2"/>
        <w:numPr>
          <w:ilvl w:val="1"/>
          <w:numId w:val="4"/>
        </w:numPr>
        <w:spacing w:before="240" w:line="240" w:lineRule="auto"/>
        <w:rPr>
          <w:sz w:val="20"/>
          <w:szCs w:val="20"/>
        </w:rPr>
      </w:pPr>
      <w:r>
        <w:rPr>
          <w:sz w:val="20"/>
          <w:szCs w:val="20"/>
          <w:u w:val="single"/>
        </w:rPr>
        <w:t>Agentic AI Feature Service Levels</w:t>
      </w:r>
      <w:r>
        <w:rPr>
          <w:sz w:val="20"/>
          <w:szCs w:val="20"/>
        </w:rPr>
        <w:t>. Where the Services include Agentic AI Features, Service Provider shall provide outcome-based Service Levels for such features, as specified in the applicable Service Level Addendum, which shall include, at minimum: (a) accuracy rates for task completion; (b) error rates and error severity classifications; (c) scope compliance rates (percentage of actions within configured boundaries); and (d) remediation response times for autonomous actions that produce erroneous or harmful results.</w:t>
      </w:r>
    </w:p>
    <w:p w14:paraId="0E4ECA68"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Performance Remediation</w:t>
      </w:r>
      <w:r>
        <w:rPr>
          <w:sz w:val="20"/>
          <w:szCs w:val="20"/>
        </w:rPr>
        <w:t>.</w:t>
      </w:r>
    </w:p>
    <w:p w14:paraId="7FB7AAB1" w14:textId="3ED27E69" w:rsidR="00FA3E61" w:rsidRPr="00EB1109" w:rsidRDefault="00FA3E61" w:rsidP="00FA3E61">
      <w:pPr>
        <w:pStyle w:val="LegalLevel2"/>
        <w:numPr>
          <w:ilvl w:val="1"/>
          <w:numId w:val="4"/>
        </w:numPr>
        <w:spacing w:before="240" w:line="240" w:lineRule="auto"/>
        <w:rPr>
          <w:sz w:val="20"/>
          <w:szCs w:val="20"/>
        </w:rPr>
      </w:pPr>
      <w:r>
        <w:rPr>
          <w:sz w:val="20"/>
          <w:szCs w:val="20"/>
          <w:u w:val="single"/>
        </w:rPr>
        <w:t>Remediation Process</w:t>
      </w:r>
      <w:r>
        <w:rPr>
          <w:sz w:val="20"/>
          <w:szCs w:val="20"/>
        </w:rPr>
        <w:t>. In the event an AI Feature fails to meet the established performance metrics, or Customer identifies a material issue with an AI Feature (including bias, Hallucination, Drift, or inaccuracy), Service Provider shall: (a) acknowledge the issue within twenty-four (24) hours of notification; (b) provide Customer with an initial assessment and remediation plan within five (5) Business Days; and (c) implement the remediation within thirty (30) days (or such shorter period as the severity of the issue requires).</w:t>
      </w:r>
    </w:p>
    <w:p w14:paraId="441C459E" w14:textId="2C485C23" w:rsidR="00FA3E61" w:rsidRPr="00EB1109" w:rsidRDefault="00FA3E61" w:rsidP="00FA3E61">
      <w:pPr>
        <w:pStyle w:val="LegalLevel2"/>
        <w:numPr>
          <w:ilvl w:val="1"/>
          <w:numId w:val="4"/>
        </w:numPr>
        <w:spacing w:before="240" w:line="240" w:lineRule="auto"/>
        <w:rPr>
          <w:sz w:val="20"/>
          <w:szCs w:val="20"/>
        </w:rPr>
      </w:pPr>
      <w:r>
        <w:rPr>
          <w:sz w:val="20"/>
          <w:szCs w:val="20"/>
          <w:u w:val="single"/>
        </w:rPr>
        <w:t>Designated Point of Contact</w:t>
      </w:r>
      <w:r>
        <w:rPr>
          <w:sz w:val="20"/>
          <w:szCs w:val="20"/>
        </w:rPr>
        <w:t>. Service Provider shall designate a qualified point of contact with sufficient authority and technical expertise to manage AI Feature issues and implement corrective actions.</w:t>
      </w:r>
    </w:p>
    <w:p w14:paraId="0BA7A3A1" w14:textId="77777777"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Testing by Customer</w:t>
      </w:r>
      <w:r>
        <w:rPr>
          <w:sz w:val="20"/>
          <w:szCs w:val="20"/>
        </w:rPr>
        <w:t>.</w:t>
      </w:r>
    </w:p>
    <w:p w14:paraId="393D1A2D" w14:textId="62C08800" w:rsidR="00FA3E61" w:rsidRPr="00EB1109" w:rsidRDefault="00FA3E61" w:rsidP="00FA3E61">
      <w:pPr>
        <w:pStyle w:val="LegalLevel2"/>
        <w:numPr>
          <w:ilvl w:val="1"/>
          <w:numId w:val="4"/>
        </w:numPr>
        <w:spacing w:before="240" w:line="240" w:lineRule="auto"/>
        <w:rPr>
          <w:sz w:val="20"/>
          <w:szCs w:val="20"/>
        </w:rPr>
      </w:pPr>
      <w:r>
        <w:rPr>
          <w:sz w:val="20"/>
          <w:szCs w:val="20"/>
          <w:u w:val="single"/>
        </w:rPr>
        <w:t>Independent Testing Rights</w:t>
      </w:r>
      <w:r>
        <w:rPr>
          <w:sz w:val="20"/>
          <w:szCs w:val="20"/>
        </w:rPr>
        <w:t xml:space="preserve">. </w:t>
      </w:r>
      <w:proofErr w:type="gramStart"/>
      <w:r>
        <w:rPr>
          <w:sz w:val="20"/>
          <w:szCs w:val="20"/>
        </w:rPr>
        <w:t>Customer</w:t>
      </w:r>
      <w:proofErr w:type="gramEnd"/>
      <w:r>
        <w:rPr>
          <w:sz w:val="20"/>
          <w:szCs w:val="20"/>
        </w:rPr>
        <w:t xml:space="preserve"> shall have the right to conduct independent testing, evaluation, and validation of AI Features, including bias testing, accuracy testing, and red-teaming exercises.</w:t>
      </w:r>
    </w:p>
    <w:p w14:paraId="7821FD25" w14:textId="77777777" w:rsidR="00FA3E61" w:rsidRPr="00EB1109" w:rsidRDefault="00FA3E61" w:rsidP="00FA3E61">
      <w:pPr>
        <w:pStyle w:val="LegalLevel2"/>
        <w:numPr>
          <w:ilvl w:val="1"/>
          <w:numId w:val="4"/>
        </w:numPr>
        <w:spacing w:before="240" w:line="240" w:lineRule="auto"/>
        <w:rPr>
          <w:sz w:val="20"/>
          <w:szCs w:val="20"/>
        </w:rPr>
      </w:pPr>
      <w:r>
        <w:rPr>
          <w:sz w:val="20"/>
          <w:szCs w:val="20"/>
          <w:u w:val="single"/>
        </w:rPr>
        <w:t>Service Provider Cooperation</w:t>
      </w:r>
      <w:r>
        <w:rPr>
          <w:sz w:val="20"/>
          <w:szCs w:val="20"/>
        </w:rPr>
        <w:t>. Service Provider shall provide reasonable cooperation and access to data, systems, documentation, and personnel necessary for Customer to conduct such testing, at no additional cost to Customer.</w:t>
      </w:r>
    </w:p>
    <w:p w14:paraId="60080396" w14:textId="4B48FE42"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Cooperation with Auditors, AI Regulatory Authorities, and Investigators</w:t>
      </w:r>
      <w:r>
        <w:rPr>
          <w:sz w:val="20"/>
          <w:szCs w:val="20"/>
        </w:rPr>
        <w:t xml:space="preserve">. Service Provider shall cooperate fully with Customer’s internal and external auditors, AI Regulatory Authorities, and investigators in </w:t>
      </w:r>
      <w:r>
        <w:rPr>
          <w:sz w:val="20"/>
          <w:szCs w:val="20"/>
        </w:rPr>
        <w:lastRenderedPageBreak/>
        <w:t>connection with any audit, examination, investigation, or inquiry relating to AI Features, including by providing access to documentation, personnel, systems, and data as reasonably required. Service Provider shall maintain documentation sufficient to demonstrate compliance with this AI Addendum.</w:t>
      </w:r>
    </w:p>
    <w:p w14:paraId="2E7E6B42" w14:textId="4A4EFE7F"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Continuous Improvement and Changes</w:t>
      </w:r>
      <w:r>
        <w:rPr>
          <w:sz w:val="20"/>
          <w:szCs w:val="20"/>
        </w:rPr>
        <w:t>.</w:t>
      </w:r>
    </w:p>
    <w:p w14:paraId="42E58DAE" w14:textId="409BC34B" w:rsidR="00FA3E61" w:rsidRPr="00EB1109" w:rsidRDefault="00FA3E61" w:rsidP="00FA3E61">
      <w:pPr>
        <w:pStyle w:val="LegalLevel2"/>
        <w:numPr>
          <w:ilvl w:val="1"/>
          <w:numId w:val="4"/>
        </w:numPr>
        <w:spacing w:before="240" w:line="240" w:lineRule="auto"/>
        <w:rPr>
          <w:sz w:val="20"/>
          <w:szCs w:val="20"/>
        </w:rPr>
      </w:pPr>
      <w:r>
        <w:rPr>
          <w:sz w:val="20"/>
          <w:szCs w:val="20"/>
          <w:u w:val="single"/>
        </w:rPr>
        <w:t>Continuous Improvement Obligation</w:t>
      </w:r>
      <w:r>
        <w:rPr>
          <w:sz w:val="20"/>
          <w:szCs w:val="20"/>
        </w:rPr>
        <w:t>. Service Provider shall use commercially reasonable efforts to continuously improve the performance, accuracy, fairness, and reliability of AI Features during the applicable Order Form term.</w:t>
      </w:r>
    </w:p>
    <w:p w14:paraId="7B7929B8" w14:textId="3CA2F1FC" w:rsidR="00FA3E61" w:rsidRPr="00EB1109" w:rsidRDefault="00FA3E61" w:rsidP="00FA3E61">
      <w:pPr>
        <w:pStyle w:val="LegalLevel2"/>
        <w:numPr>
          <w:ilvl w:val="1"/>
          <w:numId w:val="4"/>
        </w:numPr>
        <w:spacing w:before="240" w:line="240" w:lineRule="auto"/>
        <w:rPr>
          <w:sz w:val="20"/>
          <w:szCs w:val="20"/>
        </w:rPr>
      </w:pPr>
      <w:r>
        <w:rPr>
          <w:sz w:val="20"/>
          <w:szCs w:val="20"/>
          <w:u w:val="single"/>
        </w:rPr>
        <w:t>Annual Mutual Review</w:t>
      </w:r>
      <w:r>
        <w:rPr>
          <w:sz w:val="20"/>
          <w:szCs w:val="20"/>
        </w:rPr>
        <w:t>. The Parties shall conduct an annual mutual review of this AI Addendum and the AI Features to assess performance, identify issues, and agree on improvements or modifications.</w:t>
      </w:r>
    </w:p>
    <w:p w14:paraId="79384ACC" w14:textId="522A1ABA"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Intellectual Property Rights</w:t>
      </w:r>
      <w:r>
        <w:rPr>
          <w:sz w:val="20"/>
          <w:szCs w:val="20"/>
        </w:rPr>
        <w:t>.</w:t>
      </w:r>
    </w:p>
    <w:p w14:paraId="7F9A5BBB" w14:textId="085EEA68" w:rsidR="00FA3E61" w:rsidRPr="00EB1109" w:rsidRDefault="00FA3E61" w:rsidP="00FA3E61">
      <w:pPr>
        <w:pStyle w:val="LegalLevel2"/>
        <w:numPr>
          <w:ilvl w:val="1"/>
          <w:numId w:val="4"/>
        </w:numPr>
        <w:spacing w:before="240" w:line="240" w:lineRule="auto"/>
        <w:rPr>
          <w:sz w:val="20"/>
          <w:szCs w:val="20"/>
        </w:rPr>
      </w:pPr>
      <w:r>
        <w:rPr>
          <w:sz w:val="20"/>
          <w:szCs w:val="20"/>
          <w:u w:val="single"/>
        </w:rPr>
        <w:t>Customer Data Set Ownership</w:t>
      </w:r>
      <w:r>
        <w:rPr>
          <w:sz w:val="20"/>
          <w:szCs w:val="20"/>
        </w:rPr>
        <w:t xml:space="preserve">. Customer retains sole and exclusive ownership of all Customer Data Sets, including all Inputs. Ownership of Combined Data Sets is allocated in accordance with Section 11.3 (Combined Data Set Allocation), </w:t>
      </w:r>
      <w:proofErr w:type="gramStart"/>
      <w:r>
        <w:rPr>
          <w:sz w:val="20"/>
          <w:szCs w:val="20"/>
        </w:rPr>
        <w:t>provided that</w:t>
      </w:r>
      <w:proofErr w:type="gramEnd"/>
      <w:r>
        <w:rPr>
          <w:sz w:val="20"/>
          <w:szCs w:val="20"/>
        </w:rPr>
        <w:t xml:space="preserve"> nothing in Section 11.3 (Combined Data Set Allocation) shall diminish Customer’s ownership of Customer Data or of any Customer Data Set incorporated into a Combined Data Set.</w:t>
      </w:r>
    </w:p>
    <w:p w14:paraId="5FBE1D3A" w14:textId="4A24F8FE" w:rsidR="00FA3E61" w:rsidRPr="00EB1109" w:rsidRDefault="00FA3E61" w:rsidP="00FA3E61">
      <w:pPr>
        <w:pStyle w:val="LegalLevel2"/>
        <w:numPr>
          <w:ilvl w:val="1"/>
          <w:numId w:val="4"/>
        </w:numPr>
        <w:spacing w:before="240" w:line="240" w:lineRule="auto"/>
        <w:rPr>
          <w:sz w:val="20"/>
          <w:szCs w:val="20"/>
        </w:rPr>
      </w:pPr>
      <w:r>
        <w:rPr>
          <w:sz w:val="20"/>
          <w:szCs w:val="20"/>
          <w:u w:val="single"/>
        </w:rPr>
        <w:t>Output Ownership</w:t>
      </w:r>
      <w:r>
        <w:rPr>
          <w:sz w:val="20"/>
          <w:szCs w:val="20"/>
        </w:rPr>
        <w:t>. As between the Parties, Customer shall own all Outputs generated by AI Features using Customer Data as inputs, and all Intellectual Property rights therein, to the fullest extent permitted by Applicable Law.</w:t>
      </w:r>
    </w:p>
    <w:p w14:paraId="5182886A" w14:textId="077110BA" w:rsidR="00FA3E61" w:rsidRPr="00EB1109" w:rsidRDefault="00FA3E61" w:rsidP="00FA3E61">
      <w:pPr>
        <w:pStyle w:val="LegalLevel2"/>
        <w:numPr>
          <w:ilvl w:val="1"/>
          <w:numId w:val="4"/>
        </w:numPr>
        <w:spacing w:before="240" w:line="240" w:lineRule="auto"/>
        <w:rPr>
          <w:sz w:val="20"/>
          <w:szCs w:val="20"/>
        </w:rPr>
      </w:pPr>
      <w:r>
        <w:rPr>
          <w:sz w:val="20"/>
          <w:szCs w:val="20"/>
          <w:u w:val="single"/>
        </w:rPr>
        <w:t>Combined Data Set Allocation</w:t>
      </w:r>
      <w:r>
        <w:rPr>
          <w:sz w:val="20"/>
          <w:szCs w:val="20"/>
        </w:rPr>
        <w:t>. Ownership of Combined Data Sets shall be allocated as follows: (a) to the extent a Combined Data Set can be disaggregated, each Party retains ownership of its respective data; (b) to the extent a Combined Data Set cannot be disaggregated, the Parties shall negotiate ownership and use rights in good faith prior to the creation of such data set.</w:t>
      </w:r>
    </w:p>
    <w:p w14:paraId="17B83D13" w14:textId="621105B4" w:rsidR="00FA3E61" w:rsidRPr="00EB1109" w:rsidRDefault="00FA3E61" w:rsidP="00FA3E61">
      <w:pPr>
        <w:pStyle w:val="LegalLevel1"/>
        <w:numPr>
          <w:ilvl w:val="0"/>
          <w:numId w:val="4"/>
        </w:numPr>
        <w:tabs>
          <w:tab w:val="num" w:pos="1939"/>
        </w:tabs>
        <w:spacing w:before="240" w:line="240" w:lineRule="auto"/>
        <w:rPr>
          <w:sz w:val="20"/>
          <w:szCs w:val="20"/>
        </w:rPr>
      </w:pPr>
      <w:r>
        <w:rPr>
          <w:sz w:val="20"/>
          <w:szCs w:val="20"/>
          <w:u w:val="single"/>
        </w:rPr>
        <w:t>Use of Customer Data for AI Feature Training</w:t>
      </w:r>
      <w:r>
        <w:rPr>
          <w:sz w:val="20"/>
          <w:szCs w:val="20"/>
        </w:rPr>
        <w:t>. Service Provider’s use of Customer Data for AI Feature training shall be governed by the option selected in the applicable Order Form:</w:t>
      </w:r>
    </w:p>
    <w:p w14:paraId="120BD154" w14:textId="364D04CA" w:rsidR="00FA3E61" w:rsidRPr="00EB1109" w:rsidRDefault="00FA3E61" w:rsidP="00FA3E61">
      <w:pPr>
        <w:pStyle w:val="LegalLevel2"/>
        <w:numPr>
          <w:ilvl w:val="1"/>
          <w:numId w:val="4"/>
        </w:numPr>
        <w:spacing w:before="240" w:line="240" w:lineRule="auto"/>
        <w:rPr>
          <w:sz w:val="20"/>
          <w:szCs w:val="20"/>
        </w:rPr>
      </w:pPr>
      <w:r>
        <w:rPr>
          <w:sz w:val="20"/>
          <w:szCs w:val="20"/>
        </w:rPr>
        <w:t>Option 1 – No Training Permitted. Service Provider shall not use Customer Data (including Inputs and Outputs) to train, retrain, fine-tune, or improve any AI Feature, model, or algorithm, whether for Customer’s benefit, Service Provider’s benefit, or the benefit of any third party.</w:t>
      </w:r>
    </w:p>
    <w:p w14:paraId="6A6A4BAB" w14:textId="07537BEF" w:rsidR="00FA3E61" w:rsidRPr="00EB1109" w:rsidRDefault="00FA3E61" w:rsidP="00FA3E61">
      <w:pPr>
        <w:pStyle w:val="LegalLevel2"/>
        <w:numPr>
          <w:ilvl w:val="1"/>
          <w:numId w:val="4"/>
        </w:numPr>
        <w:spacing w:before="240" w:line="240" w:lineRule="auto"/>
        <w:rPr>
          <w:sz w:val="20"/>
          <w:szCs w:val="20"/>
        </w:rPr>
      </w:pPr>
      <w:r>
        <w:rPr>
          <w:sz w:val="20"/>
          <w:szCs w:val="20"/>
        </w:rPr>
        <w:t xml:space="preserve">Option 2 – Training for Customer’s Benefit Only. Service Provider may use Customer Data solely to train, retrain, or fine-tune AI Features for Customer’s exclusive benefit, and such trained models or improvements shall not be used for or made available to any other customer or third party. </w:t>
      </w:r>
      <w:proofErr w:type="gramStart"/>
      <w:r>
        <w:rPr>
          <w:sz w:val="20"/>
          <w:szCs w:val="20"/>
        </w:rPr>
        <w:t>Customer</w:t>
      </w:r>
      <w:proofErr w:type="gramEnd"/>
      <w:r>
        <w:rPr>
          <w:sz w:val="20"/>
          <w:szCs w:val="20"/>
        </w:rPr>
        <w:t xml:space="preserve"> shall </w:t>
      </w:r>
      <w:proofErr w:type="gramStart"/>
      <w:r>
        <w:rPr>
          <w:sz w:val="20"/>
          <w:szCs w:val="20"/>
        </w:rPr>
        <w:t>own</w:t>
      </w:r>
      <w:proofErr w:type="gramEnd"/>
      <w:r>
        <w:rPr>
          <w:sz w:val="20"/>
          <w:szCs w:val="20"/>
        </w:rPr>
        <w:t xml:space="preserve"> all improvements derived from Customer Data. [Optional: Upon expiration or termination of the applicable Order Form, Service Provider shall delete any trained model, model derivatives, embeddings, and vector database contents that encode or are derived from Customer Data, and shall provide written certification that no Customer Data persists in any model weights or training data set.]</w:t>
      </w:r>
    </w:p>
    <w:p w14:paraId="27A2ABE1" w14:textId="07C5E312" w:rsidR="00CE0122" w:rsidRPr="00DD39B9" w:rsidRDefault="00FA3E61" w:rsidP="00AE68A0">
      <w:pPr>
        <w:pStyle w:val="LegalLevel2"/>
        <w:numPr>
          <w:ilvl w:val="1"/>
          <w:numId w:val="4"/>
        </w:numPr>
        <w:spacing w:before="240" w:line="240" w:lineRule="auto"/>
        <w:rPr>
          <w:sz w:val="22"/>
          <w:szCs w:val="22"/>
        </w:rPr>
      </w:pPr>
      <w:r>
        <w:rPr>
          <w:sz w:val="20"/>
          <w:szCs w:val="20"/>
        </w:rPr>
        <w:t>Option 3 – Training with De-identification. Service Provider may use Customer Data to train AI Features only if such data: (a) is first de-identified and aggregated such that it cannot, alone or in combination with other data, be used to identify Customer, any Authorized User, or any individual; (b) does not include Confidential Information of Customer; and (c) does not include any Intellectual Property of Customer. Service Provider shall demonstrate its de-identification methodology to Customer upon request. [Optional: Upon expiration or termination of the applicable Order Form, Service Provider shall delete any trained model, model derivatives, embeddings, and vector database contents that encode or are derived from Customer Data, and shall provide written certification that no Customer Data persists in any model weights or training data set.]</w:t>
      </w:r>
    </w:p>
    <w:sectPr w:rsidR="00CE0122" w:rsidRPr="00DD39B9" w:rsidSect="00552A09">
      <w:headerReference w:type="even" r:id="rId8"/>
      <w:headerReference w:type="default" r:id="rId9"/>
      <w:footerReference w:type="even" r:id="rId10"/>
      <w:footerReference w:type="default" r:id="rId11"/>
      <w:headerReference w:type="first" r:id="rId12"/>
      <w:footerReference w:type="first" r:id="rId13"/>
      <w:pgSz w:w="12240" w:h="15840" w:code="171"/>
      <w:pgMar w:top="1109" w:right="864" w:bottom="1109" w:left="1109" w:header="720" w:footer="720" w:gutter="20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37647" w14:textId="77777777" w:rsidR="007348D0" w:rsidRDefault="007348D0" w:rsidP="003431AB">
      <w:r>
        <w:separator/>
      </w:r>
    </w:p>
  </w:endnote>
  <w:endnote w:type="continuationSeparator" w:id="0">
    <w:p w14:paraId="6151F085" w14:textId="77777777" w:rsidR="007348D0" w:rsidRDefault="007348D0" w:rsidP="0034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77C8" w14:textId="77777777" w:rsidR="004010EA" w:rsidRDefault="004010EA" w:rsidP="004010EA">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963529"/>
      <w:docPartObj>
        <w:docPartGallery w:val="Page Numbers (Bottom of Page)"/>
        <w:docPartUnique/>
      </w:docPartObj>
    </w:sdtPr>
    <w:sdtEndPr>
      <w:rPr>
        <w:noProof/>
        <w:sz w:val="24"/>
        <w:szCs w:val="24"/>
      </w:rPr>
    </w:sdtEndPr>
    <w:sdtContent>
      <w:p w14:paraId="6DE08065" w14:textId="395D4171" w:rsidR="004010EA" w:rsidRPr="004010EA" w:rsidRDefault="004010EA" w:rsidP="004010EA">
        <w:pPr>
          <w:pStyle w:val="Footer"/>
          <w:pBdr>
            <w:top w:val="none" w:sz="0" w:space="0" w:color="auto"/>
          </w:pBdr>
          <w:rPr>
            <w:sz w:val="24"/>
            <w:szCs w:val="24"/>
          </w:rPr>
        </w:pPr>
        <w:r w:rsidRPr="004010EA">
          <w:rPr>
            <w:sz w:val="24"/>
            <w:szCs w:val="24"/>
          </w:rPr>
          <w:fldChar w:fldCharType="begin"/>
        </w:r>
        <w:r w:rsidRPr="004010EA">
          <w:rPr>
            <w:sz w:val="24"/>
            <w:szCs w:val="24"/>
          </w:rPr>
          <w:instrText xml:space="preserve"> PAGE   \* MERGEFORMAT </w:instrText>
        </w:r>
        <w:r w:rsidRPr="004010EA">
          <w:rPr>
            <w:sz w:val="24"/>
            <w:szCs w:val="24"/>
          </w:rPr>
          <w:fldChar w:fldCharType="separate"/>
        </w:r>
        <w:r w:rsidRPr="004010EA">
          <w:rPr>
            <w:noProof/>
            <w:sz w:val="24"/>
            <w:szCs w:val="24"/>
          </w:rPr>
          <w:t>2</w:t>
        </w:r>
        <w:r w:rsidRPr="004010EA">
          <w:rPr>
            <w:noProof/>
            <w:sz w:val="24"/>
            <w:szCs w:val="24"/>
          </w:rPr>
          <w:fldChar w:fldCharType="end"/>
        </w:r>
      </w:p>
    </w:sdtContent>
  </w:sdt>
  <w:p w14:paraId="7C0379CE" w14:textId="77777777" w:rsidR="004010EA" w:rsidRDefault="004010EA" w:rsidP="004010EA">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6AAA" w14:textId="77777777" w:rsidR="006C7932" w:rsidRDefault="006C7932" w:rsidP="001F47F4">
    <w:pPr>
      <w:pStyle w:val="Footer"/>
      <w:pBdr>
        <w:top w:val="none" w:sz="0" w:space="0" w:color="auto"/>
      </w:pBdr>
      <w:jc w:val="right"/>
      <w:rPr>
        <w:rStyle w:val="PageNumber"/>
        <w:b w:val="0"/>
      </w:rPr>
    </w:pPr>
  </w:p>
  <w:p w14:paraId="27D0C7D0" w14:textId="1552D1C8" w:rsidR="006C7932" w:rsidRDefault="006C7932" w:rsidP="00793199">
    <w:pPr>
      <w:pStyle w:val="Footer"/>
      <w:pBdr>
        <w:top w:val="none" w:sz="0" w:space="0" w:color="auto"/>
      </w:pBdr>
      <w:jc w:val="right"/>
      <w:rPr>
        <w:rStyle w:val="PageNumbe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4AA1" w14:textId="77777777" w:rsidR="007348D0" w:rsidRDefault="007348D0" w:rsidP="003431AB">
      <w:r>
        <w:separator/>
      </w:r>
    </w:p>
  </w:footnote>
  <w:footnote w:type="continuationSeparator" w:id="0">
    <w:p w14:paraId="7149DEFE" w14:textId="77777777" w:rsidR="007348D0" w:rsidRDefault="007348D0" w:rsidP="00343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2FAE" w14:textId="77777777" w:rsidR="004010EA" w:rsidRDefault="00401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1602" w14:textId="77777777" w:rsidR="00EA00C1" w:rsidRPr="004010EA" w:rsidRDefault="00EA00C1" w:rsidP="00401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B7C3" w14:textId="77777777" w:rsidR="004010EA" w:rsidRDefault="00401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22BB"/>
    <w:multiLevelType w:val="multilevel"/>
    <w:tmpl w:val="4DAE5FC2"/>
    <w:lvl w:ilvl="0">
      <w:start w:val="1"/>
      <w:numFmt w:val="decimal"/>
      <w:lvlText w:val="%1"/>
      <w:lvlJc w:val="left"/>
      <w:pPr>
        <w:ind w:left="368" w:hanging="368"/>
      </w:pPr>
      <w:rPr>
        <w:rFonts w:hint="default"/>
      </w:rPr>
    </w:lvl>
    <w:lvl w:ilvl="1">
      <w:start w:val="1"/>
      <w:numFmt w:val="decimal"/>
      <w:lvlText w:val="%1.%2"/>
      <w:lvlJc w:val="left"/>
      <w:pPr>
        <w:ind w:left="368" w:hanging="3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8E5FE3"/>
    <w:multiLevelType w:val="hybridMultilevel"/>
    <w:tmpl w:val="C2B892D2"/>
    <w:styleLink w:val="111111"/>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 w15:restartNumberingAfterBreak="0">
    <w:nsid w:val="360A5549"/>
    <w:multiLevelType w:val="multilevel"/>
    <w:tmpl w:val="B0ECB8F4"/>
    <w:lvl w:ilvl="0">
      <w:start w:val="1"/>
      <w:numFmt w:val="decimal"/>
      <w:pStyle w:val="Number"/>
      <w:lvlText w:val="%1."/>
      <w:lvlJc w:val="left"/>
      <w:pPr>
        <w:tabs>
          <w:tab w:val="num" w:pos="360"/>
        </w:tabs>
        <w:ind w:left="360" w:hanging="360"/>
      </w:pPr>
      <w:rPr>
        <w:rFonts w:cs="Times New Roman"/>
        <w:b/>
        <w:i w:val="0"/>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3A35557C"/>
    <w:multiLevelType w:val="hybridMultilevel"/>
    <w:tmpl w:val="9AF8882E"/>
    <w:lvl w:ilvl="0" w:tplc="0409000F">
      <w:start w:val="1"/>
      <w:numFmt w:val="bullet"/>
      <w:pStyle w:val="ParagraphX"/>
      <w:lvlText w:val=""/>
      <w:lvlJc w:val="left"/>
      <w:pPr>
        <w:tabs>
          <w:tab w:val="num" w:pos="2088"/>
        </w:tabs>
        <w:ind w:left="2088" w:hanging="360"/>
      </w:pPr>
      <w:rPr>
        <w:rFonts w:ascii="Symbol" w:hAnsi="Symbol" w:hint="default"/>
      </w:rPr>
    </w:lvl>
    <w:lvl w:ilvl="1" w:tplc="04090019">
      <w:start w:val="1"/>
      <w:numFmt w:val="bullet"/>
      <w:lvlText w:val="o"/>
      <w:lvlJc w:val="left"/>
      <w:pPr>
        <w:tabs>
          <w:tab w:val="num" w:pos="2808"/>
        </w:tabs>
        <w:ind w:left="2808" w:hanging="360"/>
      </w:pPr>
      <w:rPr>
        <w:rFonts w:ascii="Courier New" w:hAnsi="Courier New" w:hint="default"/>
      </w:rPr>
    </w:lvl>
    <w:lvl w:ilvl="2" w:tplc="0409001B" w:tentative="1">
      <w:start w:val="1"/>
      <w:numFmt w:val="bullet"/>
      <w:lvlText w:val=""/>
      <w:lvlJc w:val="left"/>
      <w:pPr>
        <w:tabs>
          <w:tab w:val="num" w:pos="3528"/>
        </w:tabs>
        <w:ind w:left="3528" w:hanging="360"/>
      </w:pPr>
      <w:rPr>
        <w:rFonts w:ascii="Wingdings" w:hAnsi="Wingdings" w:hint="default"/>
      </w:rPr>
    </w:lvl>
    <w:lvl w:ilvl="3" w:tplc="0409000F" w:tentative="1">
      <w:start w:val="1"/>
      <w:numFmt w:val="bullet"/>
      <w:lvlText w:val=""/>
      <w:lvlJc w:val="left"/>
      <w:pPr>
        <w:tabs>
          <w:tab w:val="num" w:pos="4248"/>
        </w:tabs>
        <w:ind w:left="4248" w:hanging="360"/>
      </w:pPr>
      <w:rPr>
        <w:rFonts w:ascii="Symbol" w:hAnsi="Symbol" w:hint="default"/>
      </w:rPr>
    </w:lvl>
    <w:lvl w:ilvl="4" w:tplc="04090019" w:tentative="1">
      <w:start w:val="1"/>
      <w:numFmt w:val="bullet"/>
      <w:lvlText w:val="o"/>
      <w:lvlJc w:val="left"/>
      <w:pPr>
        <w:tabs>
          <w:tab w:val="num" w:pos="4968"/>
        </w:tabs>
        <w:ind w:left="4968" w:hanging="360"/>
      </w:pPr>
      <w:rPr>
        <w:rFonts w:ascii="Courier New" w:hAnsi="Courier New" w:hint="default"/>
      </w:rPr>
    </w:lvl>
    <w:lvl w:ilvl="5" w:tplc="0409001B" w:tentative="1">
      <w:start w:val="1"/>
      <w:numFmt w:val="bullet"/>
      <w:lvlText w:val=""/>
      <w:lvlJc w:val="left"/>
      <w:pPr>
        <w:tabs>
          <w:tab w:val="num" w:pos="5688"/>
        </w:tabs>
        <w:ind w:left="5688" w:hanging="360"/>
      </w:pPr>
      <w:rPr>
        <w:rFonts w:ascii="Wingdings" w:hAnsi="Wingdings" w:hint="default"/>
      </w:rPr>
    </w:lvl>
    <w:lvl w:ilvl="6" w:tplc="0409000F" w:tentative="1">
      <w:start w:val="1"/>
      <w:numFmt w:val="bullet"/>
      <w:lvlText w:val=""/>
      <w:lvlJc w:val="left"/>
      <w:pPr>
        <w:tabs>
          <w:tab w:val="num" w:pos="6408"/>
        </w:tabs>
        <w:ind w:left="6408" w:hanging="360"/>
      </w:pPr>
      <w:rPr>
        <w:rFonts w:ascii="Symbol" w:hAnsi="Symbol" w:hint="default"/>
      </w:rPr>
    </w:lvl>
    <w:lvl w:ilvl="7" w:tplc="04090019" w:tentative="1">
      <w:start w:val="1"/>
      <w:numFmt w:val="bullet"/>
      <w:lvlText w:val="o"/>
      <w:lvlJc w:val="left"/>
      <w:pPr>
        <w:tabs>
          <w:tab w:val="num" w:pos="7128"/>
        </w:tabs>
        <w:ind w:left="7128" w:hanging="360"/>
      </w:pPr>
      <w:rPr>
        <w:rFonts w:ascii="Courier New" w:hAnsi="Courier New" w:hint="default"/>
      </w:rPr>
    </w:lvl>
    <w:lvl w:ilvl="8" w:tplc="0409001B" w:tentative="1">
      <w:start w:val="1"/>
      <w:numFmt w:val="bullet"/>
      <w:lvlText w:val=""/>
      <w:lvlJc w:val="left"/>
      <w:pPr>
        <w:tabs>
          <w:tab w:val="num" w:pos="7848"/>
        </w:tabs>
        <w:ind w:left="7848" w:hanging="360"/>
      </w:pPr>
      <w:rPr>
        <w:rFonts w:ascii="Wingdings" w:hAnsi="Wingdings" w:hint="default"/>
      </w:rPr>
    </w:lvl>
  </w:abstractNum>
  <w:abstractNum w:abstractNumId="4" w15:restartNumberingAfterBreak="0">
    <w:nsid w:val="3D524595"/>
    <w:multiLevelType w:val="multilevel"/>
    <w:tmpl w:val="F154D9D6"/>
    <w:lvl w:ilvl="0">
      <w:start w:val="1"/>
      <w:numFmt w:val="decimal"/>
      <w:pStyle w:val="LegalLevel1"/>
      <w:lvlText w:val="%1."/>
      <w:lvlJc w:val="left"/>
      <w:pPr>
        <w:tabs>
          <w:tab w:val="num" w:pos="-139"/>
        </w:tabs>
        <w:ind w:left="-139" w:hanging="360"/>
      </w:pPr>
      <w:rPr>
        <w:rFonts w:cs="Times New Roman" w:hint="default"/>
      </w:rPr>
    </w:lvl>
    <w:lvl w:ilvl="1">
      <w:start w:val="1"/>
      <w:numFmt w:val="decimal"/>
      <w:pStyle w:val="LegalLevel2"/>
      <w:lvlText w:val="%1.%2."/>
      <w:lvlJc w:val="left"/>
      <w:pPr>
        <w:tabs>
          <w:tab w:val="num" w:pos="581"/>
        </w:tabs>
        <w:ind w:left="581" w:hanging="720"/>
      </w:pPr>
      <w:rPr>
        <w:rFonts w:cs="Times New Roman" w:hint="default"/>
      </w:rPr>
    </w:lvl>
    <w:lvl w:ilvl="2">
      <w:start w:val="1"/>
      <w:numFmt w:val="decimal"/>
      <w:pStyle w:val="LegalLevel3"/>
      <w:lvlText w:val="%1.%2.%3."/>
      <w:lvlJc w:val="left"/>
      <w:pPr>
        <w:tabs>
          <w:tab w:val="num" w:pos="1661"/>
        </w:tabs>
        <w:ind w:left="1661" w:hanging="1080"/>
      </w:pPr>
      <w:rPr>
        <w:rFonts w:cs="Times New Roman" w:hint="default"/>
      </w:rPr>
    </w:lvl>
    <w:lvl w:ilvl="3">
      <w:start w:val="1"/>
      <w:numFmt w:val="decimal"/>
      <w:pStyle w:val="LegalLevel4"/>
      <w:lvlText w:val="%1.%2.%3.%4."/>
      <w:lvlJc w:val="left"/>
      <w:pPr>
        <w:tabs>
          <w:tab w:val="num" w:pos="2741"/>
        </w:tabs>
        <w:ind w:left="2741" w:hanging="1080"/>
      </w:pPr>
      <w:rPr>
        <w:rFonts w:cs="Times New Roman" w:hint="default"/>
      </w:rPr>
    </w:lvl>
    <w:lvl w:ilvl="4">
      <w:start w:val="1"/>
      <w:numFmt w:val="decimal"/>
      <w:lvlText w:val="%1.%2.%3.%4.%5."/>
      <w:lvlJc w:val="left"/>
      <w:pPr>
        <w:tabs>
          <w:tab w:val="num" w:pos="2741"/>
        </w:tabs>
        <w:ind w:left="1733" w:hanging="792"/>
      </w:pPr>
      <w:rPr>
        <w:rFonts w:cs="Times New Roman" w:hint="default"/>
      </w:rPr>
    </w:lvl>
    <w:lvl w:ilvl="5">
      <w:start w:val="1"/>
      <w:numFmt w:val="decimal"/>
      <w:lvlText w:val="%1.%2.%3.%4.%5.%6."/>
      <w:lvlJc w:val="left"/>
      <w:pPr>
        <w:tabs>
          <w:tab w:val="num" w:pos="3461"/>
        </w:tabs>
        <w:ind w:left="2237" w:hanging="936"/>
      </w:pPr>
      <w:rPr>
        <w:rFonts w:cs="Times New Roman" w:hint="default"/>
      </w:rPr>
    </w:lvl>
    <w:lvl w:ilvl="6">
      <w:start w:val="1"/>
      <w:numFmt w:val="decimal"/>
      <w:lvlText w:val="%1.%2.%3.%4.%5.%6.%7."/>
      <w:lvlJc w:val="left"/>
      <w:pPr>
        <w:tabs>
          <w:tab w:val="num" w:pos="4181"/>
        </w:tabs>
        <w:ind w:left="2741" w:hanging="1080"/>
      </w:pPr>
      <w:rPr>
        <w:rFonts w:cs="Times New Roman" w:hint="default"/>
      </w:rPr>
    </w:lvl>
    <w:lvl w:ilvl="7">
      <w:start w:val="1"/>
      <w:numFmt w:val="decimal"/>
      <w:lvlText w:val="%1.%2.%3.%4.%5.%6.%7.%8."/>
      <w:lvlJc w:val="left"/>
      <w:pPr>
        <w:tabs>
          <w:tab w:val="num" w:pos="4901"/>
        </w:tabs>
        <w:ind w:left="3245" w:hanging="1224"/>
      </w:pPr>
      <w:rPr>
        <w:rFonts w:cs="Times New Roman" w:hint="default"/>
      </w:rPr>
    </w:lvl>
    <w:lvl w:ilvl="8">
      <w:start w:val="1"/>
      <w:numFmt w:val="decimal"/>
      <w:lvlText w:val="%1.%2.%3.%4.%5.%6.%7.%8.%9."/>
      <w:lvlJc w:val="left"/>
      <w:pPr>
        <w:tabs>
          <w:tab w:val="num" w:pos="5261"/>
        </w:tabs>
        <w:ind w:left="3821" w:hanging="1440"/>
      </w:pPr>
      <w:rPr>
        <w:rFonts w:cs="Times New Roman" w:hint="default"/>
      </w:rPr>
    </w:lvl>
  </w:abstractNum>
  <w:abstractNum w:abstractNumId="5" w15:restartNumberingAfterBreak="0">
    <w:nsid w:val="3FC411BE"/>
    <w:multiLevelType w:val="hybridMultilevel"/>
    <w:tmpl w:val="FBA47A9C"/>
    <w:lvl w:ilvl="0" w:tplc="98C2BA92">
      <w:start w:val="2"/>
      <w:numFmt w:val="decimal"/>
      <w:lvlText w:val="%1."/>
      <w:lvlJc w:val="left"/>
      <w:pPr>
        <w:ind w:left="720" w:hanging="360"/>
      </w:pPr>
      <w:rPr>
        <w:rFonts w:ascii="Arial" w:hAnsi="Arial" w:cs="Arial" w:hint="default"/>
        <w:b w:val="0"/>
        <w:i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E10F69"/>
    <w:multiLevelType w:val="multilevel"/>
    <w:tmpl w:val="062C2AEE"/>
    <w:lvl w:ilvl="0">
      <w:start w:val="1"/>
      <w:numFmt w:val="decimal"/>
      <w:lvlText w:val="%1."/>
      <w:lvlJc w:val="left"/>
      <w:pPr>
        <w:tabs>
          <w:tab w:val="num" w:pos="720"/>
        </w:tabs>
        <w:ind w:left="720" w:hanging="720"/>
      </w:pPr>
      <w:rPr>
        <w:rFonts w:hint="default"/>
        <w:b w:val="0"/>
        <w:i w:val="0"/>
        <w:sz w:val="22"/>
        <w:szCs w:val="22"/>
      </w:rPr>
    </w:lvl>
    <w:lvl w:ilvl="1">
      <w:start w:val="1"/>
      <w:numFmt w:val="decimal"/>
      <w:lvlText w:val="%1.%2"/>
      <w:lvlJc w:val="left"/>
      <w:pPr>
        <w:tabs>
          <w:tab w:val="num" w:pos="1440"/>
        </w:tabs>
        <w:ind w:left="1440" w:hanging="720"/>
      </w:pPr>
      <w:rPr>
        <w:rFonts w:cs="Times New Roman" w:hint="default"/>
        <w:b w:val="0"/>
        <w:i w:val="0"/>
        <w:u w:val="none"/>
      </w:rPr>
    </w:lvl>
    <w:lvl w:ilvl="2">
      <w:start w:val="1"/>
      <w:numFmt w:val="decimal"/>
      <w:pStyle w:val="Preface1"/>
      <w:lvlText w:val="%1.%2.%3"/>
      <w:lvlJc w:val="left"/>
      <w:pPr>
        <w:tabs>
          <w:tab w:val="num" w:pos="2520"/>
        </w:tabs>
        <w:ind w:left="2520" w:hanging="1080"/>
      </w:pPr>
      <w:rPr>
        <w:rFonts w:cs="Times New Roman" w:hint="default"/>
        <w:b w:val="0"/>
        <w:i w:val="0"/>
        <w:u w:val="none"/>
      </w:rPr>
    </w:lvl>
    <w:lvl w:ilvl="3">
      <w:start w:val="1"/>
      <w:numFmt w:val="decimal"/>
      <w:lvlText w:val="%1.%2.%3.%4"/>
      <w:lvlJc w:val="left"/>
      <w:pPr>
        <w:tabs>
          <w:tab w:val="num" w:pos="3600"/>
        </w:tabs>
        <w:ind w:left="3600" w:hanging="1080"/>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 w15:restartNumberingAfterBreak="0">
    <w:nsid w:val="67E22118"/>
    <w:multiLevelType w:val="multilevel"/>
    <w:tmpl w:val="67EAE81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00813698">
    <w:abstractNumId w:val="4"/>
  </w:num>
  <w:num w:numId="2" w16cid:durableId="1678575689">
    <w:abstractNumId w:val="3"/>
  </w:num>
  <w:num w:numId="3" w16cid:durableId="280842101">
    <w:abstractNumId w:val="1"/>
  </w:num>
  <w:num w:numId="4" w16cid:durableId="65542124">
    <w:abstractNumId w:val="6"/>
  </w:num>
  <w:num w:numId="5" w16cid:durableId="1676570234">
    <w:abstractNumId w:val="2"/>
  </w:num>
  <w:num w:numId="6" w16cid:durableId="446699837">
    <w:abstractNumId w:val="7"/>
  </w:num>
  <w:num w:numId="7" w16cid:durableId="1846549300">
    <w:abstractNumId w:val="6"/>
  </w:num>
  <w:num w:numId="8" w16cid:durableId="104241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98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10491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05486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89025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46110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8456567">
    <w:abstractNumId w:val="6"/>
  </w:num>
  <w:num w:numId="15" w16cid:durableId="4258833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2708418">
    <w:abstractNumId w:val="0"/>
  </w:num>
  <w:num w:numId="17" w16cid:durableId="2179099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146232">
    <w:abstractNumId w:val="5"/>
  </w:num>
  <w:num w:numId="19" w16cid:durableId="154953498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mirrorMargins/>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97"/>
    <w:rsid w:val="0000006B"/>
    <w:rsid w:val="0000064D"/>
    <w:rsid w:val="00000663"/>
    <w:rsid w:val="000009E3"/>
    <w:rsid w:val="00000A15"/>
    <w:rsid w:val="00000AF3"/>
    <w:rsid w:val="00000D54"/>
    <w:rsid w:val="0000109A"/>
    <w:rsid w:val="000010E3"/>
    <w:rsid w:val="00001153"/>
    <w:rsid w:val="000011A3"/>
    <w:rsid w:val="000011ED"/>
    <w:rsid w:val="0000178E"/>
    <w:rsid w:val="00001A5A"/>
    <w:rsid w:val="00001DC8"/>
    <w:rsid w:val="00001EFF"/>
    <w:rsid w:val="00001F1D"/>
    <w:rsid w:val="00002064"/>
    <w:rsid w:val="000022EA"/>
    <w:rsid w:val="000023C1"/>
    <w:rsid w:val="000028C6"/>
    <w:rsid w:val="00002C6F"/>
    <w:rsid w:val="00002C80"/>
    <w:rsid w:val="00002D6F"/>
    <w:rsid w:val="00002F9F"/>
    <w:rsid w:val="00003280"/>
    <w:rsid w:val="0000383E"/>
    <w:rsid w:val="0000395C"/>
    <w:rsid w:val="00003C5D"/>
    <w:rsid w:val="00003D4C"/>
    <w:rsid w:val="00003ED4"/>
    <w:rsid w:val="0000455F"/>
    <w:rsid w:val="00004666"/>
    <w:rsid w:val="000047EA"/>
    <w:rsid w:val="00004D1C"/>
    <w:rsid w:val="00004D58"/>
    <w:rsid w:val="00004FFD"/>
    <w:rsid w:val="00005277"/>
    <w:rsid w:val="00005426"/>
    <w:rsid w:val="000054C7"/>
    <w:rsid w:val="00005596"/>
    <w:rsid w:val="000055FD"/>
    <w:rsid w:val="00005757"/>
    <w:rsid w:val="0000580A"/>
    <w:rsid w:val="000059D6"/>
    <w:rsid w:val="00005D17"/>
    <w:rsid w:val="00005D59"/>
    <w:rsid w:val="00005DEE"/>
    <w:rsid w:val="00005E7C"/>
    <w:rsid w:val="00005F59"/>
    <w:rsid w:val="00005FB5"/>
    <w:rsid w:val="00005FC3"/>
    <w:rsid w:val="00006380"/>
    <w:rsid w:val="00006D38"/>
    <w:rsid w:val="00006DB5"/>
    <w:rsid w:val="00007373"/>
    <w:rsid w:val="0000777E"/>
    <w:rsid w:val="0000779C"/>
    <w:rsid w:val="000078FC"/>
    <w:rsid w:val="00007A2B"/>
    <w:rsid w:val="00007E00"/>
    <w:rsid w:val="00007F28"/>
    <w:rsid w:val="00010749"/>
    <w:rsid w:val="000107C0"/>
    <w:rsid w:val="00010DFB"/>
    <w:rsid w:val="00010F58"/>
    <w:rsid w:val="00010F6E"/>
    <w:rsid w:val="0001100F"/>
    <w:rsid w:val="00011447"/>
    <w:rsid w:val="000114CB"/>
    <w:rsid w:val="0001192B"/>
    <w:rsid w:val="000119FF"/>
    <w:rsid w:val="00011A26"/>
    <w:rsid w:val="00011CB8"/>
    <w:rsid w:val="00011D38"/>
    <w:rsid w:val="00011D9D"/>
    <w:rsid w:val="00011F31"/>
    <w:rsid w:val="00012003"/>
    <w:rsid w:val="00012008"/>
    <w:rsid w:val="00012317"/>
    <w:rsid w:val="00012ABE"/>
    <w:rsid w:val="00012C50"/>
    <w:rsid w:val="00013236"/>
    <w:rsid w:val="000134D9"/>
    <w:rsid w:val="00013639"/>
    <w:rsid w:val="00013A74"/>
    <w:rsid w:val="00013C32"/>
    <w:rsid w:val="00013D37"/>
    <w:rsid w:val="0001413D"/>
    <w:rsid w:val="00014303"/>
    <w:rsid w:val="000143F6"/>
    <w:rsid w:val="00014767"/>
    <w:rsid w:val="0001494E"/>
    <w:rsid w:val="00014BCB"/>
    <w:rsid w:val="00014C1E"/>
    <w:rsid w:val="00014F97"/>
    <w:rsid w:val="00015282"/>
    <w:rsid w:val="000158B1"/>
    <w:rsid w:val="0001591C"/>
    <w:rsid w:val="00015A2C"/>
    <w:rsid w:val="00015A55"/>
    <w:rsid w:val="00016062"/>
    <w:rsid w:val="00016089"/>
    <w:rsid w:val="0001638E"/>
    <w:rsid w:val="00016525"/>
    <w:rsid w:val="00016769"/>
    <w:rsid w:val="00016CF1"/>
    <w:rsid w:val="00016EF7"/>
    <w:rsid w:val="000171AD"/>
    <w:rsid w:val="000172E4"/>
    <w:rsid w:val="000173C7"/>
    <w:rsid w:val="0001760A"/>
    <w:rsid w:val="00017668"/>
    <w:rsid w:val="00017678"/>
    <w:rsid w:val="000177DE"/>
    <w:rsid w:val="00017A99"/>
    <w:rsid w:val="00017CDC"/>
    <w:rsid w:val="00017F12"/>
    <w:rsid w:val="0002030F"/>
    <w:rsid w:val="00020449"/>
    <w:rsid w:val="000209E3"/>
    <w:rsid w:val="00020E6B"/>
    <w:rsid w:val="00020F6A"/>
    <w:rsid w:val="00021135"/>
    <w:rsid w:val="00021239"/>
    <w:rsid w:val="0002166A"/>
    <w:rsid w:val="00021BF9"/>
    <w:rsid w:val="00021D13"/>
    <w:rsid w:val="00021D48"/>
    <w:rsid w:val="0002231B"/>
    <w:rsid w:val="0002289C"/>
    <w:rsid w:val="0002291F"/>
    <w:rsid w:val="00022BBB"/>
    <w:rsid w:val="00022BF9"/>
    <w:rsid w:val="0002325C"/>
    <w:rsid w:val="00023403"/>
    <w:rsid w:val="00023B79"/>
    <w:rsid w:val="00023CD4"/>
    <w:rsid w:val="00023CF1"/>
    <w:rsid w:val="00023DB4"/>
    <w:rsid w:val="00023F43"/>
    <w:rsid w:val="0002419A"/>
    <w:rsid w:val="0002483D"/>
    <w:rsid w:val="00024CCA"/>
    <w:rsid w:val="0002501A"/>
    <w:rsid w:val="000250D2"/>
    <w:rsid w:val="00025391"/>
    <w:rsid w:val="00025598"/>
    <w:rsid w:val="0002561A"/>
    <w:rsid w:val="00025A24"/>
    <w:rsid w:val="00025B55"/>
    <w:rsid w:val="00025C11"/>
    <w:rsid w:val="00025CBB"/>
    <w:rsid w:val="00025F02"/>
    <w:rsid w:val="00025FC8"/>
    <w:rsid w:val="00026089"/>
    <w:rsid w:val="0002637F"/>
    <w:rsid w:val="00026383"/>
    <w:rsid w:val="000263BA"/>
    <w:rsid w:val="00026C57"/>
    <w:rsid w:val="00026ED7"/>
    <w:rsid w:val="000273B8"/>
    <w:rsid w:val="000274CF"/>
    <w:rsid w:val="000277EC"/>
    <w:rsid w:val="0003000B"/>
    <w:rsid w:val="000303D1"/>
    <w:rsid w:val="000304E7"/>
    <w:rsid w:val="000308BA"/>
    <w:rsid w:val="00030ECE"/>
    <w:rsid w:val="00031046"/>
    <w:rsid w:val="000310DE"/>
    <w:rsid w:val="000311DA"/>
    <w:rsid w:val="00031894"/>
    <w:rsid w:val="000318B3"/>
    <w:rsid w:val="00031933"/>
    <w:rsid w:val="00031A96"/>
    <w:rsid w:val="000320F1"/>
    <w:rsid w:val="0003211B"/>
    <w:rsid w:val="00032270"/>
    <w:rsid w:val="0003233F"/>
    <w:rsid w:val="00032597"/>
    <w:rsid w:val="0003282D"/>
    <w:rsid w:val="00032963"/>
    <w:rsid w:val="00032E01"/>
    <w:rsid w:val="00032EE1"/>
    <w:rsid w:val="00032FC7"/>
    <w:rsid w:val="00033123"/>
    <w:rsid w:val="000331A7"/>
    <w:rsid w:val="000331CD"/>
    <w:rsid w:val="000334D4"/>
    <w:rsid w:val="000337C5"/>
    <w:rsid w:val="0003398A"/>
    <w:rsid w:val="000339AE"/>
    <w:rsid w:val="00033C2F"/>
    <w:rsid w:val="00034011"/>
    <w:rsid w:val="00034127"/>
    <w:rsid w:val="000341B0"/>
    <w:rsid w:val="000342AB"/>
    <w:rsid w:val="0003451B"/>
    <w:rsid w:val="0003480E"/>
    <w:rsid w:val="000349C1"/>
    <w:rsid w:val="00034A46"/>
    <w:rsid w:val="00034EBA"/>
    <w:rsid w:val="0003507C"/>
    <w:rsid w:val="0003526E"/>
    <w:rsid w:val="00035367"/>
    <w:rsid w:val="00035426"/>
    <w:rsid w:val="000355CC"/>
    <w:rsid w:val="000356A0"/>
    <w:rsid w:val="00035CBF"/>
    <w:rsid w:val="00035D45"/>
    <w:rsid w:val="00035F43"/>
    <w:rsid w:val="00035F76"/>
    <w:rsid w:val="0003626E"/>
    <w:rsid w:val="000362E7"/>
    <w:rsid w:val="00036437"/>
    <w:rsid w:val="00036464"/>
    <w:rsid w:val="00036469"/>
    <w:rsid w:val="000369EC"/>
    <w:rsid w:val="00036B8D"/>
    <w:rsid w:val="00036BA0"/>
    <w:rsid w:val="00036DDA"/>
    <w:rsid w:val="00036FB8"/>
    <w:rsid w:val="00037033"/>
    <w:rsid w:val="00037081"/>
    <w:rsid w:val="0003715B"/>
    <w:rsid w:val="0003726F"/>
    <w:rsid w:val="00037451"/>
    <w:rsid w:val="0003748D"/>
    <w:rsid w:val="00037595"/>
    <w:rsid w:val="000378A5"/>
    <w:rsid w:val="000379F3"/>
    <w:rsid w:val="00040283"/>
    <w:rsid w:val="00040323"/>
    <w:rsid w:val="000405D3"/>
    <w:rsid w:val="0004065C"/>
    <w:rsid w:val="000407A4"/>
    <w:rsid w:val="00040B10"/>
    <w:rsid w:val="00040C13"/>
    <w:rsid w:val="00040CAA"/>
    <w:rsid w:val="00040D09"/>
    <w:rsid w:val="00040EA4"/>
    <w:rsid w:val="00040F60"/>
    <w:rsid w:val="00041010"/>
    <w:rsid w:val="00041388"/>
    <w:rsid w:val="00041610"/>
    <w:rsid w:val="000417F9"/>
    <w:rsid w:val="00041A0F"/>
    <w:rsid w:val="00041C7D"/>
    <w:rsid w:val="00041CAF"/>
    <w:rsid w:val="00041F2E"/>
    <w:rsid w:val="00041FEE"/>
    <w:rsid w:val="0004269B"/>
    <w:rsid w:val="00042869"/>
    <w:rsid w:val="000428A9"/>
    <w:rsid w:val="000429E7"/>
    <w:rsid w:val="00042E37"/>
    <w:rsid w:val="00042F49"/>
    <w:rsid w:val="000430E7"/>
    <w:rsid w:val="000431DB"/>
    <w:rsid w:val="00043401"/>
    <w:rsid w:val="0004356C"/>
    <w:rsid w:val="0004359F"/>
    <w:rsid w:val="000437FC"/>
    <w:rsid w:val="00043892"/>
    <w:rsid w:val="00043F0E"/>
    <w:rsid w:val="00044007"/>
    <w:rsid w:val="000443A5"/>
    <w:rsid w:val="0004497E"/>
    <w:rsid w:val="00044A1E"/>
    <w:rsid w:val="00044E73"/>
    <w:rsid w:val="00044F46"/>
    <w:rsid w:val="000450EB"/>
    <w:rsid w:val="00045186"/>
    <w:rsid w:val="0004524A"/>
    <w:rsid w:val="000453E2"/>
    <w:rsid w:val="000453E8"/>
    <w:rsid w:val="0004574B"/>
    <w:rsid w:val="00045A71"/>
    <w:rsid w:val="00045D50"/>
    <w:rsid w:val="00045D78"/>
    <w:rsid w:val="00045F68"/>
    <w:rsid w:val="000461CB"/>
    <w:rsid w:val="000462D4"/>
    <w:rsid w:val="00046751"/>
    <w:rsid w:val="0004691F"/>
    <w:rsid w:val="000469B9"/>
    <w:rsid w:val="00046CC8"/>
    <w:rsid w:val="00047118"/>
    <w:rsid w:val="00047288"/>
    <w:rsid w:val="000472EC"/>
    <w:rsid w:val="000476CF"/>
    <w:rsid w:val="00047799"/>
    <w:rsid w:val="00047871"/>
    <w:rsid w:val="000478A9"/>
    <w:rsid w:val="00047B66"/>
    <w:rsid w:val="00047C80"/>
    <w:rsid w:val="0005001F"/>
    <w:rsid w:val="0005038E"/>
    <w:rsid w:val="00050EAE"/>
    <w:rsid w:val="000510CE"/>
    <w:rsid w:val="00051226"/>
    <w:rsid w:val="00051490"/>
    <w:rsid w:val="0005155A"/>
    <w:rsid w:val="000516D6"/>
    <w:rsid w:val="00051B82"/>
    <w:rsid w:val="00051C1A"/>
    <w:rsid w:val="00051C60"/>
    <w:rsid w:val="00052263"/>
    <w:rsid w:val="000523BE"/>
    <w:rsid w:val="000525E3"/>
    <w:rsid w:val="000525E8"/>
    <w:rsid w:val="0005271F"/>
    <w:rsid w:val="0005274E"/>
    <w:rsid w:val="00052A21"/>
    <w:rsid w:val="00052B68"/>
    <w:rsid w:val="00052D73"/>
    <w:rsid w:val="00053168"/>
    <w:rsid w:val="0005326B"/>
    <w:rsid w:val="00053372"/>
    <w:rsid w:val="0005387B"/>
    <w:rsid w:val="00053A51"/>
    <w:rsid w:val="00053E1C"/>
    <w:rsid w:val="00054064"/>
    <w:rsid w:val="0005423E"/>
    <w:rsid w:val="000543AA"/>
    <w:rsid w:val="00054401"/>
    <w:rsid w:val="000544D9"/>
    <w:rsid w:val="00054959"/>
    <w:rsid w:val="00054BCB"/>
    <w:rsid w:val="00054ED8"/>
    <w:rsid w:val="000550E2"/>
    <w:rsid w:val="0005521B"/>
    <w:rsid w:val="00055645"/>
    <w:rsid w:val="00055787"/>
    <w:rsid w:val="00055A8C"/>
    <w:rsid w:val="00055B85"/>
    <w:rsid w:val="0005650F"/>
    <w:rsid w:val="000568B4"/>
    <w:rsid w:val="00056A8A"/>
    <w:rsid w:val="00056AB3"/>
    <w:rsid w:val="00056BBA"/>
    <w:rsid w:val="00056BF5"/>
    <w:rsid w:val="00056FA5"/>
    <w:rsid w:val="00057058"/>
    <w:rsid w:val="000570E0"/>
    <w:rsid w:val="00057868"/>
    <w:rsid w:val="000578BF"/>
    <w:rsid w:val="00057928"/>
    <w:rsid w:val="0005796C"/>
    <w:rsid w:val="000579F8"/>
    <w:rsid w:val="00057ADB"/>
    <w:rsid w:val="00057B45"/>
    <w:rsid w:val="00057C58"/>
    <w:rsid w:val="000600FB"/>
    <w:rsid w:val="000601AA"/>
    <w:rsid w:val="00060262"/>
    <w:rsid w:val="000603A5"/>
    <w:rsid w:val="0006048F"/>
    <w:rsid w:val="00060634"/>
    <w:rsid w:val="00060640"/>
    <w:rsid w:val="000608E3"/>
    <w:rsid w:val="00060938"/>
    <w:rsid w:val="0006099A"/>
    <w:rsid w:val="000609B7"/>
    <w:rsid w:val="00060D10"/>
    <w:rsid w:val="00061073"/>
    <w:rsid w:val="000611B3"/>
    <w:rsid w:val="000611C9"/>
    <w:rsid w:val="0006126F"/>
    <w:rsid w:val="0006127E"/>
    <w:rsid w:val="000612C7"/>
    <w:rsid w:val="000612FE"/>
    <w:rsid w:val="000614E1"/>
    <w:rsid w:val="000617CC"/>
    <w:rsid w:val="000618EB"/>
    <w:rsid w:val="00061EB9"/>
    <w:rsid w:val="000620F1"/>
    <w:rsid w:val="00062283"/>
    <w:rsid w:val="000628CE"/>
    <w:rsid w:val="00062D13"/>
    <w:rsid w:val="00062E6F"/>
    <w:rsid w:val="00062F13"/>
    <w:rsid w:val="00063283"/>
    <w:rsid w:val="00063533"/>
    <w:rsid w:val="000636B7"/>
    <w:rsid w:val="000637F6"/>
    <w:rsid w:val="00063DF9"/>
    <w:rsid w:val="0006412D"/>
    <w:rsid w:val="0006463D"/>
    <w:rsid w:val="00064C55"/>
    <w:rsid w:val="00064CBB"/>
    <w:rsid w:val="00064E5C"/>
    <w:rsid w:val="00065878"/>
    <w:rsid w:val="00065BF0"/>
    <w:rsid w:val="00065DF1"/>
    <w:rsid w:val="00065FB3"/>
    <w:rsid w:val="00066089"/>
    <w:rsid w:val="000661F1"/>
    <w:rsid w:val="000663FF"/>
    <w:rsid w:val="0006652D"/>
    <w:rsid w:val="00066535"/>
    <w:rsid w:val="00066702"/>
    <w:rsid w:val="0006689C"/>
    <w:rsid w:val="00066C0B"/>
    <w:rsid w:val="00066D95"/>
    <w:rsid w:val="00066EEF"/>
    <w:rsid w:val="0006712F"/>
    <w:rsid w:val="0006760A"/>
    <w:rsid w:val="00067D55"/>
    <w:rsid w:val="000701EB"/>
    <w:rsid w:val="000703A6"/>
    <w:rsid w:val="000703AC"/>
    <w:rsid w:val="00070457"/>
    <w:rsid w:val="0007067E"/>
    <w:rsid w:val="0007076A"/>
    <w:rsid w:val="000707BD"/>
    <w:rsid w:val="00070A57"/>
    <w:rsid w:val="00070B0E"/>
    <w:rsid w:val="00070C87"/>
    <w:rsid w:val="000713DA"/>
    <w:rsid w:val="000719AD"/>
    <w:rsid w:val="00071CE5"/>
    <w:rsid w:val="00071D47"/>
    <w:rsid w:val="00071E98"/>
    <w:rsid w:val="000724D2"/>
    <w:rsid w:val="0007289E"/>
    <w:rsid w:val="00072C8E"/>
    <w:rsid w:val="00072DE5"/>
    <w:rsid w:val="00072F74"/>
    <w:rsid w:val="00072FAA"/>
    <w:rsid w:val="00072FE5"/>
    <w:rsid w:val="00073164"/>
    <w:rsid w:val="000731B5"/>
    <w:rsid w:val="00073290"/>
    <w:rsid w:val="000732DC"/>
    <w:rsid w:val="000734D2"/>
    <w:rsid w:val="00073564"/>
    <w:rsid w:val="0007364C"/>
    <w:rsid w:val="00073A57"/>
    <w:rsid w:val="00073C1D"/>
    <w:rsid w:val="00073CA1"/>
    <w:rsid w:val="00073E27"/>
    <w:rsid w:val="00073EA9"/>
    <w:rsid w:val="00073F3B"/>
    <w:rsid w:val="0007404E"/>
    <w:rsid w:val="000740E2"/>
    <w:rsid w:val="00074195"/>
    <w:rsid w:val="000741F8"/>
    <w:rsid w:val="00074455"/>
    <w:rsid w:val="0007456B"/>
    <w:rsid w:val="000748DD"/>
    <w:rsid w:val="00074A16"/>
    <w:rsid w:val="00074B42"/>
    <w:rsid w:val="00074B60"/>
    <w:rsid w:val="00074DB4"/>
    <w:rsid w:val="00074F60"/>
    <w:rsid w:val="0007500A"/>
    <w:rsid w:val="00075143"/>
    <w:rsid w:val="00075E7E"/>
    <w:rsid w:val="00075F08"/>
    <w:rsid w:val="000760BE"/>
    <w:rsid w:val="00076250"/>
    <w:rsid w:val="000764B9"/>
    <w:rsid w:val="000764D3"/>
    <w:rsid w:val="00076515"/>
    <w:rsid w:val="0007670D"/>
    <w:rsid w:val="0007673B"/>
    <w:rsid w:val="00076E23"/>
    <w:rsid w:val="00076E5B"/>
    <w:rsid w:val="00076FDE"/>
    <w:rsid w:val="00077067"/>
    <w:rsid w:val="000770CC"/>
    <w:rsid w:val="0007752C"/>
    <w:rsid w:val="000777BB"/>
    <w:rsid w:val="00077A2C"/>
    <w:rsid w:val="00077A81"/>
    <w:rsid w:val="00077A8B"/>
    <w:rsid w:val="00077C69"/>
    <w:rsid w:val="00080006"/>
    <w:rsid w:val="000801C0"/>
    <w:rsid w:val="00080381"/>
    <w:rsid w:val="00080A28"/>
    <w:rsid w:val="00080B41"/>
    <w:rsid w:val="00080C84"/>
    <w:rsid w:val="00080F42"/>
    <w:rsid w:val="000810B6"/>
    <w:rsid w:val="00081169"/>
    <w:rsid w:val="00081405"/>
    <w:rsid w:val="0008143B"/>
    <w:rsid w:val="000818BE"/>
    <w:rsid w:val="0008190C"/>
    <w:rsid w:val="0008195C"/>
    <w:rsid w:val="00081B83"/>
    <w:rsid w:val="00081CC1"/>
    <w:rsid w:val="00081FD9"/>
    <w:rsid w:val="000823DA"/>
    <w:rsid w:val="000824D3"/>
    <w:rsid w:val="0008265C"/>
    <w:rsid w:val="0008272A"/>
    <w:rsid w:val="000829C3"/>
    <w:rsid w:val="00082DA7"/>
    <w:rsid w:val="00083233"/>
    <w:rsid w:val="0008376E"/>
    <w:rsid w:val="000839DC"/>
    <w:rsid w:val="00083C92"/>
    <w:rsid w:val="00083CE2"/>
    <w:rsid w:val="0008401D"/>
    <w:rsid w:val="0008416A"/>
    <w:rsid w:val="00084183"/>
    <w:rsid w:val="000844D1"/>
    <w:rsid w:val="00084583"/>
    <w:rsid w:val="0008474E"/>
    <w:rsid w:val="00084784"/>
    <w:rsid w:val="00084B4C"/>
    <w:rsid w:val="0008546B"/>
    <w:rsid w:val="0008552F"/>
    <w:rsid w:val="0008559D"/>
    <w:rsid w:val="00085988"/>
    <w:rsid w:val="00085B57"/>
    <w:rsid w:val="00085C69"/>
    <w:rsid w:val="00085CDB"/>
    <w:rsid w:val="00085ED6"/>
    <w:rsid w:val="00086178"/>
    <w:rsid w:val="000863B4"/>
    <w:rsid w:val="000864D0"/>
    <w:rsid w:val="0008657D"/>
    <w:rsid w:val="000866F3"/>
    <w:rsid w:val="00086963"/>
    <w:rsid w:val="00086B14"/>
    <w:rsid w:val="00086FD7"/>
    <w:rsid w:val="00087119"/>
    <w:rsid w:val="000871EF"/>
    <w:rsid w:val="00087369"/>
    <w:rsid w:val="00087490"/>
    <w:rsid w:val="000877E0"/>
    <w:rsid w:val="00087A60"/>
    <w:rsid w:val="00087C2C"/>
    <w:rsid w:val="00087C3D"/>
    <w:rsid w:val="00087DA6"/>
    <w:rsid w:val="0009000F"/>
    <w:rsid w:val="000901A9"/>
    <w:rsid w:val="000901C8"/>
    <w:rsid w:val="00090265"/>
    <w:rsid w:val="0009031F"/>
    <w:rsid w:val="00090827"/>
    <w:rsid w:val="00090979"/>
    <w:rsid w:val="00090991"/>
    <w:rsid w:val="00090BCE"/>
    <w:rsid w:val="00090BED"/>
    <w:rsid w:val="00091045"/>
    <w:rsid w:val="000911A0"/>
    <w:rsid w:val="00091287"/>
    <w:rsid w:val="00091584"/>
    <w:rsid w:val="00091646"/>
    <w:rsid w:val="0009186F"/>
    <w:rsid w:val="00091894"/>
    <w:rsid w:val="00091DB6"/>
    <w:rsid w:val="00091E46"/>
    <w:rsid w:val="00092018"/>
    <w:rsid w:val="000922D1"/>
    <w:rsid w:val="000924AE"/>
    <w:rsid w:val="000924E2"/>
    <w:rsid w:val="00092751"/>
    <w:rsid w:val="000927DE"/>
    <w:rsid w:val="00092C21"/>
    <w:rsid w:val="00092EBA"/>
    <w:rsid w:val="0009337D"/>
    <w:rsid w:val="00093C88"/>
    <w:rsid w:val="000942CA"/>
    <w:rsid w:val="000946A2"/>
    <w:rsid w:val="000947F0"/>
    <w:rsid w:val="00094C3C"/>
    <w:rsid w:val="00094D40"/>
    <w:rsid w:val="00094E96"/>
    <w:rsid w:val="0009506F"/>
    <w:rsid w:val="00095116"/>
    <w:rsid w:val="000951CF"/>
    <w:rsid w:val="00095287"/>
    <w:rsid w:val="000952D6"/>
    <w:rsid w:val="000953BE"/>
    <w:rsid w:val="000957F5"/>
    <w:rsid w:val="00095802"/>
    <w:rsid w:val="0009584E"/>
    <w:rsid w:val="00095903"/>
    <w:rsid w:val="00095944"/>
    <w:rsid w:val="00095983"/>
    <w:rsid w:val="00095A66"/>
    <w:rsid w:val="00095A6A"/>
    <w:rsid w:val="000960B9"/>
    <w:rsid w:val="00096195"/>
    <w:rsid w:val="000963AB"/>
    <w:rsid w:val="000966A9"/>
    <w:rsid w:val="000969F6"/>
    <w:rsid w:val="00097086"/>
    <w:rsid w:val="00097488"/>
    <w:rsid w:val="000978D2"/>
    <w:rsid w:val="00097CB0"/>
    <w:rsid w:val="00097DD4"/>
    <w:rsid w:val="00097EBE"/>
    <w:rsid w:val="00097F6F"/>
    <w:rsid w:val="000A000D"/>
    <w:rsid w:val="000A0085"/>
    <w:rsid w:val="000A010A"/>
    <w:rsid w:val="000A03DE"/>
    <w:rsid w:val="000A0B32"/>
    <w:rsid w:val="000A0E62"/>
    <w:rsid w:val="000A0EAC"/>
    <w:rsid w:val="000A0FDD"/>
    <w:rsid w:val="000A13FD"/>
    <w:rsid w:val="000A1A4A"/>
    <w:rsid w:val="000A1ABF"/>
    <w:rsid w:val="000A1DDD"/>
    <w:rsid w:val="000A1E04"/>
    <w:rsid w:val="000A1EE5"/>
    <w:rsid w:val="000A1EEE"/>
    <w:rsid w:val="000A22B8"/>
    <w:rsid w:val="000A23C4"/>
    <w:rsid w:val="000A24CF"/>
    <w:rsid w:val="000A2879"/>
    <w:rsid w:val="000A2916"/>
    <w:rsid w:val="000A2A45"/>
    <w:rsid w:val="000A2A5A"/>
    <w:rsid w:val="000A2E38"/>
    <w:rsid w:val="000A2E68"/>
    <w:rsid w:val="000A2F07"/>
    <w:rsid w:val="000A339B"/>
    <w:rsid w:val="000A357E"/>
    <w:rsid w:val="000A3733"/>
    <w:rsid w:val="000A3817"/>
    <w:rsid w:val="000A39C0"/>
    <w:rsid w:val="000A3BC5"/>
    <w:rsid w:val="000A3D08"/>
    <w:rsid w:val="000A3E98"/>
    <w:rsid w:val="000A40BB"/>
    <w:rsid w:val="000A45B8"/>
    <w:rsid w:val="000A4638"/>
    <w:rsid w:val="000A4E78"/>
    <w:rsid w:val="000A5098"/>
    <w:rsid w:val="000A52E8"/>
    <w:rsid w:val="000A5496"/>
    <w:rsid w:val="000A5690"/>
    <w:rsid w:val="000A5A0D"/>
    <w:rsid w:val="000A5A12"/>
    <w:rsid w:val="000A5DD1"/>
    <w:rsid w:val="000A60A8"/>
    <w:rsid w:val="000A6248"/>
    <w:rsid w:val="000A631E"/>
    <w:rsid w:val="000A64FF"/>
    <w:rsid w:val="000A6530"/>
    <w:rsid w:val="000A670B"/>
    <w:rsid w:val="000A690D"/>
    <w:rsid w:val="000A697F"/>
    <w:rsid w:val="000A6B4D"/>
    <w:rsid w:val="000A6D9F"/>
    <w:rsid w:val="000A72A5"/>
    <w:rsid w:val="000A73ED"/>
    <w:rsid w:val="000A74FE"/>
    <w:rsid w:val="000A7792"/>
    <w:rsid w:val="000A77EC"/>
    <w:rsid w:val="000A7A0B"/>
    <w:rsid w:val="000A7B8D"/>
    <w:rsid w:val="000A7CCF"/>
    <w:rsid w:val="000A7CD5"/>
    <w:rsid w:val="000A7F15"/>
    <w:rsid w:val="000B0411"/>
    <w:rsid w:val="000B0479"/>
    <w:rsid w:val="000B0A32"/>
    <w:rsid w:val="000B0DE7"/>
    <w:rsid w:val="000B1064"/>
    <w:rsid w:val="000B11EA"/>
    <w:rsid w:val="000B127B"/>
    <w:rsid w:val="000B1313"/>
    <w:rsid w:val="000B16AD"/>
    <w:rsid w:val="000B1A10"/>
    <w:rsid w:val="000B1CB7"/>
    <w:rsid w:val="000B1D47"/>
    <w:rsid w:val="000B1D89"/>
    <w:rsid w:val="000B1ED4"/>
    <w:rsid w:val="000B2456"/>
    <w:rsid w:val="000B2621"/>
    <w:rsid w:val="000B2A46"/>
    <w:rsid w:val="000B2DC4"/>
    <w:rsid w:val="000B2F47"/>
    <w:rsid w:val="000B3A86"/>
    <w:rsid w:val="000B3B1F"/>
    <w:rsid w:val="000B3D0D"/>
    <w:rsid w:val="000B3E02"/>
    <w:rsid w:val="000B4063"/>
    <w:rsid w:val="000B4085"/>
    <w:rsid w:val="000B4118"/>
    <w:rsid w:val="000B4257"/>
    <w:rsid w:val="000B44D2"/>
    <w:rsid w:val="000B45FA"/>
    <w:rsid w:val="000B4606"/>
    <w:rsid w:val="000B4761"/>
    <w:rsid w:val="000B47E4"/>
    <w:rsid w:val="000B4D11"/>
    <w:rsid w:val="000B4D2F"/>
    <w:rsid w:val="000B5090"/>
    <w:rsid w:val="000B533B"/>
    <w:rsid w:val="000B5689"/>
    <w:rsid w:val="000B5794"/>
    <w:rsid w:val="000B57CD"/>
    <w:rsid w:val="000B57DA"/>
    <w:rsid w:val="000B5F6D"/>
    <w:rsid w:val="000B6332"/>
    <w:rsid w:val="000B6333"/>
    <w:rsid w:val="000B6B57"/>
    <w:rsid w:val="000B6C8C"/>
    <w:rsid w:val="000B6CE4"/>
    <w:rsid w:val="000B7162"/>
    <w:rsid w:val="000B7173"/>
    <w:rsid w:val="000B71B1"/>
    <w:rsid w:val="000B78A6"/>
    <w:rsid w:val="000B79C5"/>
    <w:rsid w:val="000B7BFF"/>
    <w:rsid w:val="000B7CD2"/>
    <w:rsid w:val="000B7CF4"/>
    <w:rsid w:val="000B7F53"/>
    <w:rsid w:val="000C013B"/>
    <w:rsid w:val="000C0A94"/>
    <w:rsid w:val="000C0BCD"/>
    <w:rsid w:val="000C0DA6"/>
    <w:rsid w:val="000C0DAD"/>
    <w:rsid w:val="000C0F08"/>
    <w:rsid w:val="000C120E"/>
    <w:rsid w:val="000C14AE"/>
    <w:rsid w:val="000C1504"/>
    <w:rsid w:val="000C16FD"/>
    <w:rsid w:val="000C196A"/>
    <w:rsid w:val="000C201B"/>
    <w:rsid w:val="000C2073"/>
    <w:rsid w:val="000C2422"/>
    <w:rsid w:val="000C27A9"/>
    <w:rsid w:val="000C2B19"/>
    <w:rsid w:val="000C2F2F"/>
    <w:rsid w:val="000C3079"/>
    <w:rsid w:val="000C325D"/>
    <w:rsid w:val="000C3426"/>
    <w:rsid w:val="000C34C3"/>
    <w:rsid w:val="000C34C9"/>
    <w:rsid w:val="000C3620"/>
    <w:rsid w:val="000C3792"/>
    <w:rsid w:val="000C3796"/>
    <w:rsid w:val="000C38A2"/>
    <w:rsid w:val="000C3916"/>
    <w:rsid w:val="000C3A80"/>
    <w:rsid w:val="000C3AC0"/>
    <w:rsid w:val="000C4503"/>
    <w:rsid w:val="000C458F"/>
    <w:rsid w:val="000C4947"/>
    <w:rsid w:val="000C50C2"/>
    <w:rsid w:val="000C51B8"/>
    <w:rsid w:val="000C52F4"/>
    <w:rsid w:val="000C55D9"/>
    <w:rsid w:val="000C573E"/>
    <w:rsid w:val="000C5871"/>
    <w:rsid w:val="000C5A8A"/>
    <w:rsid w:val="000C5FFA"/>
    <w:rsid w:val="000C60DC"/>
    <w:rsid w:val="000C612E"/>
    <w:rsid w:val="000C6189"/>
    <w:rsid w:val="000C678A"/>
    <w:rsid w:val="000C6811"/>
    <w:rsid w:val="000C6BDB"/>
    <w:rsid w:val="000C6BF9"/>
    <w:rsid w:val="000C7107"/>
    <w:rsid w:val="000C7397"/>
    <w:rsid w:val="000C740D"/>
    <w:rsid w:val="000C7476"/>
    <w:rsid w:val="000C74C7"/>
    <w:rsid w:val="000C759C"/>
    <w:rsid w:val="000C7741"/>
    <w:rsid w:val="000C7763"/>
    <w:rsid w:val="000C7849"/>
    <w:rsid w:val="000C7B90"/>
    <w:rsid w:val="000D050D"/>
    <w:rsid w:val="000D0B36"/>
    <w:rsid w:val="000D1052"/>
    <w:rsid w:val="000D10A9"/>
    <w:rsid w:val="000D14D2"/>
    <w:rsid w:val="000D14D9"/>
    <w:rsid w:val="000D16F7"/>
    <w:rsid w:val="000D1C9F"/>
    <w:rsid w:val="000D1E62"/>
    <w:rsid w:val="000D2051"/>
    <w:rsid w:val="000D24BC"/>
    <w:rsid w:val="000D29A2"/>
    <w:rsid w:val="000D2A22"/>
    <w:rsid w:val="000D302A"/>
    <w:rsid w:val="000D37F5"/>
    <w:rsid w:val="000D3841"/>
    <w:rsid w:val="000D38A4"/>
    <w:rsid w:val="000D3CB3"/>
    <w:rsid w:val="000D3DCE"/>
    <w:rsid w:val="000D3DDD"/>
    <w:rsid w:val="000D4039"/>
    <w:rsid w:val="000D47AA"/>
    <w:rsid w:val="000D47BC"/>
    <w:rsid w:val="000D47E5"/>
    <w:rsid w:val="000D4952"/>
    <w:rsid w:val="000D4BA2"/>
    <w:rsid w:val="000D4BD9"/>
    <w:rsid w:val="000D4D7D"/>
    <w:rsid w:val="000D4FB3"/>
    <w:rsid w:val="000D4FBF"/>
    <w:rsid w:val="000D5069"/>
    <w:rsid w:val="000D5579"/>
    <w:rsid w:val="000D57D9"/>
    <w:rsid w:val="000D5A0F"/>
    <w:rsid w:val="000D5BDF"/>
    <w:rsid w:val="000D5DAE"/>
    <w:rsid w:val="000D5E08"/>
    <w:rsid w:val="000D5E86"/>
    <w:rsid w:val="000D5FAB"/>
    <w:rsid w:val="000D637B"/>
    <w:rsid w:val="000D6A44"/>
    <w:rsid w:val="000D6A65"/>
    <w:rsid w:val="000D6A85"/>
    <w:rsid w:val="000D6B0E"/>
    <w:rsid w:val="000D6B98"/>
    <w:rsid w:val="000D6D3C"/>
    <w:rsid w:val="000D6EDF"/>
    <w:rsid w:val="000D7005"/>
    <w:rsid w:val="000D73B8"/>
    <w:rsid w:val="000D73F8"/>
    <w:rsid w:val="000D75CA"/>
    <w:rsid w:val="000D75FD"/>
    <w:rsid w:val="000D7DCF"/>
    <w:rsid w:val="000D7EB9"/>
    <w:rsid w:val="000E0146"/>
    <w:rsid w:val="000E01A6"/>
    <w:rsid w:val="000E04E1"/>
    <w:rsid w:val="000E065F"/>
    <w:rsid w:val="000E0898"/>
    <w:rsid w:val="000E08FE"/>
    <w:rsid w:val="000E09C0"/>
    <w:rsid w:val="000E0B0C"/>
    <w:rsid w:val="000E1000"/>
    <w:rsid w:val="000E1247"/>
    <w:rsid w:val="000E1499"/>
    <w:rsid w:val="000E1543"/>
    <w:rsid w:val="000E1625"/>
    <w:rsid w:val="000E18BE"/>
    <w:rsid w:val="000E1963"/>
    <w:rsid w:val="000E1991"/>
    <w:rsid w:val="000E1B9D"/>
    <w:rsid w:val="000E1D3F"/>
    <w:rsid w:val="000E1DB5"/>
    <w:rsid w:val="000E1E1F"/>
    <w:rsid w:val="000E1EB3"/>
    <w:rsid w:val="000E21A3"/>
    <w:rsid w:val="000E2233"/>
    <w:rsid w:val="000E243C"/>
    <w:rsid w:val="000E263D"/>
    <w:rsid w:val="000E2745"/>
    <w:rsid w:val="000E2D93"/>
    <w:rsid w:val="000E2DC3"/>
    <w:rsid w:val="000E32D1"/>
    <w:rsid w:val="000E364A"/>
    <w:rsid w:val="000E3736"/>
    <w:rsid w:val="000E3DC6"/>
    <w:rsid w:val="000E3F97"/>
    <w:rsid w:val="000E4214"/>
    <w:rsid w:val="000E42A7"/>
    <w:rsid w:val="000E46D4"/>
    <w:rsid w:val="000E493B"/>
    <w:rsid w:val="000E4BD2"/>
    <w:rsid w:val="000E4CE7"/>
    <w:rsid w:val="000E504F"/>
    <w:rsid w:val="000E50A4"/>
    <w:rsid w:val="000E50C6"/>
    <w:rsid w:val="000E5555"/>
    <w:rsid w:val="000E5744"/>
    <w:rsid w:val="000E57B6"/>
    <w:rsid w:val="000E5A20"/>
    <w:rsid w:val="000E5D38"/>
    <w:rsid w:val="000E600E"/>
    <w:rsid w:val="000E61EC"/>
    <w:rsid w:val="000E64D7"/>
    <w:rsid w:val="000E6505"/>
    <w:rsid w:val="000E6813"/>
    <w:rsid w:val="000E6BA4"/>
    <w:rsid w:val="000E6DDD"/>
    <w:rsid w:val="000E6DE9"/>
    <w:rsid w:val="000E6E51"/>
    <w:rsid w:val="000E6FF7"/>
    <w:rsid w:val="000E710B"/>
    <w:rsid w:val="000E71D0"/>
    <w:rsid w:val="000E73DB"/>
    <w:rsid w:val="000E776F"/>
    <w:rsid w:val="000E7A3E"/>
    <w:rsid w:val="000E7C31"/>
    <w:rsid w:val="000F00CB"/>
    <w:rsid w:val="000F093A"/>
    <w:rsid w:val="000F09A6"/>
    <w:rsid w:val="000F09E4"/>
    <w:rsid w:val="000F0B78"/>
    <w:rsid w:val="000F0F0C"/>
    <w:rsid w:val="000F1132"/>
    <w:rsid w:val="000F12DB"/>
    <w:rsid w:val="000F1516"/>
    <w:rsid w:val="000F1622"/>
    <w:rsid w:val="000F1763"/>
    <w:rsid w:val="000F1818"/>
    <w:rsid w:val="000F18AD"/>
    <w:rsid w:val="000F1A54"/>
    <w:rsid w:val="000F1AB7"/>
    <w:rsid w:val="000F1B67"/>
    <w:rsid w:val="000F1FF1"/>
    <w:rsid w:val="000F2641"/>
    <w:rsid w:val="000F286A"/>
    <w:rsid w:val="000F2EE0"/>
    <w:rsid w:val="000F2F21"/>
    <w:rsid w:val="000F350D"/>
    <w:rsid w:val="000F35FD"/>
    <w:rsid w:val="000F36C1"/>
    <w:rsid w:val="000F38E3"/>
    <w:rsid w:val="000F3927"/>
    <w:rsid w:val="000F3BD9"/>
    <w:rsid w:val="000F3BFF"/>
    <w:rsid w:val="000F4194"/>
    <w:rsid w:val="000F41B6"/>
    <w:rsid w:val="000F447E"/>
    <w:rsid w:val="000F45C6"/>
    <w:rsid w:val="000F4636"/>
    <w:rsid w:val="000F494B"/>
    <w:rsid w:val="000F4C44"/>
    <w:rsid w:val="000F4D4D"/>
    <w:rsid w:val="000F4EEF"/>
    <w:rsid w:val="000F4EF3"/>
    <w:rsid w:val="000F5121"/>
    <w:rsid w:val="000F52F7"/>
    <w:rsid w:val="000F532F"/>
    <w:rsid w:val="000F53C3"/>
    <w:rsid w:val="000F5449"/>
    <w:rsid w:val="000F5631"/>
    <w:rsid w:val="000F5E22"/>
    <w:rsid w:val="000F5EE8"/>
    <w:rsid w:val="000F6594"/>
    <w:rsid w:val="000F6625"/>
    <w:rsid w:val="000F677F"/>
    <w:rsid w:val="000F687C"/>
    <w:rsid w:val="000F6C8C"/>
    <w:rsid w:val="000F6D1C"/>
    <w:rsid w:val="000F710E"/>
    <w:rsid w:val="000F71D3"/>
    <w:rsid w:val="000F79FB"/>
    <w:rsid w:val="000F7A56"/>
    <w:rsid w:val="000F7C9A"/>
    <w:rsid w:val="000F7CED"/>
    <w:rsid w:val="000F7D95"/>
    <w:rsid w:val="000F7E29"/>
    <w:rsid w:val="000F7EA6"/>
    <w:rsid w:val="000F7EF8"/>
    <w:rsid w:val="000F7F3B"/>
    <w:rsid w:val="00100239"/>
    <w:rsid w:val="001004D7"/>
    <w:rsid w:val="001008AC"/>
    <w:rsid w:val="0010096F"/>
    <w:rsid w:val="00100A55"/>
    <w:rsid w:val="00100C1C"/>
    <w:rsid w:val="00100C72"/>
    <w:rsid w:val="001010D5"/>
    <w:rsid w:val="001011F2"/>
    <w:rsid w:val="0010125F"/>
    <w:rsid w:val="0010127A"/>
    <w:rsid w:val="0010142F"/>
    <w:rsid w:val="0010145B"/>
    <w:rsid w:val="001016AC"/>
    <w:rsid w:val="00101799"/>
    <w:rsid w:val="00101851"/>
    <w:rsid w:val="0010187C"/>
    <w:rsid w:val="0010188D"/>
    <w:rsid w:val="001018F7"/>
    <w:rsid w:val="00101A72"/>
    <w:rsid w:val="00101B88"/>
    <w:rsid w:val="00101C68"/>
    <w:rsid w:val="00101CC7"/>
    <w:rsid w:val="00101D2C"/>
    <w:rsid w:val="00102109"/>
    <w:rsid w:val="00102752"/>
    <w:rsid w:val="001029F2"/>
    <w:rsid w:val="00102AD6"/>
    <w:rsid w:val="00103065"/>
    <w:rsid w:val="00103137"/>
    <w:rsid w:val="00103790"/>
    <w:rsid w:val="001037B6"/>
    <w:rsid w:val="00103A22"/>
    <w:rsid w:val="0010443D"/>
    <w:rsid w:val="0010450D"/>
    <w:rsid w:val="00104641"/>
    <w:rsid w:val="0010465F"/>
    <w:rsid w:val="0010491D"/>
    <w:rsid w:val="00104980"/>
    <w:rsid w:val="00104C33"/>
    <w:rsid w:val="00104C8A"/>
    <w:rsid w:val="00105261"/>
    <w:rsid w:val="00105530"/>
    <w:rsid w:val="00105748"/>
    <w:rsid w:val="00105924"/>
    <w:rsid w:val="001059FA"/>
    <w:rsid w:val="00105AA6"/>
    <w:rsid w:val="001065EB"/>
    <w:rsid w:val="0010664F"/>
    <w:rsid w:val="00106786"/>
    <w:rsid w:val="001067C8"/>
    <w:rsid w:val="00106B21"/>
    <w:rsid w:val="00106CC3"/>
    <w:rsid w:val="00106E88"/>
    <w:rsid w:val="001071F5"/>
    <w:rsid w:val="0010728A"/>
    <w:rsid w:val="001073FB"/>
    <w:rsid w:val="00107408"/>
    <w:rsid w:val="001076CE"/>
    <w:rsid w:val="00107801"/>
    <w:rsid w:val="00107915"/>
    <w:rsid w:val="00107993"/>
    <w:rsid w:val="001079B2"/>
    <w:rsid w:val="00107C8A"/>
    <w:rsid w:val="00110378"/>
    <w:rsid w:val="0011064E"/>
    <w:rsid w:val="001106F2"/>
    <w:rsid w:val="0011090B"/>
    <w:rsid w:val="00110AFC"/>
    <w:rsid w:val="00110C40"/>
    <w:rsid w:val="00110C79"/>
    <w:rsid w:val="00110DBD"/>
    <w:rsid w:val="00110F73"/>
    <w:rsid w:val="00111079"/>
    <w:rsid w:val="00111157"/>
    <w:rsid w:val="001112CF"/>
    <w:rsid w:val="001114AD"/>
    <w:rsid w:val="001114CE"/>
    <w:rsid w:val="00111734"/>
    <w:rsid w:val="00111910"/>
    <w:rsid w:val="001125DD"/>
    <w:rsid w:val="00112600"/>
    <w:rsid w:val="00112AAF"/>
    <w:rsid w:val="00112B48"/>
    <w:rsid w:val="00112EA8"/>
    <w:rsid w:val="00112EAA"/>
    <w:rsid w:val="00113072"/>
    <w:rsid w:val="001133CF"/>
    <w:rsid w:val="001135C5"/>
    <w:rsid w:val="00113704"/>
    <w:rsid w:val="00113728"/>
    <w:rsid w:val="00113862"/>
    <w:rsid w:val="00113910"/>
    <w:rsid w:val="00113F0D"/>
    <w:rsid w:val="001141A8"/>
    <w:rsid w:val="001141C3"/>
    <w:rsid w:val="00114680"/>
    <w:rsid w:val="001147F4"/>
    <w:rsid w:val="001147FD"/>
    <w:rsid w:val="00114A1B"/>
    <w:rsid w:val="00114C1A"/>
    <w:rsid w:val="00114CC4"/>
    <w:rsid w:val="0011507A"/>
    <w:rsid w:val="001153C8"/>
    <w:rsid w:val="00115534"/>
    <w:rsid w:val="001157E5"/>
    <w:rsid w:val="001158D6"/>
    <w:rsid w:val="00115995"/>
    <w:rsid w:val="001159AC"/>
    <w:rsid w:val="00115AAB"/>
    <w:rsid w:val="00116136"/>
    <w:rsid w:val="001161F4"/>
    <w:rsid w:val="0011650B"/>
    <w:rsid w:val="00116635"/>
    <w:rsid w:val="00116708"/>
    <w:rsid w:val="001167C4"/>
    <w:rsid w:val="00116864"/>
    <w:rsid w:val="001173C3"/>
    <w:rsid w:val="001174A2"/>
    <w:rsid w:val="00117C13"/>
    <w:rsid w:val="00117CE2"/>
    <w:rsid w:val="001200C3"/>
    <w:rsid w:val="001201B6"/>
    <w:rsid w:val="0012031D"/>
    <w:rsid w:val="00120562"/>
    <w:rsid w:val="001205DE"/>
    <w:rsid w:val="00120829"/>
    <w:rsid w:val="00120934"/>
    <w:rsid w:val="00120A9A"/>
    <w:rsid w:val="00120D4E"/>
    <w:rsid w:val="00120E10"/>
    <w:rsid w:val="00120E4D"/>
    <w:rsid w:val="00120E80"/>
    <w:rsid w:val="00120EEC"/>
    <w:rsid w:val="00121645"/>
    <w:rsid w:val="00121860"/>
    <w:rsid w:val="00121951"/>
    <w:rsid w:val="00121980"/>
    <w:rsid w:val="001219F7"/>
    <w:rsid w:val="00121D57"/>
    <w:rsid w:val="00121FCC"/>
    <w:rsid w:val="001221AF"/>
    <w:rsid w:val="0012257C"/>
    <w:rsid w:val="00122750"/>
    <w:rsid w:val="0012283D"/>
    <w:rsid w:val="00122AA4"/>
    <w:rsid w:val="0012323D"/>
    <w:rsid w:val="0012341B"/>
    <w:rsid w:val="00123664"/>
    <w:rsid w:val="00123820"/>
    <w:rsid w:val="001239B3"/>
    <w:rsid w:val="001239D3"/>
    <w:rsid w:val="001239F3"/>
    <w:rsid w:val="00123B70"/>
    <w:rsid w:val="00124672"/>
    <w:rsid w:val="00124722"/>
    <w:rsid w:val="001247C9"/>
    <w:rsid w:val="00124965"/>
    <w:rsid w:val="0012496F"/>
    <w:rsid w:val="00124B17"/>
    <w:rsid w:val="00124E63"/>
    <w:rsid w:val="001250B2"/>
    <w:rsid w:val="00125412"/>
    <w:rsid w:val="0012548C"/>
    <w:rsid w:val="001255AB"/>
    <w:rsid w:val="001256A5"/>
    <w:rsid w:val="00125A2F"/>
    <w:rsid w:val="00125EDE"/>
    <w:rsid w:val="00126149"/>
    <w:rsid w:val="00126417"/>
    <w:rsid w:val="001264A2"/>
    <w:rsid w:val="001266A8"/>
    <w:rsid w:val="0012684F"/>
    <w:rsid w:val="001269CC"/>
    <w:rsid w:val="00126A25"/>
    <w:rsid w:val="00126B2E"/>
    <w:rsid w:val="00126BAA"/>
    <w:rsid w:val="00126BF3"/>
    <w:rsid w:val="00126E89"/>
    <w:rsid w:val="001271CE"/>
    <w:rsid w:val="00127208"/>
    <w:rsid w:val="001275C6"/>
    <w:rsid w:val="001275EB"/>
    <w:rsid w:val="00127BA8"/>
    <w:rsid w:val="00127BFA"/>
    <w:rsid w:val="0013031F"/>
    <w:rsid w:val="00130374"/>
    <w:rsid w:val="00130534"/>
    <w:rsid w:val="001307F2"/>
    <w:rsid w:val="00130836"/>
    <w:rsid w:val="001308B4"/>
    <w:rsid w:val="00130AD4"/>
    <w:rsid w:val="00130F5C"/>
    <w:rsid w:val="0013104A"/>
    <w:rsid w:val="0013116A"/>
    <w:rsid w:val="001311CC"/>
    <w:rsid w:val="001312C6"/>
    <w:rsid w:val="00131560"/>
    <w:rsid w:val="001317B2"/>
    <w:rsid w:val="0013196C"/>
    <w:rsid w:val="001319DF"/>
    <w:rsid w:val="00131B0D"/>
    <w:rsid w:val="00131C41"/>
    <w:rsid w:val="00131C6C"/>
    <w:rsid w:val="00131D12"/>
    <w:rsid w:val="0013254E"/>
    <w:rsid w:val="0013258D"/>
    <w:rsid w:val="00132697"/>
    <w:rsid w:val="001327C0"/>
    <w:rsid w:val="00132898"/>
    <w:rsid w:val="00132A02"/>
    <w:rsid w:val="00132A86"/>
    <w:rsid w:val="00132AFE"/>
    <w:rsid w:val="00132E1C"/>
    <w:rsid w:val="00133686"/>
    <w:rsid w:val="00133696"/>
    <w:rsid w:val="00133E49"/>
    <w:rsid w:val="00133E84"/>
    <w:rsid w:val="00134047"/>
    <w:rsid w:val="00134340"/>
    <w:rsid w:val="00134495"/>
    <w:rsid w:val="00134514"/>
    <w:rsid w:val="0013479C"/>
    <w:rsid w:val="001347BE"/>
    <w:rsid w:val="00134922"/>
    <w:rsid w:val="001349C3"/>
    <w:rsid w:val="00134D30"/>
    <w:rsid w:val="0013517F"/>
    <w:rsid w:val="00135239"/>
    <w:rsid w:val="0013539A"/>
    <w:rsid w:val="00135438"/>
    <w:rsid w:val="0013559E"/>
    <w:rsid w:val="001355FA"/>
    <w:rsid w:val="00135826"/>
    <w:rsid w:val="001359B0"/>
    <w:rsid w:val="00135B45"/>
    <w:rsid w:val="00135F12"/>
    <w:rsid w:val="0013625D"/>
    <w:rsid w:val="001362A8"/>
    <w:rsid w:val="001362D1"/>
    <w:rsid w:val="0013691B"/>
    <w:rsid w:val="001369D6"/>
    <w:rsid w:val="00136C4E"/>
    <w:rsid w:val="00136E94"/>
    <w:rsid w:val="001372DE"/>
    <w:rsid w:val="0013755B"/>
    <w:rsid w:val="001375A3"/>
    <w:rsid w:val="00137AA6"/>
    <w:rsid w:val="00137B40"/>
    <w:rsid w:val="00137CEE"/>
    <w:rsid w:val="0014016C"/>
    <w:rsid w:val="00140860"/>
    <w:rsid w:val="001408BA"/>
    <w:rsid w:val="0014096B"/>
    <w:rsid w:val="001409FA"/>
    <w:rsid w:val="00140B57"/>
    <w:rsid w:val="00140B75"/>
    <w:rsid w:val="00140CDD"/>
    <w:rsid w:val="00140D52"/>
    <w:rsid w:val="00141148"/>
    <w:rsid w:val="00141198"/>
    <w:rsid w:val="001412D6"/>
    <w:rsid w:val="001416FF"/>
    <w:rsid w:val="00141957"/>
    <w:rsid w:val="001419ED"/>
    <w:rsid w:val="00141A2D"/>
    <w:rsid w:val="00141C25"/>
    <w:rsid w:val="00141CFA"/>
    <w:rsid w:val="00141DE8"/>
    <w:rsid w:val="00141DEF"/>
    <w:rsid w:val="00141EFE"/>
    <w:rsid w:val="00142243"/>
    <w:rsid w:val="0014259C"/>
    <w:rsid w:val="00142A1A"/>
    <w:rsid w:val="00142EE4"/>
    <w:rsid w:val="00143406"/>
    <w:rsid w:val="0014357B"/>
    <w:rsid w:val="001441EA"/>
    <w:rsid w:val="0014423F"/>
    <w:rsid w:val="001444CD"/>
    <w:rsid w:val="0014463E"/>
    <w:rsid w:val="00144890"/>
    <w:rsid w:val="0014491C"/>
    <w:rsid w:val="00144FD6"/>
    <w:rsid w:val="001450C6"/>
    <w:rsid w:val="001454EF"/>
    <w:rsid w:val="00145568"/>
    <w:rsid w:val="00145608"/>
    <w:rsid w:val="00145621"/>
    <w:rsid w:val="00145683"/>
    <w:rsid w:val="0014580F"/>
    <w:rsid w:val="00145A98"/>
    <w:rsid w:val="00145AEB"/>
    <w:rsid w:val="00146016"/>
    <w:rsid w:val="001463C9"/>
    <w:rsid w:val="001463D0"/>
    <w:rsid w:val="001464DF"/>
    <w:rsid w:val="001468BA"/>
    <w:rsid w:val="00146A2E"/>
    <w:rsid w:val="00147144"/>
    <w:rsid w:val="00147168"/>
    <w:rsid w:val="001471E3"/>
    <w:rsid w:val="0014728F"/>
    <w:rsid w:val="00147A3C"/>
    <w:rsid w:val="00147B97"/>
    <w:rsid w:val="00147BAA"/>
    <w:rsid w:val="00147CC6"/>
    <w:rsid w:val="00147ECB"/>
    <w:rsid w:val="00150047"/>
    <w:rsid w:val="001500B8"/>
    <w:rsid w:val="0015017C"/>
    <w:rsid w:val="001501FD"/>
    <w:rsid w:val="00150238"/>
    <w:rsid w:val="0015049E"/>
    <w:rsid w:val="001505E8"/>
    <w:rsid w:val="00150661"/>
    <w:rsid w:val="00150762"/>
    <w:rsid w:val="0015090E"/>
    <w:rsid w:val="00150A4A"/>
    <w:rsid w:val="00150AA0"/>
    <w:rsid w:val="00150C31"/>
    <w:rsid w:val="00150E0A"/>
    <w:rsid w:val="001512EC"/>
    <w:rsid w:val="00151363"/>
    <w:rsid w:val="001513B1"/>
    <w:rsid w:val="0015160E"/>
    <w:rsid w:val="0015195D"/>
    <w:rsid w:val="00151D97"/>
    <w:rsid w:val="00151E61"/>
    <w:rsid w:val="00151EB8"/>
    <w:rsid w:val="00151ED5"/>
    <w:rsid w:val="00151F7D"/>
    <w:rsid w:val="00152937"/>
    <w:rsid w:val="00152BDA"/>
    <w:rsid w:val="00152DFA"/>
    <w:rsid w:val="00152E9C"/>
    <w:rsid w:val="00152F6B"/>
    <w:rsid w:val="00152F92"/>
    <w:rsid w:val="001531D1"/>
    <w:rsid w:val="0015339A"/>
    <w:rsid w:val="001538A5"/>
    <w:rsid w:val="0015398C"/>
    <w:rsid w:val="00153C5E"/>
    <w:rsid w:val="00153D31"/>
    <w:rsid w:val="00153E98"/>
    <w:rsid w:val="0015426E"/>
    <w:rsid w:val="00154389"/>
    <w:rsid w:val="001545F1"/>
    <w:rsid w:val="00154942"/>
    <w:rsid w:val="00154B45"/>
    <w:rsid w:val="00154C12"/>
    <w:rsid w:val="00154D7E"/>
    <w:rsid w:val="00154E48"/>
    <w:rsid w:val="0015527D"/>
    <w:rsid w:val="001555DA"/>
    <w:rsid w:val="001555E9"/>
    <w:rsid w:val="00155753"/>
    <w:rsid w:val="001557B1"/>
    <w:rsid w:val="00155991"/>
    <w:rsid w:val="00155EF9"/>
    <w:rsid w:val="00155F58"/>
    <w:rsid w:val="00156121"/>
    <w:rsid w:val="00156291"/>
    <w:rsid w:val="001564A2"/>
    <w:rsid w:val="001570B3"/>
    <w:rsid w:val="00157188"/>
    <w:rsid w:val="00157210"/>
    <w:rsid w:val="00157287"/>
    <w:rsid w:val="001573EC"/>
    <w:rsid w:val="00157A8C"/>
    <w:rsid w:val="00157BC8"/>
    <w:rsid w:val="00157CD0"/>
    <w:rsid w:val="00157F44"/>
    <w:rsid w:val="00157FF7"/>
    <w:rsid w:val="00160114"/>
    <w:rsid w:val="001601DC"/>
    <w:rsid w:val="001608E2"/>
    <w:rsid w:val="00160BE9"/>
    <w:rsid w:val="00160C4E"/>
    <w:rsid w:val="00160CF4"/>
    <w:rsid w:val="00160D48"/>
    <w:rsid w:val="00161467"/>
    <w:rsid w:val="0016168C"/>
    <w:rsid w:val="00161978"/>
    <w:rsid w:val="001621D7"/>
    <w:rsid w:val="00162201"/>
    <w:rsid w:val="0016238F"/>
    <w:rsid w:val="0016242B"/>
    <w:rsid w:val="00162681"/>
    <w:rsid w:val="00162776"/>
    <w:rsid w:val="001627D9"/>
    <w:rsid w:val="00162C2A"/>
    <w:rsid w:val="00162C59"/>
    <w:rsid w:val="00162CC3"/>
    <w:rsid w:val="00162E0C"/>
    <w:rsid w:val="00162E73"/>
    <w:rsid w:val="001630AA"/>
    <w:rsid w:val="001630B2"/>
    <w:rsid w:val="001633D0"/>
    <w:rsid w:val="00163491"/>
    <w:rsid w:val="00163E05"/>
    <w:rsid w:val="001646B8"/>
    <w:rsid w:val="00164879"/>
    <w:rsid w:val="00164A16"/>
    <w:rsid w:val="00164AEB"/>
    <w:rsid w:val="00164C53"/>
    <w:rsid w:val="00164CA6"/>
    <w:rsid w:val="00164D15"/>
    <w:rsid w:val="00164EBF"/>
    <w:rsid w:val="0016511D"/>
    <w:rsid w:val="00165264"/>
    <w:rsid w:val="00165511"/>
    <w:rsid w:val="001655E6"/>
    <w:rsid w:val="00165DE8"/>
    <w:rsid w:val="00165E3E"/>
    <w:rsid w:val="00166146"/>
    <w:rsid w:val="001662A6"/>
    <w:rsid w:val="001664C3"/>
    <w:rsid w:val="001664FB"/>
    <w:rsid w:val="0016650C"/>
    <w:rsid w:val="00166515"/>
    <w:rsid w:val="001665E6"/>
    <w:rsid w:val="00166670"/>
    <w:rsid w:val="001667EA"/>
    <w:rsid w:val="001669D1"/>
    <w:rsid w:val="00166CE3"/>
    <w:rsid w:val="00167005"/>
    <w:rsid w:val="001677C2"/>
    <w:rsid w:val="00167C11"/>
    <w:rsid w:val="00167F2B"/>
    <w:rsid w:val="00167F60"/>
    <w:rsid w:val="00170094"/>
    <w:rsid w:val="00170343"/>
    <w:rsid w:val="001703A9"/>
    <w:rsid w:val="001706B0"/>
    <w:rsid w:val="0017095D"/>
    <w:rsid w:val="001709A6"/>
    <w:rsid w:val="00170DEE"/>
    <w:rsid w:val="00171A0F"/>
    <w:rsid w:val="00171C28"/>
    <w:rsid w:val="001720C5"/>
    <w:rsid w:val="0017217B"/>
    <w:rsid w:val="00172281"/>
    <w:rsid w:val="00172293"/>
    <w:rsid w:val="001727DF"/>
    <w:rsid w:val="00172985"/>
    <w:rsid w:val="0017299E"/>
    <w:rsid w:val="00172BE2"/>
    <w:rsid w:val="00172D76"/>
    <w:rsid w:val="00172F42"/>
    <w:rsid w:val="0017309F"/>
    <w:rsid w:val="00173103"/>
    <w:rsid w:val="001731BB"/>
    <w:rsid w:val="001733E1"/>
    <w:rsid w:val="001734A6"/>
    <w:rsid w:val="001734F9"/>
    <w:rsid w:val="0017361A"/>
    <w:rsid w:val="0017368D"/>
    <w:rsid w:val="00173A44"/>
    <w:rsid w:val="00173B3A"/>
    <w:rsid w:val="00173C8D"/>
    <w:rsid w:val="00173F83"/>
    <w:rsid w:val="0017416D"/>
    <w:rsid w:val="001741F2"/>
    <w:rsid w:val="00174610"/>
    <w:rsid w:val="00174FB4"/>
    <w:rsid w:val="00175027"/>
    <w:rsid w:val="00175239"/>
    <w:rsid w:val="001755C4"/>
    <w:rsid w:val="00175777"/>
    <w:rsid w:val="001757B8"/>
    <w:rsid w:val="00175968"/>
    <w:rsid w:val="00175D24"/>
    <w:rsid w:val="00175E3D"/>
    <w:rsid w:val="0017610A"/>
    <w:rsid w:val="00176317"/>
    <w:rsid w:val="00176A67"/>
    <w:rsid w:val="0017724D"/>
    <w:rsid w:val="00177378"/>
    <w:rsid w:val="001777E2"/>
    <w:rsid w:val="00177B6D"/>
    <w:rsid w:val="00177CCE"/>
    <w:rsid w:val="001801BD"/>
    <w:rsid w:val="00180346"/>
    <w:rsid w:val="001809A4"/>
    <w:rsid w:val="00180C00"/>
    <w:rsid w:val="00180DBE"/>
    <w:rsid w:val="00180F6A"/>
    <w:rsid w:val="00180FF0"/>
    <w:rsid w:val="00181123"/>
    <w:rsid w:val="00181349"/>
    <w:rsid w:val="001814B1"/>
    <w:rsid w:val="001817CC"/>
    <w:rsid w:val="00181922"/>
    <w:rsid w:val="00181928"/>
    <w:rsid w:val="0018193F"/>
    <w:rsid w:val="00181D51"/>
    <w:rsid w:val="00181E76"/>
    <w:rsid w:val="00181EBF"/>
    <w:rsid w:val="00181FD5"/>
    <w:rsid w:val="001820C7"/>
    <w:rsid w:val="0018218F"/>
    <w:rsid w:val="001821A9"/>
    <w:rsid w:val="001823AC"/>
    <w:rsid w:val="00182478"/>
    <w:rsid w:val="00182661"/>
    <w:rsid w:val="001828E2"/>
    <w:rsid w:val="00182983"/>
    <w:rsid w:val="001829E1"/>
    <w:rsid w:val="00182AF3"/>
    <w:rsid w:val="00182C5B"/>
    <w:rsid w:val="00182D87"/>
    <w:rsid w:val="00182E7C"/>
    <w:rsid w:val="001834C9"/>
    <w:rsid w:val="00183B13"/>
    <w:rsid w:val="00183C38"/>
    <w:rsid w:val="00183CEB"/>
    <w:rsid w:val="00183E68"/>
    <w:rsid w:val="00183F1E"/>
    <w:rsid w:val="001841F0"/>
    <w:rsid w:val="001844E2"/>
    <w:rsid w:val="0018461F"/>
    <w:rsid w:val="001846AE"/>
    <w:rsid w:val="0018476C"/>
    <w:rsid w:val="00184823"/>
    <w:rsid w:val="00184927"/>
    <w:rsid w:val="00184A13"/>
    <w:rsid w:val="00184A54"/>
    <w:rsid w:val="00184B5E"/>
    <w:rsid w:val="00184D14"/>
    <w:rsid w:val="00185167"/>
    <w:rsid w:val="0018521A"/>
    <w:rsid w:val="0018564A"/>
    <w:rsid w:val="00185823"/>
    <w:rsid w:val="00185867"/>
    <w:rsid w:val="00185875"/>
    <w:rsid w:val="00185937"/>
    <w:rsid w:val="0018597A"/>
    <w:rsid w:val="00185EEF"/>
    <w:rsid w:val="0018616F"/>
    <w:rsid w:val="00186339"/>
    <w:rsid w:val="001864D9"/>
    <w:rsid w:val="001866F5"/>
    <w:rsid w:val="0018679C"/>
    <w:rsid w:val="00186AB5"/>
    <w:rsid w:val="00186D19"/>
    <w:rsid w:val="00187018"/>
    <w:rsid w:val="001874F9"/>
    <w:rsid w:val="00187656"/>
    <w:rsid w:val="001876B9"/>
    <w:rsid w:val="00187809"/>
    <w:rsid w:val="00187B84"/>
    <w:rsid w:val="00187BC1"/>
    <w:rsid w:val="00187C5A"/>
    <w:rsid w:val="00190434"/>
    <w:rsid w:val="001908D6"/>
    <w:rsid w:val="0019096E"/>
    <w:rsid w:val="00190B90"/>
    <w:rsid w:val="00191082"/>
    <w:rsid w:val="00191168"/>
    <w:rsid w:val="001913F3"/>
    <w:rsid w:val="001917D0"/>
    <w:rsid w:val="00191910"/>
    <w:rsid w:val="00191976"/>
    <w:rsid w:val="00191D52"/>
    <w:rsid w:val="00191E83"/>
    <w:rsid w:val="00191EDF"/>
    <w:rsid w:val="001920DE"/>
    <w:rsid w:val="0019240E"/>
    <w:rsid w:val="0019249E"/>
    <w:rsid w:val="001924C4"/>
    <w:rsid w:val="0019281D"/>
    <w:rsid w:val="00192DA1"/>
    <w:rsid w:val="00192EF3"/>
    <w:rsid w:val="00193330"/>
    <w:rsid w:val="001933B0"/>
    <w:rsid w:val="00193434"/>
    <w:rsid w:val="001937D7"/>
    <w:rsid w:val="00193B81"/>
    <w:rsid w:val="00193C7F"/>
    <w:rsid w:val="0019430E"/>
    <w:rsid w:val="00194789"/>
    <w:rsid w:val="00194889"/>
    <w:rsid w:val="00194A99"/>
    <w:rsid w:val="00194B47"/>
    <w:rsid w:val="00194F33"/>
    <w:rsid w:val="00195063"/>
    <w:rsid w:val="001950DA"/>
    <w:rsid w:val="00195359"/>
    <w:rsid w:val="00195494"/>
    <w:rsid w:val="001954A8"/>
    <w:rsid w:val="0019578D"/>
    <w:rsid w:val="00195892"/>
    <w:rsid w:val="00195F94"/>
    <w:rsid w:val="00196367"/>
    <w:rsid w:val="00196623"/>
    <w:rsid w:val="001966E9"/>
    <w:rsid w:val="00196F1F"/>
    <w:rsid w:val="00196FAE"/>
    <w:rsid w:val="00197116"/>
    <w:rsid w:val="0019724A"/>
    <w:rsid w:val="001A01D0"/>
    <w:rsid w:val="001A0273"/>
    <w:rsid w:val="001A0629"/>
    <w:rsid w:val="001A09BE"/>
    <w:rsid w:val="001A0B32"/>
    <w:rsid w:val="001A0F63"/>
    <w:rsid w:val="001A122D"/>
    <w:rsid w:val="001A128E"/>
    <w:rsid w:val="001A1493"/>
    <w:rsid w:val="001A1AEC"/>
    <w:rsid w:val="001A1B11"/>
    <w:rsid w:val="001A1B56"/>
    <w:rsid w:val="001A1C00"/>
    <w:rsid w:val="001A20AB"/>
    <w:rsid w:val="001A255E"/>
    <w:rsid w:val="001A27AC"/>
    <w:rsid w:val="001A29B5"/>
    <w:rsid w:val="001A2A8A"/>
    <w:rsid w:val="001A30F0"/>
    <w:rsid w:val="001A33DC"/>
    <w:rsid w:val="001A3703"/>
    <w:rsid w:val="001A3937"/>
    <w:rsid w:val="001A3951"/>
    <w:rsid w:val="001A4261"/>
    <w:rsid w:val="001A4783"/>
    <w:rsid w:val="001A4A58"/>
    <w:rsid w:val="001A4BF8"/>
    <w:rsid w:val="001A4D2A"/>
    <w:rsid w:val="001A4DFE"/>
    <w:rsid w:val="001A5373"/>
    <w:rsid w:val="001A53AC"/>
    <w:rsid w:val="001A558A"/>
    <w:rsid w:val="001A55B5"/>
    <w:rsid w:val="001A55FF"/>
    <w:rsid w:val="001A56E5"/>
    <w:rsid w:val="001A57F7"/>
    <w:rsid w:val="001A5A1B"/>
    <w:rsid w:val="001A5AD7"/>
    <w:rsid w:val="001A5B30"/>
    <w:rsid w:val="001A5CE3"/>
    <w:rsid w:val="001A5CF5"/>
    <w:rsid w:val="001A5D09"/>
    <w:rsid w:val="001A5EFB"/>
    <w:rsid w:val="001A6317"/>
    <w:rsid w:val="001A6672"/>
    <w:rsid w:val="001A674B"/>
    <w:rsid w:val="001A67A2"/>
    <w:rsid w:val="001A6948"/>
    <w:rsid w:val="001A69B3"/>
    <w:rsid w:val="001A6C5D"/>
    <w:rsid w:val="001A6DA2"/>
    <w:rsid w:val="001A6F40"/>
    <w:rsid w:val="001A70F0"/>
    <w:rsid w:val="001A7129"/>
    <w:rsid w:val="001A7136"/>
    <w:rsid w:val="001A7401"/>
    <w:rsid w:val="001A757B"/>
    <w:rsid w:val="001A7686"/>
    <w:rsid w:val="001A778D"/>
    <w:rsid w:val="001A7AF0"/>
    <w:rsid w:val="001A7B98"/>
    <w:rsid w:val="001A7C36"/>
    <w:rsid w:val="001A7F9C"/>
    <w:rsid w:val="001B07A3"/>
    <w:rsid w:val="001B0A2E"/>
    <w:rsid w:val="001B0AFD"/>
    <w:rsid w:val="001B0B48"/>
    <w:rsid w:val="001B0E22"/>
    <w:rsid w:val="001B10BA"/>
    <w:rsid w:val="001B1341"/>
    <w:rsid w:val="001B154E"/>
    <w:rsid w:val="001B1689"/>
    <w:rsid w:val="001B1836"/>
    <w:rsid w:val="001B1E52"/>
    <w:rsid w:val="001B1F46"/>
    <w:rsid w:val="001B223B"/>
    <w:rsid w:val="001B243B"/>
    <w:rsid w:val="001B252B"/>
    <w:rsid w:val="001B25B3"/>
    <w:rsid w:val="001B268A"/>
    <w:rsid w:val="001B2734"/>
    <w:rsid w:val="001B2AC3"/>
    <w:rsid w:val="001B3099"/>
    <w:rsid w:val="001B30EC"/>
    <w:rsid w:val="001B31BF"/>
    <w:rsid w:val="001B3368"/>
    <w:rsid w:val="001B3763"/>
    <w:rsid w:val="001B37B0"/>
    <w:rsid w:val="001B3851"/>
    <w:rsid w:val="001B3AEC"/>
    <w:rsid w:val="001B3AF4"/>
    <w:rsid w:val="001B3E9E"/>
    <w:rsid w:val="001B3EC8"/>
    <w:rsid w:val="001B3FB8"/>
    <w:rsid w:val="001B4049"/>
    <w:rsid w:val="001B42B5"/>
    <w:rsid w:val="001B4361"/>
    <w:rsid w:val="001B447E"/>
    <w:rsid w:val="001B4523"/>
    <w:rsid w:val="001B478A"/>
    <w:rsid w:val="001B48CC"/>
    <w:rsid w:val="001B4A9C"/>
    <w:rsid w:val="001B51D6"/>
    <w:rsid w:val="001B5219"/>
    <w:rsid w:val="001B532F"/>
    <w:rsid w:val="001B556A"/>
    <w:rsid w:val="001B5AC3"/>
    <w:rsid w:val="001B5D6B"/>
    <w:rsid w:val="001B5F62"/>
    <w:rsid w:val="001B5FB4"/>
    <w:rsid w:val="001B6274"/>
    <w:rsid w:val="001B629A"/>
    <w:rsid w:val="001B630D"/>
    <w:rsid w:val="001B67BF"/>
    <w:rsid w:val="001B68CA"/>
    <w:rsid w:val="001B6DD3"/>
    <w:rsid w:val="001B6DD7"/>
    <w:rsid w:val="001B716E"/>
    <w:rsid w:val="001B734C"/>
    <w:rsid w:val="001B73A7"/>
    <w:rsid w:val="001B73D9"/>
    <w:rsid w:val="001B74FA"/>
    <w:rsid w:val="001B7569"/>
    <w:rsid w:val="001B764D"/>
    <w:rsid w:val="001B7799"/>
    <w:rsid w:val="001B78AE"/>
    <w:rsid w:val="001B78D3"/>
    <w:rsid w:val="001B7AEA"/>
    <w:rsid w:val="001B7AEC"/>
    <w:rsid w:val="001B7DAC"/>
    <w:rsid w:val="001B7E0A"/>
    <w:rsid w:val="001B7EDA"/>
    <w:rsid w:val="001C0145"/>
    <w:rsid w:val="001C0EE4"/>
    <w:rsid w:val="001C0FAE"/>
    <w:rsid w:val="001C1217"/>
    <w:rsid w:val="001C12E1"/>
    <w:rsid w:val="001C1473"/>
    <w:rsid w:val="001C178A"/>
    <w:rsid w:val="001C18BF"/>
    <w:rsid w:val="001C1FCF"/>
    <w:rsid w:val="001C2036"/>
    <w:rsid w:val="001C209F"/>
    <w:rsid w:val="001C2148"/>
    <w:rsid w:val="001C2437"/>
    <w:rsid w:val="001C25CF"/>
    <w:rsid w:val="001C274D"/>
    <w:rsid w:val="001C29E7"/>
    <w:rsid w:val="001C2B8B"/>
    <w:rsid w:val="001C2E91"/>
    <w:rsid w:val="001C2EB2"/>
    <w:rsid w:val="001C34CE"/>
    <w:rsid w:val="001C3847"/>
    <w:rsid w:val="001C38A2"/>
    <w:rsid w:val="001C3DEC"/>
    <w:rsid w:val="001C3E2E"/>
    <w:rsid w:val="001C3E42"/>
    <w:rsid w:val="001C3F07"/>
    <w:rsid w:val="001C4066"/>
    <w:rsid w:val="001C4397"/>
    <w:rsid w:val="001C43C8"/>
    <w:rsid w:val="001C4426"/>
    <w:rsid w:val="001C44EE"/>
    <w:rsid w:val="001C4F6B"/>
    <w:rsid w:val="001C525C"/>
    <w:rsid w:val="001C54B8"/>
    <w:rsid w:val="001C5DEC"/>
    <w:rsid w:val="001C62C9"/>
    <w:rsid w:val="001C6308"/>
    <w:rsid w:val="001C6F97"/>
    <w:rsid w:val="001C737C"/>
    <w:rsid w:val="001C7764"/>
    <w:rsid w:val="001C7773"/>
    <w:rsid w:val="001C79A7"/>
    <w:rsid w:val="001C7A3A"/>
    <w:rsid w:val="001C7AE1"/>
    <w:rsid w:val="001C7E89"/>
    <w:rsid w:val="001C7EBB"/>
    <w:rsid w:val="001C7FAD"/>
    <w:rsid w:val="001D00E5"/>
    <w:rsid w:val="001D011C"/>
    <w:rsid w:val="001D03BB"/>
    <w:rsid w:val="001D0483"/>
    <w:rsid w:val="001D058F"/>
    <w:rsid w:val="001D07A0"/>
    <w:rsid w:val="001D0C02"/>
    <w:rsid w:val="001D123C"/>
    <w:rsid w:val="001D12DD"/>
    <w:rsid w:val="001D16A2"/>
    <w:rsid w:val="001D1821"/>
    <w:rsid w:val="001D1BF6"/>
    <w:rsid w:val="001D1C8C"/>
    <w:rsid w:val="001D1D3E"/>
    <w:rsid w:val="001D1DEF"/>
    <w:rsid w:val="001D1E1A"/>
    <w:rsid w:val="001D1F5E"/>
    <w:rsid w:val="001D1F89"/>
    <w:rsid w:val="001D2023"/>
    <w:rsid w:val="001D28CB"/>
    <w:rsid w:val="001D2A8D"/>
    <w:rsid w:val="001D2F4C"/>
    <w:rsid w:val="001D2FF4"/>
    <w:rsid w:val="001D32C0"/>
    <w:rsid w:val="001D35A6"/>
    <w:rsid w:val="001D3876"/>
    <w:rsid w:val="001D4033"/>
    <w:rsid w:val="001D44A9"/>
    <w:rsid w:val="001D46AB"/>
    <w:rsid w:val="001D4739"/>
    <w:rsid w:val="001D474E"/>
    <w:rsid w:val="001D47EE"/>
    <w:rsid w:val="001D4A0B"/>
    <w:rsid w:val="001D4A2D"/>
    <w:rsid w:val="001D4B47"/>
    <w:rsid w:val="001D4F01"/>
    <w:rsid w:val="001D4FD3"/>
    <w:rsid w:val="001D5210"/>
    <w:rsid w:val="001D53B3"/>
    <w:rsid w:val="001D556B"/>
    <w:rsid w:val="001D59E1"/>
    <w:rsid w:val="001D63EA"/>
    <w:rsid w:val="001D69EA"/>
    <w:rsid w:val="001D711C"/>
    <w:rsid w:val="001D7223"/>
    <w:rsid w:val="001D7893"/>
    <w:rsid w:val="001D78B5"/>
    <w:rsid w:val="001D7C2F"/>
    <w:rsid w:val="001E0177"/>
    <w:rsid w:val="001E02A8"/>
    <w:rsid w:val="001E0895"/>
    <w:rsid w:val="001E0A8E"/>
    <w:rsid w:val="001E0C8F"/>
    <w:rsid w:val="001E0D66"/>
    <w:rsid w:val="001E0EE0"/>
    <w:rsid w:val="001E1411"/>
    <w:rsid w:val="001E1439"/>
    <w:rsid w:val="001E170F"/>
    <w:rsid w:val="001E17DB"/>
    <w:rsid w:val="001E1BC0"/>
    <w:rsid w:val="001E1D3F"/>
    <w:rsid w:val="001E1D8E"/>
    <w:rsid w:val="001E1EFE"/>
    <w:rsid w:val="001E2324"/>
    <w:rsid w:val="001E28B4"/>
    <w:rsid w:val="001E2972"/>
    <w:rsid w:val="001E2982"/>
    <w:rsid w:val="001E2ADF"/>
    <w:rsid w:val="001E2CED"/>
    <w:rsid w:val="001E2D8A"/>
    <w:rsid w:val="001E2FB8"/>
    <w:rsid w:val="001E302F"/>
    <w:rsid w:val="001E306E"/>
    <w:rsid w:val="001E3429"/>
    <w:rsid w:val="001E342D"/>
    <w:rsid w:val="001E34BA"/>
    <w:rsid w:val="001E3598"/>
    <w:rsid w:val="001E3637"/>
    <w:rsid w:val="001E38D0"/>
    <w:rsid w:val="001E3954"/>
    <w:rsid w:val="001E46CE"/>
    <w:rsid w:val="001E48BF"/>
    <w:rsid w:val="001E4E15"/>
    <w:rsid w:val="001E54AF"/>
    <w:rsid w:val="001E56FA"/>
    <w:rsid w:val="001E5B10"/>
    <w:rsid w:val="001E5B4E"/>
    <w:rsid w:val="001E5D19"/>
    <w:rsid w:val="001E5E4E"/>
    <w:rsid w:val="001E6279"/>
    <w:rsid w:val="001E64C9"/>
    <w:rsid w:val="001E67E6"/>
    <w:rsid w:val="001E6CF7"/>
    <w:rsid w:val="001E6E22"/>
    <w:rsid w:val="001E7091"/>
    <w:rsid w:val="001E7118"/>
    <w:rsid w:val="001E71CE"/>
    <w:rsid w:val="001E7234"/>
    <w:rsid w:val="001E7308"/>
    <w:rsid w:val="001E7329"/>
    <w:rsid w:val="001E74A9"/>
    <w:rsid w:val="001E7E32"/>
    <w:rsid w:val="001F035F"/>
    <w:rsid w:val="001F05EB"/>
    <w:rsid w:val="001F0C30"/>
    <w:rsid w:val="001F0DFD"/>
    <w:rsid w:val="001F1150"/>
    <w:rsid w:val="001F1418"/>
    <w:rsid w:val="001F1B13"/>
    <w:rsid w:val="001F2443"/>
    <w:rsid w:val="001F2447"/>
    <w:rsid w:val="001F2E9C"/>
    <w:rsid w:val="001F30CD"/>
    <w:rsid w:val="001F35FD"/>
    <w:rsid w:val="001F3704"/>
    <w:rsid w:val="001F3E1B"/>
    <w:rsid w:val="001F41F8"/>
    <w:rsid w:val="001F433A"/>
    <w:rsid w:val="001F4468"/>
    <w:rsid w:val="001F469F"/>
    <w:rsid w:val="001F47F4"/>
    <w:rsid w:val="001F4914"/>
    <w:rsid w:val="001F4947"/>
    <w:rsid w:val="001F4B20"/>
    <w:rsid w:val="001F4BDC"/>
    <w:rsid w:val="001F4C74"/>
    <w:rsid w:val="001F4D21"/>
    <w:rsid w:val="001F4EA0"/>
    <w:rsid w:val="001F4F8D"/>
    <w:rsid w:val="001F5122"/>
    <w:rsid w:val="001F5149"/>
    <w:rsid w:val="001F5151"/>
    <w:rsid w:val="001F5635"/>
    <w:rsid w:val="001F5874"/>
    <w:rsid w:val="001F5CA6"/>
    <w:rsid w:val="001F6085"/>
    <w:rsid w:val="001F6405"/>
    <w:rsid w:val="001F6489"/>
    <w:rsid w:val="001F6709"/>
    <w:rsid w:val="001F67B9"/>
    <w:rsid w:val="001F6A7B"/>
    <w:rsid w:val="001F6A96"/>
    <w:rsid w:val="001F6BE1"/>
    <w:rsid w:val="001F6C03"/>
    <w:rsid w:val="001F6D83"/>
    <w:rsid w:val="001F6DF3"/>
    <w:rsid w:val="001F6E2C"/>
    <w:rsid w:val="001F6F39"/>
    <w:rsid w:val="001F746E"/>
    <w:rsid w:val="001F7E08"/>
    <w:rsid w:val="00200144"/>
    <w:rsid w:val="00200390"/>
    <w:rsid w:val="00200741"/>
    <w:rsid w:val="00200843"/>
    <w:rsid w:val="002008B0"/>
    <w:rsid w:val="0020096E"/>
    <w:rsid w:val="00200BF4"/>
    <w:rsid w:val="00200C4A"/>
    <w:rsid w:val="0020109C"/>
    <w:rsid w:val="00201320"/>
    <w:rsid w:val="00201365"/>
    <w:rsid w:val="0020170D"/>
    <w:rsid w:val="0020174D"/>
    <w:rsid w:val="0020190C"/>
    <w:rsid w:val="002019BE"/>
    <w:rsid w:val="00201E50"/>
    <w:rsid w:val="002020D5"/>
    <w:rsid w:val="0020220E"/>
    <w:rsid w:val="002022CC"/>
    <w:rsid w:val="00202738"/>
    <w:rsid w:val="00202890"/>
    <w:rsid w:val="00202B24"/>
    <w:rsid w:val="00202E90"/>
    <w:rsid w:val="00202F82"/>
    <w:rsid w:val="00203143"/>
    <w:rsid w:val="002032FB"/>
    <w:rsid w:val="0020355D"/>
    <w:rsid w:val="0020356A"/>
    <w:rsid w:val="002037D6"/>
    <w:rsid w:val="0020387D"/>
    <w:rsid w:val="00203B66"/>
    <w:rsid w:val="00203C63"/>
    <w:rsid w:val="00203CDE"/>
    <w:rsid w:val="00203D56"/>
    <w:rsid w:val="00203E14"/>
    <w:rsid w:val="00204339"/>
    <w:rsid w:val="002045F1"/>
    <w:rsid w:val="002048CB"/>
    <w:rsid w:val="0020494C"/>
    <w:rsid w:val="00204B1A"/>
    <w:rsid w:val="00204BFC"/>
    <w:rsid w:val="00204CCB"/>
    <w:rsid w:val="00204D8C"/>
    <w:rsid w:val="00204DD2"/>
    <w:rsid w:val="00204E8C"/>
    <w:rsid w:val="00204ECF"/>
    <w:rsid w:val="00204F6C"/>
    <w:rsid w:val="00205086"/>
    <w:rsid w:val="0020526D"/>
    <w:rsid w:val="002053ED"/>
    <w:rsid w:val="00205742"/>
    <w:rsid w:val="002059E1"/>
    <w:rsid w:val="00205B83"/>
    <w:rsid w:val="00205C64"/>
    <w:rsid w:val="00206819"/>
    <w:rsid w:val="00206AE1"/>
    <w:rsid w:val="00206E3F"/>
    <w:rsid w:val="00206E71"/>
    <w:rsid w:val="002070D9"/>
    <w:rsid w:val="002074A1"/>
    <w:rsid w:val="00207A92"/>
    <w:rsid w:val="00207C49"/>
    <w:rsid w:val="00207D7D"/>
    <w:rsid w:val="002101AA"/>
    <w:rsid w:val="00210276"/>
    <w:rsid w:val="002106D8"/>
    <w:rsid w:val="002107C0"/>
    <w:rsid w:val="00210C39"/>
    <w:rsid w:val="00210D9C"/>
    <w:rsid w:val="00210EA0"/>
    <w:rsid w:val="00210F83"/>
    <w:rsid w:val="00210FC3"/>
    <w:rsid w:val="002113E1"/>
    <w:rsid w:val="00211886"/>
    <w:rsid w:val="002118A2"/>
    <w:rsid w:val="00211C13"/>
    <w:rsid w:val="00211C71"/>
    <w:rsid w:val="00211ED0"/>
    <w:rsid w:val="00212172"/>
    <w:rsid w:val="00212582"/>
    <w:rsid w:val="00212797"/>
    <w:rsid w:val="002127DE"/>
    <w:rsid w:val="00212B0A"/>
    <w:rsid w:val="00212B9E"/>
    <w:rsid w:val="00212D7C"/>
    <w:rsid w:val="00212E95"/>
    <w:rsid w:val="002131CB"/>
    <w:rsid w:val="00213351"/>
    <w:rsid w:val="002133D0"/>
    <w:rsid w:val="002136F9"/>
    <w:rsid w:val="0021378C"/>
    <w:rsid w:val="00213C32"/>
    <w:rsid w:val="00213FCD"/>
    <w:rsid w:val="00214115"/>
    <w:rsid w:val="002143E6"/>
    <w:rsid w:val="0021441F"/>
    <w:rsid w:val="00214465"/>
    <w:rsid w:val="002148DA"/>
    <w:rsid w:val="00214990"/>
    <w:rsid w:val="00214AB8"/>
    <w:rsid w:val="00214BB5"/>
    <w:rsid w:val="00214D36"/>
    <w:rsid w:val="00214D87"/>
    <w:rsid w:val="0021566E"/>
    <w:rsid w:val="0021569F"/>
    <w:rsid w:val="00215729"/>
    <w:rsid w:val="0021586B"/>
    <w:rsid w:val="002158BC"/>
    <w:rsid w:val="00215A23"/>
    <w:rsid w:val="00215B0D"/>
    <w:rsid w:val="0021607D"/>
    <w:rsid w:val="002160C8"/>
    <w:rsid w:val="0021627E"/>
    <w:rsid w:val="00216397"/>
    <w:rsid w:val="00216526"/>
    <w:rsid w:val="00216B7F"/>
    <w:rsid w:val="00216C33"/>
    <w:rsid w:val="00216F1C"/>
    <w:rsid w:val="00216F9C"/>
    <w:rsid w:val="002171B8"/>
    <w:rsid w:val="002171D3"/>
    <w:rsid w:val="00217235"/>
    <w:rsid w:val="00217501"/>
    <w:rsid w:val="0021789E"/>
    <w:rsid w:val="0021792C"/>
    <w:rsid w:val="00217F26"/>
    <w:rsid w:val="002203A8"/>
    <w:rsid w:val="002204A9"/>
    <w:rsid w:val="00220687"/>
    <w:rsid w:val="002209AF"/>
    <w:rsid w:val="00220BF8"/>
    <w:rsid w:val="00221508"/>
    <w:rsid w:val="00221606"/>
    <w:rsid w:val="00221CB3"/>
    <w:rsid w:val="00221D2A"/>
    <w:rsid w:val="00221DB9"/>
    <w:rsid w:val="00221F82"/>
    <w:rsid w:val="0022207F"/>
    <w:rsid w:val="00222403"/>
    <w:rsid w:val="00222473"/>
    <w:rsid w:val="00222788"/>
    <w:rsid w:val="002227E9"/>
    <w:rsid w:val="00222892"/>
    <w:rsid w:val="00222A02"/>
    <w:rsid w:val="00222B63"/>
    <w:rsid w:val="00222B6C"/>
    <w:rsid w:val="0022308E"/>
    <w:rsid w:val="002232B7"/>
    <w:rsid w:val="002232C8"/>
    <w:rsid w:val="00223545"/>
    <w:rsid w:val="00223615"/>
    <w:rsid w:val="00223B52"/>
    <w:rsid w:val="00223E4F"/>
    <w:rsid w:val="00224069"/>
    <w:rsid w:val="00224155"/>
    <w:rsid w:val="002242E9"/>
    <w:rsid w:val="002246CF"/>
    <w:rsid w:val="00224706"/>
    <w:rsid w:val="002247C7"/>
    <w:rsid w:val="002247E0"/>
    <w:rsid w:val="00224B25"/>
    <w:rsid w:val="00224B82"/>
    <w:rsid w:val="00224BCC"/>
    <w:rsid w:val="00224C0A"/>
    <w:rsid w:val="00224C6E"/>
    <w:rsid w:val="00224EB7"/>
    <w:rsid w:val="002254AB"/>
    <w:rsid w:val="002255F8"/>
    <w:rsid w:val="00225615"/>
    <w:rsid w:val="002256B4"/>
    <w:rsid w:val="002257C2"/>
    <w:rsid w:val="00225B79"/>
    <w:rsid w:val="00225DAD"/>
    <w:rsid w:val="00225EF3"/>
    <w:rsid w:val="0022611E"/>
    <w:rsid w:val="00226487"/>
    <w:rsid w:val="00226490"/>
    <w:rsid w:val="002265A0"/>
    <w:rsid w:val="00226A21"/>
    <w:rsid w:val="00226BA4"/>
    <w:rsid w:val="00226E0D"/>
    <w:rsid w:val="00226EE3"/>
    <w:rsid w:val="00227037"/>
    <w:rsid w:val="002271CF"/>
    <w:rsid w:val="002272E9"/>
    <w:rsid w:val="0022774A"/>
    <w:rsid w:val="0022776F"/>
    <w:rsid w:val="002277D1"/>
    <w:rsid w:val="002277E6"/>
    <w:rsid w:val="0022788D"/>
    <w:rsid w:val="00227A91"/>
    <w:rsid w:val="00227E6A"/>
    <w:rsid w:val="002301E1"/>
    <w:rsid w:val="00230269"/>
    <w:rsid w:val="00230318"/>
    <w:rsid w:val="002303DD"/>
    <w:rsid w:val="00230741"/>
    <w:rsid w:val="002308B6"/>
    <w:rsid w:val="0023092D"/>
    <w:rsid w:val="00230B12"/>
    <w:rsid w:val="00230B1F"/>
    <w:rsid w:val="00230BC5"/>
    <w:rsid w:val="00231331"/>
    <w:rsid w:val="0023156C"/>
    <w:rsid w:val="002317C2"/>
    <w:rsid w:val="00231BB9"/>
    <w:rsid w:val="00231D02"/>
    <w:rsid w:val="00231E0B"/>
    <w:rsid w:val="00231FDB"/>
    <w:rsid w:val="00232076"/>
    <w:rsid w:val="00232238"/>
    <w:rsid w:val="00232461"/>
    <w:rsid w:val="00232617"/>
    <w:rsid w:val="002327F3"/>
    <w:rsid w:val="00232F1B"/>
    <w:rsid w:val="002331A9"/>
    <w:rsid w:val="00233609"/>
    <w:rsid w:val="00233992"/>
    <w:rsid w:val="00233DBE"/>
    <w:rsid w:val="00233F91"/>
    <w:rsid w:val="00234402"/>
    <w:rsid w:val="00234419"/>
    <w:rsid w:val="00234459"/>
    <w:rsid w:val="00234581"/>
    <w:rsid w:val="0023476E"/>
    <w:rsid w:val="00234789"/>
    <w:rsid w:val="00234791"/>
    <w:rsid w:val="00234B59"/>
    <w:rsid w:val="00234D32"/>
    <w:rsid w:val="00234F0B"/>
    <w:rsid w:val="0023528E"/>
    <w:rsid w:val="00235321"/>
    <w:rsid w:val="0023547D"/>
    <w:rsid w:val="00235962"/>
    <w:rsid w:val="00235A2C"/>
    <w:rsid w:val="00235C99"/>
    <w:rsid w:val="00235EE5"/>
    <w:rsid w:val="00235F41"/>
    <w:rsid w:val="0023616C"/>
    <w:rsid w:val="00236216"/>
    <w:rsid w:val="0023659F"/>
    <w:rsid w:val="002367F3"/>
    <w:rsid w:val="00236830"/>
    <w:rsid w:val="002368D0"/>
    <w:rsid w:val="00236A26"/>
    <w:rsid w:val="00236BF8"/>
    <w:rsid w:val="00236D45"/>
    <w:rsid w:val="0023723D"/>
    <w:rsid w:val="002373A0"/>
    <w:rsid w:val="00237AE8"/>
    <w:rsid w:val="00237B6B"/>
    <w:rsid w:val="00237C3C"/>
    <w:rsid w:val="00237DE7"/>
    <w:rsid w:val="002401A8"/>
    <w:rsid w:val="002402C8"/>
    <w:rsid w:val="00240604"/>
    <w:rsid w:val="00240630"/>
    <w:rsid w:val="0024069E"/>
    <w:rsid w:val="002407CE"/>
    <w:rsid w:val="00240E72"/>
    <w:rsid w:val="00240EE6"/>
    <w:rsid w:val="00240F4A"/>
    <w:rsid w:val="00241339"/>
    <w:rsid w:val="002413BB"/>
    <w:rsid w:val="002414CB"/>
    <w:rsid w:val="002418ED"/>
    <w:rsid w:val="00241C4A"/>
    <w:rsid w:val="00241C91"/>
    <w:rsid w:val="00242005"/>
    <w:rsid w:val="00242232"/>
    <w:rsid w:val="00242291"/>
    <w:rsid w:val="00242400"/>
    <w:rsid w:val="00242736"/>
    <w:rsid w:val="00242DE2"/>
    <w:rsid w:val="00242F00"/>
    <w:rsid w:val="00243599"/>
    <w:rsid w:val="0024372E"/>
    <w:rsid w:val="00243880"/>
    <w:rsid w:val="0024390E"/>
    <w:rsid w:val="00243CE8"/>
    <w:rsid w:val="00243E04"/>
    <w:rsid w:val="00244022"/>
    <w:rsid w:val="00244884"/>
    <w:rsid w:val="002449CC"/>
    <w:rsid w:val="00244C6A"/>
    <w:rsid w:val="002450B9"/>
    <w:rsid w:val="002455A7"/>
    <w:rsid w:val="002459D3"/>
    <w:rsid w:val="00245A85"/>
    <w:rsid w:val="00245E95"/>
    <w:rsid w:val="00245F74"/>
    <w:rsid w:val="002463E4"/>
    <w:rsid w:val="002465B1"/>
    <w:rsid w:val="002466D9"/>
    <w:rsid w:val="00246818"/>
    <w:rsid w:val="0024687B"/>
    <w:rsid w:val="00246959"/>
    <w:rsid w:val="00246B16"/>
    <w:rsid w:val="00246CB1"/>
    <w:rsid w:val="00246CD7"/>
    <w:rsid w:val="00246E1F"/>
    <w:rsid w:val="00246FD6"/>
    <w:rsid w:val="002471E3"/>
    <w:rsid w:val="00247394"/>
    <w:rsid w:val="002473C9"/>
    <w:rsid w:val="0024764B"/>
    <w:rsid w:val="00247718"/>
    <w:rsid w:val="002478A7"/>
    <w:rsid w:val="0024799A"/>
    <w:rsid w:val="00247BD9"/>
    <w:rsid w:val="00247BE1"/>
    <w:rsid w:val="00247FDD"/>
    <w:rsid w:val="00250590"/>
    <w:rsid w:val="0025073B"/>
    <w:rsid w:val="00250813"/>
    <w:rsid w:val="0025082D"/>
    <w:rsid w:val="0025096A"/>
    <w:rsid w:val="00250A97"/>
    <w:rsid w:val="00250C63"/>
    <w:rsid w:val="00250C95"/>
    <w:rsid w:val="00250CD3"/>
    <w:rsid w:val="00250D34"/>
    <w:rsid w:val="0025141E"/>
    <w:rsid w:val="002514C7"/>
    <w:rsid w:val="00251590"/>
    <w:rsid w:val="00251A8B"/>
    <w:rsid w:val="00251F38"/>
    <w:rsid w:val="00251F43"/>
    <w:rsid w:val="00251F4F"/>
    <w:rsid w:val="00251F72"/>
    <w:rsid w:val="00251FEB"/>
    <w:rsid w:val="002521A9"/>
    <w:rsid w:val="00252456"/>
    <w:rsid w:val="00252637"/>
    <w:rsid w:val="00252675"/>
    <w:rsid w:val="0025281D"/>
    <w:rsid w:val="00252E02"/>
    <w:rsid w:val="00253196"/>
    <w:rsid w:val="002533CF"/>
    <w:rsid w:val="00253409"/>
    <w:rsid w:val="002536FC"/>
    <w:rsid w:val="00253772"/>
    <w:rsid w:val="00253DD6"/>
    <w:rsid w:val="002543FF"/>
    <w:rsid w:val="00254926"/>
    <w:rsid w:val="002549F4"/>
    <w:rsid w:val="00254A75"/>
    <w:rsid w:val="00254B3A"/>
    <w:rsid w:val="00254D2C"/>
    <w:rsid w:val="00254DC4"/>
    <w:rsid w:val="00254DD1"/>
    <w:rsid w:val="00254DD6"/>
    <w:rsid w:val="0025516F"/>
    <w:rsid w:val="00255227"/>
    <w:rsid w:val="00255347"/>
    <w:rsid w:val="002553FF"/>
    <w:rsid w:val="002554D7"/>
    <w:rsid w:val="0025567C"/>
    <w:rsid w:val="00255901"/>
    <w:rsid w:val="00255BDF"/>
    <w:rsid w:val="00255EDB"/>
    <w:rsid w:val="00255F50"/>
    <w:rsid w:val="002563E2"/>
    <w:rsid w:val="002566DC"/>
    <w:rsid w:val="0025681A"/>
    <w:rsid w:val="00256A9B"/>
    <w:rsid w:val="00256B68"/>
    <w:rsid w:val="00256FE3"/>
    <w:rsid w:val="00256FFF"/>
    <w:rsid w:val="002571C7"/>
    <w:rsid w:val="0025748B"/>
    <w:rsid w:val="002574DC"/>
    <w:rsid w:val="002575FA"/>
    <w:rsid w:val="0025765E"/>
    <w:rsid w:val="002576E6"/>
    <w:rsid w:val="002577CA"/>
    <w:rsid w:val="002578B3"/>
    <w:rsid w:val="002579C1"/>
    <w:rsid w:val="00257A1A"/>
    <w:rsid w:val="00257F80"/>
    <w:rsid w:val="00260066"/>
    <w:rsid w:val="002600A4"/>
    <w:rsid w:val="0026019C"/>
    <w:rsid w:val="002604DF"/>
    <w:rsid w:val="002604F9"/>
    <w:rsid w:val="002605AC"/>
    <w:rsid w:val="002607AF"/>
    <w:rsid w:val="00260D55"/>
    <w:rsid w:val="00260D7E"/>
    <w:rsid w:val="0026116A"/>
    <w:rsid w:val="00261295"/>
    <w:rsid w:val="00261354"/>
    <w:rsid w:val="0026137C"/>
    <w:rsid w:val="00261634"/>
    <w:rsid w:val="0026178B"/>
    <w:rsid w:val="0026198C"/>
    <w:rsid w:val="00261B47"/>
    <w:rsid w:val="00261C13"/>
    <w:rsid w:val="00261D0E"/>
    <w:rsid w:val="00261D35"/>
    <w:rsid w:val="00261DE5"/>
    <w:rsid w:val="00261EFB"/>
    <w:rsid w:val="00261F88"/>
    <w:rsid w:val="00262022"/>
    <w:rsid w:val="00262383"/>
    <w:rsid w:val="0026242E"/>
    <w:rsid w:val="00262748"/>
    <w:rsid w:val="00262952"/>
    <w:rsid w:val="00262C05"/>
    <w:rsid w:val="00262D81"/>
    <w:rsid w:val="00262E27"/>
    <w:rsid w:val="00262F20"/>
    <w:rsid w:val="002631F4"/>
    <w:rsid w:val="0026357C"/>
    <w:rsid w:val="00263777"/>
    <w:rsid w:val="002638EF"/>
    <w:rsid w:val="00263B19"/>
    <w:rsid w:val="00263D78"/>
    <w:rsid w:val="002640EC"/>
    <w:rsid w:val="002640F4"/>
    <w:rsid w:val="0026417E"/>
    <w:rsid w:val="0026419A"/>
    <w:rsid w:val="0026460A"/>
    <w:rsid w:val="00264623"/>
    <w:rsid w:val="00264CD7"/>
    <w:rsid w:val="00264E8F"/>
    <w:rsid w:val="00265277"/>
    <w:rsid w:val="00265314"/>
    <w:rsid w:val="002655AC"/>
    <w:rsid w:val="00265946"/>
    <w:rsid w:val="00265BBD"/>
    <w:rsid w:val="00265BE8"/>
    <w:rsid w:val="00265EF0"/>
    <w:rsid w:val="00266036"/>
    <w:rsid w:val="00266051"/>
    <w:rsid w:val="0026618D"/>
    <w:rsid w:val="002663F3"/>
    <w:rsid w:val="00266823"/>
    <w:rsid w:val="00266D2D"/>
    <w:rsid w:val="00266D60"/>
    <w:rsid w:val="00266E88"/>
    <w:rsid w:val="002670B2"/>
    <w:rsid w:val="0026720F"/>
    <w:rsid w:val="00267638"/>
    <w:rsid w:val="00267815"/>
    <w:rsid w:val="0026796B"/>
    <w:rsid w:val="00267A4A"/>
    <w:rsid w:val="00267D7B"/>
    <w:rsid w:val="00267EF0"/>
    <w:rsid w:val="00270236"/>
    <w:rsid w:val="00270610"/>
    <w:rsid w:val="00270ACC"/>
    <w:rsid w:val="00271095"/>
    <w:rsid w:val="002710E8"/>
    <w:rsid w:val="00271203"/>
    <w:rsid w:val="00271567"/>
    <w:rsid w:val="00271771"/>
    <w:rsid w:val="002719CB"/>
    <w:rsid w:val="00271BF0"/>
    <w:rsid w:val="00271C18"/>
    <w:rsid w:val="00271D14"/>
    <w:rsid w:val="00271EAD"/>
    <w:rsid w:val="00271EB5"/>
    <w:rsid w:val="00271F34"/>
    <w:rsid w:val="00271FBB"/>
    <w:rsid w:val="0027207B"/>
    <w:rsid w:val="0027211F"/>
    <w:rsid w:val="002721AB"/>
    <w:rsid w:val="00272297"/>
    <w:rsid w:val="002726DC"/>
    <w:rsid w:val="002727EF"/>
    <w:rsid w:val="0027284B"/>
    <w:rsid w:val="00272C83"/>
    <w:rsid w:val="00272D84"/>
    <w:rsid w:val="00273095"/>
    <w:rsid w:val="00273DB0"/>
    <w:rsid w:val="00273F77"/>
    <w:rsid w:val="00274072"/>
    <w:rsid w:val="00274568"/>
    <w:rsid w:val="00274D84"/>
    <w:rsid w:val="00274EA3"/>
    <w:rsid w:val="00274F64"/>
    <w:rsid w:val="00274FA7"/>
    <w:rsid w:val="00274FFD"/>
    <w:rsid w:val="0027518E"/>
    <w:rsid w:val="002751D9"/>
    <w:rsid w:val="00275288"/>
    <w:rsid w:val="00275297"/>
    <w:rsid w:val="002753D9"/>
    <w:rsid w:val="00275669"/>
    <w:rsid w:val="00275906"/>
    <w:rsid w:val="00275B66"/>
    <w:rsid w:val="00275CAA"/>
    <w:rsid w:val="00276771"/>
    <w:rsid w:val="00276CF8"/>
    <w:rsid w:val="00276D2B"/>
    <w:rsid w:val="002771B9"/>
    <w:rsid w:val="002774DB"/>
    <w:rsid w:val="002775C6"/>
    <w:rsid w:val="0027765E"/>
    <w:rsid w:val="00277841"/>
    <w:rsid w:val="00277A83"/>
    <w:rsid w:val="00277C15"/>
    <w:rsid w:val="00277CE2"/>
    <w:rsid w:val="002807E0"/>
    <w:rsid w:val="00280F43"/>
    <w:rsid w:val="00280F70"/>
    <w:rsid w:val="002811D6"/>
    <w:rsid w:val="002812D4"/>
    <w:rsid w:val="0028140A"/>
    <w:rsid w:val="0028171A"/>
    <w:rsid w:val="002818A5"/>
    <w:rsid w:val="002819B7"/>
    <w:rsid w:val="00281CC8"/>
    <w:rsid w:val="00281E8D"/>
    <w:rsid w:val="002823AE"/>
    <w:rsid w:val="0028242C"/>
    <w:rsid w:val="00282432"/>
    <w:rsid w:val="00282A0A"/>
    <w:rsid w:val="00282F22"/>
    <w:rsid w:val="002830D5"/>
    <w:rsid w:val="0028310C"/>
    <w:rsid w:val="002831CD"/>
    <w:rsid w:val="002831DA"/>
    <w:rsid w:val="00283213"/>
    <w:rsid w:val="00283451"/>
    <w:rsid w:val="0028348A"/>
    <w:rsid w:val="00283544"/>
    <w:rsid w:val="00283A77"/>
    <w:rsid w:val="00283B72"/>
    <w:rsid w:val="00283D32"/>
    <w:rsid w:val="00284342"/>
    <w:rsid w:val="0028434E"/>
    <w:rsid w:val="0028458F"/>
    <w:rsid w:val="00284695"/>
    <w:rsid w:val="002849BF"/>
    <w:rsid w:val="00284A7A"/>
    <w:rsid w:val="00284D4D"/>
    <w:rsid w:val="00284E3F"/>
    <w:rsid w:val="002850EE"/>
    <w:rsid w:val="002851A3"/>
    <w:rsid w:val="002853D0"/>
    <w:rsid w:val="00285836"/>
    <w:rsid w:val="00285841"/>
    <w:rsid w:val="002858B1"/>
    <w:rsid w:val="00285965"/>
    <w:rsid w:val="00285B56"/>
    <w:rsid w:val="0028611C"/>
    <w:rsid w:val="0028641E"/>
    <w:rsid w:val="00286600"/>
    <w:rsid w:val="00286AA8"/>
    <w:rsid w:val="00286D7D"/>
    <w:rsid w:val="00287111"/>
    <w:rsid w:val="002874E6"/>
    <w:rsid w:val="00287762"/>
    <w:rsid w:val="0028776C"/>
    <w:rsid w:val="00287990"/>
    <w:rsid w:val="00287E07"/>
    <w:rsid w:val="00287E9B"/>
    <w:rsid w:val="00287F39"/>
    <w:rsid w:val="00290094"/>
    <w:rsid w:val="002904EE"/>
    <w:rsid w:val="002906DC"/>
    <w:rsid w:val="002906FF"/>
    <w:rsid w:val="00290A96"/>
    <w:rsid w:val="00290B54"/>
    <w:rsid w:val="00290FBD"/>
    <w:rsid w:val="00291496"/>
    <w:rsid w:val="002914EB"/>
    <w:rsid w:val="0029156F"/>
    <w:rsid w:val="002917B2"/>
    <w:rsid w:val="0029187E"/>
    <w:rsid w:val="00291C2A"/>
    <w:rsid w:val="00291F23"/>
    <w:rsid w:val="00291F77"/>
    <w:rsid w:val="002920FB"/>
    <w:rsid w:val="002923D8"/>
    <w:rsid w:val="002925CE"/>
    <w:rsid w:val="0029263B"/>
    <w:rsid w:val="002927C0"/>
    <w:rsid w:val="00292E5B"/>
    <w:rsid w:val="00292F1E"/>
    <w:rsid w:val="002932E4"/>
    <w:rsid w:val="0029354D"/>
    <w:rsid w:val="00293728"/>
    <w:rsid w:val="00293A6A"/>
    <w:rsid w:val="00293B05"/>
    <w:rsid w:val="00293D5B"/>
    <w:rsid w:val="002941A7"/>
    <w:rsid w:val="0029424E"/>
    <w:rsid w:val="00294329"/>
    <w:rsid w:val="002944F7"/>
    <w:rsid w:val="00294718"/>
    <w:rsid w:val="00294BEB"/>
    <w:rsid w:val="00294D5C"/>
    <w:rsid w:val="00294DC1"/>
    <w:rsid w:val="00294DC3"/>
    <w:rsid w:val="00295251"/>
    <w:rsid w:val="002953F1"/>
    <w:rsid w:val="00295429"/>
    <w:rsid w:val="002954A8"/>
    <w:rsid w:val="00295577"/>
    <w:rsid w:val="00295979"/>
    <w:rsid w:val="002959B9"/>
    <w:rsid w:val="00295A00"/>
    <w:rsid w:val="00295A23"/>
    <w:rsid w:val="00295CFC"/>
    <w:rsid w:val="002961C9"/>
    <w:rsid w:val="0029639E"/>
    <w:rsid w:val="00296480"/>
    <w:rsid w:val="00296499"/>
    <w:rsid w:val="00296741"/>
    <w:rsid w:val="00296784"/>
    <w:rsid w:val="00296974"/>
    <w:rsid w:val="00296A55"/>
    <w:rsid w:val="00296B6B"/>
    <w:rsid w:val="00296E5D"/>
    <w:rsid w:val="00297399"/>
    <w:rsid w:val="00297AB0"/>
    <w:rsid w:val="00297B2A"/>
    <w:rsid w:val="00297DF5"/>
    <w:rsid w:val="00297E0A"/>
    <w:rsid w:val="002A03CF"/>
    <w:rsid w:val="002A047E"/>
    <w:rsid w:val="002A04C1"/>
    <w:rsid w:val="002A04E5"/>
    <w:rsid w:val="002A0674"/>
    <w:rsid w:val="002A0784"/>
    <w:rsid w:val="002A08A2"/>
    <w:rsid w:val="002A11D2"/>
    <w:rsid w:val="002A187A"/>
    <w:rsid w:val="002A1954"/>
    <w:rsid w:val="002A1A2C"/>
    <w:rsid w:val="002A212D"/>
    <w:rsid w:val="002A224B"/>
    <w:rsid w:val="002A22D7"/>
    <w:rsid w:val="002A25E6"/>
    <w:rsid w:val="002A295D"/>
    <w:rsid w:val="002A2A24"/>
    <w:rsid w:val="002A2B72"/>
    <w:rsid w:val="002A2B7B"/>
    <w:rsid w:val="002A2F5B"/>
    <w:rsid w:val="002A306E"/>
    <w:rsid w:val="002A3633"/>
    <w:rsid w:val="002A3667"/>
    <w:rsid w:val="002A3811"/>
    <w:rsid w:val="002A3BBA"/>
    <w:rsid w:val="002A3CA5"/>
    <w:rsid w:val="002A3E43"/>
    <w:rsid w:val="002A41A5"/>
    <w:rsid w:val="002A4214"/>
    <w:rsid w:val="002A42D0"/>
    <w:rsid w:val="002A4644"/>
    <w:rsid w:val="002A464F"/>
    <w:rsid w:val="002A46AF"/>
    <w:rsid w:val="002A4AFE"/>
    <w:rsid w:val="002A4D6E"/>
    <w:rsid w:val="002A4DE7"/>
    <w:rsid w:val="002A5184"/>
    <w:rsid w:val="002A553B"/>
    <w:rsid w:val="002A5716"/>
    <w:rsid w:val="002A5947"/>
    <w:rsid w:val="002A5A1B"/>
    <w:rsid w:val="002A5D2C"/>
    <w:rsid w:val="002A603A"/>
    <w:rsid w:val="002A61B1"/>
    <w:rsid w:val="002A63C0"/>
    <w:rsid w:val="002A64EA"/>
    <w:rsid w:val="002A64FB"/>
    <w:rsid w:val="002A6A81"/>
    <w:rsid w:val="002A6AB0"/>
    <w:rsid w:val="002A7009"/>
    <w:rsid w:val="002A73A4"/>
    <w:rsid w:val="002A7461"/>
    <w:rsid w:val="002A74D5"/>
    <w:rsid w:val="002A78F8"/>
    <w:rsid w:val="002A7923"/>
    <w:rsid w:val="002A7A59"/>
    <w:rsid w:val="002A7B4C"/>
    <w:rsid w:val="002A7C2F"/>
    <w:rsid w:val="002A7FF7"/>
    <w:rsid w:val="002B00A4"/>
    <w:rsid w:val="002B01A8"/>
    <w:rsid w:val="002B0442"/>
    <w:rsid w:val="002B05AA"/>
    <w:rsid w:val="002B090A"/>
    <w:rsid w:val="002B0AE6"/>
    <w:rsid w:val="002B0D41"/>
    <w:rsid w:val="002B0DC1"/>
    <w:rsid w:val="002B0F59"/>
    <w:rsid w:val="002B12D6"/>
    <w:rsid w:val="002B1314"/>
    <w:rsid w:val="002B13B8"/>
    <w:rsid w:val="002B1858"/>
    <w:rsid w:val="002B1BAC"/>
    <w:rsid w:val="002B1C7B"/>
    <w:rsid w:val="002B1D04"/>
    <w:rsid w:val="002B1F00"/>
    <w:rsid w:val="002B22C1"/>
    <w:rsid w:val="002B2363"/>
    <w:rsid w:val="002B2454"/>
    <w:rsid w:val="002B26BD"/>
    <w:rsid w:val="002B2701"/>
    <w:rsid w:val="002B2FEE"/>
    <w:rsid w:val="002B31FD"/>
    <w:rsid w:val="002B394C"/>
    <w:rsid w:val="002B3C9D"/>
    <w:rsid w:val="002B3D7E"/>
    <w:rsid w:val="002B3D88"/>
    <w:rsid w:val="002B3F31"/>
    <w:rsid w:val="002B40C2"/>
    <w:rsid w:val="002B4251"/>
    <w:rsid w:val="002B4297"/>
    <w:rsid w:val="002B43F5"/>
    <w:rsid w:val="002B48C0"/>
    <w:rsid w:val="002B4D41"/>
    <w:rsid w:val="002B4E07"/>
    <w:rsid w:val="002B520C"/>
    <w:rsid w:val="002B52BA"/>
    <w:rsid w:val="002B54C0"/>
    <w:rsid w:val="002B581A"/>
    <w:rsid w:val="002B5A94"/>
    <w:rsid w:val="002B5B44"/>
    <w:rsid w:val="002B5C15"/>
    <w:rsid w:val="002B5C31"/>
    <w:rsid w:val="002B5CF8"/>
    <w:rsid w:val="002B5D34"/>
    <w:rsid w:val="002B60C2"/>
    <w:rsid w:val="002B613A"/>
    <w:rsid w:val="002B61CD"/>
    <w:rsid w:val="002B65FC"/>
    <w:rsid w:val="002B67A3"/>
    <w:rsid w:val="002B6B61"/>
    <w:rsid w:val="002B6D3C"/>
    <w:rsid w:val="002B7008"/>
    <w:rsid w:val="002B7194"/>
    <w:rsid w:val="002B7357"/>
    <w:rsid w:val="002B7692"/>
    <w:rsid w:val="002B76ED"/>
    <w:rsid w:val="002B78F3"/>
    <w:rsid w:val="002B7958"/>
    <w:rsid w:val="002B79DF"/>
    <w:rsid w:val="002B7A26"/>
    <w:rsid w:val="002B7AAE"/>
    <w:rsid w:val="002B7CDB"/>
    <w:rsid w:val="002B7E19"/>
    <w:rsid w:val="002B7E75"/>
    <w:rsid w:val="002C00CC"/>
    <w:rsid w:val="002C0141"/>
    <w:rsid w:val="002C03FD"/>
    <w:rsid w:val="002C05CB"/>
    <w:rsid w:val="002C06D1"/>
    <w:rsid w:val="002C1314"/>
    <w:rsid w:val="002C14EB"/>
    <w:rsid w:val="002C184B"/>
    <w:rsid w:val="002C1906"/>
    <w:rsid w:val="002C1DDF"/>
    <w:rsid w:val="002C204B"/>
    <w:rsid w:val="002C20B3"/>
    <w:rsid w:val="002C2191"/>
    <w:rsid w:val="002C284E"/>
    <w:rsid w:val="002C2C68"/>
    <w:rsid w:val="002C2CE7"/>
    <w:rsid w:val="002C2E2F"/>
    <w:rsid w:val="002C2E7B"/>
    <w:rsid w:val="002C2FEF"/>
    <w:rsid w:val="002C302E"/>
    <w:rsid w:val="002C32C7"/>
    <w:rsid w:val="002C3595"/>
    <w:rsid w:val="002C370A"/>
    <w:rsid w:val="002C3732"/>
    <w:rsid w:val="002C37ED"/>
    <w:rsid w:val="002C3A5A"/>
    <w:rsid w:val="002C3B3F"/>
    <w:rsid w:val="002C3CB1"/>
    <w:rsid w:val="002C41CE"/>
    <w:rsid w:val="002C4381"/>
    <w:rsid w:val="002C4454"/>
    <w:rsid w:val="002C4775"/>
    <w:rsid w:val="002C4E63"/>
    <w:rsid w:val="002C4EB7"/>
    <w:rsid w:val="002C500B"/>
    <w:rsid w:val="002C540A"/>
    <w:rsid w:val="002C5846"/>
    <w:rsid w:val="002C588D"/>
    <w:rsid w:val="002C5930"/>
    <w:rsid w:val="002C5A34"/>
    <w:rsid w:val="002C5E8F"/>
    <w:rsid w:val="002C5ED5"/>
    <w:rsid w:val="002C6005"/>
    <w:rsid w:val="002C6230"/>
    <w:rsid w:val="002C63B3"/>
    <w:rsid w:val="002C652B"/>
    <w:rsid w:val="002C6725"/>
    <w:rsid w:val="002C6855"/>
    <w:rsid w:val="002C6966"/>
    <w:rsid w:val="002C6A0C"/>
    <w:rsid w:val="002C6BD7"/>
    <w:rsid w:val="002C717F"/>
    <w:rsid w:val="002C7288"/>
    <w:rsid w:val="002C745A"/>
    <w:rsid w:val="002C746E"/>
    <w:rsid w:val="002C7B1E"/>
    <w:rsid w:val="002C7E87"/>
    <w:rsid w:val="002C7F5C"/>
    <w:rsid w:val="002D04F3"/>
    <w:rsid w:val="002D059C"/>
    <w:rsid w:val="002D0BEC"/>
    <w:rsid w:val="002D0BF1"/>
    <w:rsid w:val="002D0E6F"/>
    <w:rsid w:val="002D0FF3"/>
    <w:rsid w:val="002D1016"/>
    <w:rsid w:val="002D1061"/>
    <w:rsid w:val="002D11D7"/>
    <w:rsid w:val="002D12C5"/>
    <w:rsid w:val="002D13FE"/>
    <w:rsid w:val="002D1725"/>
    <w:rsid w:val="002D177E"/>
    <w:rsid w:val="002D185F"/>
    <w:rsid w:val="002D1C8E"/>
    <w:rsid w:val="002D1D60"/>
    <w:rsid w:val="002D1D80"/>
    <w:rsid w:val="002D1DDF"/>
    <w:rsid w:val="002D1E3C"/>
    <w:rsid w:val="002D1EA9"/>
    <w:rsid w:val="002D21D2"/>
    <w:rsid w:val="002D2262"/>
    <w:rsid w:val="002D248D"/>
    <w:rsid w:val="002D25DB"/>
    <w:rsid w:val="002D2BF1"/>
    <w:rsid w:val="002D2E32"/>
    <w:rsid w:val="002D307B"/>
    <w:rsid w:val="002D32BC"/>
    <w:rsid w:val="002D3C36"/>
    <w:rsid w:val="002D3D25"/>
    <w:rsid w:val="002D43AB"/>
    <w:rsid w:val="002D4644"/>
    <w:rsid w:val="002D472A"/>
    <w:rsid w:val="002D4887"/>
    <w:rsid w:val="002D4B37"/>
    <w:rsid w:val="002D4BA7"/>
    <w:rsid w:val="002D522C"/>
    <w:rsid w:val="002D52DD"/>
    <w:rsid w:val="002D5369"/>
    <w:rsid w:val="002D53B7"/>
    <w:rsid w:val="002D566F"/>
    <w:rsid w:val="002D56FA"/>
    <w:rsid w:val="002D5719"/>
    <w:rsid w:val="002D598F"/>
    <w:rsid w:val="002D5A0E"/>
    <w:rsid w:val="002D5A18"/>
    <w:rsid w:val="002D5D21"/>
    <w:rsid w:val="002D6074"/>
    <w:rsid w:val="002D62F3"/>
    <w:rsid w:val="002D6661"/>
    <w:rsid w:val="002D6888"/>
    <w:rsid w:val="002D6C50"/>
    <w:rsid w:val="002D6D60"/>
    <w:rsid w:val="002D6E27"/>
    <w:rsid w:val="002D6FDE"/>
    <w:rsid w:val="002D700D"/>
    <w:rsid w:val="002D77BC"/>
    <w:rsid w:val="002D7B4C"/>
    <w:rsid w:val="002E0032"/>
    <w:rsid w:val="002E0183"/>
    <w:rsid w:val="002E0197"/>
    <w:rsid w:val="002E0272"/>
    <w:rsid w:val="002E02A0"/>
    <w:rsid w:val="002E06AB"/>
    <w:rsid w:val="002E071C"/>
    <w:rsid w:val="002E082B"/>
    <w:rsid w:val="002E0831"/>
    <w:rsid w:val="002E0B96"/>
    <w:rsid w:val="002E1156"/>
    <w:rsid w:val="002E1161"/>
    <w:rsid w:val="002E15D9"/>
    <w:rsid w:val="002E15EC"/>
    <w:rsid w:val="002E1901"/>
    <w:rsid w:val="002E1907"/>
    <w:rsid w:val="002E1A02"/>
    <w:rsid w:val="002E1B6B"/>
    <w:rsid w:val="002E1CC1"/>
    <w:rsid w:val="002E205B"/>
    <w:rsid w:val="002E23BE"/>
    <w:rsid w:val="002E28A9"/>
    <w:rsid w:val="002E28CC"/>
    <w:rsid w:val="002E292A"/>
    <w:rsid w:val="002E2D17"/>
    <w:rsid w:val="002E2ECF"/>
    <w:rsid w:val="002E2FB2"/>
    <w:rsid w:val="002E3011"/>
    <w:rsid w:val="002E323C"/>
    <w:rsid w:val="002E3440"/>
    <w:rsid w:val="002E3445"/>
    <w:rsid w:val="002E385C"/>
    <w:rsid w:val="002E3FC1"/>
    <w:rsid w:val="002E4161"/>
    <w:rsid w:val="002E41E6"/>
    <w:rsid w:val="002E4224"/>
    <w:rsid w:val="002E439B"/>
    <w:rsid w:val="002E43F2"/>
    <w:rsid w:val="002E4442"/>
    <w:rsid w:val="002E46D7"/>
    <w:rsid w:val="002E48A1"/>
    <w:rsid w:val="002E4E16"/>
    <w:rsid w:val="002E4FDB"/>
    <w:rsid w:val="002E5127"/>
    <w:rsid w:val="002E523A"/>
    <w:rsid w:val="002E52F3"/>
    <w:rsid w:val="002E52FE"/>
    <w:rsid w:val="002E5864"/>
    <w:rsid w:val="002E58C9"/>
    <w:rsid w:val="002E5B68"/>
    <w:rsid w:val="002E6629"/>
    <w:rsid w:val="002E6870"/>
    <w:rsid w:val="002E6F74"/>
    <w:rsid w:val="002E6FB1"/>
    <w:rsid w:val="002E6FB3"/>
    <w:rsid w:val="002E7480"/>
    <w:rsid w:val="002E76C7"/>
    <w:rsid w:val="002E7C14"/>
    <w:rsid w:val="002F03ED"/>
    <w:rsid w:val="002F0539"/>
    <w:rsid w:val="002F083D"/>
    <w:rsid w:val="002F09F6"/>
    <w:rsid w:val="002F0ABE"/>
    <w:rsid w:val="002F11F4"/>
    <w:rsid w:val="002F187D"/>
    <w:rsid w:val="002F1A48"/>
    <w:rsid w:val="002F1B2E"/>
    <w:rsid w:val="002F1E7F"/>
    <w:rsid w:val="002F246D"/>
    <w:rsid w:val="002F25A2"/>
    <w:rsid w:val="002F2923"/>
    <w:rsid w:val="002F2D2C"/>
    <w:rsid w:val="002F2DE2"/>
    <w:rsid w:val="002F3920"/>
    <w:rsid w:val="002F3EB5"/>
    <w:rsid w:val="002F3EE5"/>
    <w:rsid w:val="002F3FBD"/>
    <w:rsid w:val="002F410D"/>
    <w:rsid w:val="002F43AF"/>
    <w:rsid w:val="002F44E1"/>
    <w:rsid w:val="002F44F6"/>
    <w:rsid w:val="002F48C5"/>
    <w:rsid w:val="002F4BEB"/>
    <w:rsid w:val="002F4C0E"/>
    <w:rsid w:val="002F4E0A"/>
    <w:rsid w:val="002F50EA"/>
    <w:rsid w:val="002F5360"/>
    <w:rsid w:val="002F55C9"/>
    <w:rsid w:val="002F5675"/>
    <w:rsid w:val="002F57C5"/>
    <w:rsid w:val="002F59DC"/>
    <w:rsid w:val="002F5A41"/>
    <w:rsid w:val="002F5AE4"/>
    <w:rsid w:val="002F657C"/>
    <w:rsid w:val="002F66E3"/>
    <w:rsid w:val="002F67E3"/>
    <w:rsid w:val="002F68B1"/>
    <w:rsid w:val="002F6C65"/>
    <w:rsid w:val="002F7293"/>
    <w:rsid w:val="002F73C5"/>
    <w:rsid w:val="002F73DE"/>
    <w:rsid w:val="002F74FC"/>
    <w:rsid w:val="002F78A4"/>
    <w:rsid w:val="002F7B51"/>
    <w:rsid w:val="002F7C5A"/>
    <w:rsid w:val="0030013B"/>
    <w:rsid w:val="00300801"/>
    <w:rsid w:val="0030096B"/>
    <w:rsid w:val="00300EA9"/>
    <w:rsid w:val="00300F21"/>
    <w:rsid w:val="00300FCD"/>
    <w:rsid w:val="00301134"/>
    <w:rsid w:val="003012B0"/>
    <w:rsid w:val="003012C1"/>
    <w:rsid w:val="003013EA"/>
    <w:rsid w:val="00301642"/>
    <w:rsid w:val="00301A0C"/>
    <w:rsid w:val="00301B4D"/>
    <w:rsid w:val="00301C1D"/>
    <w:rsid w:val="00301E08"/>
    <w:rsid w:val="003021F3"/>
    <w:rsid w:val="003022CA"/>
    <w:rsid w:val="0030244C"/>
    <w:rsid w:val="00302653"/>
    <w:rsid w:val="003026AF"/>
    <w:rsid w:val="0030272E"/>
    <w:rsid w:val="00302804"/>
    <w:rsid w:val="00302877"/>
    <w:rsid w:val="00302897"/>
    <w:rsid w:val="00302B90"/>
    <w:rsid w:val="00303081"/>
    <w:rsid w:val="0030313D"/>
    <w:rsid w:val="0030358B"/>
    <w:rsid w:val="003036FF"/>
    <w:rsid w:val="0030375B"/>
    <w:rsid w:val="003037F4"/>
    <w:rsid w:val="003038B4"/>
    <w:rsid w:val="003039C0"/>
    <w:rsid w:val="003039E7"/>
    <w:rsid w:val="00303A50"/>
    <w:rsid w:val="00303A67"/>
    <w:rsid w:val="00303AF4"/>
    <w:rsid w:val="00303BCC"/>
    <w:rsid w:val="00303BEE"/>
    <w:rsid w:val="00303E0D"/>
    <w:rsid w:val="00303FE9"/>
    <w:rsid w:val="003047C4"/>
    <w:rsid w:val="00304894"/>
    <w:rsid w:val="00304C26"/>
    <w:rsid w:val="00304CDE"/>
    <w:rsid w:val="00304D08"/>
    <w:rsid w:val="00304E37"/>
    <w:rsid w:val="00304F90"/>
    <w:rsid w:val="00305172"/>
    <w:rsid w:val="0030520E"/>
    <w:rsid w:val="003052D5"/>
    <w:rsid w:val="00305316"/>
    <w:rsid w:val="0030536A"/>
    <w:rsid w:val="0030554B"/>
    <w:rsid w:val="00305748"/>
    <w:rsid w:val="00305774"/>
    <w:rsid w:val="00305791"/>
    <w:rsid w:val="00305A08"/>
    <w:rsid w:val="00305A90"/>
    <w:rsid w:val="00305A95"/>
    <w:rsid w:val="00305D15"/>
    <w:rsid w:val="00305FF9"/>
    <w:rsid w:val="0030632D"/>
    <w:rsid w:val="00306532"/>
    <w:rsid w:val="0030693B"/>
    <w:rsid w:val="00306AB9"/>
    <w:rsid w:val="00306C14"/>
    <w:rsid w:val="00306F89"/>
    <w:rsid w:val="0030705B"/>
    <w:rsid w:val="0030795A"/>
    <w:rsid w:val="00310179"/>
    <w:rsid w:val="0031030C"/>
    <w:rsid w:val="00310458"/>
    <w:rsid w:val="003104F0"/>
    <w:rsid w:val="00310D35"/>
    <w:rsid w:val="00310E73"/>
    <w:rsid w:val="0031111A"/>
    <w:rsid w:val="0031118A"/>
    <w:rsid w:val="00311409"/>
    <w:rsid w:val="0031155B"/>
    <w:rsid w:val="00311B7A"/>
    <w:rsid w:val="00311C4E"/>
    <w:rsid w:val="00311CF9"/>
    <w:rsid w:val="00311D2B"/>
    <w:rsid w:val="00311E19"/>
    <w:rsid w:val="00311E60"/>
    <w:rsid w:val="00311EF9"/>
    <w:rsid w:val="00312249"/>
    <w:rsid w:val="00312285"/>
    <w:rsid w:val="00312520"/>
    <w:rsid w:val="00312659"/>
    <w:rsid w:val="003126C2"/>
    <w:rsid w:val="00312D6A"/>
    <w:rsid w:val="00312F10"/>
    <w:rsid w:val="00312FD0"/>
    <w:rsid w:val="00313029"/>
    <w:rsid w:val="0031317D"/>
    <w:rsid w:val="003136A9"/>
    <w:rsid w:val="003136BC"/>
    <w:rsid w:val="003138A5"/>
    <w:rsid w:val="0031392B"/>
    <w:rsid w:val="00313A07"/>
    <w:rsid w:val="00313ABE"/>
    <w:rsid w:val="00313C18"/>
    <w:rsid w:val="00313D9A"/>
    <w:rsid w:val="00314052"/>
    <w:rsid w:val="00314072"/>
    <w:rsid w:val="003142AC"/>
    <w:rsid w:val="00314484"/>
    <w:rsid w:val="003144D1"/>
    <w:rsid w:val="00314554"/>
    <w:rsid w:val="003145E2"/>
    <w:rsid w:val="0031475F"/>
    <w:rsid w:val="003149F5"/>
    <w:rsid w:val="00314E63"/>
    <w:rsid w:val="00314F16"/>
    <w:rsid w:val="003152EA"/>
    <w:rsid w:val="003153E2"/>
    <w:rsid w:val="0031548D"/>
    <w:rsid w:val="003154BE"/>
    <w:rsid w:val="00315607"/>
    <w:rsid w:val="003158B3"/>
    <w:rsid w:val="00316757"/>
    <w:rsid w:val="0031685E"/>
    <w:rsid w:val="00316A17"/>
    <w:rsid w:val="00316BB7"/>
    <w:rsid w:val="00316CBA"/>
    <w:rsid w:val="00316CDA"/>
    <w:rsid w:val="00316D61"/>
    <w:rsid w:val="00316F85"/>
    <w:rsid w:val="00317176"/>
    <w:rsid w:val="00317227"/>
    <w:rsid w:val="00317394"/>
    <w:rsid w:val="003174BA"/>
    <w:rsid w:val="003175CD"/>
    <w:rsid w:val="00317628"/>
    <w:rsid w:val="0031779A"/>
    <w:rsid w:val="00317C09"/>
    <w:rsid w:val="00317CA1"/>
    <w:rsid w:val="00317DB6"/>
    <w:rsid w:val="00317EB8"/>
    <w:rsid w:val="00320471"/>
    <w:rsid w:val="0032058A"/>
    <w:rsid w:val="003206BA"/>
    <w:rsid w:val="00320956"/>
    <w:rsid w:val="00320CA7"/>
    <w:rsid w:val="00320CFC"/>
    <w:rsid w:val="00320EF1"/>
    <w:rsid w:val="0032106B"/>
    <w:rsid w:val="0032121E"/>
    <w:rsid w:val="0032162B"/>
    <w:rsid w:val="00321CB2"/>
    <w:rsid w:val="00321F82"/>
    <w:rsid w:val="0032211F"/>
    <w:rsid w:val="003221E9"/>
    <w:rsid w:val="00322524"/>
    <w:rsid w:val="003226A6"/>
    <w:rsid w:val="00322B23"/>
    <w:rsid w:val="00323028"/>
    <w:rsid w:val="00323234"/>
    <w:rsid w:val="00323498"/>
    <w:rsid w:val="00323784"/>
    <w:rsid w:val="0032383C"/>
    <w:rsid w:val="0032394B"/>
    <w:rsid w:val="00323C09"/>
    <w:rsid w:val="00323E4B"/>
    <w:rsid w:val="003243D3"/>
    <w:rsid w:val="00324BCB"/>
    <w:rsid w:val="00324C83"/>
    <w:rsid w:val="00324EFC"/>
    <w:rsid w:val="00324F2E"/>
    <w:rsid w:val="00325703"/>
    <w:rsid w:val="00325974"/>
    <w:rsid w:val="00325AC7"/>
    <w:rsid w:val="00325BC3"/>
    <w:rsid w:val="00325C5F"/>
    <w:rsid w:val="00325D86"/>
    <w:rsid w:val="00325E0C"/>
    <w:rsid w:val="00325F6C"/>
    <w:rsid w:val="00325FC7"/>
    <w:rsid w:val="00326195"/>
    <w:rsid w:val="003264A6"/>
    <w:rsid w:val="003267C5"/>
    <w:rsid w:val="00326955"/>
    <w:rsid w:val="003269CB"/>
    <w:rsid w:val="00326B6D"/>
    <w:rsid w:val="00326FA3"/>
    <w:rsid w:val="00327167"/>
    <w:rsid w:val="0032745A"/>
    <w:rsid w:val="00327749"/>
    <w:rsid w:val="00327823"/>
    <w:rsid w:val="0032786A"/>
    <w:rsid w:val="00327A43"/>
    <w:rsid w:val="00327E94"/>
    <w:rsid w:val="003300A7"/>
    <w:rsid w:val="00330107"/>
    <w:rsid w:val="00330177"/>
    <w:rsid w:val="0033027C"/>
    <w:rsid w:val="00330460"/>
    <w:rsid w:val="00330890"/>
    <w:rsid w:val="00330A72"/>
    <w:rsid w:val="00330E71"/>
    <w:rsid w:val="00330E82"/>
    <w:rsid w:val="003312E8"/>
    <w:rsid w:val="00331556"/>
    <w:rsid w:val="003318BA"/>
    <w:rsid w:val="00331972"/>
    <w:rsid w:val="00331A9E"/>
    <w:rsid w:val="00331F9E"/>
    <w:rsid w:val="00332097"/>
    <w:rsid w:val="00332A7D"/>
    <w:rsid w:val="00332C73"/>
    <w:rsid w:val="00332D3A"/>
    <w:rsid w:val="00332D8A"/>
    <w:rsid w:val="00332EE7"/>
    <w:rsid w:val="00333359"/>
    <w:rsid w:val="003335B8"/>
    <w:rsid w:val="003337EE"/>
    <w:rsid w:val="003338C7"/>
    <w:rsid w:val="00333BF6"/>
    <w:rsid w:val="00333E49"/>
    <w:rsid w:val="00333E88"/>
    <w:rsid w:val="00333F31"/>
    <w:rsid w:val="00333F55"/>
    <w:rsid w:val="00334405"/>
    <w:rsid w:val="0033449C"/>
    <w:rsid w:val="0033475A"/>
    <w:rsid w:val="003349E5"/>
    <w:rsid w:val="00334C1E"/>
    <w:rsid w:val="00334EFD"/>
    <w:rsid w:val="003350C8"/>
    <w:rsid w:val="0033517B"/>
    <w:rsid w:val="003358E1"/>
    <w:rsid w:val="00335BD3"/>
    <w:rsid w:val="00335D51"/>
    <w:rsid w:val="00335E3F"/>
    <w:rsid w:val="00335E95"/>
    <w:rsid w:val="00336500"/>
    <w:rsid w:val="00336AF2"/>
    <w:rsid w:val="00336B7B"/>
    <w:rsid w:val="00336C34"/>
    <w:rsid w:val="00336DDB"/>
    <w:rsid w:val="00336DE0"/>
    <w:rsid w:val="00336EC5"/>
    <w:rsid w:val="00336FFE"/>
    <w:rsid w:val="00337340"/>
    <w:rsid w:val="0033736E"/>
    <w:rsid w:val="003373C4"/>
    <w:rsid w:val="00337562"/>
    <w:rsid w:val="0033773C"/>
    <w:rsid w:val="00337A10"/>
    <w:rsid w:val="00337B1E"/>
    <w:rsid w:val="0034000A"/>
    <w:rsid w:val="00340031"/>
    <w:rsid w:val="00340150"/>
    <w:rsid w:val="0034048C"/>
    <w:rsid w:val="00340533"/>
    <w:rsid w:val="0034073D"/>
    <w:rsid w:val="0034074F"/>
    <w:rsid w:val="00340DFB"/>
    <w:rsid w:val="003410F7"/>
    <w:rsid w:val="0034116B"/>
    <w:rsid w:val="00341294"/>
    <w:rsid w:val="003412E1"/>
    <w:rsid w:val="00341438"/>
    <w:rsid w:val="003414CA"/>
    <w:rsid w:val="0034169F"/>
    <w:rsid w:val="0034191D"/>
    <w:rsid w:val="00341B1E"/>
    <w:rsid w:val="00341C72"/>
    <w:rsid w:val="003421D2"/>
    <w:rsid w:val="00342216"/>
    <w:rsid w:val="0034229A"/>
    <w:rsid w:val="00342357"/>
    <w:rsid w:val="0034237C"/>
    <w:rsid w:val="003427BA"/>
    <w:rsid w:val="00342A75"/>
    <w:rsid w:val="00342B02"/>
    <w:rsid w:val="00342C3D"/>
    <w:rsid w:val="00342C83"/>
    <w:rsid w:val="00342EF7"/>
    <w:rsid w:val="00343084"/>
    <w:rsid w:val="003430AD"/>
    <w:rsid w:val="003431AB"/>
    <w:rsid w:val="0034326C"/>
    <w:rsid w:val="0034389F"/>
    <w:rsid w:val="00343CA7"/>
    <w:rsid w:val="00343FF6"/>
    <w:rsid w:val="0034416F"/>
    <w:rsid w:val="00344263"/>
    <w:rsid w:val="00344531"/>
    <w:rsid w:val="00344916"/>
    <w:rsid w:val="00344C80"/>
    <w:rsid w:val="00344F56"/>
    <w:rsid w:val="00344FA4"/>
    <w:rsid w:val="00344FF8"/>
    <w:rsid w:val="0034500B"/>
    <w:rsid w:val="00345031"/>
    <w:rsid w:val="0034509B"/>
    <w:rsid w:val="0034512B"/>
    <w:rsid w:val="00345659"/>
    <w:rsid w:val="003456C4"/>
    <w:rsid w:val="0034573A"/>
    <w:rsid w:val="0034580F"/>
    <w:rsid w:val="003458FF"/>
    <w:rsid w:val="00345981"/>
    <w:rsid w:val="00345BC6"/>
    <w:rsid w:val="00345DF3"/>
    <w:rsid w:val="00346326"/>
    <w:rsid w:val="003463A9"/>
    <w:rsid w:val="00346584"/>
    <w:rsid w:val="00346726"/>
    <w:rsid w:val="003467AC"/>
    <w:rsid w:val="0034680E"/>
    <w:rsid w:val="00346965"/>
    <w:rsid w:val="003469DA"/>
    <w:rsid w:val="00346B04"/>
    <w:rsid w:val="00346DC2"/>
    <w:rsid w:val="00346E68"/>
    <w:rsid w:val="0034719A"/>
    <w:rsid w:val="003474F3"/>
    <w:rsid w:val="00347889"/>
    <w:rsid w:val="00347E34"/>
    <w:rsid w:val="00347EEB"/>
    <w:rsid w:val="003501A8"/>
    <w:rsid w:val="0035031B"/>
    <w:rsid w:val="003503D0"/>
    <w:rsid w:val="00350511"/>
    <w:rsid w:val="003506DC"/>
    <w:rsid w:val="00350B89"/>
    <w:rsid w:val="00350BD2"/>
    <w:rsid w:val="00350C71"/>
    <w:rsid w:val="00350F32"/>
    <w:rsid w:val="00350FA1"/>
    <w:rsid w:val="003510FA"/>
    <w:rsid w:val="00351256"/>
    <w:rsid w:val="003516B6"/>
    <w:rsid w:val="003518BC"/>
    <w:rsid w:val="00351C54"/>
    <w:rsid w:val="0035231C"/>
    <w:rsid w:val="003523DE"/>
    <w:rsid w:val="00352A2A"/>
    <w:rsid w:val="00352A52"/>
    <w:rsid w:val="00352D65"/>
    <w:rsid w:val="00352DFB"/>
    <w:rsid w:val="00352E52"/>
    <w:rsid w:val="003531D7"/>
    <w:rsid w:val="00353499"/>
    <w:rsid w:val="0035374E"/>
    <w:rsid w:val="0035378F"/>
    <w:rsid w:val="00353CBC"/>
    <w:rsid w:val="0035446A"/>
    <w:rsid w:val="003544F1"/>
    <w:rsid w:val="0035464D"/>
    <w:rsid w:val="0035466F"/>
    <w:rsid w:val="00354E2B"/>
    <w:rsid w:val="00354E58"/>
    <w:rsid w:val="003557B0"/>
    <w:rsid w:val="00355898"/>
    <w:rsid w:val="003558A1"/>
    <w:rsid w:val="003558A2"/>
    <w:rsid w:val="00355CB9"/>
    <w:rsid w:val="00355DC8"/>
    <w:rsid w:val="00355EEA"/>
    <w:rsid w:val="003565D0"/>
    <w:rsid w:val="003568B8"/>
    <w:rsid w:val="003568C1"/>
    <w:rsid w:val="00356A16"/>
    <w:rsid w:val="00356C98"/>
    <w:rsid w:val="00356CF1"/>
    <w:rsid w:val="00356EC9"/>
    <w:rsid w:val="00356F68"/>
    <w:rsid w:val="00356FCC"/>
    <w:rsid w:val="003574C8"/>
    <w:rsid w:val="0035799C"/>
    <w:rsid w:val="00360030"/>
    <w:rsid w:val="00360059"/>
    <w:rsid w:val="003601CF"/>
    <w:rsid w:val="00360331"/>
    <w:rsid w:val="00360A83"/>
    <w:rsid w:val="00360A93"/>
    <w:rsid w:val="00360ACD"/>
    <w:rsid w:val="00360E8E"/>
    <w:rsid w:val="00360F34"/>
    <w:rsid w:val="00360F9B"/>
    <w:rsid w:val="003611B9"/>
    <w:rsid w:val="0036168A"/>
    <w:rsid w:val="003618A8"/>
    <w:rsid w:val="003619A0"/>
    <w:rsid w:val="00361C95"/>
    <w:rsid w:val="00361F60"/>
    <w:rsid w:val="003620C2"/>
    <w:rsid w:val="00362EF2"/>
    <w:rsid w:val="00363117"/>
    <w:rsid w:val="00363293"/>
    <w:rsid w:val="0036346E"/>
    <w:rsid w:val="0036352D"/>
    <w:rsid w:val="00363824"/>
    <w:rsid w:val="00363940"/>
    <w:rsid w:val="00363AD3"/>
    <w:rsid w:val="00363EC9"/>
    <w:rsid w:val="00363F22"/>
    <w:rsid w:val="00364158"/>
    <w:rsid w:val="003643B8"/>
    <w:rsid w:val="00364434"/>
    <w:rsid w:val="003644CC"/>
    <w:rsid w:val="00364538"/>
    <w:rsid w:val="0036472B"/>
    <w:rsid w:val="00364884"/>
    <w:rsid w:val="00364989"/>
    <w:rsid w:val="00364D3C"/>
    <w:rsid w:val="00364D8C"/>
    <w:rsid w:val="00364DE6"/>
    <w:rsid w:val="00364ECF"/>
    <w:rsid w:val="00365030"/>
    <w:rsid w:val="003655AD"/>
    <w:rsid w:val="003656E9"/>
    <w:rsid w:val="003658F2"/>
    <w:rsid w:val="00365CFC"/>
    <w:rsid w:val="0036628B"/>
    <w:rsid w:val="00366477"/>
    <w:rsid w:val="003664A6"/>
    <w:rsid w:val="00366666"/>
    <w:rsid w:val="0036670C"/>
    <w:rsid w:val="00366E3D"/>
    <w:rsid w:val="00366EE2"/>
    <w:rsid w:val="00366F37"/>
    <w:rsid w:val="00366FDD"/>
    <w:rsid w:val="00367480"/>
    <w:rsid w:val="00367548"/>
    <w:rsid w:val="003679AB"/>
    <w:rsid w:val="00367E1F"/>
    <w:rsid w:val="00367FE6"/>
    <w:rsid w:val="00370456"/>
    <w:rsid w:val="0037058C"/>
    <w:rsid w:val="00370AAD"/>
    <w:rsid w:val="00370CC4"/>
    <w:rsid w:val="00370EA3"/>
    <w:rsid w:val="00370EDD"/>
    <w:rsid w:val="003711A8"/>
    <w:rsid w:val="0037148F"/>
    <w:rsid w:val="00371F3B"/>
    <w:rsid w:val="00371F4F"/>
    <w:rsid w:val="0037239A"/>
    <w:rsid w:val="0037241D"/>
    <w:rsid w:val="00372676"/>
    <w:rsid w:val="00372A61"/>
    <w:rsid w:val="00372BB4"/>
    <w:rsid w:val="00372E9F"/>
    <w:rsid w:val="003732CC"/>
    <w:rsid w:val="00373575"/>
    <w:rsid w:val="003736FC"/>
    <w:rsid w:val="00373806"/>
    <w:rsid w:val="00373879"/>
    <w:rsid w:val="0037388B"/>
    <w:rsid w:val="00373DE7"/>
    <w:rsid w:val="0037415B"/>
    <w:rsid w:val="0037436D"/>
    <w:rsid w:val="003745BF"/>
    <w:rsid w:val="003748BD"/>
    <w:rsid w:val="003748E4"/>
    <w:rsid w:val="003749E6"/>
    <w:rsid w:val="00374D02"/>
    <w:rsid w:val="0037540C"/>
    <w:rsid w:val="0037573F"/>
    <w:rsid w:val="00375747"/>
    <w:rsid w:val="0037581A"/>
    <w:rsid w:val="0037581F"/>
    <w:rsid w:val="00375AC7"/>
    <w:rsid w:val="00375E0E"/>
    <w:rsid w:val="0037609D"/>
    <w:rsid w:val="003763B9"/>
    <w:rsid w:val="0037642B"/>
    <w:rsid w:val="00376DD3"/>
    <w:rsid w:val="003770A1"/>
    <w:rsid w:val="003771E2"/>
    <w:rsid w:val="003773A6"/>
    <w:rsid w:val="00377401"/>
    <w:rsid w:val="0037751F"/>
    <w:rsid w:val="003777EB"/>
    <w:rsid w:val="00377C91"/>
    <w:rsid w:val="00377DE5"/>
    <w:rsid w:val="003800E2"/>
    <w:rsid w:val="00380305"/>
    <w:rsid w:val="00380405"/>
    <w:rsid w:val="0038048C"/>
    <w:rsid w:val="003804ED"/>
    <w:rsid w:val="00380615"/>
    <w:rsid w:val="00380638"/>
    <w:rsid w:val="00380885"/>
    <w:rsid w:val="00380B17"/>
    <w:rsid w:val="00380CD1"/>
    <w:rsid w:val="00380FC5"/>
    <w:rsid w:val="0038115B"/>
    <w:rsid w:val="00381521"/>
    <w:rsid w:val="0038160A"/>
    <w:rsid w:val="00381819"/>
    <w:rsid w:val="00381A0D"/>
    <w:rsid w:val="00381C16"/>
    <w:rsid w:val="00381D1B"/>
    <w:rsid w:val="00381E2D"/>
    <w:rsid w:val="00382140"/>
    <w:rsid w:val="00382316"/>
    <w:rsid w:val="0038252D"/>
    <w:rsid w:val="0038283C"/>
    <w:rsid w:val="00382E4C"/>
    <w:rsid w:val="00382F3B"/>
    <w:rsid w:val="00382F59"/>
    <w:rsid w:val="0038300F"/>
    <w:rsid w:val="0038319F"/>
    <w:rsid w:val="00383397"/>
    <w:rsid w:val="003834DE"/>
    <w:rsid w:val="003834E9"/>
    <w:rsid w:val="003836FA"/>
    <w:rsid w:val="00383C78"/>
    <w:rsid w:val="00383F08"/>
    <w:rsid w:val="00383F8D"/>
    <w:rsid w:val="0038406F"/>
    <w:rsid w:val="00384161"/>
    <w:rsid w:val="003846BA"/>
    <w:rsid w:val="00384CA5"/>
    <w:rsid w:val="00384D50"/>
    <w:rsid w:val="00384EFD"/>
    <w:rsid w:val="00385023"/>
    <w:rsid w:val="003850DB"/>
    <w:rsid w:val="003856BE"/>
    <w:rsid w:val="00385772"/>
    <w:rsid w:val="003857E0"/>
    <w:rsid w:val="00385D85"/>
    <w:rsid w:val="00385FDC"/>
    <w:rsid w:val="00386239"/>
    <w:rsid w:val="003864AD"/>
    <w:rsid w:val="00386566"/>
    <w:rsid w:val="003865F0"/>
    <w:rsid w:val="003867E2"/>
    <w:rsid w:val="00386C01"/>
    <w:rsid w:val="0038716A"/>
    <w:rsid w:val="003874EC"/>
    <w:rsid w:val="00387607"/>
    <w:rsid w:val="00387652"/>
    <w:rsid w:val="003879E6"/>
    <w:rsid w:val="00387D5C"/>
    <w:rsid w:val="00387F7C"/>
    <w:rsid w:val="00390010"/>
    <w:rsid w:val="003901FD"/>
    <w:rsid w:val="003903E2"/>
    <w:rsid w:val="003904A9"/>
    <w:rsid w:val="003905D9"/>
    <w:rsid w:val="0039066A"/>
    <w:rsid w:val="003909DF"/>
    <w:rsid w:val="00390D3E"/>
    <w:rsid w:val="00390E47"/>
    <w:rsid w:val="00390ED9"/>
    <w:rsid w:val="00390F96"/>
    <w:rsid w:val="00390FCE"/>
    <w:rsid w:val="003910B7"/>
    <w:rsid w:val="00391544"/>
    <w:rsid w:val="00391619"/>
    <w:rsid w:val="00391851"/>
    <w:rsid w:val="00391874"/>
    <w:rsid w:val="0039204C"/>
    <w:rsid w:val="0039213A"/>
    <w:rsid w:val="0039237E"/>
    <w:rsid w:val="003924B0"/>
    <w:rsid w:val="00392A8B"/>
    <w:rsid w:val="003931D5"/>
    <w:rsid w:val="00393381"/>
    <w:rsid w:val="003934FA"/>
    <w:rsid w:val="003937B6"/>
    <w:rsid w:val="00393850"/>
    <w:rsid w:val="00393871"/>
    <w:rsid w:val="00393A03"/>
    <w:rsid w:val="00393AD5"/>
    <w:rsid w:val="00393B4C"/>
    <w:rsid w:val="00393B88"/>
    <w:rsid w:val="00393BAD"/>
    <w:rsid w:val="00393C74"/>
    <w:rsid w:val="00393F41"/>
    <w:rsid w:val="0039404A"/>
    <w:rsid w:val="003941B1"/>
    <w:rsid w:val="003942D3"/>
    <w:rsid w:val="003943D7"/>
    <w:rsid w:val="003944AE"/>
    <w:rsid w:val="0039464C"/>
    <w:rsid w:val="003947C7"/>
    <w:rsid w:val="0039499B"/>
    <w:rsid w:val="00394EBB"/>
    <w:rsid w:val="003951C4"/>
    <w:rsid w:val="00395254"/>
    <w:rsid w:val="003952C5"/>
    <w:rsid w:val="003952F9"/>
    <w:rsid w:val="003955F6"/>
    <w:rsid w:val="00395824"/>
    <w:rsid w:val="003959BE"/>
    <w:rsid w:val="003959DB"/>
    <w:rsid w:val="00395C45"/>
    <w:rsid w:val="003960A2"/>
    <w:rsid w:val="003964A9"/>
    <w:rsid w:val="003964F6"/>
    <w:rsid w:val="003966A7"/>
    <w:rsid w:val="003966E6"/>
    <w:rsid w:val="003966FF"/>
    <w:rsid w:val="00396963"/>
    <w:rsid w:val="00396B31"/>
    <w:rsid w:val="00396B5B"/>
    <w:rsid w:val="00396C95"/>
    <w:rsid w:val="00396E38"/>
    <w:rsid w:val="00397144"/>
    <w:rsid w:val="00397376"/>
    <w:rsid w:val="0039756D"/>
    <w:rsid w:val="003976CA"/>
    <w:rsid w:val="00397A57"/>
    <w:rsid w:val="00397E1D"/>
    <w:rsid w:val="003A004F"/>
    <w:rsid w:val="003A0251"/>
    <w:rsid w:val="003A04F1"/>
    <w:rsid w:val="003A06B6"/>
    <w:rsid w:val="003A06CA"/>
    <w:rsid w:val="003A06D4"/>
    <w:rsid w:val="003A07B4"/>
    <w:rsid w:val="003A0804"/>
    <w:rsid w:val="003A08CD"/>
    <w:rsid w:val="003A0AD8"/>
    <w:rsid w:val="003A1061"/>
    <w:rsid w:val="003A11B6"/>
    <w:rsid w:val="003A1496"/>
    <w:rsid w:val="003A1911"/>
    <w:rsid w:val="003A1C86"/>
    <w:rsid w:val="003A1E59"/>
    <w:rsid w:val="003A1EA9"/>
    <w:rsid w:val="003A222C"/>
    <w:rsid w:val="003A254A"/>
    <w:rsid w:val="003A2727"/>
    <w:rsid w:val="003A29E7"/>
    <w:rsid w:val="003A2A1D"/>
    <w:rsid w:val="003A2AB0"/>
    <w:rsid w:val="003A2B2C"/>
    <w:rsid w:val="003A2BBB"/>
    <w:rsid w:val="003A2DE8"/>
    <w:rsid w:val="003A2E23"/>
    <w:rsid w:val="003A3732"/>
    <w:rsid w:val="003A3AB4"/>
    <w:rsid w:val="003A3D84"/>
    <w:rsid w:val="003A414D"/>
    <w:rsid w:val="003A42A2"/>
    <w:rsid w:val="003A433C"/>
    <w:rsid w:val="003A448C"/>
    <w:rsid w:val="003A48D4"/>
    <w:rsid w:val="003A4BA3"/>
    <w:rsid w:val="003A4CDF"/>
    <w:rsid w:val="003A4DC0"/>
    <w:rsid w:val="003A4DE0"/>
    <w:rsid w:val="003A4E7D"/>
    <w:rsid w:val="003A5014"/>
    <w:rsid w:val="003A5073"/>
    <w:rsid w:val="003A50DC"/>
    <w:rsid w:val="003A5747"/>
    <w:rsid w:val="003A5A97"/>
    <w:rsid w:val="003A5BC4"/>
    <w:rsid w:val="003A5D2E"/>
    <w:rsid w:val="003A614B"/>
    <w:rsid w:val="003A6655"/>
    <w:rsid w:val="003A67E3"/>
    <w:rsid w:val="003A683A"/>
    <w:rsid w:val="003A6CDB"/>
    <w:rsid w:val="003A7052"/>
    <w:rsid w:val="003A76C1"/>
    <w:rsid w:val="003A782B"/>
    <w:rsid w:val="003A792A"/>
    <w:rsid w:val="003A7AB2"/>
    <w:rsid w:val="003B001B"/>
    <w:rsid w:val="003B0111"/>
    <w:rsid w:val="003B0168"/>
    <w:rsid w:val="003B03A6"/>
    <w:rsid w:val="003B0421"/>
    <w:rsid w:val="003B0450"/>
    <w:rsid w:val="003B07A9"/>
    <w:rsid w:val="003B0BAC"/>
    <w:rsid w:val="003B0E03"/>
    <w:rsid w:val="003B0E83"/>
    <w:rsid w:val="003B1234"/>
    <w:rsid w:val="003B1239"/>
    <w:rsid w:val="003B1414"/>
    <w:rsid w:val="003B1771"/>
    <w:rsid w:val="003B1CD8"/>
    <w:rsid w:val="003B228F"/>
    <w:rsid w:val="003B27D6"/>
    <w:rsid w:val="003B2CEA"/>
    <w:rsid w:val="003B2D04"/>
    <w:rsid w:val="003B2D3A"/>
    <w:rsid w:val="003B2DC4"/>
    <w:rsid w:val="003B2ED1"/>
    <w:rsid w:val="003B30B0"/>
    <w:rsid w:val="003B3673"/>
    <w:rsid w:val="003B37D7"/>
    <w:rsid w:val="003B3880"/>
    <w:rsid w:val="003B38EA"/>
    <w:rsid w:val="003B3BE2"/>
    <w:rsid w:val="003B3DAE"/>
    <w:rsid w:val="003B448F"/>
    <w:rsid w:val="003B451F"/>
    <w:rsid w:val="003B4547"/>
    <w:rsid w:val="003B46B9"/>
    <w:rsid w:val="003B4FF5"/>
    <w:rsid w:val="003B505E"/>
    <w:rsid w:val="003B515D"/>
    <w:rsid w:val="003B5297"/>
    <w:rsid w:val="003B540F"/>
    <w:rsid w:val="003B5667"/>
    <w:rsid w:val="003B57BE"/>
    <w:rsid w:val="003B57F9"/>
    <w:rsid w:val="003B5815"/>
    <w:rsid w:val="003B5875"/>
    <w:rsid w:val="003B597E"/>
    <w:rsid w:val="003B5D7A"/>
    <w:rsid w:val="003B5F9F"/>
    <w:rsid w:val="003B6196"/>
    <w:rsid w:val="003B6320"/>
    <w:rsid w:val="003B6843"/>
    <w:rsid w:val="003B6987"/>
    <w:rsid w:val="003B6DBC"/>
    <w:rsid w:val="003B6F81"/>
    <w:rsid w:val="003B7013"/>
    <w:rsid w:val="003B706A"/>
    <w:rsid w:val="003B75AA"/>
    <w:rsid w:val="003B77F4"/>
    <w:rsid w:val="003B79BC"/>
    <w:rsid w:val="003B7A41"/>
    <w:rsid w:val="003B7EB1"/>
    <w:rsid w:val="003C02D2"/>
    <w:rsid w:val="003C03EA"/>
    <w:rsid w:val="003C044F"/>
    <w:rsid w:val="003C0556"/>
    <w:rsid w:val="003C0B56"/>
    <w:rsid w:val="003C1716"/>
    <w:rsid w:val="003C1917"/>
    <w:rsid w:val="003C195C"/>
    <w:rsid w:val="003C19D5"/>
    <w:rsid w:val="003C1A04"/>
    <w:rsid w:val="003C1CF1"/>
    <w:rsid w:val="003C1DBA"/>
    <w:rsid w:val="003C20B7"/>
    <w:rsid w:val="003C20BB"/>
    <w:rsid w:val="003C2823"/>
    <w:rsid w:val="003C2857"/>
    <w:rsid w:val="003C287F"/>
    <w:rsid w:val="003C3363"/>
    <w:rsid w:val="003C3772"/>
    <w:rsid w:val="003C3A26"/>
    <w:rsid w:val="003C3A47"/>
    <w:rsid w:val="003C3A68"/>
    <w:rsid w:val="003C3B47"/>
    <w:rsid w:val="003C3C10"/>
    <w:rsid w:val="003C3EBF"/>
    <w:rsid w:val="003C3F65"/>
    <w:rsid w:val="003C4110"/>
    <w:rsid w:val="003C41A7"/>
    <w:rsid w:val="003C450D"/>
    <w:rsid w:val="003C4A1B"/>
    <w:rsid w:val="003C4EB0"/>
    <w:rsid w:val="003C4F46"/>
    <w:rsid w:val="003C5250"/>
    <w:rsid w:val="003C55CF"/>
    <w:rsid w:val="003C58A6"/>
    <w:rsid w:val="003C5FDD"/>
    <w:rsid w:val="003C6197"/>
    <w:rsid w:val="003C621B"/>
    <w:rsid w:val="003C6246"/>
    <w:rsid w:val="003C655C"/>
    <w:rsid w:val="003C6830"/>
    <w:rsid w:val="003C69D0"/>
    <w:rsid w:val="003C6D5F"/>
    <w:rsid w:val="003C7103"/>
    <w:rsid w:val="003C73D0"/>
    <w:rsid w:val="003C76A1"/>
    <w:rsid w:val="003C7A9C"/>
    <w:rsid w:val="003C7AC2"/>
    <w:rsid w:val="003C7C46"/>
    <w:rsid w:val="003D02B2"/>
    <w:rsid w:val="003D067A"/>
    <w:rsid w:val="003D0732"/>
    <w:rsid w:val="003D07D4"/>
    <w:rsid w:val="003D080E"/>
    <w:rsid w:val="003D102E"/>
    <w:rsid w:val="003D1034"/>
    <w:rsid w:val="003D10D6"/>
    <w:rsid w:val="003D15C1"/>
    <w:rsid w:val="003D169F"/>
    <w:rsid w:val="003D1A1E"/>
    <w:rsid w:val="003D1A48"/>
    <w:rsid w:val="003D1AB2"/>
    <w:rsid w:val="003D1D67"/>
    <w:rsid w:val="003D1F14"/>
    <w:rsid w:val="003D1F58"/>
    <w:rsid w:val="003D2404"/>
    <w:rsid w:val="003D27FD"/>
    <w:rsid w:val="003D29EF"/>
    <w:rsid w:val="003D2CF3"/>
    <w:rsid w:val="003D319D"/>
    <w:rsid w:val="003D32B2"/>
    <w:rsid w:val="003D3573"/>
    <w:rsid w:val="003D36CA"/>
    <w:rsid w:val="003D37BE"/>
    <w:rsid w:val="003D3949"/>
    <w:rsid w:val="003D3C49"/>
    <w:rsid w:val="003D3E29"/>
    <w:rsid w:val="003D3E8E"/>
    <w:rsid w:val="003D3F17"/>
    <w:rsid w:val="003D3F8F"/>
    <w:rsid w:val="003D41BC"/>
    <w:rsid w:val="003D4313"/>
    <w:rsid w:val="003D446C"/>
    <w:rsid w:val="003D476F"/>
    <w:rsid w:val="003D48A1"/>
    <w:rsid w:val="003D49BC"/>
    <w:rsid w:val="003D4C4F"/>
    <w:rsid w:val="003D4C79"/>
    <w:rsid w:val="003D4E32"/>
    <w:rsid w:val="003D4EC1"/>
    <w:rsid w:val="003D5102"/>
    <w:rsid w:val="003D5194"/>
    <w:rsid w:val="003D5541"/>
    <w:rsid w:val="003D588E"/>
    <w:rsid w:val="003D58DA"/>
    <w:rsid w:val="003D59CB"/>
    <w:rsid w:val="003D5C18"/>
    <w:rsid w:val="003D6BED"/>
    <w:rsid w:val="003D71AF"/>
    <w:rsid w:val="003D72F2"/>
    <w:rsid w:val="003D7465"/>
    <w:rsid w:val="003D74EF"/>
    <w:rsid w:val="003D762D"/>
    <w:rsid w:val="003D7B86"/>
    <w:rsid w:val="003D7FE6"/>
    <w:rsid w:val="003E0243"/>
    <w:rsid w:val="003E04FC"/>
    <w:rsid w:val="003E0DA4"/>
    <w:rsid w:val="003E111C"/>
    <w:rsid w:val="003E1249"/>
    <w:rsid w:val="003E1540"/>
    <w:rsid w:val="003E15D1"/>
    <w:rsid w:val="003E1692"/>
    <w:rsid w:val="003E1E51"/>
    <w:rsid w:val="003E2036"/>
    <w:rsid w:val="003E207A"/>
    <w:rsid w:val="003E219E"/>
    <w:rsid w:val="003E21E1"/>
    <w:rsid w:val="003E22D3"/>
    <w:rsid w:val="003E2302"/>
    <w:rsid w:val="003E23E3"/>
    <w:rsid w:val="003E2696"/>
    <w:rsid w:val="003E2828"/>
    <w:rsid w:val="003E28E2"/>
    <w:rsid w:val="003E2909"/>
    <w:rsid w:val="003E2977"/>
    <w:rsid w:val="003E2A75"/>
    <w:rsid w:val="003E2B6C"/>
    <w:rsid w:val="003E2D21"/>
    <w:rsid w:val="003E2E0E"/>
    <w:rsid w:val="003E2FAA"/>
    <w:rsid w:val="003E3017"/>
    <w:rsid w:val="003E30AD"/>
    <w:rsid w:val="003E3583"/>
    <w:rsid w:val="003E36F5"/>
    <w:rsid w:val="003E38C6"/>
    <w:rsid w:val="003E3FEA"/>
    <w:rsid w:val="003E4567"/>
    <w:rsid w:val="003E49E0"/>
    <w:rsid w:val="003E4A3E"/>
    <w:rsid w:val="003E4A84"/>
    <w:rsid w:val="003E4A9B"/>
    <w:rsid w:val="003E4E05"/>
    <w:rsid w:val="003E4E32"/>
    <w:rsid w:val="003E515F"/>
    <w:rsid w:val="003E5E73"/>
    <w:rsid w:val="003E613B"/>
    <w:rsid w:val="003E62F0"/>
    <w:rsid w:val="003E65DE"/>
    <w:rsid w:val="003E6609"/>
    <w:rsid w:val="003E6699"/>
    <w:rsid w:val="003E6749"/>
    <w:rsid w:val="003E6A71"/>
    <w:rsid w:val="003E71E4"/>
    <w:rsid w:val="003E734A"/>
    <w:rsid w:val="003E73FC"/>
    <w:rsid w:val="003E7618"/>
    <w:rsid w:val="003E7627"/>
    <w:rsid w:val="003E789C"/>
    <w:rsid w:val="003E7B47"/>
    <w:rsid w:val="003E7B4B"/>
    <w:rsid w:val="003E7C01"/>
    <w:rsid w:val="003E7C7B"/>
    <w:rsid w:val="003E7C9A"/>
    <w:rsid w:val="003E7D7C"/>
    <w:rsid w:val="003E7E17"/>
    <w:rsid w:val="003E7EB4"/>
    <w:rsid w:val="003F02B1"/>
    <w:rsid w:val="003F02DE"/>
    <w:rsid w:val="003F03F4"/>
    <w:rsid w:val="003F0D89"/>
    <w:rsid w:val="003F0DD0"/>
    <w:rsid w:val="003F12AC"/>
    <w:rsid w:val="003F15A9"/>
    <w:rsid w:val="003F1AD2"/>
    <w:rsid w:val="003F1B67"/>
    <w:rsid w:val="003F1CDA"/>
    <w:rsid w:val="003F1D7F"/>
    <w:rsid w:val="003F20B9"/>
    <w:rsid w:val="003F220D"/>
    <w:rsid w:val="003F23DD"/>
    <w:rsid w:val="003F2A06"/>
    <w:rsid w:val="003F2AD5"/>
    <w:rsid w:val="003F30AB"/>
    <w:rsid w:val="003F3212"/>
    <w:rsid w:val="003F3234"/>
    <w:rsid w:val="003F39DD"/>
    <w:rsid w:val="003F3FCC"/>
    <w:rsid w:val="003F4033"/>
    <w:rsid w:val="003F4721"/>
    <w:rsid w:val="003F48F7"/>
    <w:rsid w:val="003F4A10"/>
    <w:rsid w:val="003F4A82"/>
    <w:rsid w:val="003F4C06"/>
    <w:rsid w:val="003F4E82"/>
    <w:rsid w:val="003F4F0A"/>
    <w:rsid w:val="003F4F4E"/>
    <w:rsid w:val="003F50BE"/>
    <w:rsid w:val="003F5451"/>
    <w:rsid w:val="003F56E4"/>
    <w:rsid w:val="003F578A"/>
    <w:rsid w:val="003F57FB"/>
    <w:rsid w:val="003F5B7B"/>
    <w:rsid w:val="003F5D56"/>
    <w:rsid w:val="003F5D88"/>
    <w:rsid w:val="003F5F32"/>
    <w:rsid w:val="003F6415"/>
    <w:rsid w:val="003F667D"/>
    <w:rsid w:val="003F6780"/>
    <w:rsid w:val="003F67BB"/>
    <w:rsid w:val="003F67ED"/>
    <w:rsid w:val="003F68FC"/>
    <w:rsid w:val="003F69B8"/>
    <w:rsid w:val="003F6B01"/>
    <w:rsid w:val="003F6BB7"/>
    <w:rsid w:val="003F6D4F"/>
    <w:rsid w:val="003F6D59"/>
    <w:rsid w:val="003F6D8A"/>
    <w:rsid w:val="003F6DB8"/>
    <w:rsid w:val="003F75B4"/>
    <w:rsid w:val="003F7821"/>
    <w:rsid w:val="003F7CC6"/>
    <w:rsid w:val="003F7EAB"/>
    <w:rsid w:val="004007D3"/>
    <w:rsid w:val="0040081B"/>
    <w:rsid w:val="00400870"/>
    <w:rsid w:val="00400E83"/>
    <w:rsid w:val="00400F29"/>
    <w:rsid w:val="004010EA"/>
    <w:rsid w:val="0040139E"/>
    <w:rsid w:val="004013B4"/>
    <w:rsid w:val="004018A5"/>
    <w:rsid w:val="0040193B"/>
    <w:rsid w:val="004019A2"/>
    <w:rsid w:val="00401B67"/>
    <w:rsid w:val="00401BE9"/>
    <w:rsid w:val="00401E3E"/>
    <w:rsid w:val="00401F38"/>
    <w:rsid w:val="00401FB3"/>
    <w:rsid w:val="00402228"/>
    <w:rsid w:val="00402736"/>
    <w:rsid w:val="0040285A"/>
    <w:rsid w:val="004029C2"/>
    <w:rsid w:val="00402B40"/>
    <w:rsid w:val="00402F29"/>
    <w:rsid w:val="00402FA8"/>
    <w:rsid w:val="0040301A"/>
    <w:rsid w:val="00403170"/>
    <w:rsid w:val="004031DB"/>
    <w:rsid w:val="0040326B"/>
    <w:rsid w:val="00403322"/>
    <w:rsid w:val="00403334"/>
    <w:rsid w:val="004034A0"/>
    <w:rsid w:val="004036A8"/>
    <w:rsid w:val="004037D4"/>
    <w:rsid w:val="004037E7"/>
    <w:rsid w:val="00403830"/>
    <w:rsid w:val="004038B3"/>
    <w:rsid w:val="0040396B"/>
    <w:rsid w:val="00403D9E"/>
    <w:rsid w:val="00403FB2"/>
    <w:rsid w:val="00404061"/>
    <w:rsid w:val="00404515"/>
    <w:rsid w:val="00404613"/>
    <w:rsid w:val="00404755"/>
    <w:rsid w:val="004048C2"/>
    <w:rsid w:val="004048C6"/>
    <w:rsid w:val="00404AFA"/>
    <w:rsid w:val="00404CF0"/>
    <w:rsid w:val="00404F5D"/>
    <w:rsid w:val="00405019"/>
    <w:rsid w:val="00405027"/>
    <w:rsid w:val="0040510E"/>
    <w:rsid w:val="00405184"/>
    <w:rsid w:val="00405197"/>
    <w:rsid w:val="0040576E"/>
    <w:rsid w:val="004057F4"/>
    <w:rsid w:val="00405842"/>
    <w:rsid w:val="00405A90"/>
    <w:rsid w:val="00405A99"/>
    <w:rsid w:val="00406015"/>
    <w:rsid w:val="004062B5"/>
    <w:rsid w:val="004064D4"/>
    <w:rsid w:val="00406733"/>
    <w:rsid w:val="004067BF"/>
    <w:rsid w:val="00406B43"/>
    <w:rsid w:val="00406CBC"/>
    <w:rsid w:val="00406E8E"/>
    <w:rsid w:val="00406EA8"/>
    <w:rsid w:val="00407023"/>
    <w:rsid w:val="00407030"/>
    <w:rsid w:val="00407434"/>
    <w:rsid w:val="0040767E"/>
    <w:rsid w:val="00407E50"/>
    <w:rsid w:val="00407FEE"/>
    <w:rsid w:val="0041018C"/>
    <w:rsid w:val="004101B8"/>
    <w:rsid w:val="0041027C"/>
    <w:rsid w:val="00410946"/>
    <w:rsid w:val="00410A7B"/>
    <w:rsid w:val="00410E1B"/>
    <w:rsid w:val="0041122E"/>
    <w:rsid w:val="0041130C"/>
    <w:rsid w:val="0041143A"/>
    <w:rsid w:val="00411452"/>
    <w:rsid w:val="00411469"/>
    <w:rsid w:val="00411503"/>
    <w:rsid w:val="00411514"/>
    <w:rsid w:val="00411521"/>
    <w:rsid w:val="0041159A"/>
    <w:rsid w:val="00411770"/>
    <w:rsid w:val="004119EC"/>
    <w:rsid w:val="0041240E"/>
    <w:rsid w:val="0041296C"/>
    <w:rsid w:val="00412B62"/>
    <w:rsid w:val="00412C32"/>
    <w:rsid w:val="00412C6C"/>
    <w:rsid w:val="00412D0D"/>
    <w:rsid w:val="00412DE4"/>
    <w:rsid w:val="00412F91"/>
    <w:rsid w:val="0041302F"/>
    <w:rsid w:val="00413088"/>
    <w:rsid w:val="004134F7"/>
    <w:rsid w:val="0041362B"/>
    <w:rsid w:val="0041363E"/>
    <w:rsid w:val="0041365C"/>
    <w:rsid w:val="004137D2"/>
    <w:rsid w:val="0041380C"/>
    <w:rsid w:val="00413864"/>
    <w:rsid w:val="00413B73"/>
    <w:rsid w:val="00413D2D"/>
    <w:rsid w:val="00413FC5"/>
    <w:rsid w:val="0041416F"/>
    <w:rsid w:val="0041464C"/>
    <w:rsid w:val="00414713"/>
    <w:rsid w:val="00414740"/>
    <w:rsid w:val="00414C39"/>
    <w:rsid w:val="00414D18"/>
    <w:rsid w:val="004153CB"/>
    <w:rsid w:val="004153F7"/>
    <w:rsid w:val="00415491"/>
    <w:rsid w:val="004155D9"/>
    <w:rsid w:val="0041576B"/>
    <w:rsid w:val="0041598D"/>
    <w:rsid w:val="00415D1A"/>
    <w:rsid w:val="00416335"/>
    <w:rsid w:val="00416648"/>
    <w:rsid w:val="0041665C"/>
    <w:rsid w:val="004166A7"/>
    <w:rsid w:val="004167B7"/>
    <w:rsid w:val="00416808"/>
    <w:rsid w:val="00416D8B"/>
    <w:rsid w:val="00416E40"/>
    <w:rsid w:val="00416EF6"/>
    <w:rsid w:val="00416F9A"/>
    <w:rsid w:val="00416FE0"/>
    <w:rsid w:val="00417296"/>
    <w:rsid w:val="00417688"/>
    <w:rsid w:val="00417728"/>
    <w:rsid w:val="0041773C"/>
    <w:rsid w:val="00417C7F"/>
    <w:rsid w:val="00417DCD"/>
    <w:rsid w:val="00417E0B"/>
    <w:rsid w:val="00417F42"/>
    <w:rsid w:val="0042000D"/>
    <w:rsid w:val="00420055"/>
    <w:rsid w:val="0042027B"/>
    <w:rsid w:val="004209DE"/>
    <w:rsid w:val="00420AA4"/>
    <w:rsid w:val="00420B45"/>
    <w:rsid w:val="00420D72"/>
    <w:rsid w:val="00420E57"/>
    <w:rsid w:val="0042102B"/>
    <w:rsid w:val="0042115E"/>
    <w:rsid w:val="00421670"/>
    <w:rsid w:val="0042179D"/>
    <w:rsid w:val="00421874"/>
    <w:rsid w:val="0042202F"/>
    <w:rsid w:val="0042238D"/>
    <w:rsid w:val="004227A7"/>
    <w:rsid w:val="00422BB3"/>
    <w:rsid w:val="00422D3A"/>
    <w:rsid w:val="00422DFD"/>
    <w:rsid w:val="00422E08"/>
    <w:rsid w:val="0042307D"/>
    <w:rsid w:val="0042318E"/>
    <w:rsid w:val="004231C1"/>
    <w:rsid w:val="004231F7"/>
    <w:rsid w:val="004232E1"/>
    <w:rsid w:val="0042346C"/>
    <w:rsid w:val="00423649"/>
    <w:rsid w:val="0042364D"/>
    <w:rsid w:val="0042380B"/>
    <w:rsid w:val="004239B7"/>
    <w:rsid w:val="00423AC6"/>
    <w:rsid w:val="00423CB0"/>
    <w:rsid w:val="00423D7C"/>
    <w:rsid w:val="00424080"/>
    <w:rsid w:val="00424086"/>
    <w:rsid w:val="0042440E"/>
    <w:rsid w:val="0042442F"/>
    <w:rsid w:val="00424514"/>
    <w:rsid w:val="00424AC4"/>
    <w:rsid w:val="00424BE9"/>
    <w:rsid w:val="00424FA4"/>
    <w:rsid w:val="00424FE5"/>
    <w:rsid w:val="004251A3"/>
    <w:rsid w:val="004251D5"/>
    <w:rsid w:val="00425358"/>
    <w:rsid w:val="00425460"/>
    <w:rsid w:val="0042567C"/>
    <w:rsid w:val="004257F0"/>
    <w:rsid w:val="00425B7E"/>
    <w:rsid w:val="00426212"/>
    <w:rsid w:val="00426369"/>
    <w:rsid w:val="00426919"/>
    <w:rsid w:val="00426B5E"/>
    <w:rsid w:val="00427162"/>
    <w:rsid w:val="004272D7"/>
    <w:rsid w:val="004272F6"/>
    <w:rsid w:val="00427356"/>
    <w:rsid w:val="0042764E"/>
    <w:rsid w:val="00427A19"/>
    <w:rsid w:val="00427AD8"/>
    <w:rsid w:val="00427C09"/>
    <w:rsid w:val="00427E9B"/>
    <w:rsid w:val="00430049"/>
    <w:rsid w:val="00430198"/>
    <w:rsid w:val="0043061E"/>
    <w:rsid w:val="00430CEB"/>
    <w:rsid w:val="00430F0C"/>
    <w:rsid w:val="00430FFE"/>
    <w:rsid w:val="0043122B"/>
    <w:rsid w:val="004312F2"/>
    <w:rsid w:val="00431336"/>
    <w:rsid w:val="004315D1"/>
    <w:rsid w:val="00431609"/>
    <w:rsid w:val="00431C1B"/>
    <w:rsid w:val="00431D35"/>
    <w:rsid w:val="00431DBE"/>
    <w:rsid w:val="00431E51"/>
    <w:rsid w:val="00431EA4"/>
    <w:rsid w:val="00431FFB"/>
    <w:rsid w:val="0043219D"/>
    <w:rsid w:val="00432284"/>
    <w:rsid w:val="0043228F"/>
    <w:rsid w:val="0043251B"/>
    <w:rsid w:val="00432D67"/>
    <w:rsid w:val="00432E84"/>
    <w:rsid w:val="00432ECA"/>
    <w:rsid w:val="0043301E"/>
    <w:rsid w:val="00433228"/>
    <w:rsid w:val="00433815"/>
    <w:rsid w:val="0043393C"/>
    <w:rsid w:val="00433A5D"/>
    <w:rsid w:val="00433D13"/>
    <w:rsid w:val="00433D73"/>
    <w:rsid w:val="00433D98"/>
    <w:rsid w:val="00433FEF"/>
    <w:rsid w:val="004340AA"/>
    <w:rsid w:val="00434993"/>
    <w:rsid w:val="00434CA7"/>
    <w:rsid w:val="00434E52"/>
    <w:rsid w:val="00434F03"/>
    <w:rsid w:val="004350F6"/>
    <w:rsid w:val="0043570E"/>
    <w:rsid w:val="00435B00"/>
    <w:rsid w:val="00435D8D"/>
    <w:rsid w:val="00435F1B"/>
    <w:rsid w:val="00435FF8"/>
    <w:rsid w:val="0043618D"/>
    <w:rsid w:val="00436260"/>
    <w:rsid w:val="004364A1"/>
    <w:rsid w:val="0043650E"/>
    <w:rsid w:val="004371EB"/>
    <w:rsid w:val="004373A0"/>
    <w:rsid w:val="00437676"/>
    <w:rsid w:val="00437A28"/>
    <w:rsid w:val="00437ACF"/>
    <w:rsid w:val="00437D8A"/>
    <w:rsid w:val="00437FEB"/>
    <w:rsid w:val="0044027C"/>
    <w:rsid w:val="00440306"/>
    <w:rsid w:val="0044085B"/>
    <w:rsid w:val="00440B14"/>
    <w:rsid w:val="004410A8"/>
    <w:rsid w:val="0044119A"/>
    <w:rsid w:val="004411ED"/>
    <w:rsid w:val="00441336"/>
    <w:rsid w:val="00441365"/>
    <w:rsid w:val="004413FF"/>
    <w:rsid w:val="0044166C"/>
    <w:rsid w:val="00441AB9"/>
    <w:rsid w:val="00441FF3"/>
    <w:rsid w:val="00442198"/>
    <w:rsid w:val="004422A1"/>
    <w:rsid w:val="0044240F"/>
    <w:rsid w:val="0044241D"/>
    <w:rsid w:val="00442A50"/>
    <w:rsid w:val="00442E7B"/>
    <w:rsid w:val="00442FF7"/>
    <w:rsid w:val="004431B8"/>
    <w:rsid w:val="004432FD"/>
    <w:rsid w:val="00443510"/>
    <w:rsid w:val="00443AA8"/>
    <w:rsid w:val="00443C4A"/>
    <w:rsid w:val="004442EB"/>
    <w:rsid w:val="004448E6"/>
    <w:rsid w:val="00444B4F"/>
    <w:rsid w:val="00444D16"/>
    <w:rsid w:val="00444D47"/>
    <w:rsid w:val="00444D98"/>
    <w:rsid w:val="00444DE8"/>
    <w:rsid w:val="00445269"/>
    <w:rsid w:val="00445341"/>
    <w:rsid w:val="0044536D"/>
    <w:rsid w:val="004453AC"/>
    <w:rsid w:val="004455B6"/>
    <w:rsid w:val="004459E0"/>
    <w:rsid w:val="004459E3"/>
    <w:rsid w:val="00445AFE"/>
    <w:rsid w:val="00445B03"/>
    <w:rsid w:val="00445CEC"/>
    <w:rsid w:val="00445D16"/>
    <w:rsid w:val="0044632A"/>
    <w:rsid w:val="004463AF"/>
    <w:rsid w:val="0044684E"/>
    <w:rsid w:val="0044689A"/>
    <w:rsid w:val="00446A64"/>
    <w:rsid w:val="00446E66"/>
    <w:rsid w:val="0044726C"/>
    <w:rsid w:val="0044734B"/>
    <w:rsid w:val="004473E5"/>
    <w:rsid w:val="004475CA"/>
    <w:rsid w:val="00447650"/>
    <w:rsid w:val="0044766A"/>
    <w:rsid w:val="00447675"/>
    <w:rsid w:val="00447755"/>
    <w:rsid w:val="004477A8"/>
    <w:rsid w:val="00447896"/>
    <w:rsid w:val="00447BBF"/>
    <w:rsid w:val="00447C63"/>
    <w:rsid w:val="00447CD8"/>
    <w:rsid w:val="00450D0C"/>
    <w:rsid w:val="0045124C"/>
    <w:rsid w:val="004512DD"/>
    <w:rsid w:val="00451525"/>
    <w:rsid w:val="004515E6"/>
    <w:rsid w:val="00451C71"/>
    <w:rsid w:val="00451CD8"/>
    <w:rsid w:val="0045218E"/>
    <w:rsid w:val="0045221B"/>
    <w:rsid w:val="004522B5"/>
    <w:rsid w:val="004525CE"/>
    <w:rsid w:val="0045268B"/>
    <w:rsid w:val="004526C2"/>
    <w:rsid w:val="00452B16"/>
    <w:rsid w:val="00452ED2"/>
    <w:rsid w:val="0045398B"/>
    <w:rsid w:val="00453A92"/>
    <w:rsid w:val="00453B36"/>
    <w:rsid w:val="00453D36"/>
    <w:rsid w:val="00453D81"/>
    <w:rsid w:val="0045428F"/>
    <w:rsid w:val="004542C3"/>
    <w:rsid w:val="00454488"/>
    <w:rsid w:val="0045475C"/>
    <w:rsid w:val="0045491D"/>
    <w:rsid w:val="00454BB4"/>
    <w:rsid w:val="00455102"/>
    <w:rsid w:val="0045510A"/>
    <w:rsid w:val="00455789"/>
    <w:rsid w:val="00455874"/>
    <w:rsid w:val="00455C6E"/>
    <w:rsid w:val="00455D96"/>
    <w:rsid w:val="004560E0"/>
    <w:rsid w:val="004560E7"/>
    <w:rsid w:val="00456241"/>
    <w:rsid w:val="00456528"/>
    <w:rsid w:val="004565C2"/>
    <w:rsid w:val="00456753"/>
    <w:rsid w:val="00456775"/>
    <w:rsid w:val="004569CE"/>
    <w:rsid w:val="004569EF"/>
    <w:rsid w:val="00456F21"/>
    <w:rsid w:val="00456FAF"/>
    <w:rsid w:val="00456FFB"/>
    <w:rsid w:val="00457010"/>
    <w:rsid w:val="00457090"/>
    <w:rsid w:val="004570CD"/>
    <w:rsid w:val="004573B6"/>
    <w:rsid w:val="0045741D"/>
    <w:rsid w:val="004576EB"/>
    <w:rsid w:val="00457882"/>
    <w:rsid w:val="00457A21"/>
    <w:rsid w:val="00457B6C"/>
    <w:rsid w:val="00457C79"/>
    <w:rsid w:val="00457FE1"/>
    <w:rsid w:val="0046036A"/>
    <w:rsid w:val="0046054E"/>
    <w:rsid w:val="00460615"/>
    <w:rsid w:val="0046064B"/>
    <w:rsid w:val="004606B1"/>
    <w:rsid w:val="00460D05"/>
    <w:rsid w:val="00460DC5"/>
    <w:rsid w:val="00461418"/>
    <w:rsid w:val="00461509"/>
    <w:rsid w:val="004615C2"/>
    <w:rsid w:val="00461684"/>
    <w:rsid w:val="004616DE"/>
    <w:rsid w:val="0046194D"/>
    <w:rsid w:val="00461DA8"/>
    <w:rsid w:val="0046202D"/>
    <w:rsid w:val="004622DC"/>
    <w:rsid w:val="00462448"/>
    <w:rsid w:val="0046296E"/>
    <w:rsid w:val="00462F1E"/>
    <w:rsid w:val="00463341"/>
    <w:rsid w:val="004634D5"/>
    <w:rsid w:val="00463576"/>
    <w:rsid w:val="004639E1"/>
    <w:rsid w:val="00463CA8"/>
    <w:rsid w:val="00463E20"/>
    <w:rsid w:val="00463EE1"/>
    <w:rsid w:val="00464297"/>
    <w:rsid w:val="00464422"/>
    <w:rsid w:val="0046451D"/>
    <w:rsid w:val="0046455D"/>
    <w:rsid w:val="004647AE"/>
    <w:rsid w:val="00464AD2"/>
    <w:rsid w:val="00464B04"/>
    <w:rsid w:val="00464B61"/>
    <w:rsid w:val="00464CE0"/>
    <w:rsid w:val="00464D41"/>
    <w:rsid w:val="00465450"/>
    <w:rsid w:val="0046559B"/>
    <w:rsid w:val="00465602"/>
    <w:rsid w:val="004658D9"/>
    <w:rsid w:val="0046592D"/>
    <w:rsid w:val="00465B16"/>
    <w:rsid w:val="00465CD0"/>
    <w:rsid w:val="00465DC4"/>
    <w:rsid w:val="004660BC"/>
    <w:rsid w:val="004662CA"/>
    <w:rsid w:val="00466370"/>
    <w:rsid w:val="004667B0"/>
    <w:rsid w:val="0046682D"/>
    <w:rsid w:val="0046688C"/>
    <w:rsid w:val="00466BBE"/>
    <w:rsid w:val="00466D18"/>
    <w:rsid w:val="00467106"/>
    <w:rsid w:val="00467168"/>
    <w:rsid w:val="0046732D"/>
    <w:rsid w:val="0046784D"/>
    <w:rsid w:val="0046795E"/>
    <w:rsid w:val="0047033F"/>
    <w:rsid w:val="0047039E"/>
    <w:rsid w:val="00470903"/>
    <w:rsid w:val="004709F8"/>
    <w:rsid w:val="00470B2F"/>
    <w:rsid w:val="00470D34"/>
    <w:rsid w:val="00470E48"/>
    <w:rsid w:val="00471003"/>
    <w:rsid w:val="00471153"/>
    <w:rsid w:val="0047125A"/>
    <w:rsid w:val="00471405"/>
    <w:rsid w:val="0047144E"/>
    <w:rsid w:val="004715AA"/>
    <w:rsid w:val="004715AF"/>
    <w:rsid w:val="004715B8"/>
    <w:rsid w:val="00472021"/>
    <w:rsid w:val="0047209A"/>
    <w:rsid w:val="0047214F"/>
    <w:rsid w:val="00472232"/>
    <w:rsid w:val="00472401"/>
    <w:rsid w:val="004726D0"/>
    <w:rsid w:val="004728C6"/>
    <w:rsid w:val="00472A1D"/>
    <w:rsid w:val="00472BBD"/>
    <w:rsid w:val="00472BF1"/>
    <w:rsid w:val="00472CE3"/>
    <w:rsid w:val="00472F4D"/>
    <w:rsid w:val="00473160"/>
    <w:rsid w:val="004733C6"/>
    <w:rsid w:val="00473618"/>
    <w:rsid w:val="0047364F"/>
    <w:rsid w:val="004737DE"/>
    <w:rsid w:val="00473A39"/>
    <w:rsid w:val="00473DB1"/>
    <w:rsid w:val="00473DE3"/>
    <w:rsid w:val="00473FA5"/>
    <w:rsid w:val="0047425C"/>
    <w:rsid w:val="004747E6"/>
    <w:rsid w:val="00474D43"/>
    <w:rsid w:val="00474F12"/>
    <w:rsid w:val="00474FA2"/>
    <w:rsid w:val="0047504C"/>
    <w:rsid w:val="0047505F"/>
    <w:rsid w:val="004752EB"/>
    <w:rsid w:val="00475620"/>
    <w:rsid w:val="004758E4"/>
    <w:rsid w:val="00475967"/>
    <w:rsid w:val="00475B5A"/>
    <w:rsid w:val="00475B7F"/>
    <w:rsid w:val="004760E1"/>
    <w:rsid w:val="004762AA"/>
    <w:rsid w:val="004762CB"/>
    <w:rsid w:val="00476A7D"/>
    <w:rsid w:val="00476AAB"/>
    <w:rsid w:val="0047712D"/>
    <w:rsid w:val="0047783A"/>
    <w:rsid w:val="00477A80"/>
    <w:rsid w:val="00477AB2"/>
    <w:rsid w:val="00477AC4"/>
    <w:rsid w:val="00477DF7"/>
    <w:rsid w:val="00477F36"/>
    <w:rsid w:val="0048028E"/>
    <w:rsid w:val="004802B5"/>
    <w:rsid w:val="0048069C"/>
    <w:rsid w:val="004806B9"/>
    <w:rsid w:val="004806D6"/>
    <w:rsid w:val="00480856"/>
    <w:rsid w:val="00480C36"/>
    <w:rsid w:val="004810FA"/>
    <w:rsid w:val="004815C9"/>
    <w:rsid w:val="004816AF"/>
    <w:rsid w:val="004816DF"/>
    <w:rsid w:val="00481930"/>
    <w:rsid w:val="00481B66"/>
    <w:rsid w:val="00481CA1"/>
    <w:rsid w:val="00481D0B"/>
    <w:rsid w:val="00481F4E"/>
    <w:rsid w:val="00481FD1"/>
    <w:rsid w:val="00482002"/>
    <w:rsid w:val="00482263"/>
    <w:rsid w:val="0048251F"/>
    <w:rsid w:val="00482A8B"/>
    <w:rsid w:val="00482D8A"/>
    <w:rsid w:val="00482DC2"/>
    <w:rsid w:val="00482E1C"/>
    <w:rsid w:val="00482F53"/>
    <w:rsid w:val="00483271"/>
    <w:rsid w:val="0048341A"/>
    <w:rsid w:val="00483882"/>
    <w:rsid w:val="004838BF"/>
    <w:rsid w:val="0048397A"/>
    <w:rsid w:val="00483C7D"/>
    <w:rsid w:val="00483F33"/>
    <w:rsid w:val="00483FA4"/>
    <w:rsid w:val="00483FA6"/>
    <w:rsid w:val="004841CF"/>
    <w:rsid w:val="004844EA"/>
    <w:rsid w:val="00484761"/>
    <w:rsid w:val="0048489B"/>
    <w:rsid w:val="00484A1C"/>
    <w:rsid w:val="00484EB0"/>
    <w:rsid w:val="00484FD1"/>
    <w:rsid w:val="004851BE"/>
    <w:rsid w:val="004854E5"/>
    <w:rsid w:val="004858C5"/>
    <w:rsid w:val="00485F95"/>
    <w:rsid w:val="00485FED"/>
    <w:rsid w:val="004866C2"/>
    <w:rsid w:val="00486774"/>
    <w:rsid w:val="0048698F"/>
    <w:rsid w:val="004869D8"/>
    <w:rsid w:val="00486A0E"/>
    <w:rsid w:val="00486BB6"/>
    <w:rsid w:val="00486CCF"/>
    <w:rsid w:val="00487263"/>
    <w:rsid w:val="004872F6"/>
    <w:rsid w:val="00487468"/>
    <w:rsid w:val="00487929"/>
    <w:rsid w:val="0048793E"/>
    <w:rsid w:val="00487986"/>
    <w:rsid w:val="00487CAB"/>
    <w:rsid w:val="00487D8A"/>
    <w:rsid w:val="00490159"/>
    <w:rsid w:val="004903B2"/>
    <w:rsid w:val="004903E6"/>
    <w:rsid w:val="00490652"/>
    <w:rsid w:val="00490A0E"/>
    <w:rsid w:val="00490B05"/>
    <w:rsid w:val="00490C3E"/>
    <w:rsid w:val="004913B8"/>
    <w:rsid w:val="00491644"/>
    <w:rsid w:val="00491804"/>
    <w:rsid w:val="004919B9"/>
    <w:rsid w:val="00491A08"/>
    <w:rsid w:val="00491B6D"/>
    <w:rsid w:val="00491CCF"/>
    <w:rsid w:val="004920CE"/>
    <w:rsid w:val="004921EB"/>
    <w:rsid w:val="004923C7"/>
    <w:rsid w:val="00492912"/>
    <w:rsid w:val="00492A1F"/>
    <w:rsid w:val="00492D8A"/>
    <w:rsid w:val="00492E50"/>
    <w:rsid w:val="00493240"/>
    <w:rsid w:val="00493266"/>
    <w:rsid w:val="0049337C"/>
    <w:rsid w:val="00493679"/>
    <w:rsid w:val="00493718"/>
    <w:rsid w:val="004938C3"/>
    <w:rsid w:val="00493941"/>
    <w:rsid w:val="00493A33"/>
    <w:rsid w:val="00493A49"/>
    <w:rsid w:val="00493C19"/>
    <w:rsid w:val="00493C35"/>
    <w:rsid w:val="00493EDE"/>
    <w:rsid w:val="004944D9"/>
    <w:rsid w:val="004946B0"/>
    <w:rsid w:val="004949B6"/>
    <w:rsid w:val="00494AE4"/>
    <w:rsid w:val="00494D2B"/>
    <w:rsid w:val="00494DFB"/>
    <w:rsid w:val="00494E54"/>
    <w:rsid w:val="00494FFE"/>
    <w:rsid w:val="00495035"/>
    <w:rsid w:val="004952A8"/>
    <w:rsid w:val="004954DB"/>
    <w:rsid w:val="00495507"/>
    <w:rsid w:val="004958F8"/>
    <w:rsid w:val="00495EFA"/>
    <w:rsid w:val="00495F6A"/>
    <w:rsid w:val="00496106"/>
    <w:rsid w:val="00496109"/>
    <w:rsid w:val="004967CB"/>
    <w:rsid w:val="00496A2E"/>
    <w:rsid w:val="00496B64"/>
    <w:rsid w:val="00496C4F"/>
    <w:rsid w:val="00496D80"/>
    <w:rsid w:val="00496FC3"/>
    <w:rsid w:val="00497157"/>
    <w:rsid w:val="00497207"/>
    <w:rsid w:val="00497409"/>
    <w:rsid w:val="00497572"/>
    <w:rsid w:val="00497822"/>
    <w:rsid w:val="004978A4"/>
    <w:rsid w:val="00497985"/>
    <w:rsid w:val="00497E32"/>
    <w:rsid w:val="00497E79"/>
    <w:rsid w:val="004A0058"/>
    <w:rsid w:val="004A00AB"/>
    <w:rsid w:val="004A015D"/>
    <w:rsid w:val="004A01A2"/>
    <w:rsid w:val="004A01B7"/>
    <w:rsid w:val="004A01C1"/>
    <w:rsid w:val="004A01F0"/>
    <w:rsid w:val="004A02AF"/>
    <w:rsid w:val="004A048C"/>
    <w:rsid w:val="004A0801"/>
    <w:rsid w:val="004A0D10"/>
    <w:rsid w:val="004A0DA4"/>
    <w:rsid w:val="004A124D"/>
    <w:rsid w:val="004A130F"/>
    <w:rsid w:val="004A14DA"/>
    <w:rsid w:val="004A166C"/>
    <w:rsid w:val="004A1BC2"/>
    <w:rsid w:val="004A1FD0"/>
    <w:rsid w:val="004A2124"/>
    <w:rsid w:val="004A2170"/>
    <w:rsid w:val="004A22A6"/>
    <w:rsid w:val="004A2628"/>
    <w:rsid w:val="004A2670"/>
    <w:rsid w:val="004A2808"/>
    <w:rsid w:val="004A28E1"/>
    <w:rsid w:val="004A291B"/>
    <w:rsid w:val="004A2CFC"/>
    <w:rsid w:val="004A3272"/>
    <w:rsid w:val="004A38E4"/>
    <w:rsid w:val="004A3907"/>
    <w:rsid w:val="004A398C"/>
    <w:rsid w:val="004A3A90"/>
    <w:rsid w:val="004A3CEE"/>
    <w:rsid w:val="004A40D2"/>
    <w:rsid w:val="004A42AE"/>
    <w:rsid w:val="004A42C1"/>
    <w:rsid w:val="004A42D5"/>
    <w:rsid w:val="004A4325"/>
    <w:rsid w:val="004A45F6"/>
    <w:rsid w:val="004A478B"/>
    <w:rsid w:val="004A47AE"/>
    <w:rsid w:val="004A4B4B"/>
    <w:rsid w:val="004A4B84"/>
    <w:rsid w:val="004A4C6C"/>
    <w:rsid w:val="004A4DCC"/>
    <w:rsid w:val="004A4F22"/>
    <w:rsid w:val="004A505D"/>
    <w:rsid w:val="004A5103"/>
    <w:rsid w:val="004A522F"/>
    <w:rsid w:val="004A525E"/>
    <w:rsid w:val="004A52B5"/>
    <w:rsid w:val="004A5522"/>
    <w:rsid w:val="004A5D31"/>
    <w:rsid w:val="004A5E10"/>
    <w:rsid w:val="004A5E91"/>
    <w:rsid w:val="004A617A"/>
    <w:rsid w:val="004A624B"/>
    <w:rsid w:val="004A646A"/>
    <w:rsid w:val="004A6497"/>
    <w:rsid w:val="004A655F"/>
    <w:rsid w:val="004A65E8"/>
    <w:rsid w:val="004A67B7"/>
    <w:rsid w:val="004A67FE"/>
    <w:rsid w:val="004A689C"/>
    <w:rsid w:val="004A6AF7"/>
    <w:rsid w:val="004A6FE8"/>
    <w:rsid w:val="004A701E"/>
    <w:rsid w:val="004A7073"/>
    <w:rsid w:val="004A71B7"/>
    <w:rsid w:val="004A7213"/>
    <w:rsid w:val="004A7377"/>
    <w:rsid w:val="004A7473"/>
    <w:rsid w:val="004A7944"/>
    <w:rsid w:val="004A7A6C"/>
    <w:rsid w:val="004A7DDD"/>
    <w:rsid w:val="004B005B"/>
    <w:rsid w:val="004B0193"/>
    <w:rsid w:val="004B0371"/>
    <w:rsid w:val="004B07EF"/>
    <w:rsid w:val="004B090A"/>
    <w:rsid w:val="004B0A39"/>
    <w:rsid w:val="004B0B25"/>
    <w:rsid w:val="004B0CBC"/>
    <w:rsid w:val="004B0F08"/>
    <w:rsid w:val="004B1343"/>
    <w:rsid w:val="004B159A"/>
    <w:rsid w:val="004B159F"/>
    <w:rsid w:val="004B17F0"/>
    <w:rsid w:val="004B18DD"/>
    <w:rsid w:val="004B1AA8"/>
    <w:rsid w:val="004B1B30"/>
    <w:rsid w:val="004B1C99"/>
    <w:rsid w:val="004B1D7F"/>
    <w:rsid w:val="004B1DFA"/>
    <w:rsid w:val="004B209A"/>
    <w:rsid w:val="004B20E2"/>
    <w:rsid w:val="004B2578"/>
    <w:rsid w:val="004B2582"/>
    <w:rsid w:val="004B25C0"/>
    <w:rsid w:val="004B29D1"/>
    <w:rsid w:val="004B2DDB"/>
    <w:rsid w:val="004B2E66"/>
    <w:rsid w:val="004B2F34"/>
    <w:rsid w:val="004B2F61"/>
    <w:rsid w:val="004B3085"/>
    <w:rsid w:val="004B33DF"/>
    <w:rsid w:val="004B349D"/>
    <w:rsid w:val="004B3570"/>
    <w:rsid w:val="004B3830"/>
    <w:rsid w:val="004B384F"/>
    <w:rsid w:val="004B3A8A"/>
    <w:rsid w:val="004B3D64"/>
    <w:rsid w:val="004B4023"/>
    <w:rsid w:val="004B412B"/>
    <w:rsid w:val="004B430D"/>
    <w:rsid w:val="004B4412"/>
    <w:rsid w:val="004B4592"/>
    <w:rsid w:val="004B4735"/>
    <w:rsid w:val="004B47F0"/>
    <w:rsid w:val="004B491F"/>
    <w:rsid w:val="004B494D"/>
    <w:rsid w:val="004B4D23"/>
    <w:rsid w:val="004B4EDC"/>
    <w:rsid w:val="004B509A"/>
    <w:rsid w:val="004B5143"/>
    <w:rsid w:val="004B520F"/>
    <w:rsid w:val="004B5684"/>
    <w:rsid w:val="004B5718"/>
    <w:rsid w:val="004B572D"/>
    <w:rsid w:val="004B589C"/>
    <w:rsid w:val="004B5B0A"/>
    <w:rsid w:val="004B5C0A"/>
    <w:rsid w:val="004B5F10"/>
    <w:rsid w:val="004B62E8"/>
    <w:rsid w:val="004B6766"/>
    <w:rsid w:val="004B6945"/>
    <w:rsid w:val="004B6CE2"/>
    <w:rsid w:val="004B6ED4"/>
    <w:rsid w:val="004B6FAA"/>
    <w:rsid w:val="004B770C"/>
    <w:rsid w:val="004B7866"/>
    <w:rsid w:val="004B79EB"/>
    <w:rsid w:val="004B7E2E"/>
    <w:rsid w:val="004C002A"/>
    <w:rsid w:val="004C00C5"/>
    <w:rsid w:val="004C0190"/>
    <w:rsid w:val="004C023C"/>
    <w:rsid w:val="004C057B"/>
    <w:rsid w:val="004C067F"/>
    <w:rsid w:val="004C075F"/>
    <w:rsid w:val="004C078F"/>
    <w:rsid w:val="004C0A92"/>
    <w:rsid w:val="004C0E8E"/>
    <w:rsid w:val="004C10EB"/>
    <w:rsid w:val="004C1303"/>
    <w:rsid w:val="004C130D"/>
    <w:rsid w:val="004C1A0B"/>
    <w:rsid w:val="004C1F01"/>
    <w:rsid w:val="004C1FA0"/>
    <w:rsid w:val="004C25AF"/>
    <w:rsid w:val="004C2AD7"/>
    <w:rsid w:val="004C2CFE"/>
    <w:rsid w:val="004C2DBB"/>
    <w:rsid w:val="004C2F5C"/>
    <w:rsid w:val="004C3303"/>
    <w:rsid w:val="004C3776"/>
    <w:rsid w:val="004C3D49"/>
    <w:rsid w:val="004C3D87"/>
    <w:rsid w:val="004C3EEC"/>
    <w:rsid w:val="004C3FD6"/>
    <w:rsid w:val="004C4086"/>
    <w:rsid w:val="004C40DD"/>
    <w:rsid w:val="004C4147"/>
    <w:rsid w:val="004C422C"/>
    <w:rsid w:val="004C4470"/>
    <w:rsid w:val="004C4680"/>
    <w:rsid w:val="004C4761"/>
    <w:rsid w:val="004C49D9"/>
    <w:rsid w:val="004C4AD1"/>
    <w:rsid w:val="004C4E4A"/>
    <w:rsid w:val="004C4F4D"/>
    <w:rsid w:val="004C5126"/>
    <w:rsid w:val="004C5137"/>
    <w:rsid w:val="004C5139"/>
    <w:rsid w:val="004C51EE"/>
    <w:rsid w:val="004C56FD"/>
    <w:rsid w:val="004C58F9"/>
    <w:rsid w:val="004C5955"/>
    <w:rsid w:val="004C5F81"/>
    <w:rsid w:val="004C62D8"/>
    <w:rsid w:val="004C62F3"/>
    <w:rsid w:val="004C646D"/>
    <w:rsid w:val="004C661D"/>
    <w:rsid w:val="004C67C3"/>
    <w:rsid w:val="004C6DB7"/>
    <w:rsid w:val="004C7006"/>
    <w:rsid w:val="004C70BA"/>
    <w:rsid w:val="004C71E2"/>
    <w:rsid w:val="004C756A"/>
    <w:rsid w:val="004C7589"/>
    <w:rsid w:val="004C75A4"/>
    <w:rsid w:val="004C7E6A"/>
    <w:rsid w:val="004C7E7B"/>
    <w:rsid w:val="004D00CE"/>
    <w:rsid w:val="004D0957"/>
    <w:rsid w:val="004D0A8D"/>
    <w:rsid w:val="004D0CDC"/>
    <w:rsid w:val="004D0D1C"/>
    <w:rsid w:val="004D0E84"/>
    <w:rsid w:val="004D1238"/>
    <w:rsid w:val="004D12D3"/>
    <w:rsid w:val="004D1330"/>
    <w:rsid w:val="004D1518"/>
    <w:rsid w:val="004D1709"/>
    <w:rsid w:val="004D1BAB"/>
    <w:rsid w:val="004D1EF9"/>
    <w:rsid w:val="004D2173"/>
    <w:rsid w:val="004D22E2"/>
    <w:rsid w:val="004D2308"/>
    <w:rsid w:val="004D253D"/>
    <w:rsid w:val="004D2814"/>
    <w:rsid w:val="004D288F"/>
    <w:rsid w:val="004D2A40"/>
    <w:rsid w:val="004D2F70"/>
    <w:rsid w:val="004D2FE9"/>
    <w:rsid w:val="004D3223"/>
    <w:rsid w:val="004D3622"/>
    <w:rsid w:val="004D3804"/>
    <w:rsid w:val="004D3AC4"/>
    <w:rsid w:val="004D3B87"/>
    <w:rsid w:val="004D40B6"/>
    <w:rsid w:val="004D417B"/>
    <w:rsid w:val="004D437A"/>
    <w:rsid w:val="004D457A"/>
    <w:rsid w:val="004D4666"/>
    <w:rsid w:val="004D48DB"/>
    <w:rsid w:val="004D48DC"/>
    <w:rsid w:val="004D492A"/>
    <w:rsid w:val="004D525C"/>
    <w:rsid w:val="004D5CEA"/>
    <w:rsid w:val="004D6001"/>
    <w:rsid w:val="004D618B"/>
    <w:rsid w:val="004D6352"/>
    <w:rsid w:val="004D64E2"/>
    <w:rsid w:val="004D673A"/>
    <w:rsid w:val="004D67B6"/>
    <w:rsid w:val="004D6F1B"/>
    <w:rsid w:val="004D6FF3"/>
    <w:rsid w:val="004D7165"/>
    <w:rsid w:val="004D7454"/>
    <w:rsid w:val="004D7B66"/>
    <w:rsid w:val="004D7D7D"/>
    <w:rsid w:val="004D7DB7"/>
    <w:rsid w:val="004D7E04"/>
    <w:rsid w:val="004E0018"/>
    <w:rsid w:val="004E0435"/>
    <w:rsid w:val="004E05C9"/>
    <w:rsid w:val="004E0632"/>
    <w:rsid w:val="004E063C"/>
    <w:rsid w:val="004E0770"/>
    <w:rsid w:val="004E079B"/>
    <w:rsid w:val="004E082E"/>
    <w:rsid w:val="004E086D"/>
    <w:rsid w:val="004E089D"/>
    <w:rsid w:val="004E1095"/>
    <w:rsid w:val="004E12D6"/>
    <w:rsid w:val="004E130C"/>
    <w:rsid w:val="004E1629"/>
    <w:rsid w:val="004E1702"/>
    <w:rsid w:val="004E1799"/>
    <w:rsid w:val="004E1DB4"/>
    <w:rsid w:val="004E27FB"/>
    <w:rsid w:val="004E296F"/>
    <w:rsid w:val="004E29B3"/>
    <w:rsid w:val="004E2A79"/>
    <w:rsid w:val="004E2AF8"/>
    <w:rsid w:val="004E2BD0"/>
    <w:rsid w:val="004E2CEB"/>
    <w:rsid w:val="004E3381"/>
    <w:rsid w:val="004E3401"/>
    <w:rsid w:val="004E347D"/>
    <w:rsid w:val="004E35A5"/>
    <w:rsid w:val="004E3778"/>
    <w:rsid w:val="004E37A6"/>
    <w:rsid w:val="004E3C03"/>
    <w:rsid w:val="004E3E13"/>
    <w:rsid w:val="004E43CD"/>
    <w:rsid w:val="004E452C"/>
    <w:rsid w:val="004E45F1"/>
    <w:rsid w:val="004E4BD9"/>
    <w:rsid w:val="004E4C15"/>
    <w:rsid w:val="004E4D31"/>
    <w:rsid w:val="004E4F68"/>
    <w:rsid w:val="004E5253"/>
    <w:rsid w:val="004E54B4"/>
    <w:rsid w:val="004E54EA"/>
    <w:rsid w:val="004E5639"/>
    <w:rsid w:val="004E594E"/>
    <w:rsid w:val="004E5CFC"/>
    <w:rsid w:val="004E5DDF"/>
    <w:rsid w:val="004E5FBC"/>
    <w:rsid w:val="004E6098"/>
    <w:rsid w:val="004E61B4"/>
    <w:rsid w:val="004E624E"/>
    <w:rsid w:val="004E62CF"/>
    <w:rsid w:val="004E6376"/>
    <w:rsid w:val="004E665A"/>
    <w:rsid w:val="004E680E"/>
    <w:rsid w:val="004E6B01"/>
    <w:rsid w:val="004E746A"/>
    <w:rsid w:val="004E7707"/>
    <w:rsid w:val="004E77CC"/>
    <w:rsid w:val="004E79B3"/>
    <w:rsid w:val="004E79DF"/>
    <w:rsid w:val="004E7AF9"/>
    <w:rsid w:val="004E7CD8"/>
    <w:rsid w:val="004E7D41"/>
    <w:rsid w:val="004E7F12"/>
    <w:rsid w:val="004F025C"/>
    <w:rsid w:val="004F0422"/>
    <w:rsid w:val="004F04AC"/>
    <w:rsid w:val="004F089F"/>
    <w:rsid w:val="004F08F6"/>
    <w:rsid w:val="004F09C4"/>
    <w:rsid w:val="004F0AFA"/>
    <w:rsid w:val="004F0B93"/>
    <w:rsid w:val="004F0DAA"/>
    <w:rsid w:val="004F1417"/>
    <w:rsid w:val="004F14E7"/>
    <w:rsid w:val="004F1709"/>
    <w:rsid w:val="004F1806"/>
    <w:rsid w:val="004F1893"/>
    <w:rsid w:val="004F1907"/>
    <w:rsid w:val="004F1DCC"/>
    <w:rsid w:val="004F1DD2"/>
    <w:rsid w:val="004F200F"/>
    <w:rsid w:val="004F2154"/>
    <w:rsid w:val="004F255D"/>
    <w:rsid w:val="004F2678"/>
    <w:rsid w:val="004F27FB"/>
    <w:rsid w:val="004F2818"/>
    <w:rsid w:val="004F31CE"/>
    <w:rsid w:val="004F3233"/>
    <w:rsid w:val="004F3325"/>
    <w:rsid w:val="004F3952"/>
    <w:rsid w:val="004F3955"/>
    <w:rsid w:val="004F3970"/>
    <w:rsid w:val="004F3A0E"/>
    <w:rsid w:val="004F3DA3"/>
    <w:rsid w:val="004F3EF7"/>
    <w:rsid w:val="004F4335"/>
    <w:rsid w:val="004F437A"/>
    <w:rsid w:val="004F450C"/>
    <w:rsid w:val="004F46BE"/>
    <w:rsid w:val="004F48BA"/>
    <w:rsid w:val="004F4AF2"/>
    <w:rsid w:val="004F4C27"/>
    <w:rsid w:val="004F4DF1"/>
    <w:rsid w:val="004F5053"/>
    <w:rsid w:val="004F5057"/>
    <w:rsid w:val="004F50B6"/>
    <w:rsid w:val="004F5534"/>
    <w:rsid w:val="004F55A0"/>
    <w:rsid w:val="004F58F4"/>
    <w:rsid w:val="004F5D6A"/>
    <w:rsid w:val="004F5DBB"/>
    <w:rsid w:val="004F64AA"/>
    <w:rsid w:val="004F65F9"/>
    <w:rsid w:val="004F6E98"/>
    <w:rsid w:val="004F708C"/>
    <w:rsid w:val="004F72A3"/>
    <w:rsid w:val="004F72F0"/>
    <w:rsid w:val="004F7705"/>
    <w:rsid w:val="004F797A"/>
    <w:rsid w:val="004F79A2"/>
    <w:rsid w:val="004F7C1E"/>
    <w:rsid w:val="004F7D0E"/>
    <w:rsid w:val="004F7F7C"/>
    <w:rsid w:val="005001AA"/>
    <w:rsid w:val="00500420"/>
    <w:rsid w:val="005004DF"/>
    <w:rsid w:val="0050051F"/>
    <w:rsid w:val="0050091F"/>
    <w:rsid w:val="00500C63"/>
    <w:rsid w:val="00500D5A"/>
    <w:rsid w:val="00500E77"/>
    <w:rsid w:val="00500ED1"/>
    <w:rsid w:val="0050132D"/>
    <w:rsid w:val="00501386"/>
    <w:rsid w:val="005014D3"/>
    <w:rsid w:val="0050163C"/>
    <w:rsid w:val="00501988"/>
    <w:rsid w:val="005019FB"/>
    <w:rsid w:val="00501A0D"/>
    <w:rsid w:val="00501E27"/>
    <w:rsid w:val="00501FF4"/>
    <w:rsid w:val="0050205B"/>
    <w:rsid w:val="005021C0"/>
    <w:rsid w:val="00502393"/>
    <w:rsid w:val="0050252F"/>
    <w:rsid w:val="005025C3"/>
    <w:rsid w:val="005028C2"/>
    <w:rsid w:val="00502BC8"/>
    <w:rsid w:val="00502C93"/>
    <w:rsid w:val="00502CD1"/>
    <w:rsid w:val="00502D23"/>
    <w:rsid w:val="00502DB3"/>
    <w:rsid w:val="00503068"/>
    <w:rsid w:val="005031CE"/>
    <w:rsid w:val="0050394C"/>
    <w:rsid w:val="0050443E"/>
    <w:rsid w:val="005045FA"/>
    <w:rsid w:val="00505296"/>
    <w:rsid w:val="00505336"/>
    <w:rsid w:val="005054E7"/>
    <w:rsid w:val="00505B57"/>
    <w:rsid w:val="00505C46"/>
    <w:rsid w:val="00505F9A"/>
    <w:rsid w:val="00505FF4"/>
    <w:rsid w:val="005060BE"/>
    <w:rsid w:val="00506420"/>
    <w:rsid w:val="0050652F"/>
    <w:rsid w:val="005065E9"/>
    <w:rsid w:val="00506655"/>
    <w:rsid w:val="00506864"/>
    <w:rsid w:val="00506E39"/>
    <w:rsid w:val="00506E83"/>
    <w:rsid w:val="00506EFA"/>
    <w:rsid w:val="00506F2B"/>
    <w:rsid w:val="00507088"/>
    <w:rsid w:val="005071D0"/>
    <w:rsid w:val="005071FD"/>
    <w:rsid w:val="005073C2"/>
    <w:rsid w:val="005076D4"/>
    <w:rsid w:val="005076FD"/>
    <w:rsid w:val="00507702"/>
    <w:rsid w:val="005079B0"/>
    <w:rsid w:val="00507AF4"/>
    <w:rsid w:val="00510218"/>
    <w:rsid w:val="005108A6"/>
    <w:rsid w:val="00510ABE"/>
    <w:rsid w:val="00510FD3"/>
    <w:rsid w:val="00511151"/>
    <w:rsid w:val="0051176B"/>
    <w:rsid w:val="005117CC"/>
    <w:rsid w:val="00511AA1"/>
    <w:rsid w:val="00511E21"/>
    <w:rsid w:val="00511EC7"/>
    <w:rsid w:val="00511ECC"/>
    <w:rsid w:val="0051226F"/>
    <w:rsid w:val="00512361"/>
    <w:rsid w:val="005123A4"/>
    <w:rsid w:val="00512788"/>
    <w:rsid w:val="0051289F"/>
    <w:rsid w:val="00512E80"/>
    <w:rsid w:val="0051313C"/>
    <w:rsid w:val="00513444"/>
    <w:rsid w:val="005136CF"/>
    <w:rsid w:val="00513825"/>
    <w:rsid w:val="0051388F"/>
    <w:rsid w:val="005138A5"/>
    <w:rsid w:val="00513A59"/>
    <w:rsid w:val="00513AF0"/>
    <w:rsid w:val="00513C68"/>
    <w:rsid w:val="0051412B"/>
    <w:rsid w:val="00514576"/>
    <w:rsid w:val="00514A8F"/>
    <w:rsid w:val="00514C44"/>
    <w:rsid w:val="00514DEB"/>
    <w:rsid w:val="00514E6B"/>
    <w:rsid w:val="005150A7"/>
    <w:rsid w:val="00515156"/>
    <w:rsid w:val="00515643"/>
    <w:rsid w:val="00515837"/>
    <w:rsid w:val="00515938"/>
    <w:rsid w:val="00515987"/>
    <w:rsid w:val="005159FB"/>
    <w:rsid w:val="005160B2"/>
    <w:rsid w:val="00516113"/>
    <w:rsid w:val="005163BE"/>
    <w:rsid w:val="00516592"/>
    <w:rsid w:val="005167F7"/>
    <w:rsid w:val="00516AE3"/>
    <w:rsid w:val="00516BB3"/>
    <w:rsid w:val="00516D8C"/>
    <w:rsid w:val="00516DA1"/>
    <w:rsid w:val="00516E4C"/>
    <w:rsid w:val="00516E6E"/>
    <w:rsid w:val="0051744D"/>
    <w:rsid w:val="00517744"/>
    <w:rsid w:val="00517793"/>
    <w:rsid w:val="00517C27"/>
    <w:rsid w:val="00517E70"/>
    <w:rsid w:val="00517E78"/>
    <w:rsid w:val="00517F01"/>
    <w:rsid w:val="00517F85"/>
    <w:rsid w:val="0052046C"/>
    <w:rsid w:val="00520677"/>
    <w:rsid w:val="0052080E"/>
    <w:rsid w:val="0052089A"/>
    <w:rsid w:val="0052097B"/>
    <w:rsid w:val="00520A9E"/>
    <w:rsid w:val="00520AFF"/>
    <w:rsid w:val="00520C53"/>
    <w:rsid w:val="0052117D"/>
    <w:rsid w:val="0052123E"/>
    <w:rsid w:val="005217D8"/>
    <w:rsid w:val="005218F9"/>
    <w:rsid w:val="00521E95"/>
    <w:rsid w:val="00521E9C"/>
    <w:rsid w:val="00521FE5"/>
    <w:rsid w:val="005222B6"/>
    <w:rsid w:val="00522309"/>
    <w:rsid w:val="0052236E"/>
    <w:rsid w:val="005224F9"/>
    <w:rsid w:val="0052279A"/>
    <w:rsid w:val="00522CD0"/>
    <w:rsid w:val="00522F68"/>
    <w:rsid w:val="00522FAD"/>
    <w:rsid w:val="00522FF6"/>
    <w:rsid w:val="005233D0"/>
    <w:rsid w:val="00523C30"/>
    <w:rsid w:val="00523D29"/>
    <w:rsid w:val="00523DBA"/>
    <w:rsid w:val="00523F93"/>
    <w:rsid w:val="005242DF"/>
    <w:rsid w:val="005243C6"/>
    <w:rsid w:val="00524683"/>
    <w:rsid w:val="00524C7B"/>
    <w:rsid w:val="00524D74"/>
    <w:rsid w:val="00524E78"/>
    <w:rsid w:val="00525145"/>
    <w:rsid w:val="005251A9"/>
    <w:rsid w:val="005254AD"/>
    <w:rsid w:val="005256AE"/>
    <w:rsid w:val="005257CF"/>
    <w:rsid w:val="00525836"/>
    <w:rsid w:val="00525A59"/>
    <w:rsid w:val="00525DA6"/>
    <w:rsid w:val="00525F74"/>
    <w:rsid w:val="00525FAD"/>
    <w:rsid w:val="0052602E"/>
    <w:rsid w:val="00526658"/>
    <w:rsid w:val="005267DB"/>
    <w:rsid w:val="00526D46"/>
    <w:rsid w:val="00526D77"/>
    <w:rsid w:val="00526EF9"/>
    <w:rsid w:val="0052713D"/>
    <w:rsid w:val="00527156"/>
    <w:rsid w:val="005275C1"/>
    <w:rsid w:val="00527713"/>
    <w:rsid w:val="005277F1"/>
    <w:rsid w:val="00527929"/>
    <w:rsid w:val="00527DB0"/>
    <w:rsid w:val="00530083"/>
    <w:rsid w:val="0053041A"/>
    <w:rsid w:val="00530757"/>
    <w:rsid w:val="00530B9D"/>
    <w:rsid w:val="00530BF8"/>
    <w:rsid w:val="00530D5A"/>
    <w:rsid w:val="00530D67"/>
    <w:rsid w:val="0053167F"/>
    <w:rsid w:val="00531710"/>
    <w:rsid w:val="00531714"/>
    <w:rsid w:val="00531A23"/>
    <w:rsid w:val="00531D44"/>
    <w:rsid w:val="00531E7C"/>
    <w:rsid w:val="00531F81"/>
    <w:rsid w:val="00531F86"/>
    <w:rsid w:val="0053222B"/>
    <w:rsid w:val="00532247"/>
    <w:rsid w:val="005322B5"/>
    <w:rsid w:val="005326D7"/>
    <w:rsid w:val="005327C8"/>
    <w:rsid w:val="0053280A"/>
    <w:rsid w:val="0053292D"/>
    <w:rsid w:val="00532986"/>
    <w:rsid w:val="005329BF"/>
    <w:rsid w:val="00532DF9"/>
    <w:rsid w:val="0053304B"/>
    <w:rsid w:val="00533192"/>
    <w:rsid w:val="0053331C"/>
    <w:rsid w:val="0053351C"/>
    <w:rsid w:val="00533666"/>
    <w:rsid w:val="005336DE"/>
    <w:rsid w:val="005337CA"/>
    <w:rsid w:val="005337ED"/>
    <w:rsid w:val="00533BE7"/>
    <w:rsid w:val="00533C7D"/>
    <w:rsid w:val="00533D0C"/>
    <w:rsid w:val="00533F53"/>
    <w:rsid w:val="00534E1A"/>
    <w:rsid w:val="00534E3B"/>
    <w:rsid w:val="00534F49"/>
    <w:rsid w:val="00534F9E"/>
    <w:rsid w:val="005350F2"/>
    <w:rsid w:val="00535135"/>
    <w:rsid w:val="005352D3"/>
    <w:rsid w:val="0053555A"/>
    <w:rsid w:val="00535A4F"/>
    <w:rsid w:val="00535BF6"/>
    <w:rsid w:val="00535CCF"/>
    <w:rsid w:val="00536142"/>
    <w:rsid w:val="005362C0"/>
    <w:rsid w:val="005363FC"/>
    <w:rsid w:val="00536446"/>
    <w:rsid w:val="005364FD"/>
    <w:rsid w:val="00536692"/>
    <w:rsid w:val="0053676B"/>
    <w:rsid w:val="0053686F"/>
    <w:rsid w:val="005368BD"/>
    <w:rsid w:val="0053691F"/>
    <w:rsid w:val="005369F4"/>
    <w:rsid w:val="00536DE9"/>
    <w:rsid w:val="005370DD"/>
    <w:rsid w:val="005372AD"/>
    <w:rsid w:val="00537519"/>
    <w:rsid w:val="005377D0"/>
    <w:rsid w:val="00537F2D"/>
    <w:rsid w:val="00537FBB"/>
    <w:rsid w:val="00540063"/>
    <w:rsid w:val="005400A7"/>
    <w:rsid w:val="005400D1"/>
    <w:rsid w:val="00540559"/>
    <w:rsid w:val="005406C7"/>
    <w:rsid w:val="0054070C"/>
    <w:rsid w:val="005408BD"/>
    <w:rsid w:val="005408CC"/>
    <w:rsid w:val="00540983"/>
    <w:rsid w:val="00540985"/>
    <w:rsid w:val="00540B50"/>
    <w:rsid w:val="00540E6E"/>
    <w:rsid w:val="00541050"/>
    <w:rsid w:val="00541090"/>
    <w:rsid w:val="00541407"/>
    <w:rsid w:val="00541466"/>
    <w:rsid w:val="005415A6"/>
    <w:rsid w:val="00541988"/>
    <w:rsid w:val="00541C97"/>
    <w:rsid w:val="00541D59"/>
    <w:rsid w:val="00541E90"/>
    <w:rsid w:val="0054256E"/>
    <w:rsid w:val="0054266B"/>
    <w:rsid w:val="00542723"/>
    <w:rsid w:val="00542966"/>
    <w:rsid w:val="00542AB2"/>
    <w:rsid w:val="0054333C"/>
    <w:rsid w:val="0054343D"/>
    <w:rsid w:val="005434D0"/>
    <w:rsid w:val="00543591"/>
    <w:rsid w:val="005435C0"/>
    <w:rsid w:val="00543699"/>
    <w:rsid w:val="00543ADE"/>
    <w:rsid w:val="00543AFF"/>
    <w:rsid w:val="00543B4A"/>
    <w:rsid w:val="00543D19"/>
    <w:rsid w:val="005441BA"/>
    <w:rsid w:val="0054423D"/>
    <w:rsid w:val="005444D9"/>
    <w:rsid w:val="00544923"/>
    <w:rsid w:val="00544DB3"/>
    <w:rsid w:val="00544F04"/>
    <w:rsid w:val="0054514C"/>
    <w:rsid w:val="0054589A"/>
    <w:rsid w:val="00545983"/>
    <w:rsid w:val="00545B77"/>
    <w:rsid w:val="00545DB2"/>
    <w:rsid w:val="00546553"/>
    <w:rsid w:val="0054665A"/>
    <w:rsid w:val="005466F6"/>
    <w:rsid w:val="005468AE"/>
    <w:rsid w:val="0054691E"/>
    <w:rsid w:val="00546B70"/>
    <w:rsid w:val="00546BD9"/>
    <w:rsid w:val="00546BE6"/>
    <w:rsid w:val="0054743B"/>
    <w:rsid w:val="00547520"/>
    <w:rsid w:val="0054757E"/>
    <w:rsid w:val="005479A8"/>
    <w:rsid w:val="00547BE1"/>
    <w:rsid w:val="005506DD"/>
    <w:rsid w:val="00550818"/>
    <w:rsid w:val="00550833"/>
    <w:rsid w:val="00550E50"/>
    <w:rsid w:val="0055132E"/>
    <w:rsid w:val="005516BC"/>
    <w:rsid w:val="00551A58"/>
    <w:rsid w:val="00551C26"/>
    <w:rsid w:val="00551ED3"/>
    <w:rsid w:val="005521D2"/>
    <w:rsid w:val="00552219"/>
    <w:rsid w:val="005525E8"/>
    <w:rsid w:val="00552879"/>
    <w:rsid w:val="005528C2"/>
    <w:rsid w:val="0055298E"/>
    <w:rsid w:val="00552A09"/>
    <w:rsid w:val="00552CDA"/>
    <w:rsid w:val="00552D37"/>
    <w:rsid w:val="00552E82"/>
    <w:rsid w:val="005531FE"/>
    <w:rsid w:val="0055326A"/>
    <w:rsid w:val="00553B25"/>
    <w:rsid w:val="00553BF1"/>
    <w:rsid w:val="00553EE0"/>
    <w:rsid w:val="00553FF6"/>
    <w:rsid w:val="005541CA"/>
    <w:rsid w:val="00554333"/>
    <w:rsid w:val="005543D4"/>
    <w:rsid w:val="00554745"/>
    <w:rsid w:val="0055476E"/>
    <w:rsid w:val="00554772"/>
    <w:rsid w:val="0055478E"/>
    <w:rsid w:val="00554880"/>
    <w:rsid w:val="005549D0"/>
    <w:rsid w:val="00554B71"/>
    <w:rsid w:val="00554D7B"/>
    <w:rsid w:val="00554DE1"/>
    <w:rsid w:val="00554E72"/>
    <w:rsid w:val="00554E7E"/>
    <w:rsid w:val="00554F42"/>
    <w:rsid w:val="00555051"/>
    <w:rsid w:val="005550FE"/>
    <w:rsid w:val="0055515C"/>
    <w:rsid w:val="005558FA"/>
    <w:rsid w:val="00555C20"/>
    <w:rsid w:val="00555C5D"/>
    <w:rsid w:val="00555FF4"/>
    <w:rsid w:val="005560C4"/>
    <w:rsid w:val="005560E2"/>
    <w:rsid w:val="00556106"/>
    <w:rsid w:val="005563A1"/>
    <w:rsid w:val="005567D3"/>
    <w:rsid w:val="00556AE9"/>
    <w:rsid w:val="00556BC6"/>
    <w:rsid w:val="00556C2F"/>
    <w:rsid w:val="00556CD9"/>
    <w:rsid w:val="005570A0"/>
    <w:rsid w:val="00557298"/>
    <w:rsid w:val="005574AC"/>
    <w:rsid w:val="0055761D"/>
    <w:rsid w:val="00557AD8"/>
    <w:rsid w:val="00557B21"/>
    <w:rsid w:val="00557E8E"/>
    <w:rsid w:val="00560164"/>
    <w:rsid w:val="00560488"/>
    <w:rsid w:val="005605C5"/>
    <w:rsid w:val="00560708"/>
    <w:rsid w:val="005608BE"/>
    <w:rsid w:val="005608D0"/>
    <w:rsid w:val="00560C36"/>
    <w:rsid w:val="00560D54"/>
    <w:rsid w:val="00560E9B"/>
    <w:rsid w:val="00561390"/>
    <w:rsid w:val="005614A0"/>
    <w:rsid w:val="00561518"/>
    <w:rsid w:val="0056162E"/>
    <w:rsid w:val="005616AD"/>
    <w:rsid w:val="005616E8"/>
    <w:rsid w:val="005619DB"/>
    <w:rsid w:val="00561B18"/>
    <w:rsid w:val="00561B98"/>
    <w:rsid w:val="00561D65"/>
    <w:rsid w:val="00561EA6"/>
    <w:rsid w:val="00561EBC"/>
    <w:rsid w:val="00562278"/>
    <w:rsid w:val="00562426"/>
    <w:rsid w:val="005626AD"/>
    <w:rsid w:val="005628C5"/>
    <w:rsid w:val="00562DCB"/>
    <w:rsid w:val="005632E9"/>
    <w:rsid w:val="00563770"/>
    <w:rsid w:val="00563D13"/>
    <w:rsid w:val="00563D76"/>
    <w:rsid w:val="00563D8F"/>
    <w:rsid w:val="00564027"/>
    <w:rsid w:val="005645A0"/>
    <w:rsid w:val="00564A5A"/>
    <w:rsid w:val="00564B30"/>
    <w:rsid w:val="00564BB9"/>
    <w:rsid w:val="00564CB1"/>
    <w:rsid w:val="00564CBA"/>
    <w:rsid w:val="00564DEA"/>
    <w:rsid w:val="00565133"/>
    <w:rsid w:val="00565356"/>
    <w:rsid w:val="00565531"/>
    <w:rsid w:val="005656A9"/>
    <w:rsid w:val="00565A0F"/>
    <w:rsid w:val="00565BA7"/>
    <w:rsid w:val="00565BCE"/>
    <w:rsid w:val="00565F2C"/>
    <w:rsid w:val="00566082"/>
    <w:rsid w:val="0056610E"/>
    <w:rsid w:val="005662D3"/>
    <w:rsid w:val="005666AA"/>
    <w:rsid w:val="005666B8"/>
    <w:rsid w:val="00566848"/>
    <w:rsid w:val="00566910"/>
    <w:rsid w:val="00566A53"/>
    <w:rsid w:val="00566B74"/>
    <w:rsid w:val="00566BA8"/>
    <w:rsid w:val="00566DC9"/>
    <w:rsid w:val="0056703D"/>
    <w:rsid w:val="0056718C"/>
    <w:rsid w:val="00567590"/>
    <w:rsid w:val="0056767C"/>
    <w:rsid w:val="00567699"/>
    <w:rsid w:val="005677A8"/>
    <w:rsid w:val="005679D1"/>
    <w:rsid w:val="00567B0D"/>
    <w:rsid w:val="00567B85"/>
    <w:rsid w:val="005702D0"/>
    <w:rsid w:val="00570490"/>
    <w:rsid w:val="005705F9"/>
    <w:rsid w:val="005706CC"/>
    <w:rsid w:val="00570705"/>
    <w:rsid w:val="00570885"/>
    <w:rsid w:val="0057090E"/>
    <w:rsid w:val="005709FF"/>
    <w:rsid w:val="00570C48"/>
    <w:rsid w:val="00570F59"/>
    <w:rsid w:val="00571095"/>
    <w:rsid w:val="00571B2F"/>
    <w:rsid w:val="00571B4A"/>
    <w:rsid w:val="00571F16"/>
    <w:rsid w:val="0057246E"/>
    <w:rsid w:val="00572740"/>
    <w:rsid w:val="005727E3"/>
    <w:rsid w:val="00572A35"/>
    <w:rsid w:val="00572AC2"/>
    <w:rsid w:val="00572B0B"/>
    <w:rsid w:val="00573381"/>
    <w:rsid w:val="005733DF"/>
    <w:rsid w:val="005737BA"/>
    <w:rsid w:val="00573971"/>
    <w:rsid w:val="00573AA9"/>
    <w:rsid w:val="00573C75"/>
    <w:rsid w:val="00573FC6"/>
    <w:rsid w:val="0057412A"/>
    <w:rsid w:val="00574257"/>
    <w:rsid w:val="0057463A"/>
    <w:rsid w:val="00574793"/>
    <w:rsid w:val="00574D18"/>
    <w:rsid w:val="00574EF7"/>
    <w:rsid w:val="0057525A"/>
    <w:rsid w:val="005752ED"/>
    <w:rsid w:val="0057545F"/>
    <w:rsid w:val="0057558F"/>
    <w:rsid w:val="0057582A"/>
    <w:rsid w:val="00575A7F"/>
    <w:rsid w:val="00575ADB"/>
    <w:rsid w:val="00575CA0"/>
    <w:rsid w:val="00575CCD"/>
    <w:rsid w:val="00575F5E"/>
    <w:rsid w:val="00576578"/>
    <w:rsid w:val="00576831"/>
    <w:rsid w:val="00576CD2"/>
    <w:rsid w:val="00576D15"/>
    <w:rsid w:val="00576F24"/>
    <w:rsid w:val="005770D2"/>
    <w:rsid w:val="005773C2"/>
    <w:rsid w:val="00577532"/>
    <w:rsid w:val="00577B46"/>
    <w:rsid w:val="00577CA8"/>
    <w:rsid w:val="00577D69"/>
    <w:rsid w:val="00577F83"/>
    <w:rsid w:val="0058018F"/>
    <w:rsid w:val="005802FF"/>
    <w:rsid w:val="00580304"/>
    <w:rsid w:val="005804B3"/>
    <w:rsid w:val="00580631"/>
    <w:rsid w:val="0058093C"/>
    <w:rsid w:val="00580B54"/>
    <w:rsid w:val="00580EC0"/>
    <w:rsid w:val="00581097"/>
    <w:rsid w:val="00581159"/>
    <w:rsid w:val="005813A3"/>
    <w:rsid w:val="005813C0"/>
    <w:rsid w:val="00581BE4"/>
    <w:rsid w:val="00581CC5"/>
    <w:rsid w:val="00581D6B"/>
    <w:rsid w:val="005821E4"/>
    <w:rsid w:val="005822CB"/>
    <w:rsid w:val="005823A9"/>
    <w:rsid w:val="00582628"/>
    <w:rsid w:val="00582753"/>
    <w:rsid w:val="005827C2"/>
    <w:rsid w:val="00582AAE"/>
    <w:rsid w:val="00582F29"/>
    <w:rsid w:val="00582F88"/>
    <w:rsid w:val="005831BA"/>
    <w:rsid w:val="005831E6"/>
    <w:rsid w:val="0058345A"/>
    <w:rsid w:val="00583470"/>
    <w:rsid w:val="00583569"/>
    <w:rsid w:val="0058359C"/>
    <w:rsid w:val="005838AA"/>
    <w:rsid w:val="00583952"/>
    <w:rsid w:val="00583D22"/>
    <w:rsid w:val="00583E6A"/>
    <w:rsid w:val="005841E3"/>
    <w:rsid w:val="00584646"/>
    <w:rsid w:val="00584AF2"/>
    <w:rsid w:val="00584BDE"/>
    <w:rsid w:val="00584C51"/>
    <w:rsid w:val="00584F1F"/>
    <w:rsid w:val="00585052"/>
    <w:rsid w:val="0058542F"/>
    <w:rsid w:val="005855F1"/>
    <w:rsid w:val="005856AE"/>
    <w:rsid w:val="00585C12"/>
    <w:rsid w:val="00585CEB"/>
    <w:rsid w:val="005860E3"/>
    <w:rsid w:val="0058625C"/>
    <w:rsid w:val="005864D4"/>
    <w:rsid w:val="00586C59"/>
    <w:rsid w:val="00586D11"/>
    <w:rsid w:val="00586D39"/>
    <w:rsid w:val="00586F12"/>
    <w:rsid w:val="00587068"/>
    <w:rsid w:val="0058742F"/>
    <w:rsid w:val="00587561"/>
    <w:rsid w:val="005875CF"/>
    <w:rsid w:val="0058779F"/>
    <w:rsid w:val="00587934"/>
    <w:rsid w:val="00587B67"/>
    <w:rsid w:val="00587D7A"/>
    <w:rsid w:val="00590035"/>
    <w:rsid w:val="00590429"/>
    <w:rsid w:val="0059088B"/>
    <w:rsid w:val="005909A6"/>
    <w:rsid w:val="00590B51"/>
    <w:rsid w:val="00590E66"/>
    <w:rsid w:val="00590F03"/>
    <w:rsid w:val="00591219"/>
    <w:rsid w:val="005913A8"/>
    <w:rsid w:val="005913AA"/>
    <w:rsid w:val="00591474"/>
    <w:rsid w:val="005915D5"/>
    <w:rsid w:val="005915DB"/>
    <w:rsid w:val="00591889"/>
    <w:rsid w:val="00591A2D"/>
    <w:rsid w:val="00591AF8"/>
    <w:rsid w:val="00591CAB"/>
    <w:rsid w:val="00591DEA"/>
    <w:rsid w:val="00591E18"/>
    <w:rsid w:val="0059202A"/>
    <w:rsid w:val="00592150"/>
    <w:rsid w:val="00592254"/>
    <w:rsid w:val="005922EC"/>
    <w:rsid w:val="00592532"/>
    <w:rsid w:val="00592562"/>
    <w:rsid w:val="0059274F"/>
    <w:rsid w:val="00592876"/>
    <w:rsid w:val="00592A3A"/>
    <w:rsid w:val="00592D11"/>
    <w:rsid w:val="00592D36"/>
    <w:rsid w:val="00592E8B"/>
    <w:rsid w:val="00593065"/>
    <w:rsid w:val="005933A3"/>
    <w:rsid w:val="0059354A"/>
    <w:rsid w:val="00593698"/>
    <w:rsid w:val="0059373C"/>
    <w:rsid w:val="005938FF"/>
    <w:rsid w:val="0059392D"/>
    <w:rsid w:val="005939D8"/>
    <w:rsid w:val="005939F7"/>
    <w:rsid w:val="00593C35"/>
    <w:rsid w:val="00593DDB"/>
    <w:rsid w:val="00593EB5"/>
    <w:rsid w:val="00594256"/>
    <w:rsid w:val="0059443E"/>
    <w:rsid w:val="00594A67"/>
    <w:rsid w:val="00594D72"/>
    <w:rsid w:val="00594F08"/>
    <w:rsid w:val="005950E5"/>
    <w:rsid w:val="0059513D"/>
    <w:rsid w:val="00595309"/>
    <w:rsid w:val="00595532"/>
    <w:rsid w:val="0059575C"/>
    <w:rsid w:val="005959B3"/>
    <w:rsid w:val="00595B32"/>
    <w:rsid w:val="00595E21"/>
    <w:rsid w:val="005960BD"/>
    <w:rsid w:val="005960EA"/>
    <w:rsid w:val="005960F6"/>
    <w:rsid w:val="005961C5"/>
    <w:rsid w:val="0059626A"/>
    <w:rsid w:val="005964BE"/>
    <w:rsid w:val="00596990"/>
    <w:rsid w:val="00596D8D"/>
    <w:rsid w:val="00596E16"/>
    <w:rsid w:val="00596FD9"/>
    <w:rsid w:val="005972A7"/>
    <w:rsid w:val="005973D1"/>
    <w:rsid w:val="00597592"/>
    <w:rsid w:val="005978BA"/>
    <w:rsid w:val="005979DB"/>
    <w:rsid w:val="00597B9C"/>
    <w:rsid w:val="00597D89"/>
    <w:rsid w:val="00597EE7"/>
    <w:rsid w:val="00597F0C"/>
    <w:rsid w:val="005A0745"/>
    <w:rsid w:val="005A0D34"/>
    <w:rsid w:val="005A0F2B"/>
    <w:rsid w:val="005A1469"/>
    <w:rsid w:val="005A17E3"/>
    <w:rsid w:val="005A180F"/>
    <w:rsid w:val="005A185E"/>
    <w:rsid w:val="005A1967"/>
    <w:rsid w:val="005A1A9A"/>
    <w:rsid w:val="005A1CBB"/>
    <w:rsid w:val="005A1DAB"/>
    <w:rsid w:val="005A1DD3"/>
    <w:rsid w:val="005A22F4"/>
    <w:rsid w:val="005A23C0"/>
    <w:rsid w:val="005A2902"/>
    <w:rsid w:val="005A300C"/>
    <w:rsid w:val="005A305B"/>
    <w:rsid w:val="005A3124"/>
    <w:rsid w:val="005A319F"/>
    <w:rsid w:val="005A32B4"/>
    <w:rsid w:val="005A330F"/>
    <w:rsid w:val="005A38B3"/>
    <w:rsid w:val="005A3E13"/>
    <w:rsid w:val="005A3FA8"/>
    <w:rsid w:val="005A4465"/>
    <w:rsid w:val="005A461F"/>
    <w:rsid w:val="005A478C"/>
    <w:rsid w:val="005A4951"/>
    <w:rsid w:val="005A4AD7"/>
    <w:rsid w:val="005A4B8D"/>
    <w:rsid w:val="005A4BDF"/>
    <w:rsid w:val="005A4D0A"/>
    <w:rsid w:val="005A4FCE"/>
    <w:rsid w:val="005A53FB"/>
    <w:rsid w:val="005A55A7"/>
    <w:rsid w:val="005A5672"/>
    <w:rsid w:val="005A5996"/>
    <w:rsid w:val="005A5A7E"/>
    <w:rsid w:val="005A5CFA"/>
    <w:rsid w:val="005A6092"/>
    <w:rsid w:val="005A610B"/>
    <w:rsid w:val="005A6324"/>
    <w:rsid w:val="005A668E"/>
    <w:rsid w:val="005A66E1"/>
    <w:rsid w:val="005A688F"/>
    <w:rsid w:val="005A6D1B"/>
    <w:rsid w:val="005A7034"/>
    <w:rsid w:val="005A74AB"/>
    <w:rsid w:val="005A74E3"/>
    <w:rsid w:val="005A767B"/>
    <w:rsid w:val="005A7814"/>
    <w:rsid w:val="005A7B44"/>
    <w:rsid w:val="005A7DBE"/>
    <w:rsid w:val="005B0258"/>
    <w:rsid w:val="005B02A6"/>
    <w:rsid w:val="005B0525"/>
    <w:rsid w:val="005B05D0"/>
    <w:rsid w:val="005B0738"/>
    <w:rsid w:val="005B0A0E"/>
    <w:rsid w:val="005B0A0F"/>
    <w:rsid w:val="005B0B26"/>
    <w:rsid w:val="005B0BE1"/>
    <w:rsid w:val="005B0CBB"/>
    <w:rsid w:val="005B0ECC"/>
    <w:rsid w:val="005B0FD5"/>
    <w:rsid w:val="005B1069"/>
    <w:rsid w:val="005B125A"/>
    <w:rsid w:val="005B12F0"/>
    <w:rsid w:val="005B142B"/>
    <w:rsid w:val="005B1490"/>
    <w:rsid w:val="005B1620"/>
    <w:rsid w:val="005B16D4"/>
    <w:rsid w:val="005B18BE"/>
    <w:rsid w:val="005B1A76"/>
    <w:rsid w:val="005B20F8"/>
    <w:rsid w:val="005B216D"/>
    <w:rsid w:val="005B2672"/>
    <w:rsid w:val="005B27BC"/>
    <w:rsid w:val="005B27F2"/>
    <w:rsid w:val="005B28DE"/>
    <w:rsid w:val="005B2AA4"/>
    <w:rsid w:val="005B2B59"/>
    <w:rsid w:val="005B2BDC"/>
    <w:rsid w:val="005B2F2B"/>
    <w:rsid w:val="005B2F31"/>
    <w:rsid w:val="005B305F"/>
    <w:rsid w:val="005B30BF"/>
    <w:rsid w:val="005B321F"/>
    <w:rsid w:val="005B3290"/>
    <w:rsid w:val="005B34D6"/>
    <w:rsid w:val="005B3506"/>
    <w:rsid w:val="005B35F5"/>
    <w:rsid w:val="005B366C"/>
    <w:rsid w:val="005B40D5"/>
    <w:rsid w:val="005B4206"/>
    <w:rsid w:val="005B42AE"/>
    <w:rsid w:val="005B43EF"/>
    <w:rsid w:val="005B444A"/>
    <w:rsid w:val="005B44FD"/>
    <w:rsid w:val="005B45B7"/>
    <w:rsid w:val="005B4628"/>
    <w:rsid w:val="005B4CAE"/>
    <w:rsid w:val="005B517C"/>
    <w:rsid w:val="005B53FF"/>
    <w:rsid w:val="005B54C4"/>
    <w:rsid w:val="005B5A86"/>
    <w:rsid w:val="005B5B19"/>
    <w:rsid w:val="005B5CA8"/>
    <w:rsid w:val="005B6286"/>
    <w:rsid w:val="005B6334"/>
    <w:rsid w:val="005B64CD"/>
    <w:rsid w:val="005B6BA1"/>
    <w:rsid w:val="005B70B1"/>
    <w:rsid w:val="005B7170"/>
    <w:rsid w:val="005B731E"/>
    <w:rsid w:val="005B749F"/>
    <w:rsid w:val="005B7597"/>
    <w:rsid w:val="005B7779"/>
    <w:rsid w:val="005B788E"/>
    <w:rsid w:val="005B7C64"/>
    <w:rsid w:val="005B7C88"/>
    <w:rsid w:val="005C0471"/>
    <w:rsid w:val="005C06BE"/>
    <w:rsid w:val="005C0758"/>
    <w:rsid w:val="005C090F"/>
    <w:rsid w:val="005C0C1D"/>
    <w:rsid w:val="005C0E3D"/>
    <w:rsid w:val="005C0EF4"/>
    <w:rsid w:val="005C1094"/>
    <w:rsid w:val="005C12E1"/>
    <w:rsid w:val="005C12FF"/>
    <w:rsid w:val="005C133A"/>
    <w:rsid w:val="005C13C3"/>
    <w:rsid w:val="005C14F7"/>
    <w:rsid w:val="005C150A"/>
    <w:rsid w:val="005C1844"/>
    <w:rsid w:val="005C19FE"/>
    <w:rsid w:val="005C1AE2"/>
    <w:rsid w:val="005C1B35"/>
    <w:rsid w:val="005C1DC4"/>
    <w:rsid w:val="005C1E3B"/>
    <w:rsid w:val="005C1F61"/>
    <w:rsid w:val="005C203F"/>
    <w:rsid w:val="005C231E"/>
    <w:rsid w:val="005C2431"/>
    <w:rsid w:val="005C25B0"/>
    <w:rsid w:val="005C28D5"/>
    <w:rsid w:val="005C2BD3"/>
    <w:rsid w:val="005C2C25"/>
    <w:rsid w:val="005C2E05"/>
    <w:rsid w:val="005C2E50"/>
    <w:rsid w:val="005C2E75"/>
    <w:rsid w:val="005C2E7A"/>
    <w:rsid w:val="005C2F72"/>
    <w:rsid w:val="005C309B"/>
    <w:rsid w:val="005C31F2"/>
    <w:rsid w:val="005C346B"/>
    <w:rsid w:val="005C35C6"/>
    <w:rsid w:val="005C398F"/>
    <w:rsid w:val="005C39ED"/>
    <w:rsid w:val="005C3D3D"/>
    <w:rsid w:val="005C4100"/>
    <w:rsid w:val="005C4160"/>
    <w:rsid w:val="005C4237"/>
    <w:rsid w:val="005C4240"/>
    <w:rsid w:val="005C4667"/>
    <w:rsid w:val="005C48CC"/>
    <w:rsid w:val="005C4E37"/>
    <w:rsid w:val="005C4EF2"/>
    <w:rsid w:val="005C4F73"/>
    <w:rsid w:val="005C50B5"/>
    <w:rsid w:val="005C528E"/>
    <w:rsid w:val="005C5477"/>
    <w:rsid w:val="005C5694"/>
    <w:rsid w:val="005C56E3"/>
    <w:rsid w:val="005C56F8"/>
    <w:rsid w:val="005C574B"/>
    <w:rsid w:val="005C5762"/>
    <w:rsid w:val="005C5929"/>
    <w:rsid w:val="005C5A9B"/>
    <w:rsid w:val="005C5B1F"/>
    <w:rsid w:val="005C5DFE"/>
    <w:rsid w:val="005C5E73"/>
    <w:rsid w:val="005C65CB"/>
    <w:rsid w:val="005C6CBC"/>
    <w:rsid w:val="005C6FC6"/>
    <w:rsid w:val="005C70FB"/>
    <w:rsid w:val="005C713D"/>
    <w:rsid w:val="005C7271"/>
    <w:rsid w:val="005C7817"/>
    <w:rsid w:val="005C78B9"/>
    <w:rsid w:val="005C790D"/>
    <w:rsid w:val="005C7954"/>
    <w:rsid w:val="005C7A5D"/>
    <w:rsid w:val="005C7AB9"/>
    <w:rsid w:val="005C7C06"/>
    <w:rsid w:val="005D0101"/>
    <w:rsid w:val="005D0242"/>
    <w:rsid w:val="005D02A7"/>
    <w:rsid w:val="005D09B5"/>
    <w:rsid w:val="005D0BDA"/>
    <w:rsid w:val="005D0C1E"/>
    <w:rsid w:val="005D10A7"/>
    <w:rsid w:val="005D10C4"/>
    <w:rsid w:val="005D1173"/>
    <w:rsid w:val="005D146A"/>
    <w:rsid w:val="005D1703"/>
    <w:rsid w:val="005D172B"/>
    <w:rsid w:val="005D24F3"/>
    <w:rsid w:val="005D24F7"/>
    <w:rsid w:val="005D27C9"/>
    <w:rsid w:val="005D27F1"/>
    <w:rsid w:val="005D2822"/>
    <w:rsid w:val="005D28F8"/>
    <w:rsid w:val="005D2AC8"/>
    <w:rsid w:val="005D2EBE"/>
    <w:rsid w:val="005D3319"/>
    <w:rsid w:val="005D346B"/>
    <w:rsid w:val="005D364C"/>
    <w:rsid w:val="005D3D76"/>
    <w:rsid w:val="005D4009"/>
    <w:rsid w:val="005D417D"/>
    <w:rsid w:val="005D42E6"/>
    <w:rsid w:val="005D44B7"/>
    <w:rsid w:val="005D472A"/>
    <w:rsid w:val="005D49A9"/>
    <w:rsid w:val="005D4B55"/>
    <w:rsid w:val="005D4C6C"/>
    <w:rsid w:val="005D4D33"/>
    <w:rsid w:val="005D4E61"/>
    <w:rsid w:val="005D4E9C"/>
    <w:rsid w:val="005D4F9B"/>
    <w:rsid w:val="005D505C"/>
    <w:rsid w:val="005D52F4"/>
    <w:rsid w:val="005D5468"/>
    <w:rsid w:val="005D5717"/>
    <w:rsid w:val="005D579F"/>
    <w:rsid w:val="005D5B07"/>
    <w:rsid w:val="005D5BF9"/>
    <w:rsid w:val="005D5C05"/>
    <w:rsid w:val="005D5F3F"/>
    <w:rsid w:val="005D6068"/>
    <w:rsid w:val="005D626F"/>
    <w:rsid w:val="005D6449"/>
    <w:rsid w:val="005D64FD"/>
    <w:rsid w:val="005D6566"/>
    <w:rsid w:val="005D687D"/>
    <w:rsid w:val="005D6A7C"/>
    <w:rsid w:val="005D726C"/>
    <w:rsid w:val="005D7413"/>
    <w:rsid w:val="005D757C"/>
    <w:rsid w:val="005D7621"/>
    <w:rsid w:val="005D76E0"/>
    <w:rsid w:val="005D773E"/>
    <w:rsid w:val="005D7881"/>
    <w:rsid w:val="005D78FB"/>
    <w:rsid w:val="005D796E"/>
    <w:rsid w:val="005D7C37"/>
    <w:rsid w:val="005D7CE7"/>
    <w:rsid w:val="005E0073"/>
    <w:rsid w:val="005E0199"/>
    <w:rsid w:val="005E01E9"/>
    <w:rsid w:val="005E0AAA"/>
    <w:rsid w:val="005E0BAA"/>
    <w:rsid w:val="005E0C28"/>
    <w:rsid w:val="005E0C4D"/>
    <w:rsid w:val="005E0DFB"/>
    <w:rsid w:val="005E0E55"/>
    <w:rsid w:val="005E1077"/>
    <w:rsid w:val="005E1331"/>
    <w:rsid w:val="005E1446"/>
    <w:rsid w:val="005E14BB"/>
    <w:rsid w:val="005E1639"/>
    <w:rsid w:val="005E173F"/>
    <w:rsid w:val="005E1B31"/>
    <w:rsid w:val="005E1BBB"/>
    <w:rsid w:val="005E1FFF"/>
    <w:rsid w:val="005E20CB"/>
    <w:rsid w:val="005E215B"/>
    <w:rsid w:val="005E2297"/>
    <w:rsid w:val="005E22DE"/>
    <w:rsid w:val="005E25FE"/>
    <w:rsid w:val="005E2654"/>
    <w:rsid w:val="005E2882"/>
    <w:rsid w:val="005E2B4C"/>
    <w:rsid w:val="005E2D0A"/>
    <w:rsid w:val="005E2F2F"/>
    <w:rsid w:val="005E2F58"/>
    <w:rsid w:val="005E2FD3"/>
    <w:rsid w:val="005E3244"/>
    <w:rsid w:val="005E3448"/>
    <w:rsid w:val="005E3704"/>
    <w:rsid w:val="005E3A66"/>
    <w:rsid w:val="005E3C70"/>
    <w:rsid w:val="005E40EC"/>
    <w:rsid w:val="005E41CA"/>
    <w:rsid w:val="005E428B"/>
    <w:rsid w:val="005E42CF"/>
    <w:rsid w:val="005E4402"/>
    <w:rsid w:val="005E456B"/>
    <w:rsid w:val="005E457C"/>
    <w:rsid w:val="005E473B"/>
    <w:rsid w:val="005E4A32"/>
    <w:rsid w:val="005E4AD4"/>
    <w:rsid w:val="005E4CD8"/>
    <w:rsid w:val="005E4D85"/>
    <w:rsid w:val="005E4DFC"/>
    <w:rsid w:val="005E4FDD"/>
    <w:rsid w:val="005E5097"/>
    <w:rsid w:val="005E537D"/>
    <w:rsid w:val="005E5779"/>
    <w:rsid w:val="005E58C8"/>
    <w:rsid w:val="005E593C"/>
    <w:rsid w:val="005E5B33"/>
    <w:rsid w:val="005E5B40"/>
    <w:rsid w:val="005E5E97"/>
    <w:rsid w:val="005E5EB3"/>
    <w:rsid w:val="005E6176"/>
    <w:rsid w:val="005E6182"/>
    <w:rsid w:val="005E6198"/>
    <w:rsid w:val="005E61BE"/>
    <w:rsid w:val="005E6258"/>
    <w:rsid w:val="005E664E"/>
    <w:rsid w:val="005E67FA"/>
    <w:rsid w:val="005E691A"/>
    <w:rsid w:val="005E6CFA"/>
    <w:rsid w:val="005E701C"/>
    <w:rsid w:val="005E74CA"/>
    <w:rsid w:val="005E756B"/>
    <w:rsid w:val="005E7782"/>
    <w:rsid w:val="005E7AD6"/>
    <w:rsid w:val="005E7EC4"/>
    <w:rsid w:val="005F010E"/>
    <w:rsid w:val="005F01E2"/>
    <w:rsid w:val="005F02C8"/>
    <w:rsid w:val="005F08D4"/>
    <w:rsid w:val="005F09C2"/>
    <w:rsid w:val="005F0B1E"/>
    <w:rsid w:val="005F0BBB"/>
    <w:rsid w:val="005F0D77"/>
    <w:rsid w:val="005F11A9"/>
    <w:rsid w:val="005F1946"/>
    <w:rsid w:val="005F19D2"/>
    <w:rsid w:val="005F1A03"/>
    <w:rsid w:val="005F1C9D"/>
    <w:rsid w:val="005F1E37"/>
    <w:rsid w:val="005F2158"/>
    <w:rsid w:val="005F26AE"/>
    <w:rsid w:val="005F2BF6"/>
    <w:rsid w:val="005F2C33"/>
    <w:rsid w:val="005F2E00"/>
    <w:rsid w:val="005F2E14"/>
    <w:rsid w:val="005F3045"/>
    <w:rsid w:val="005F3100"/>
    <w:rsid w:val="005F33E8"/>
    <w:rsid w:val="005F36A5"/>
    <w:rsid w:val="005F3851"/>
    <w:rsid w:val="005F3B85"/>
    <w:rsid w:val="005F3F0D"/>
    <w:rsid w:val="005F412C"/>
    <w:rsid w:val="005F4200"/>
    <w:rsid w:val="005F4531"/>
    <w:rsid w:val="005F46CE"/>
    <w:rsid w:val="005F4C78"/>
    <w:rsid w:val="005F4E58"/>
    <w:rsid w:val="005F5118"/>
    <w:rsid w:val="005F52BF"/>
    <w:rsid w:val="005F532B"/>
    <w:rsid w:val="005F5730"/>
    <w:rsid w:val="005F5854"/>
    <w:rsid w:val="005F5B49"/>
    <w:rsid w:val="005F5BAE"/>
    <w:rsid w:val="005F5C96"/>
    <w:rsid w:val="005F60E5"/>
    <w:rsid w:val="005F613A"/>
    <w:rsid w:val="005F6265"/>
    <w:rsid w:val="005F6874"/>
    <w:rsid w:val="005F693C"/>
    <w:rsid w:val="005F6B1B"/>
    <w:rsid w:val="005F6B7C"/>
    <w:rsid w:val="005F6BA1"/>
    <w:rsid w:val="005F6C2D"/>
    <w:rsid w:val="005F6C48"/>
    <w:rsid w:val="005F6CB7"/>
    <w:rsid w:val="005F70E7"/>
    <w:rsid w:val="005F720D"/>
    <w:rsid w:val="005F7216"/>
    <w:rsid w:val="005F7490"/>
    <w:rsid w:val="005F7947"/>
    <w:rsid w:val="005F79A1"/>
    <w:rsid w:val="005F7A41"/>
    <w:rsid w:val="005F7BA1"/>
    <w:rsid w:val="005F7D23"/>
    <w:rsid w:val="005F7ED6"/>
    <w:rsid w:val="006001EA"/>
    <w:rsid w:val="00600662"/>
    <w:rsid w:val="006006F8"/>
    <w:rsid w:val="00600899"/>
    <w:rsid w:val="006008F2"/>
    <w:rsid w:val="00600953"/>
    <w:rsid w:val="00600B64"/>
    <w:rsid w:val="00600BF8"/>
    <w:rsid w:val="00600CC8"/>
    <w:rsid w:val="00600E46"/>
    <w:rsid w:val="006011B4"/>
    <w:rsid w:val="00601729"/>
    <w:rsid w:val="0060180D"/>
    <w:rsid w:val="00601B0F"/>
    <w:rsid w:val="00602026"/>
    <w:rsid w:val="00602164"/>
    <w:rsid w:val="0060233E"/>
    <w:rsid w:val="006023C5"/>
    <w:rsid w:val="006025D1"/>
    <w:rsid w:val="006028A0"/>
    <w:rsid w:val="006029EC"/>
    <w:rsid w:val="00602B11"/>
    <w:rsid w:val="00602B82"/>
    <w:rsid w:val="00602DED"/>
    <w:rsid w:val="00602EB8"/>
    <w:rsid w:val="006030EC"/>
    <w:rsid w:val="0060321A"/>
    <w:rsid w:val="00603225"/>
    <w:rsid w:val="00603374"/>
    <w:rsid w:val="00603496"/>
    <w:rsid w:val="006034BA"/>
    <w:rsid w:val="00603CD4"/>
    <w:rsid w:val="00603EB4"/>
    <w:rsid w:val="006042FB"/>
    <w:rsid w:val="0060432B"/>
    <w:rsid w:val="0060451E"/>
    <w:rsid w:val="00604730"/>
    <w:rsid w:val="00604988"/>
    <w:rsid w:val="00604BD2"/>
    <w:rsid w:val="00604BFD"/>
    <w:rsid w:val="00604FED"/>
    <w:rsid w:val="00605023"/>
    <w:rsid w:val="00605452"/>
    <w:rsid w:val="006054C0"/>
    <w:rsid w:val="00605585"/>
    <w:rsid w:val="00605698"/>
    <w:rsid w:val="00605990"/>
    <w:rsid w:val="00605BAE"/>
    <w:rsid w:val="00605D5B"/>
    <w:rsid w:val="00606242"/>
    <w:rsid w:val="00606AFB"/>
    <w:rsid w:val="00606B4D"/>
    <w:rsid w:val="00606CD5"/>
    <w:rsid w:val="0060717F"/>
    <w:rsid w:val="0060729A"/>
    <w:rsid w:val="00607767"/>
    <w:rsid w:val="006077F6"/>
    <w:rsid w:val="00607A17"/>
    <w:rsid w:val="00607A28"/>
    <w:rsid w:val="00607A3B"/>
    <w:rsid w:val="00607A3F"/>
    <w:rsid w:val="00607BBA"/>
    <w:rsid w:val="00607E31"/>
    <w:rsid w:val="00607F3B"/>
    <w:rsid w:val="0061029E"/>
    <w:rsid w:val="00610327"/>
    <w:rsid w:val="006106D2"/>
    <w:rsid w:val="006109BF"/>
    <w:rsid w:val="00610B59"/>
    <w:rsid w:val="00610B64"/>
    <w:rsid w:val="00610DE4"/>
    <w:rsid w:val="00610F64"/>
    <w:rsid w:val="00611149"/>
    <w:rsid w:val="00611248"/>
    <w:rsid w:val="00611319"/>
    <w:rsid w:val="0061132E"/>
    <w:rsid w:val="006117E1"/>
    <w:rsid w:val="00611840"/>
    <w:rsid w:val="00611995"/>
    <w:rsid w:val="00611D03"/>
    <w:rsid w:val="00611DAD"/>
    <w:rsid w:val="00611E7C"/>
    <w:rsid w:val="0061265C"/>
    <w:rsid w:val="00612A81"/>
    <w:rsid w:val="00612FD0"/>
    <w:rsid w:val="006133B6"/>
    <w:rsid w:val="006134F8"/>
    <w:rsid w:val="0061368A"/>
    <w:rsid w:val="006136DD"/>
    <w:rsid w:val="00613880"/>
    <w:rsid w:val="006138DD"/>
    <w:rsid w:val="00613A53"/>
    <w:rsid w:val="00613BFF"/>
    <w:rsid w:val="00613C3F"/>
    <w:rsid w:val="0061416B"/>
    <w:rsid w:val="006142CA"/>
    <w:rsid w:val="006144E4"/>
    <w:rsid w:val="006145D8"/>
    <w:rsid w:val="00614643"/>
    <w:rsid w:val="00614BA4"/>
    <w:rsid w:val="006150C2"/>
    <w:rsid w:val="006150D6"/>
    <w:rsid w:val="00615273"/>
    <w:rsid w:val="00615362"/>
    <w:rsid w:val="00615413"/>
    <w:rsid w:val="00615E6E"/>
    <w:rsid w:val="00615EB7"/>
    <w:rsid w:val="006163D4"/>
    <w:rsid w:val="006165CD"/>
    <w:rsid w:val="00616770"/>
    <w:rsid w:val="0061692B"/>
    <w:rsid w:val="00616C2B"/>
    <w:rsid w:val="0061702C"/>
    <w:rsid w:val="00617302"/>
    <w:rsid w:val="0061733B"/>
    <w:rsid w:val="006173C0"/>
    <w:rsid w:val="006174ED"/>
    <w:rsid w:val="0061773C"/>
    <w:rsid w:val="00617994"/>
    <w:rsid w:val="006202C7"/>
    <w:rsid w:val="0062038B"/>
    <w:rsid w:val="006203A4"/>
    <w:rsid w:val="00620628"/>
    <w:rsid w:val="006209AE"/>
    <w:rsid w:val="00620B19"/>
    <w:rsid w:val="00620F1B"/>
    <w:rsid w:val="00621100"/>
    <w:rsid w:val="00621D5C"/>
    <w:rsid w:val="00621F65"/>
    <w:rsid w:val="00621F9C"/>
    <w:rsid w:val="006222DD"/>
    <w:rsid w:val="0062286D"/>
    <w:rsid w:val="00622882"/>
    <w:rsid w:val="0062298A"/>
    <w:rsid w:val="00622BB7"/>
    <w:rsid w:val="00622C68"/>
    <w:rsid w:val="00623393"/>
    <w:rsid w:val="0062353E"/>
    <w:rsid w:val="00623753"/>
    <w:rsid w:val="00623917"/>
    <w:rsid w:val="00623C2A"/>
    <w:rsid w:val="00623E77"/>
    <w:rsid w:val="00624073"/>
    <w:rsid w:val="006242B2"/>
    <w:rsid w:val="006249C1"/>
    <w:rsid w:val="00624A63"/>
    <w:rsid w:val="00624AFB"/>
    <w:rsid w:val="00624DC6"/>
    <w:rsid w:val="00624DD3"/>
    <w:rsid w:val="0062506F"/>
    <w:rsid w:val="00625645"/>
    <w:rsid w:val="00625808"/>
    <w:rsid w:val="0062599E"/>
    <w:rsid w:val="00625B40"/>
    <w:rsid w:val="00625DFE"/>
    <w:rsid w:val="00625FC8"/>
    <w:rsid w:val="006260B2"/>
    <w:rsid w:val="006267DD"/>
    <w:rsid w:val="00626998"/>
    <w:rsid w:val="00626A4A"/>
    <w:rsid w:val="00626A6A"/>
    <w:rsid w:val="00626B2C"/>
    <w:rsid w:val="00626F33"/>
    <w:rsid w:val="00627189"/>
    <w:rsid w:val="006271F2"/>
    <w:rsid w:val="0062721E"/>
    <w:rsid w:val="00627222"/>
    <w:rsid w:val="00627398"/>
    <w:rsid w:val="006273BF"/>
    <w:rsid w:val="00627A22"/>
    <w:rsid w:val="00627A34"/>
    <w:rsid w:val="00627D39"/>
    <w:rsid w:val="00627E82"/>
    <w:rsid w:val="00627FAB"/>
    <w:rsid w:val="0063039E"/>
    <w:rsid w:val="006304DC"/>
    <w:rsid w:val="006309CE"/>
    <w:rsid w:val="00630B57"/>
    <w:rsid w:val="00630BE0"/>
    <w:rsid w:val="00630C54"/>
    <w:rsid w:val="00630C74"/>
    <w:rsid w:val="0063113C"/>
    <w:rsid w:val="006311CD"/>
    <w:rsid w:val="006311E0"/>
    <w:rsid w:val="006314F1"/>
    <w:rsid w:val="006315E5"/>
    <w:rsid w:val="0063170B"/>
    <w:rsid w:val="00631766"/>
    <w:rsid w:val="006317C5"/>
    <w:rsid w:val="00631B87"/>
    <w:rsid w:val="00631C17"/>
    <w:rsid w:val="00631D82"/>
    <w:rsid w:val="00631DBE"/>
    <w:rsid w:val="00631E46"/>
    <w:rsid w:val="00632107"/>
    <w:rsid w:val="00632132"/>
    <w:rsid w:val="00632162"/>
    <w:rsid w:val="00632251"/>
    <w:rsid w:val="00632275"/>
    <w:rsid w:val="00632482"/>
    <w:rsid w:val="006327FA"/>
    <w:rsid w:val="00632A84"/>
    <w:rsid w:val="00632E81"/>
    <w:rsid w:val="00632EFE"/>
    <w:rsid w:val="006330EB"/>
    <w:rsid w:val="006333E2"/>
    <w:rsid w:val="006335BA"/>
    <w:rsid w:val="00633635"/>
    <w:rsid w:val="00633E61"/>
    <w:rsid w:val="006341E9"/>
    <w:rsid w:val="0063439D"/>
    <w:rsid w:val="00634541"/>
    <w:rsid w:val="0063454A"/>
    <w:rsid w:val="006345B2"/>
    <w:rsid w:val="006345C2"/>
    <w:rsid w:val="006346A7"/>
    <w:rsid w:val="00634D99"/>
    <w:rsid w:val="00634FEE"/>
    <w:rsid w:val="00635067"/>
    <w:rsid w:val="00635322"/>
    <w:rsid w:val="00635396"/>
    <w:rsid w:val="00635445"/>
    <w:rsid w:val="00635906"/>
    <w:rsid w:val="00635924"/>
    <w:rsid w:val="00635A2E"/>
    <w:rsid w:val="00635DA4"/>
    <w:rsid w:val="00635F76"/>
    <w:rsid w:val="00636029"/>
    <w:rsid w:val="00636127"/>
    <w:rsid w:val="00636247"/>
    <w:rsid w:val="00636320"/>
    <w:rsid w:val="00636577"/>
    <w:rsid w:val="0063658D"/>
    <w:rsid w:val="006366C5"/>
    <w:rsid w:val="006367EB"/>
    <w:rsid w:val="00636A49"/>
    <w:rsid w:val="00636D16"/>
    <w:rsid w:val="00636E61"/>
    <w:rsid w:val="00636EB8"/>
    <w:rsid w:val="006371B0"/>
    <w:rsid w:val="00637346"/>
    <w:rsid w:val="0063757A"/>
    <w:rsid w:val="006375A4"/>
    <w:rsid w:val="00637697"/>
    <w:rsid w:val="006376E0"/>
    <w:rsid w:val="0063775F"/>
    <w:rsid w:val="006379E8"/>
    <w:rsid w:val="0064014C"/>
    <w:rsid w:val="0064050A"/>
    <w:rsid w:val="00640A03"/>
    <w:rsid w:val="00640A30"/>
    <w:rsid w:val="00640C59"/>
    <w:rsid w:val="00641054"/>
    <w:rsid w:val="00641146"/>
    <w:rsid w:val="006416C9"/>
    <w:rsid w:val="0064187E"/>
    <w:rsid w:val="00641947"/>
    <w:rsid w:val="00641969"/>
    <w:rsid w:val="00641E4D"/>
    <w:rsid w:val="00641F1D"/>
    <w:rsid w:val="006420B1"/>
    <w:rsid w:val="00642328"/>
    <w:rsid w:val="006423EC"/>
    <w:rsid w:val="006425E2"/>
    <w:rsid w:val="006429E5"/>
    <w:rsid w:val="00642D3C"/>
    <w:rsid w:val="00642FE6"/>
    <w:rsid w:val="0064349E"/>
    <w:rsid w:val="006434BC"/>
    <w:rsid w:val="00643627"/>
    <w:rsid w:val="00643671"/>
    <w:rsid w:val="006437B3"/>
    <w:rsid w:val="00643826"/>
    <w:rsid w:val="006438F2"/>
    <w:rsid w:val="00643DB6"/>
    <w:rsid w:val="00643DC6"/>
    <w:rsid w:val="00643FED"/>
    <w:rsid w:val="00644185"/>
    <w:rsid w:val="00644235"/>
    <w:rsid w:val="0064425E"/>
    <w:rsid w:val="00644455"/>
    <w:rsid w:val="00644544"/>
    <w:rsid w:val="006445B3"/>
    <w:rsid w:val="00644656"/>
    <w:rsid w:val="00644881"/>
    <w:rsid w:val="0064494C"/>
    <w:rsid w:val="00644A0C"/>
    <w:rsid w:val="00644A3F"/>
    <w:rsid w:val="00644B39"/>
    <w:rsid w:val="00644EFE"/>
    <w:rsid w:val="00645415"/>
    <w:rsid w:val="006454F0"/>
    <w:rsid w:val="006457CC"/>
    <w:rsid w:val="00645818"/>
    <w:rsid w:val="0064592F"/>
    <w:rsid w:val="00645A2F"/>
    <w:rsid w:val="00645BAE"/>
    <w:rsid w:val="00645C6D"/>
    <w:rsid w:val="00645DDC"/>
    <w:rsid w:val="006460F2"/>
    <w:rsid w:val="00646138"/>
    <w:rsid w:val="0064615F"/>
    <w:rsid w:val="0064620B"/>
    <w:rsid w:val="00646564"/>
    <w:rsid w:val="00646690"/>
    <w:rsid w:val="0064696F"/>
    <w:rsid w:val="00646B62"/>
    <w:rsid w:val="00646E20"/>
    <w:rsid w:val="00646F24"/>
    <w:rsid w:val="0064741F"/>
    <w:rsid w:val="00647500"/>
    <w:rsid w:val="006476E6"/>
    <w:rsid w:val="006479FC"/>
    <w:rsid w:val="00647ED4"/>
    <w:rsid w:val="006505EE"/>
    <w:rsid w:val="00650789"/>
    <w:rsid w:val="0065078B"/>
    <w:rsid w:val="00650DE1"/>
    <w:rsid w:val="00651317"/>
    <w:rsid w:val="00651392"/>
    <w:rsid w:val="00651834"/>
    <w:rsid w:val="006519FD"/>
    <w:rsid w:val="00651AFC"/>
    <w:rsid w:val="00651CFB"/>
    <w:rsid w:val="00651EF7"/>
    <w:rsid w:val="006521F6"/>
    <w:rsid w:val="0065235A"/>
    <w:rsid w:val="006523BF"/>
    <w:rsid w:val="006524EB"/>
    <w:rsid w:val="006527D7"/>
    <w:rsid w:val="00652A10"/>
    <w:rsid w:val="00652C27"/>
    <w:rsid w:val="00652CAA"/>
    <w:rsid w:val="00652F3C"/>
    <w:rsid w:val="00652FFD"/>
    <w:rsid w:val="0065317F"/>
    <w:rsid w:val="0065337C"/>
    <w:rsid w:val="00653483"/>
    <w:rsid w:val="006534B5"/>
    <w:rsid w:val="006537BD"/>
    <w:rsid w:val="00653A9F"/>
    <w:rsid w:val="00653D04"/>
    <w:rsid w:val="00654412"/>
    <w:rsid w:val="00654481"/>
    <w:rsid w:val="006545A6"/>
    <w:rsid w:val="006547C4"/>
    <w:rsid w:val="006547C5"/>
    <w:rsid w:val="00654803"/>
    <w:rsid w:val="00654864"/>
    <w:rsid w:val="00654A7C"/>
    <w:rsid w:val="00654DB7"/>
    <w:rsid w:val="00654DDB"/>
    <w:rsid w:val="006553E6"/>
    <w:rsid w:val="006554A1"/>
    <w:rsid w:val="00655571"/>
    <w:rsid w:val="00655615"/>
    <w:rsid w:val="00655B97"/>
    <w:rsid w:val="00655FBB"/>
    <w:rsid w:val="00656052"/>
    <w:rsid w:val="0065607E"/>
    <w:rsid w:val="00656513"/>
    <w:rsid w:val="00656608"/>
    <w:rsid w:val="00656940"/>
    <w:rsid w:val="00656A31"/>
    <w:rsid w:val="00656B39"/>
    <w:rsid w:val="00656D2E"/>
    <w:rsid w:val="00656DCB"/>
    <w:rsid w:val="00656F1D"/>
    <w:rsid w:val="006572BF"/>
    <w:rsid w:val="0065737F"/>
    <w:rsid w:val="0065741C"/>
    <w:rsid w:val="006574F4"/>
    <w:rsid w:val="00657614"/>
    <w:rsid w:val="0065789D"/>
    <w:rsid w:val="00657BCA"/>
    <w:rsid w:val="00657CA9"/>
    <w:rsid w:val="00657E6B"/>
    <w:rsid w:val="00660302"/>
    <w:rsid w:val="00660359"/>
    <w:rsid w:val="0066057D"/>
    <w:rsid w:val="00660750"/>
    <w:rsid w:val="006608DC"/>
    <w:rsid w:val="00660AD6"/>
    <w:rsid w:val="00660AF0"/>
    <w:rsid w:val="00661315"/>
    <w:rsid w:val="006617EC"/>
    <w:rsid w:val="00661864"/>
    <w:rsid w:val="00661B0F"/>
    <w:rsid w:val="00661D1D"/>
    <w:rsid w:val="00661E8B"/>
    <w:rsid w:val="00662149"/>
    <w:rsid w:val="0066266D"/>
    <w:rsid w:val="006627FC"/>
    <w:rsid w:val="006628AC"/>
    <w:rsid w:val="00662FF2"/>
    <w:rsid w:val="00663232"/>
    <w:rsid w:val="006632D8"/>
    <w:rsid w:val="00663A55"/>
    <w:rsid w:val="00663B72"/>
    <w:rsid w:val="00663CA0"/>
    <w:rsid w:val="00664B7E"/>
    <w:rsid w:val="00664CB2"/>
    <w:rsid w:val="0066518C"/>
    <w:rsid w:val="006651BF"/>
    <w:rsid w:val="006651C4"/>
    <w:rsid w:val="00665502"/>
    <w:rsid w:val="0066572D"/>
    <w:rsid w:val="006659E6"/>
    <w:rsid w:val="006659FF"/>
    <w:rsid w:val="00665B8D"/>
    <w:rsid w:val="00665B92"/>
    <w:rsid w:val="00665C15"/>
    <w:rsid w:val="00665C4B"/>
    <w:rsid w:val="00665E6B"/>
    <w:rsid w:val="006660A2"/>
    <w:rsid w:val="0066611B"/>
    <w:rsid w:val="006661D5"/>
    <w:rsid w:val="0066622E"/>
    <w:rsid w:val="006665F9"/>
    <w:rsid w:val="006666FD"/>
    <w:rsid w:val="006669C3"/>
    <w:rsid w:val="00666EC7"/>
    <w:rsid w:val="006671DE"/>
    <w:rsid w:val="0066720A"/>
    <w:rsid w:val="00667D2C"/>
    <w:rsid w:val="00670062"/>
    <w:rsid w:val="006700F8"/>
    <w:rsid w:val="006702FA"/>
    <w:rsid w:val="0067034B"/>
    <w:rsid w:val="0067039F"/>
    <w:rsid w:val="0067060D"/>
    <w:rsid w:val="00670712"/>
    <w:rsid w:val="006707C3"/>
    <w:rsid w:val="00670860"/>
    <w:rsid w:val="00670CF2"/>
    <w:rsid w:val="00670D78"/>
    <w:rsid w:val="00670E80"/>
    <w:rsid w:val="006714FE"/>
    <w:rsid w:val="0067156A"/>
    <w:rsid w:val="0067188F"/>
    <w:rsid w:val="006718DF"/>
    <w:rsid w:val="006719B1"/>
    <w:rsid w:val="00671D7C"/>
    <w:rsid w:val="00671F48"/>
    <w:rsid w:val="00672483"/>
    <w:rsid w:val="0067268D"/>
    <w:rsid w:val="00672F52"/>
    <w:rsid w:val="00672FD3"/>
    <w:rsid w:val="00673128"/>
    <w:rsid w:val="006731ED"/>
    <w:rsid w:val="00673439"/>
    <w:rsid w:val="00673571"/>
    <w:rsid w:val="00673B42"/>
    <w:rsid w:val="00673CA2"/>
    <w:rsid w:val="00673D37"/>
    <w:rsid w:val="00673F71"/>
    <w:rsid w:val="00673FDA"/>
    <w:rsid w:val="0067430B"/>
    <w:rsid w:val="00674424"/>
    <w:rsid w:val="006748B0"/>
    <w:rsid w:val="00674A1C"/>
    <w:rsid w:val="00674F89"/>
    <w:rsid w:val="00675101"/>
    <w:rsid w:val="006751A4"/>
    <w:rsid w:val="006752B5"/>
    <w:rsid w:val="0067549B"/>
    <w:rsid w:val="00675EEE"/>
    <w:rsid w:val="00676429"/>
    <w:rsid w:val="006767EF"/>
    <w:rsid w:val="006768A2"/>
    <w:rsid w:val="00676994"/>
    <w:rsid w:val="00676A97"/>
    <w:rsid w:val="00676AE8"/>
    <w:rsid w:val="00676BCD"/>
    <w:rsid w:val="00676C66"/>
    <w:rsid w:val="00676C75"/>
    <w:rsid w:val="00676C78"/>
    <w:rsid w:val="00676CD5"/>
    <w:rsid w:val="00676FCF"/>
    <w:rsid w:val="0067702C"/>
    <w:rsid w:val="006778AE"/>
    <w:rsid w:val="00677970"/>
    <w:rsid w:val="00677A13"/>
    <w:rsid w:val="00677A84"/>
    <w:rsid w:val="00677C6E"/>
    <w:rsid w:val="00680314"/>
    <w:rsid w:val="006806B0"/>
    <w:rsid w:val="00680750"/>
    <w:rsid w:val="00680773"/>
    <w:rsid w:val="00680B0D"/>
    <w:rsid w:val="0068111C"/>
    <w:rsid w:val="006811AB"/>
    <w:rsid w:val="006811F6"/>
    <w:rsid w:val="00681306"/>
    <w:rsid w:val="00681573"/>
    <w:rsid w:val="0068157E"/>
    <w:rsid w:val="0068199B"/>
    <w:rsid w:val="00681A93"/>
    <w:rsid w:val="00681F17"/>
    <w:rsid w:val="00681FCB"/>
    <w:rsid w:val="00682277"/>
    <w:rsid w:val="00682457"/>
    <w:rsid w:val="00682FFE"/>
    <w:rsid w:val="00683178"/>
    <w:rsid w:val="00683188"/>
    <w:rsid w:val="00683264"/>
    <w:rsid w:val="00683423"/>
    <w:rsid w:val="00683D0A"/>
    <w:rsid w:val="00683FDC"/>
    <w:rsid w:val="0068411B"/>
    <w:rsid w:val="0068433F"/>
    <w:rsid w:val="0068443E"/>
    <w:rsid w:val="0068488D"/>
    <w:rsid w:val="00684AAC"/>
    <w:rsid w:val="00684D22"/>
    <w:rsid w:val="00685015"/>
    <w:rsid w:val="00685105"/>
    <w:rsid w:val="006854DA"/>
    <w:rsid w:val="00685616"/>
    <w:rsid w:val="0068564C"/>
    <w:rsid w:val="00685A6D"/>
    <w:rsid w:val="00685C6C"/>
    <w:rsid w:val="00685D57"/>
    <w:rsid w:val="00685D88"/>
    <w:rsid w:val="00685DCB"/>
    <w:rsid w:val="00685ED1"/>
    <w:rsid w:val="00685F01"/>
    <w:rsid w:val="00685F91"/>
    <w:rsid w:val="0068612F"/>
    <w:rsid w:val="00686414"/>
    <w:rsid w:val="006866B2"/>
    <w:rsid w:val="00686715"/>
    <w:rsid w:val="00686A2C"/>
    <w:rsid w:val="00686B29"/>
    <w:rsid w:val="00686C6D"/>
    <w:rsid w:val="006870BA"/>
    <w:rsid w:val="0068730C"/>
    <w:rsid w:val="006873F1"/>
    <w:rsid w:val="00687581"/>
    <w:rsid w:val="00687684"/>
    <w:rsid w:val="00687745"/>
    <w:rsid w:val="00687A2E"/>
    <w:rsid w:val="00687AE3"/>
    <w:rsid w:val="00687BAE"/>
    <w:rsid w:val="00687D4D"/>
    <w:rsid w:val="0069025B"/>
    <w:rsid w:val="00690463"/>
    <w:rsid w:val="00690A56"/>
    <w:rsid w:val="00690B47"/>
    <w:rsid w:val="00690DA7"/>
    <w:rsid w:val="00690DDA"/>
    <w:rsid w:val="00690EFB"/>
    <w:rsid w:val="00691433"/>
    <w:rsid w:val="006914D7"/>
    <w:rsid w:val="00691556"/>
    <w:rsid w:val="00691615"/>
    <w:rsid w:val="006919EF"/>
    <w:rsid w:val="00691BEC"/>
    <w:rsid w:val="00691C38"/>
    <w:rsid w:val="006920C2"/>
    <w:rsid w:val="0069241F"/>
    <w:rsid w:val="006925AE"/>
    <w:rsid w:val="006926C4"/>
    <w:rsid w:val="006927EF"/>
    <w:rsid w:val="00692806"/>
    <w:rsid w:val="00692E1F"/>
    <w:rsid w:val="00692EA5"/>
    <w:rsid w:val="006931E1"/>
    <w:rsid w:val="00693583"/>
    <w:rsid w:val="00693751"/>
    <w:rsid w:val="00693886"/>
    <w:rsid w:val="006939B6"/>
    <w:rsid w:val="00693D7A"/>
    <w:rsid w:val="00693F6C"/>
    <w:rsid w:val="00693F8C"/>
    <w:rsid w:val="00694281"/>
    <w:rsid w:val="00694403"/>
    <w:rsid w:val="006944BC"/>
    <w:rsid w:val="00694574"/>
    <w:rsid w:val="0069489F"/>
    <w:rsid w:val="00694A49"/>
    <w:rsid w:val="00694B08"/>
    <w:rsid w:val="00694B70"/>
    <w:rsid w:val="00694FE9"/>
    <w:rsid w:val="00695041"/>
    <w:rsid w:val="0069542A"/>
    <w:rsid w:val="006956E9"/>
    <w:rsid w:val="00695AFC"/>
    <w:rsid w:val="00695B57"/>
    <w:rsid w:val="00695D6D"/>
    <w:rsid w:val="00695F53"/>
    <w:rsid w:val="0069612A"/>
    <w:rsid w:val="00696220"/>
    <w:rsid w:val="00696ADD"/>
    <w:rsid w:val="00696D57"/>
    <w:rsid w:val="006972AE"/>
    <w:rsid w:val="00697C4D"/>
    <w:rsid w:val="00697D4A"/>
    <w:rsid w:val="00697E6B"/>
    <w:rsid w:val="00697EED"/>
    <w:rsid w:val="006A00E7"/>
    <w:rsid w:val="006A0234"/>
    <w:rsid w:val="006A0D60"/>
    <w:rsid w:val="006A0DAD"/>
    <w:rsid w:val="006A11CE"/>
    <w:rsid w:val="006A154D"/>
    <w:rsid w:val="006A1564"/>
    <w:rsid w:val="006A160E"/>
    <w:rsid w:val="006A185C"/>
    <w:rsid w:val="006A188F"/>
    <w:rsid w:val="006A18E0"/>
    <w:rsid w:val="006A197D"/>
    <w:rsid w:val="006A1AE2"/>
    <w:rsid w:val="006A1AEF"/>
    <w:rsid w:val="006A1C57"/>
    <w:rsid w:val="006A222C"/>
    <w:rsid w:val="006A223D"/>
    <w:rsid w:val="006A229D"/>
    <w:rsid w:val="006A2380"/>
    <w:rsid w:val="006A2488"/>
    <w:rsid w:val="006A24F9"/>
    <w:rsid w:val="006A2531"/>
    <w:rsid w:val="006A25D3"/>
    <w:rsid w:val="006A2DD8"/>
    <w:rsid w:val="006A2E6D"/>
    <w:rsid w:val="006A2EBC"/>
    <w:rsid w:val="006A2EDC"/>
    <w:rsid w:val="006A3024"/>
    <w:rsid w:val="006A331F"/>
    <w:rsid w:val="006A343D"/>
    <w:rsid w:val="006A345F"/>
    <w:rsid w:val="006A36D1"/>
    <w:rsid w:val="006A38F1"/>
    <w:rsid w:val="006A39CD"/>
    <w:rsid w:val="006A3B3D"/>
    <w:rsid w:val="006A3EB4"/>
    <w:rsid w:val="006A4016"/>
    <w:rsid w:val="006A41E4"/>
    <w:rsid w:val="006A4A1F"/>
    <w:rsid w:val="006A4A8F"/>
    <w:rsid w:val="006A4C35"/>
    <w:rsid w:val="006A4D6F"/>
    <w:rsid w:val="006A53B7"/>
    <w:rsid w:val="006A5AA0"/>
    <w:rsid w:val="006A5D2B"/>
    <w:rsid w:val="006A5E3F"/>
    <w:rsid w:val="006A5E49"/>
    <w:rsid w:val="006A6011"/>
    <w:rsid w:val="006A61F1"/>
    <w:rsid w:val="006A6239"/>
    <w:rsid w:val="006A62D6"/>
    <w:rsid w:val="006A6300"/>
    <w:rsid w:val="006A6589"/>
    <w:rsid w:val="006A6870"/>
    <w:rsid w:val="006A6F83"/>
    <w:rsid w:val="006A7017"/>
    <w:rsid w:val="006A7571"/>
    <w:rsid w:val="006A76E2"/>
    <w:rsid w:val="006A7D39"/>
    <w:rsid w:val="006A7DF9"/>
    <w:rsid w:val="006B063F"/>
    <w:rsid w:val="006B0717"/>
    <w:rsid w:val="006B0ADC"/>
    <w:rsid w:val="006B0E75"/>
    <w:rsid w:val="006B11A1"/>
    <w:rsid w:val="006B12A9"/>
    <w:rsid w:val="006B13FE"/>
    <w:rsid w:val="006B157B"/>
    <w:rsid w:val="006B15B4"/>
    <w:rsid w:val="006B16AB"/>
    <w:rsid w:val="006B16E4"/>
    <w:rsid w:val="006B172A"/>
    <w:rsid w:val="006B18E5"/>
    <w:rsid w:val="006B19A8"/>
    <w:rsid w:val="006B1B47"/>
    <w:rsid w:val="006B1B73"/>
    <w:rsid w:val="006B1D9E"/>
    <w:rsid w:val="006B1F8C"/>
    <w:rsid w:val="006B2385"/>
    <w:rsid w:val="006B2476"/>
    <w:rsid w:val="006B25E7"/>
    <w:rsid w:val="006B2649"/>
    <w:rsid w:val="006B26F4"/>
    <w:rsid w:val="006B277E"/>
    <w:rsid w:val="006B2A1E"/>
    <w:rsid w:val="006B2B19"/>
    <w:rsid w:val="006B2E4E"/>
    <w:rsid w:val="006B2E65"/>
    <w:rsid w:val="006B3283"/>
    <w:rsid w:val="006B3311"/>
    <w:rsid w:val="006B39BF"/>
    <w:rsid w:val="006B3C4C"/>
    <w:rsid w:val="006B3CE8"/>
    <w:rsid w:val="006B3D45"/>
    <w:rsid w:val="006B3F20"/>
    <w:rsid w:val="006B3F87"/>
    <w:rsid w:val="006B427A"/>
    <w:rsid w:val="006B428D"/>
    <w:rsid w:val="006B43B5"/>
    <w:rsid w:val="006B4506"/>
    <w:rsid w:val="006B4580"/>
    <w:rsid w:val="006B46CF"/>
    <w:rsid w:val="006B495D"/>
    <w:rsid w:val="006B501B"/>
    <w:rsid w:val="006B5121"/>
    <w:rsid w:val="006B5151"/>
    <w:rsid w:val="006B5243"/>
    <w:rsid w:val="006B5AD9"/>
    <w:rsid w:val="006B5BC1"/>
    <w:rsid w:val="006B6258"/>
    <w:rsid w:val="006B6885"/>
    <w:rsid w:val="006B6993"/>
    <w:rsid w:val="006B6CA1"/>
    <w:rsid w:val="006B6CF2"/>
    <w:rsid w:val="006B6F7A"/>
    <w:rsid w:val="006B6FC0"/>
    <w:rsid w:val="006B719C"/>
    <w:rsid w:val="006B7BF6"/>
    <w:rsid w:val="006B7DA7"/>
    <w:rsid w:val="006B7DB4"/>
    <w:rsid w:val="006C00BB"/>
    <w:rsid w:val="006C0194"/>
    <w:rsid w:val="006C01CD"/>
    <w:rsid w:val="006C0298"/>
    <w:rsid w:val="006C0760"/>
    <w:rsid w:val="006C077C"/>
    <w:rsid w:val="006C07CA"/>
    <w:rsid w:val="006C0802"/>
    <w:rsid w:val="006C080E"/>
    <w:rsid w:val="006C085F"/>
    <w:rsid w:val="006C095D"/>
    <w:rsid w:val="006C0BC5"/>
    <w:rsid w:val="006C0D31"/>
    <w:rsid w:val="006C11D9"/>
    <w:rsid w:val="006C1206"/>
    <w:rsid w:val="006C13E4"/>
    <w:rsid w:val="006C1619"/>
    <w:rsid w:val="006C163D"/>
    <w:rsid w:val="006C1728"/>
    <w:rsid w:val="006C263D"/>
    <w:rsid w:val="006C277A"/>
    <w:rsid w:val="006C286B"/>
    <w:rsid w:val="006C2ACF"/>
    <w:rsid w:val="006C2B9A"/>
    <w:rsid w:val="006C2F1B"/>
    <w:rsid w:val="006C2FA8"/>
    <w:rsid w:val="006C3208"/>
    <w:rsid w:val="006C34A1"/>
    <w:rsid w:val="006C3519"/>
    <w:rsid w:val="006C3767"/>
    <w:rsid w:val="006C39A7"/>
    <w:rsid w:val="006C3A5B"/>
    <w:rsid w:val="006C3A9D"/>
    <w:rsid w:val="006C3BA4"/>
    <w:rsid w:val="006C3D13"/>
    <w:rsid w:val="006C3E2A"/>
    <w:rsid w:val="006C3F56"/>
    <w:rsid w:val="006C3F65"/>
    <w:rsid w:val="006C40EB"/>
    <w:rsid w:val="006C4387"/>
    <w:rsid w:val="006C43F3"/>
    <w:rsid w:val="006C44E4"/>
    <w:rsid w:val="006C45A2"/>
    <w:rsid w:val="006C45F0"/>
    <w:rsid w:val="006C4996"/>
    <w:rsid w:val="006C49CC"/>
    <w:rsid w:val="006C4ABE"/>
    <w:rsid w:val="006C4BCF"/>
    <w:rsid w:val="006C4C08"/>
    <w:rsid w:val="006C54E9"/>
    <w:rsid w:val="006C5602"/>
    <w:rsid w:val="006C5686"/>
    <w:rsid w:val="006C5869"/>
    <w:rsid w:val="006C58B6"/>
    <w:rsid w:val="006C5978"/>
    <w:rsid w:val="006C5A2F"/>
    <w:rsid w:val="006C6481"/>
    <w:rsid w:val="006C66F6"/>
    <w:rsid w:val="006C6755"/>
    <w:rsid w:val="006C6ACD"/>
    <w:rsid w:val="006C6DA0"/>
    <w:rsid w:val="006C7127"/>
    <w:rsid w:val="006C763B"/>
    <w:rsid w:val="006C7696"/>
    <w:rsid w:val="006C7932"/>
    <w:rsid w:val="006D0027"/>
    <w:rsid w:val="006D050C"/>
    <w:rsid w:val="006D05C9"/>
    <w:rsid w:val="006D06EB"/>
    <w:rsid w:val="006D077D"/>
    <w:rsid w:val="006D0CA2"/>
    <w:rsid w:val="006D15E8"/>
    <w:rsid w:val="006D1955"/>
    <w:rsid w:val="006D19C1"/>
    <w:rsid w:val="006D1B96"/>
    <w:rsid w:val="006D1D3F"/>
    <w:rsid w:val="006D2152"/>
    <w:rsid w:val="006D2E47"/>
    <w:rsid w:val="006D3167"/>
    <w:rsid w:val="006D33F3"/>
    <w:rsid w:val="006D34A4"/>
    <w:rsid w:val="006D355E"/>
    <w:rsid w:val="006D391E"/>
    <w:rsid w:val="006D3EEA"/>
    <w:rsid w:val="006D421A"/>
    <w:rsid w:val="006D4374"/>
    <w:rsid w:val="006D4644"/>
    <w:rsid w:val="006D47E5"/>
    <w:rsid w:val="006D4D83"/>
    <w:rsid w:val="006D533D"/>
    <w:rsid w:val="006D546C"/>
    <w:rsid w:val="006D5A8C"/>
    <w:rsid w:val="006D5AC4"/>
    <w:rsid w:val="006D5CE8"/>
    <w:rsid w:val="006D5D3F"/>
    <w:rsid w:val="006D5DCB"/>
    <w:rsid w:val="006D5E8B"/>
    <w:rsid w:val="006D6234"/>
    <w:rsid w:val="006D6603"/>
    <w:rsid w:val="006D6856"/>
    <w:rsid w:val="006D6A2A"/>
    <w:rsid w:val="006D6C17"/>
    <w:rsid w:val="006D6E6C"/>
    <w:rsid w:val="006D731C"/>
    <w:rsid w:val="006D73CE"/>
    <w:rsid w:val="006D75AF"/>
    <w:rsid w:val="006D762C"/>
    <w:rsid w:val="006D7735"/>
    <w:rsid w:val="006D787E"/>
    <w:rsid w:val="006D793F"/>
    <w:rsid w:val="006D7BC3"/>
    <w:rsid w:val="006D7C96"/>
    <w:rsid w:val="006D7D1A"/>
    <w:rsid w:val="006E01AC"/>
    <w:rsid w:val="006E021E"/>
    <w:rsid w:val="006E05DC"/>
    <w:rsid w:val="006E07B8"/>
    <w:rsid w:val="006E097F"/>
    <w:rsid w:val="006E099E"/>
    <w:rsid w:val="006E09CF"/>
    <w:rsid w:val="006E0B59"/>
    <w:rsid w:val="006E0CC5"/>
    <w:rsid w:val="006E0D1D"/>
    <w:rsid w:val="006E0D30"/>
    <w:rsid w:val="006E0E4B"/>
    <w:rsid w:val="006E10C5"/>
    <w:rsid w:val="006E181A"/>
    <w:rsid w:val="006E199A"/>
    <w:rsid w:val="006E1BDC"/>
    <w:rsid w:val="006E1C0E"/>
    <w:rsid w:val="006E1DA9"/>
    <w:rsid w:val="006E1E42"/>
    <w:rsid w:val="006E1ED3"/>
    <w:rsid w:val="006E2294"/>
    <w:rsid w:val="006E23E1"/>
    <w:rsid w:val="006E244A"/>
    <w:rsid w:val="006E2545"/>
    <w:rsid w:val="006E25B1"/>
    <w:rsid w:val="006E313E"/>
    <w:rsid w:val="006E3215"/>
    <w:rsid w:val="006E3266"/>
    <w:rsid w:val="006E3357"/>
    <w:rsid w:val="006E3416"/>
    <w:rsid w:val="006E3592"/>
    <w:rsid w:val="006E3668"/>
    <w:rsid w:val="006E373C"/>
    <w:rsid w:val="006E37D4"/>
    <w:rsid w:val="006E3849"/>
    <w:rsid w:val="006E3A96"/>
    <w:rsid w:val="006E3C83"/>
    <w:rsid w:val="006E5064"/>
    <w:rsid w:val="006E50C6"/>
    <w:rsid w:val="006E53A3"/>
    <w:rsid w:val="006E53BD"/>
    <w:rsid w:val="006E53E3"/>
    <w:rsid w:val="006E5453"/>
    <w:rsid w:val="006E5658"/>
    <w:rsid w:val="006E5801"/>
    <w:rsid w:val="006E6190"/>
    <w:rsid w:val="006E61FD"/>
    <w:rsid w:val="006E62C8"/>
    <w:rsid w:val="006E6300"/>
    <w:rsid w:val="006E66A1"/>
    <w:rsid w:val="006E67F2"/>
    <w:rsid w:val="006E6A35"/>
    <w:rsid w:val="006E6A59"/>
    <w:rsid w:val="006E6AA2"/>
    <w:rsid w:val="006E6BA0"/>
    <w:rsid w:val="006E6D56"/>
    <w:rsid w:val="006E6E61"/>
    <w:rsid w:val="006E6E71"/>
    <w:rsid w:val="006E700D"/>
    <w:rsid w:val="006E70F9"/>
    <w:rsid w:val="006E7343"/>
    <w:rsid w:val="006E748E"/>
    <w:rsid w:val="006E7F45"/>
    <w:rsid w:val="006F0120"/>
    <w:rsid w:val="006F0369"/>
    <w:rsid w:val="006F036A"/>
    <w:rsid w:val="006F052D"/>
    <w:rsid w:val="006F0718"/>
    <w:rsid w:val="006F075E"/>
    <w:rsid w:val="006F086D"/>
    <w:rsid w:val="006F1112"/>
    <w:rsid w:val="006F12A9"/>
    <w:rsid w:val="006F15EB"/>
    <w:rsid w:val="006F1E46"/>
    <w:rsid w:val="006F2042"/>
    <w:rsid w:val="006F279C"/>
    <w:rsid w:val="006F2803"/>
    <w:rsid w:val="006F2936"/>
    <w:rsid w:val="006F2C96"/>
    <w:rsid w:val="006F341E"/>
    <w:rsid w:val="006F34AA"/>
    <w:rsid w:val="006F3593"/>
    <w:rsid w:val="006F37E5"/>
    <w:rsid w:val="006F39B4"/>
    <w:rsid w:val="006F3AB8"/>
    <w:rsid w:val="006F3AC8"/>
    <w:rsid w:val="006F3AF1"/>
    <w:rsid w:val="006F3E01"/>
    <w:rsid w:val="006F3F4D"/>
    <w:rsid w:val="006F42C9"/>
    <w:rsid w:val="006F45B4"/>
    <w:rsid w:val="006F4873"/>
    <w:rsid w:val="006F4C1D"/>
    <w:rsid w:val="006F4F0A"/>
    <w:rsid w:val="006F5564"/>
    <w:rsid w:val="006F574B"/>
    <w:rsid w:val="006F57C2"/>
    <w:rsid w:val="006F5929"/>
    <w:rsid w:val="006F59F4"/>
    <w:rsid w:val="006F5DDB"/>
    <w:rsid w:val="006F63B3"/>
    <w:rsid w:val="006F6824"/>
    <w:rsid w:val="006F69A0"/>
    <w:rsid w:val="006F69E5"/>
    <w:rsid w:val="006F6B79"/>
    <w:rsid w:val="006F6D65"/>
    <w:rsid w:val="006F6F1D"/>
    <w:rsid w:val="006F6F56"/>
    <w:rsid w:val="006F7111"/>
    <w:rsid w:val="006F7170"/>
    <w:rsid w:val="006F72C9"/>
    <w:rsid w:val="006F737E"/>
    <w:rsid w:val="006F7666"/>
    <w:rsid w:val="006F7F8C"/>
    <w:rsid w:val="007000BF"/>
    <w:rsid w:val="00700751"/>
    <w:rsid w:val="00700D39"/>
    <w:rsid w:val="00701283"/>
    <w:rsid w:val="00701316"/>
    <w:rsid w:val="007013C3"/>
    <w:rsid w:val="00701954"/>
    <w:rsid w:val="0070196F"/>
    <w:rsid w:val="007019C5"/>
    <w:rsid w:val="00701C81"/>
    <w:rsid w:val="00701C8E"/>
    <w:rsid w:val="007021C2"/>
    <w:rsid w:val="00702242"/>
    <w:rsid w:val="007024D6"/>
    <w:rsid w:val="007026ED"/>
    <w:rsid w:val="00702880"/>
    <w:rsid w:val="00702953"/>
    <w:rsid w:val="00702D96"/>
    <w:rsid w:val="00702F76"/>
    <w:rsid w:val="0070324A"/>
    <w:rsid w:val="007032E9"/>
    <w:rsid w:val="007033AF"/>
    <w:rsid w:val="007038A9"/>
    <w:rsid w:val="00703C59"/>
    <w:rsid w:val="00703E4A"/>
    <w:rsid w:val="00703E95"/>
    <w:rsid w:val="00703EE2"/>
    <w:rsid w:val="0070414E"/>
    <w:rsid w:val="0070428F"/>
    <w:rsid w:val="0070433F"/>
    <w:rsid w:val="00704547"/>
    <w:rsid w:val="007047CA"/>
    <w:rsid w:val="00704850"/>
    <w:rsid w:val="007049DF"/>
    <w:rsid w:val="00704A57"/>
    <w:rsid w:val="00704ABE"/>
    <w:rsid w:val="00704C1E"/>
    <w:rsid w:val="00705088"/>
    <w:rsid w:val="0070508D"/>
    <w:rsid w:val="00705158"/>
    <w:rsid w:val="0070516D"/>
    <w:rsid w:val="00705377"/>
    <w:rsid w:val="00705395"/>
    <w:rsid w:val="0070549F"/>
    <w:rsid w:val="007056F8"/>
    <w:rsid w:val="00705895"/>
    <w:rsid w:val="00705934"/>
    <w:rsid w:val="00705A0D"/>
    <w:rsid w:val="00705A8B"/>
    <w:rsid w:val="00705CB6"/>
    <w:rsid w:val="00705D0B"/>
    <w:rsid w:val="00705D9D"/>
    <w:rsid w:val="00705E18"/>
    <w:rsid w:val="00706062"/>
    <w:rsid w:val="007062CD"/>
    <w:rsid w:val="0070662C"/>
    <w:rsid w:val="007066D9"/>
    <w:rsid w:val="00706B6B"/>
    <w:rsid w:val="00706C15"/>
    <w:rsid w:val="00706CF0"/>
    <w:rsid w:val="00706DDC"/>
    <w:rsid w:val="00706E24"/>
    <w:rsid w:val="00706E73"/>
    <w:rsid w:val="00707090"/>
    <w:rsid w:val="007070B0"/>
    <w:rsid w:val="00707374"/>
    <w:rsid w:val="00707739"/>
    <w:rsid w:val="00707758"/>
    <w:rsid w:val="00707773"/>
    <w:rsid w:val="007079F7"/>
    <w:rsid w:val="00707D99"/>
    <w:rsid w:val="00707DD6"/>
    <w:rsid w:val="0071002C"/>
    <w:rsid w:val="0071025B"/>
    <w:rsid w:val="007105AE"/>
    <w:rsid w:val="00710621"/>
    <w:rsid w:val="00710AA6"/>
    <w:rsid w:val="00710B83"/>
    <w:rsid w:val="00710FBE"/>
    <w:rsid w:val="00711124"/>
    <w:rsid w:val="00711139"/>
    <w:rsid w:val="0071125C"/>
    <w:rsid w:val="00711371"/>
    <w:rsid w:val="00711817"/>
    <w:rsid w:val="00711BAB"/>
    <w:rsid w:val="00711F50"/>
    <w:rsid w:val="00711F7C"/>
    <w:rsid w:val="0071221D"/>
    <w:rsid w:val="0071260C"/>
    <w:rsid w:val="0071268A"/>
    <w:rsid w:val="00712837"/>
    <w:rsid w:val="007128A8"/>
    <w:rsid w:val="00713001"/>
    <w:rsid w:val="00713456"/>
    <w:rsid w:val="00713608"/>
    <w:rsid w:val="007137C0"/>
    <w:rsid w:val="00713913"/>
    <w:rsid w:val="00713DE4"/>
    <w:rsid w:val="007142FB"/>
    <w:rsid w:val="007144A8"/>
    <w:rsid w:val="00714583"/>
    <w:rsid w:val="007145AB"/>
    <w:rsid w:val="0071479A"/>
    <w:rsid w:val="00714913"/>
    <w:rsid w:val="007149F0"/>
    <w:rsid w:val="00714BBA"/>
    <w:rsid w:val="00714D2A"/>
    <w:rsid w:val="00714FF2"/>
    <w:rsid w:val="00715121"/>
    <w:rsid w:val="007159C9"/>
    <w:rsid w:val="00715A89"/>
    <w:rsid w:val="00715A8F"/>
    <w:rsid w:val="00715D1E"/>
    <w:rsid w:val="00716010"/>
    <w:rsid w:val="0071608C"/>
    <w:rsid w:val="0071623D"/>
    <w:rsid w:val="00716600"/>
    <w:rsid w:val="0071674A"/>
    <w:rsid w:val="00716A0E"/>
    <w:rsid w:val="00716B40"/>
    <w:rsid w:val="00716BDD"/>
    <w:rsid w:val="00716D2F"/>
    <w:rsid w:val="00716FBE"/>
    <w:rsid w:val="00717026"/>
    <w:rsid w:val="00717132"/>
    <w:rsid w:val="00717367"/>
    <w:rsid w:val="007173D5"/>
    <w:rsid w:val="00717675"/>
    <w:rsid w:val="007179EF"/>
    <w:rsid w:val="00717B73"/>
    <w:rsid w:val="00717C2E"/>
    <w:rsid w:val="00717C99"/>
    <w:rsid w:val="00717D84"/>
    <w:rsid w:val="0072007D"/>
    <w:rsid w:val="007203E0"/>
    <w:rsid w:val="00720485"/>
    <w:rsid w:val="007207D1"/>
    <w:rsid w:val="00720AF9"/>
    <w:rsid w:val="00720AFE"/>
    <w:rsid w:val="00720F08"/>
    <w:rsid w:val="007216BF"/>
    <w:rsid w:val="00721847"/>
    <w:rsid w:val="00721ADC"/>
    <w:rsid w:val="00721B50"/>
    <w:rsid w:val="00721E52"/>
    <w:rsid w:val="007223EF"/>
    <w:rsid w:val="007226C8"/>
    <w:rsid w:val="007226D3"/>
    <w:rsid w:val="007228A1"/>
    <w:rsid w:val="00722947"/>
    <w:rsid w:val="00722BC7"/>
    <w:rsid w:val="00722DE5"/>
    <w:rsid w:val="00722F1C"/>
    <w:rsid w:val="00723303"/>
    <w:rsid w:val="00723402"/>
    <w:rsid w:val="00723507"/>
    <w:rsid w:val="007235C9"/>
    <w:rsid w:val="0072399D"/>
    <w:rsid w:val="00723A38"/>
    <w:rsid w:val="00723EA1"/>
    <w:rsid w:val="00723F7E"/>
    <w:rsid w:val="00724082"/>
    <w:rsid w:val="00724830"/>
    <w:rsid w:val="00724A62"/>
    <w:rsid w:val="00724B1E"/>
    <w:rsid w:val="00724D94"/>
    <w:rsid w:val="00724E59"/>
    <w:rsid w:val="00725323"/>
    <w:rsid w:val="007255B2"/>
    <w:rsid w:val="007257A4"/>
    <w:rsid w:val="00725A2E"/>
    <w:rsid w:val="00726109"/>
    <w:rsid w:val="00726219"/>
    <w:rsid w:val="00726507"/>
    <w:rsid w:val="007266CC"/>
    <w:rsid w:val="00726705"/>
    <w:rsid w:val="00726C16"/>
    <w:rsid w:val="00727549"/>
    <w:rsid w:val="00727725"/>
    <w:rsid w:val="00727835"/>
    <w:rsid w:val="00727A12"/>
    <w:rsid w:val="00727A19"/>
    <w:rsid w:val="00727C50"/>
    <w:rsid w:val="00727CEC"/>
    <w:rsid w:val="00730017"/>
    <w:rsid w:val="007300D2"/>
    <w:rsid w:val="007301CE"/>
    <w:rsid w:val="00730983"/>
    <w:rsid w:val="00730B5D"/>
    <w:rsid w:val="00730FBC"/>
    <w:rsid w:val="00731067"/>
    <w:rsid w:val="007310B1"/>
    <w:rsid w:val="007311F4"/>
    <w:rsid w:val="00731443"/>
    <w:rsid w:val="00731815"/>
    <w:rsid w:val="00731B66"/>
    <w:rsid w:val="007322A7"/>
    <w:rsid w:val="00732711"/>
    <w:rsid w:val="00732B18"/>
    <w:rsid w:val="00733C90"/>
    <w:rsid w:val="00734159"/>
    <w:rsid w:val="00734354"/>
    <w:rsid w:val="00734389"/>
    <w:rsid w:val="0073449F"/>
    <w:rsid w:val="00734510"/>
    <w:rsid w:val="007347FE"/>
    <w:rsid w:val="0073486C"/>
    <w:rsid w:val="007348D0"/>
    <w:rsid w:val="00734B98"/>
    <w:rsid w:val="00734EDF"/>
    <w:rsid w:val="007350ED"/>
    <w:rsid w:val="0073529E"/>
    <w:rsid w:val="007352DF"/>
    <w:rsid w:val="0073571A"/>
    <w:rsid w:val="007357FD"/>
    <w:rsid w:val="00736082"/>
    <w:rsid w:val="007361C6"/>
    <w:rsid w:val="007369A1"/>
    <w:rsid w:val="00736A85"/>
    <w:rsid w:val="00736AC3"/>
    <w:rsid w:val="00736B09"/>
    <w:rsid w:val="00737043"/>
    <w:rsid w:val="007370BD"/>
    <w:rsid w:val="00737610"/>
    <w:rsid w:val="00737814"/>
    <w:rsid w:val="00737823"/>
    <w:rsid w:val="0073783A"/>
    <w:rsid w:val="00737E4C"/>
    <w:rsid w:val="00737ED4"/>
    <w:rsid w:val="00737F9C"/>
    <w:rsid w:val="00737FB3"/>
    <w:rsid w:val="00737FD3"/>
    <w:rsid w:val="007408DE"/>
    <w:rsid w:val="007409F5"/>
    <w:rsid w:val="00740E16"/>
    <w:rsid w:val="00740FB5"/>
    <w:rsid w:val="00741195"/>
    <w:rsid w:val="0074127C"/>
    <w:rsid w:val="00741350"/>
    <w:rsid w:val="007418B0"/>
    <w:rsid w:val="00741900"/>
    <w:rsid w:val="0074190B"/>
    <w:rsid w:val="00741D8B"/>
    <w:rsid w:val="00741E21"/>
    <w:rsid w:val="00742117"/>
    <w:rsid w:val="00742199"/>
    <w:rsid w:val="007422BA"/>
    <w:rsid w:val="00742813"/>
    <w:rsid w:val="00742C39"/>
    <w:rsid w:val="00742C94"/>
    <w:rsid w:val="00742EBF"/>
    <w:rsid w:val="00742EE7"/>
    <w:rsid w:val="00743081"/>
    <w:rsid w:val="007433E1"/>
    <w:rsid w:val="0074370D"/>
    <w:rsid w:val="0074396D"/>
    <w:rsid w:val="00743A88"/>
    <w:rsid w:val="00743AAC"/>
    <w:rsid w:val="00743E17"/>
    <w:rsid w:val="00743F3E"/>
    <w:rsid w:val="007440E9"/>
    <w:rsid w:val="0074416C"/>
    <w:rsid w:val="0074455E"/>
    <w:rsid w:val="007447F9"/>
    <w:rsid w:val="0074492E"/>
    <w:rsid w:val="00744CF8"/>
    <w:rsid w:val="00744CFB"/>
    <w:rsid w:val="00745221"/>
    <w:rsid w:val="007454BA"/>
    <w:rsid w:val="0074555A"/>
    <w:rsid w:val="00745579"/>
    <w:rsid w:val="00745763"/>
    <w:rsid w:val="00745C49"/>
    <w:rsid w:val="00745F41"/>
    <w:rsid w:val="00745FB6"/>
    <w:rsid w:val="00746025"/>
    <w:rsid w:val="00746237"/>
    <w:rsid w:val="0074696A"/>
    <w:rsid w:val="00746DD3"/>
    <w:rsid w:val="00746F12"/>
    <w:rsid w:val="007472A6"/>
    <w:rsid w:val="00747952"/>
    <w:rsid w:val="00747CCE"/>
    <w:rsid w:val="00747E07"/>
    <w:rsid w:val="0075005B"/>
    <w:rsid w:val="0075064F"/>
    <w:rsid w:val="0075078D"/>
    <w:rsid w:val="007507FD"/>
    <w:rsid w:val="0075081B"/>
    <w:rsid w:val="00750AF2"/>
    <w:rsid w:val="007511E7"/>
    <w:rsid w:val="00751293"/>
    <w:rsid w:val="007513B9"/>
    <w:rsid w:val="00751691"/>
    <w:rsid w:val="00751CA2"/>
    <w:rsid w:val="00751E0A"/>
    <w:rsid w:val="00751ECC"/>
    <w:rsid w:val="00751FE8"/>
    <w:rsid w:val="00752046"/>
    <w:rsid w:val="007520FA"/>
    <w:rsid w:val="00752123"/>
    <w:rsid w:val="007522F4"/>
    <w:rsid w:val="007526F5"/>
    <w:rsid w:val="00752A97"/>
    <w:rsid w:val="00752C24"/>
    <w:rsid w:val="00752D17"/>
    <w:rsid w:val="00752D73"/>
    <w:rsid w:val="00753014"/>
    <w:rsid w:val="0075336A"/>
    <w:rsid w:val="00753838"/>
    <w:rsid w:val="0075399B"/>
    <w:rsid w:val="00753B94"/>
    <w:rsid w:val="00753F91"/>
    <w:rsid w:val="0075424A"/>
    <w:rsid w:val="00754290"/>
    <w:rsid w:val="007547DD"/>
    <w:rsid w:val="00754820"/>
    <w:rsid w:val="00754D4A"/>
    <w:rsid w:val="00754D4D"/>
    <w:rsid w:val="00754D76"/>
    <w:rsid w:val="00754D7D"/>
    <w:rsid w:val="00755395"/>
    <w:rsid w:val="00755665"/>
    <w:rsid w:val="00755715"/>
    <w:rsid w:val="00755A44"/>
    <w:rsid w:val="00755E84"/>
    <w:rsid w:val="00755E85"/>
    <w:rsid w:val="0075605F"/>
    <w:rsid w:val="007564AA"/>
    <w:rsid w:val="00756877"/>
    <w:rsid w:val="00756898"/>
    <w:rsid w:val="007568BE"/>
    <w:rsid w:val="007569A4"/>
    <w:rsid w:val="00756BC2"/>
    <w:rsid w:val="00756D67"/>
    <w:rsid w:val="00756DF0"/>
    <w:rsid w:val="00756E7C"/>
    <w:rsid w:val="00756EBC"/>
    <w:rsid w:val="00756EFB"/>
    <w:rsid w:val="00757246"/>
    <w:rsid w:val="00757639"/>
    <w:rsid w:val="00757671"/>
    <w:rsid w:val="00757754"/>
    <w:rsid w:val="007579D4"/>
    <w:rsid w:val="00757C40"/>
    <w:rsid w:val="00757DB0"/>
    <w:rsid w:val="00757DE1"/>
    <w:rsid w:val="00757E25"/>
    <w:rsid w:val="00757E58"/>
    <w:rsid w:val="00757F00"/>
    <w:rsid w:val="007604BD"/>
    <w:rsid w:val="00760624"/>
    <w:rsid w:val="00760687"/>
    <w:rsid w:val="007607BB"/>
    <w:rsid w:val="00760985"/>
    <w:rsid w:val="00760A55"/>
    <w:rsid w:val="00760D9D"/>
    <w:rsid w:val="00760F1F"/>
    <w:rsid w:val="00760FAC"/>
    <w:rsid w:val="00761089"/>
    <w:rsid w:val="007612F2"/>
    <w:rsid w:val="007614B8"/>
    <w:rsid w:val="0076151B"/>
    <w:rsid w:val="0076153A"/>
    <w:rsid w:val="00761564"/>
    <w:rsid w:val="00761575"/>
    <w:rsid w:val="00761627"/>
    <w:rsid w:val="00761A96"/>
    <w:rsid w:val="00761CBE"/>
    <w:rsid w:val="00761CD2"/>
    <w:rsid w:val="00761D12"/>
    <w:rsid w:val="00761E06"/>
    <w:rsid w:val="00761E2D"/>
    <w:rsid w:val="00761E3B"/>
    <w:rsid w:val="0076224C"/>
    <w:rsid w:val="0076235A"/>
    <w:rsid w:val="007624EA"/>
    <w:rsid w:val="0076272F"/>
    <w:rsid w:val="0076279C"/>
    <w:rsid w:val="00762B57"/>
    <w:rsid w:val="00762B71"/>
    <w:rsid w:val="0076329E"/>
    <w:rsid w:val="0076350B"/>
    <w:rsid w:val="007636B6"/>
    <w:rsid w:val="007637C7"/>
    <w:rsid w:val="00763A62"/>
    <w:rsid w:val="00763CF5"/>
    <w:rsid w:val="00763D45"/>
    <w:rsid w:val="00763D62"/>
    <w:rsid w:val="00764632"/>
    <w:rsid w:val="0076477F"/>
    <w:rsid w:val="00764D0D"/>
    <w:rsid w:val="00764D41"/>
    <w:rsid w:val="0076568C"/>
    <w:rsid w:val="00765862"/>
    <w:rsid w:val="00765AA4"/>
    <w:rsid w:val="00765EAB"/>
    <w:rsid w:val="00766299"/>
    <w:rsid w:val="007662AB"/>
    <w:rsid w:val="00766356"/>
    <w:rsid w:val="00766496"/>
    <w:rsid w:val="0076649B"/>
    <w:rsid w:val="0076659B"/>
    <w:rsid w:val="00766625"/>
    <w:rsid w:val="00766CEF"/>
    <w:rsid w:val="00766DDA"/>
    <w:rsid w:val="00766EE8"/>
    <w:rsid w:val="007671D4"/>
    <w:rsid w:val="00767328"/>
    <w:rsid w:val="007673A0"/>
    <w:rsid w:val="007674EF"/>
    <w:rsid w:val="00767583"/>
    <w:rsid w:val="0076769B"/>
    <w:rsid w:val="00767CA4"/>
    <w:rsid w:val="00767FEF"/>
    <w:rsid w:val="007705C1"/>
    <w:rsid w:val="007705DE"/>
    <w:rsid w:val="0077065E"/>
    <w:rsid w:val="0077088F"/>
    <w:rsid w:val="0077093A"/>
    <w:rsid w:val="00770A3F"/>
    <w:rsid w:val="00770C7D"/>
    <w:rsid w:val="00770CA0"/>
    <w:rsid w:val="00770CF9"/>
    <w:rsid w:val="00770F00"/>
    <w:rsid w:val="00770FCA"/>
    <w:rsid w:val="007710EF"/>
    <w:rsid w:val="00771121"/>
    <w:rsid w:val="0077121C"/>
    <w:rsid w:val="00771406"/>
    <w:rsid w:val="0077151C"/>
    <w:rsid w:val="007716A2"/>
    <w:rsid w:val="0077187E"/>
    <w:rsid w:val="00771B50"/>
    <w:rsid w:val="0077204F"/>
    <w:rsid w:val="00772177"/>
    <w:rsid w:val="00772470"/>
    <w:rsid w:val="00772636"/>
    <w:rsid w:val="007726A3"/>
    <w:rsid w:val="007727D2"/>
    <w:rsid w:val="00772966"/>
    <w:rsid w:val="00772B45"/>
    <w:rsid w:val="00772EA0"/>
    <w:rsid w:val="00773261"/>
    <w:rsid w:val="00773337"/>
    <w:rsid w:val="00773369"/>
    <w:rsid w:val="0077339C"/>
    <w:rsid w:val="00773459"/>
    <w:rsid w:val="00773585"/>
    <w:rsid w:val="00773586"/>
    <w:rsid w:val="007735C8"/>
    <w:rsid w:val="007735FB"/>
    <w:rsid w:val="007739C5"/>
    <w:rsid w:val="00773A71"/>
    <w:rsid w:val="00773AF8"/>
    <w:rsid w:val="00773B6E"/>
    <w:rsid w:val="00773CED"/>
    <w:rsid w:val="00773D31"/>
    <w:rsid w:val="00773D69"/>
    <w:rsid w:val="00773EF9"/>
    <w:rsid w:val="00774318"/>
    <w:rsid w:val="00774694"/>
    <w:rsid w:val="00774A48"/>
    <w:rsid w:val="00774AD3"/>
    <w:rsid w:val="00774C98"/>
    <w:rsid w:val="00774FF6"/>
    <w:rsid w:val="00775531"/>
    <w:rsid w:val="00775B33"/>
    <w:rsid w:val="00776017"/>
    <w:rsid w:val="007760C6"/>
    <w:rsid w:val="007761D9"/>
    <w:rsid w:val="0077624D"/>
    <w:rsid w:val="007762E9"/>
    <w:rsid w:val="00776384"/>
    <w:rsid w:val="007764BD"/>
    <w:rsid w:val="007765DC"/>
    <w:rsid w:val="007767CE"/>
    <w:rsid w:val="00776B00"/>
    <w:rsid w:val="00776B2E"/>
    <w:rsid w:val="00776DA2"/>
    <w:rsid w:val="00776F81"/>
    <w:rsid w:val="007776B4"/>
    <w:rsid w:val="00777E2A"/>
    <w:rsid w:val="00777FC7"/>
    <w:rsid w:val="00780243"/>
    <w:rsid w:val="007802CD"/>
    <w:rsid w:val="00780553"/>
    <w:rsid w:val="007809B0"/>
    <w:rsid w:val="00780B33"/>
    <w:rsid w:val="00780D70"/>
    <w:rsid w:val="00781175"/>
    <w:rsid w:val="00781456"/>
    <w:rsid w:val="007817A7"/>
    <w:rsid w:val="007819C1"/>
    <w:rsid w:val="00781A68"/>
    <w:rsid w:val="00781AB9"/>
    <w:rsid w:val="00781F55"/>
    <w:rsid w:val="007821E4"/>
    <w:rsid w:val="00782319"/>
    <w:rsid w:val="0078262D"/>
    <w:rsid w:val="00782875"/>
    <w:rsid w:val="00782B4E"/>
    <w:rsid w:val="00782C60"/>
    <w:rsid w:val="00782ED3"/>
    <w:rsid w:val="00782F02"/>
    <w:rsid w:val="007830D7"/>
    <w:rsid w:val="0078335B"/>
    <w:rsid w:val="007833C8"/>
    <w:rsid w:val="0078340C"/>
    <w:rsid w:val="00783529"/>
    <w:rsid w:val="0078364A"/>
    <w:rsid w:val="007838E5"/>
    <w:rsid w:val="00783940"/>
    <w:rsid w:val="007839FD"/>
    <w:rsid w:val="00783CC2"/>
    <w:rsid w:val="0078401D"/>
    <w:rsid w:val="00784239"/>
    <w:rsid w:val="007842F9"/>
    <w:rsid w:val="0078442C"/>
    <w:rsid w:val="00784580"/>
    <w:rsid w:val="007845E6"/>
    <w:rsid w:val="007846DB"/>
    <w:rsid w:val="007848A0"/>
    <w:rsid w:val="007848ED"/>
    <w:rsid w:val="00784DFB"/>
    <w:rsid w:val="00784E0A"/>
    <w:rsid w:val="00785033"/>
    <w:rsid w:val="007855FD"/>
    <w:rsid w:val="00785670"/>
    <w:rsid w:val="0078590A"/>
    <w:rsid w:val="00785A27"/>
    <w:rsid w:val="00785D8A"/>
    <w:rsid w:val="00785FBF"/>
    <w:rsid w:val="00785FD9"/>
    <w:rsid w:val="0078637E"/>
    <w:rsid w:val="007865F0"/>
    <w:rsid w:val="00786E89"/>
    <w:rsid w:val="00786F01"/>
    <w:rsid w:val="007872DB"/>
    <w:rsid w:val="007874C4"/>
    <w:rsid w:val="0078798E"/>
    <w:rsid w:val="00787D33"/>
    <w:rsid w:val="00787DA9"/>
    <w:rsid w:val="00787F1D"/>
    <w:rsid w:val="007902C4"/>
    <w:rsid w:val="007902C9"/>
    <w:rsid w:val="007903EE"/>
    <w:rsid w:val="007904A4"/>
    <w:rsid w:val="007906F4"/>
    <w:rsid w:val="0079081C"/>
    <w:rsid w:val="00790999"/>
    <w:rsid w:val="00790AF6"/>
    <w:rsid w:val="00790AFE"/>
    <w:rsid w:val="00790BB4"/>
    <w:rsid w:val="00790F91"/>
    <w:rsid w:val="00790FE8"/>
    <w:rsid w:val="00790FF0"/>
    <w:rsid w:val="00791054"/>
    <w:rsid w:val="00791739"/>
    <w:rsid w:val="00791848"/>
    <w:rsid w:val="00792339"/>
    <w:rsid w:val="007927AC"/>
    <w:rsid w:val="00792B11"/>
    <w:rsid w:val="00792D69"/>
    <w:rsid w:val="0079306B"/>
    <w:rsid w:val="00793178"/>
    <w:rsid w:val="00793199"/>
    <w:rsid w:val="007935CB"/>
    <w:rsid w:val="007936AF"/>
    <w:rsid w:val="007937AC"/>
    <w:rsid w:val="00793846"/>
    <w:rsid w:val="0079384D"/>
    <w:rsid w:val="007938F0"/>
    <w:rsid w:val="00793C3A"/>
    <w:rsid w:val="00794486"/>
    <w:rsid w:val="00794844"/>
    <w:rsid w:val="007948E7"/>
    <w:rsid w:val="00794918"/>
    <w:rsid w:val="00795209"/>
    <w:rsid w:val="007953B9"/>
    <w:rsid w:val="007954B3"/>
    <w:rsid w:val="007956E2"/>
    <w:rsid w:val="00795FD0"/>
    <w:rsid w:val="00796137"/>
    <w:rsid w:val="007961B3"/>
    <w:rsid w:val="00796412"/>
    <w:rsid w:val="00796448"/>
    <w:rsid w:val="0079699F"/>
    <w:rsid w:val="00796A5A"/>
    <w:rsid w:val="00796A81"/>
    <w:rsid w:val="00796AD6"/>
    <w:rsid w:val="00796AFF"/>
    <w:rsid w:val="00796B6C"/>
    <w:rsid w:val="00796DAF"/>
    <w:rsid w:val="00796F32"/>
    <w:rsid w:val="007970CE"/>
    <w:rsid w:val="007971EB"/>
    <w:rsid w:val="007972FA"/>
    <w:rsid w:val="007976FF"/>
    <w:rsid w:val="00797854"/>
    <w:rsid w:val="00797B1F"/>
    <w:rsid w:val="00797C86"/>
    <w:rsid w:val="00797D99"/>
    <w:rsid w:val="00797F8E"/>
    <w:rsid w:val="00797FF1"/>
    <w:rsid w:val="007A01ED"/>
    <w:rsid w:val="007A05C8"/>
    <w:rsid w:val="007A066F"/>
    <w:rsid w:val="007A068E"/>
    <w:rsid w:val="007A06DD"/>
    <w:rsid w:val="007A08A9"/>
    <w:rsid w:val="007A0A2F"/>
    <w:rsid w:val="007A0B53"/>
    <w:rsid w:val="007A0D73"/>
    <w:rsid w:val="007A11CC"/>
    <w:rsid w:val="007A15E8"/>
    <w:rsid w:val="007A183F"/>
    <w:rsid w:val="007A1A10"/>
    <w:rsid w:val="007A1AAD"/>
    <w:rsid w:val="007A1B1A"/>
    <w:rsid w:val="007A1C4E"/>
    <w:rsid w:val="007A1EB4"/>
    <w:rsid w:val="007A22C0"/>
    <w:rsid w:val="007A2381"/>
    <w:rsid w:val="007A26E8"/>
    <w:rsid w:val="007A26FF"/>
    <w:rsid w:val="007A2965"/>
    <w:rsid w:val="007A2D5D"/>
    <w:rsid w:val="007A2EA3"/>
    <w:rsid w:val="007A2EB3"/>
    <w:rsid w:val="007A2F9E"/>
    <w:rsid w:val="007A31B4"/>
    <w:rsid w:val="007A343B"/>
    <w:rsid w:val="007A371E"/>
    <w:rsid w:val="007A3A4F"/>
    <w:rsid w:val="007A3ABB"/>
    <w:rsid w:val="007A3AFB"/>
    <w:rsid w:val="007A4088"/>
    <w:rsid w:val="007A41D0"/>
    <w:rsid w:val="007A41FC"/>
    <w:rsid w:val="007A4250"/>
    <w:rsid w:val="007A4274"/>
    <w:rsid w:val="007A4AF3"/>
    <w:rsid w:val="007A4BAC"/>
    <w:rsid w:val="007A56BE"/>
    <w:rsid w:val="007A5A04"/>
    <w:rsid w:val="007A5AD4"/>
    <w:rsid w:val="007A5C4F"/>
    <w:rsid w:val="007A5E11"/>
    <w:rsid w:val="007A658B"/>
    <w:rsid w:val="007A6599"/>
    <w:rsid w:val="007A67ED"/>
    <w:rsid w:val="007A694B"/>
    <w:rsid w:val="007A6BDC"/>
    <w:rsid w:val="007A6C6C"/>
    <w:rsid w:val="007A6C96"/>
    <w:rsid w:val="007A6FB5"/>
    <w:rsid w:val="007A70FA"/>
    <w:rsid w:val="007A7224"/>
    <w:rsid w:val="007A733F"/>
    <w:rsid w:val="007A7376"/>
    <w:rsid w:val="007A745C"/>
    <w:rsid w:val="007A74E9"/>
    <w:rsid w:val="007A77F6"/>
    <w:rsid w:val="007A7A9E"/>
    <w:rsid w:val="007A7B5F"/>
    <w:rsid w:val="007A7BD9"/>
    <w:rsid w:val="007A7F52"/>
    <w:rsid w:val="007A7FA1"/>
    <w:rsid w:val="007B0035"/>
    <w:rsid w:val="007B0166"/>
    <w:rsid w:val="007B01D8"/>
    <w:rsid w:val="007B02D4"/>
    <w:rsid w:val="007B08DB"/>
    <w:rsid w:val="007B0AFE"/>
    <w:rsid w:val="007B0DDF"/>
    <w:rsid w:val="007B0DEC"/>
    <w:rsid w:val="007B17C9"/>
    <w:rsid w:val="007B1B86"/>
    <w:rsid w:val="007B1D7B"/>
    <w:rsid w:val="007B2007"/>
    <w:rsid w:val="007B20AB"/>
    <w:rsid w:val="007B2111"/>
    <w:rsid w:val="007B21E6"/>
    <w:rsid w:val="007B2568"/>
    <w:rsid w:val="007B26E9"/>
    <w:rsid w:val="007B2A15"/>
    <w:rsid w:val="007B2B9B"/>
    <w:rsid w:val="007B2BC9"/>
    <w:rsid w:val="007B2C13"/>
    <w:rsid w:val="007B2F83"/>
    <w:rsid w:val="007B2FF2"/>
    <w:rsid w:val="007B3008"/>
    <w:rsid w:val="007B3215"/>
    <w:rsid w:val="007B3278"/>
    <w:rsid w:val="007B34BB"/>
    <w:rsid w:val="007B37B2"/>
    <w:rsid w:val="007B3CA5"/>
    <w:rsid w:val="007B3DA4"/>
    <w:rsid w:val="007B3FB7"/>
    <w:rsid w:val="007B40A3"/>
    <w:rsid w:val="007B4134"/>
    <w:rsid w:val="007B4318"/>
    <w:rsid w:val="007B4339"/>
    <w:rsid w:val="007B45E0"/>
    <w:rsid w:val="007B4730"/>
    <w:rsid w:val="007B486A"/>
    <w:rsid w:val="007B4978"/>
    <w:rsid w:val="007B4C3E"/>
    <w:rsid w:val="007B4D85"/>
    <w:rsid w:val="007B4FA8"/>
    <w:rsid w:val="007B5012"/>
    <w:rsid w:val="007B53F1"/>
    <w:rsid w:val="007B5517"/>
    <w:rsid w:val="007B55AD"/>
    <w:rsid w:val="007B56B6"/>
    <w:rsid w:val="007B5953"/>
    <w:rsid w:val="007B59F6"/>
    <w:rsid w:val="007B5EBF"/>
    <w:rsid w:val="007B60F9"/>
    <w:rsid w:val="007B6140"/>
    <w:rsid w:val="007B6357"/>
    <w:rsid w:val="007B6628"/>
    <w:rsid w:val="007B6B11"/>
    <w:rsid w:val="007B6C14"/>
    <w:rsid w:val="007B6CE0"/>
    <w:rsid w:val="007B6F01"/>
    <w:rsid w:val="007B6F39"/>
    <w:rsid w:val="007B7328"/>
    <w:rsid w:val="007B738D"/>
    <w:rsid w:val="007B739A"/>
    <w:rsid w:val="007B7412"/>
    <w:rsid w:val="007B7772"/>
    <w:rsid w:val="007B77F3"/>
    <w:rsid w:val="007B7834"/>
    <w:rsid w:val="007B78E8"/>
    <w:rsid w:val="007B79C4"/>
    <w:rsid w:val="007B7A3B"/>
    <w:rsid w:val="007B7A4F"/>
    <w:rsid w:val="007B7AC9"/>
    <w:rsid w:val="007B7C6D"/>
    <w:rsid w:val="007B7D80"/>
    <w:rsid w:val="007B7FF6"/>
    <w:rsid w:val="007C012C"/>
    <w:rsid w:val="007C0B44"/>
    <w:rsid w:val="007C0CD4"/>
    <w:rsid w:val="007C145A"/>
    <w:rsid w:val="007C18B6"/>
    <w:rsid w:val="007C1B7E"/>
    <w:rsid w:val="007C2367"/>
    <w:rsid w:val="007C2676"/>
    <w:rsid w:val="007C2749"/>
    <w:rsid w:val="007C2851"/>
    <w:rsid w:val="007C2872"/>
    <w:rsid w:val="007C2A82"/>
    <w:rsid w:val="007C2B8B"/>
    <w:rsid w:val="007C2B94"/>
    <w:rsid w:val="007C2C7D"/>
    <w:rsid w:val="007C2D04"/>
    <w:rsid w:val="007C2DB4"/>
    <w:rsid w:val="007C2ECD"/>
    <w:rsid w:val="007C2EDE"/>
    <w:rsid w:val="007C321C"/>
    <w:rsid w:val="007C332B"/>
    <w:rsid w:val="007C357A"/>
    <w:rsid w:val="007C3896"/>
    <w:rsid w:val="007C38B7"/>
    <w:rsid w:val="007C38E9"/>
    <w:rsid w:val="007C3C6C"/>
    <w:rsid w:val="007C3CC9"/>
    <w:rsid w:val="007C3D14"/>
    <w:rsid w:val="007C4566"/>
    <w:rsid w:val="007C4695"/>
    <w:rsid w:val="007C4802"/>
    <w:rsid w:val="007C4A2E"/>
    <w:rsid w:val="007C4DDE"/>
    <w:rsid w:val="007C4EBA"/>
    <w:rsid w:val="007C4FF4"/>
    <w:rsid w:val="007C5170"/>
    <w:rsid w:val="007C520B"/>
    <w:rsid w:val="007C53EC"/>
    <w:rsid w:val="007C59A1"/>
    <w:rsid w:val="007C5ACE"/>
    <w:rsid w:val="007C5E2B"/>
    <w:rsid w:val="007C5EA8"/>
    <w:rsid w:val="007C5FCD"/>
    <w:rsid w:val="007C639B"/>
    <w:rsid w:val="007C696C"/>
    <w:rsid w:val="007C6D68"/>
    <w:rsid w:val="007C6F4D"/>
    <w:rsid w:val="007C7337"/>
    <w:rsid w:val="007C7975"/>
    <w:rsid w:val="007C7DF1"/>
    <w:rsid w:val="007C7E2C"/>
    <w:rsid w:val="007D04A6"/>
    <w:rsid w:val="007D064B"/>
    <w:rsid w:val="007D06EB"/>
    <w:rsid w:val="007D070A"/>
    <w:rsid w:val="007D0903"/>
    <w:rsid w:val="007D0943"/>
    <w:rsid w:val="007D098E"/>
    <w:rsid w:val="007D0EC9"/>
    <w:rsid w:val="007D1166"/>
    <w:rsid w:val="007D1226"/>
    <w:rsid w:val="007D14A4"/>
    <w:rsid w:val="007D1884"/>
    <w:rsid w:val="007D1A24"/>
    <w:rsid w:val="007D1FF1"/>
    <w:rsid w:val="007D254B"/>
    <w:rsid w:val="007D28FD"/>
    <w:rsid w:val="007D2A36"/>
    <w:rsid w:val="007D31CA"/>
    <w:rsid w:val="007D3262"/>
    <w:rsid w:val="007D3314"/>
    <w:rsid w:val="007D3677"/>
    <w:rsid w:val="007D36C9"/>
    <w:rsid w:val="007D3B7E"/>
    <w:rsid w:val="007D3DB9"/>
    <w:rsid w:val="007D4143"/>
    <w:rsid w:val="007D4235"/>
    <w:rsid w:val="007D4259"/>
    <w:rsid w:val="007D44EF"/>
    <w:rsid w:val="007D4901"/>
    <w:rsid w:val="007D4E93"/>
    <w:rsid w:val="007D51AA"/>
    <w:rsid w:val="007D527F"/>
    <w:rsid w:val="007D52D5"/>
    <w:rsid w:val="007D56D5"/>
    <w:rsid w:val="007D5A86"/>
    <w:rsid w:val="007D5CC3"/>
    <w:rsid w:val="007D626E"/>
    <w:rsid w:val="007D647F"/>
    <w:rsid w:val="007D677C"/>
    <w:rsid w:val="007D6C11"/>
    <w:rsid w:val="007D6EE9"/>
    <w:rsid w:val="007D6FA5"/>
    <w:rsid w:val="007D7082"/>
    <w:rsid w:val="007D70D9"/>
    <w:rsid w:val="007D720D"/>
    <w:rsid w:val="007D7253"/>
    <w:rsid w:val="007D72BC"/>
    <w:rsid w:val="007D73BE"/>
    <w:rsid w:val="007D7505"/>
    <w:rsid w:val="007D7CB8"/>
    <w:rsid w:val="007D7CC9"/>
    <w:rsid w:val="007D7E66"/>
    <w:rsid w:val="007D7FF4"/>
    <w:rsid w:val="007E003E"/>
    <w:rsid w:val="007E043C"/>
    <w:rsid w:val="007E050E"/>
    <w:rsid w:val="007E0542"/>
    <w:rsid w:val="007E0666"/>
    <w:rsid w:val="007E0ACC"/>
    <w:rsid w:val="007E0DFB"/>
    <w:rsid w:val="007E0FC5"/>
    <w:rsid w:val="007E1046"/>
    <w:rsid w:val="007E10C4"/>
    <w:rsid w:val="007E1131"/>
    <w:rsid w:val="007E130C"/>
    <w:rsid w:val="007E16B0"/>
    <w:rsid w:val="007E173F"/>
    <w:rsid w:val="007E1A39"/>
    <w:rsid w:val="007E1E79"/>
    <w:rsid w:val="007E26A4"/>
    <w:rsid w:val="007E26D4"/>
    <w:rsid w:val="007E272B"/>
    <w:rsid w:val="007E3304"/>
    <w:rsid w:val="007E35FA"/>
    <w:rsid w:val="007E38EF"/>
    <w:rsid w:val="007E3FD4"/>
    <w:rsid w:val="007E3FF3"/>
    <w:rsid w:val="007E41E9"/>
    <w:rsid w:val="007E43F3"/>
    <w:rsid w:val="007E45C8"/>
    <w:rsid w:val="007E4AE1"/>
    <w:rsid w:val="007E4EAF"/>
    <w:rsid w:val="007E4FEA"/>
    <w:rsid w:val="007E5364"/>
    <w:rsid w:val="007E58DE"/>
    <w:rsid w:val="007E5982"/>
    <w:rsid w:val="007E5D91"/>
    <w:rsid w:val="007E6170"/>
    <w:rsid w:val="007E6223"/>
    <w:rsid w:val="007E62FF"/>
    <w:rsid w:val="007E6312"/>
    <w:rsid w:val="007E640A"/>
    <w:rsid w:val="007E66DB"/>
    <w:rsid w:val="007E66E9"/>
    <w:rsid w:val="007E6890"/>
    <w:rsid w:val="007E69A2"/>
    <w:rsid w:val="007E6A59"/>
    <w:rsid w:val="007E6B12"/>
    <w:rsid w:val="007E7392"/>
    <w:rsid w:val="007E774B"/>
    <w:rsid w:val="007E7D29"/>
    <w:rsid w:val="007E7E35"/>
    <w:rsid w:val="007E7F85"/>
    <w:rsid w:val="007F023F"/>
    <w:rsid w:val="007F0467"/>
    <w:rsid w:val="007F048B"/>
    <w:rsid w:val="007F07BD"/>
    <w:rsid w:val="007F07E5"/>
    <w:rsid w:val="007F0A7D"/>
    <w:rsid w:val="007F0A8A"/>
    <w:rsid w:val="007F0AE0"/>
    <w:rsid w:val="007F0D39"/>
    <w:rsid w:val="007F0DBE"/>
    <w:rsid w:val="007F0F3F"/>
    <w:rsid w:val="007F1495"/>
    <w:rsid w:val="007F1769"/>
    <w:rsid w:val="007F18A4"/>
    <w:rsid w:val="007F203B"/>
    <w:rsid w:val="007F220B"/>
    <w:rsid w:val="007F25F9"/>
    <w:rsid w:val="007F2666"/>
    <w:rsid w:val="007F2A16"/>
    <w:rsid w:val="007F2C25"/>
    <w:rsid w:val="007F2C66"/>
    <w:rsid w:val="007F2CC4"/>
    <w:rsid w:val="007F2CD8"/>
    <w:rsid w:val="007F2DA1"/>
    <w:rsid w:val="007F2EE3"/>
    <w:rsid w:val="007F2F8D"/>
    <w:rsid w:val="007F3326"/>
    <w:rsid w:val="007F3351"/>
    <w:rsid w:val="007F34C9"/>
    <w:rsid w:val="007F3A8C"/>
    <w:rsid w:val="007F3E82"/>
    <w:rsid w:val="007F3FB2"/>
    <w:rsid w:val="007F417D"/>
    <w:rsid w:val="007F4261"/>
    <w:rsid w:val="007F46A7"/>
    <w:rsid w:val="007F4B8D"/>
    <w:rsid w:val="007F4C15"/>
    <w:rsid w:val="007F4DDD"/>
    <w:rsid w:val="007F5025"/>
    <w:rsid w:val="007F5247"/>
    <w:rsid w:val="007F5315"/>
    <w:rsid w:val="007F53B4"/>
    <w:rsid w:val="007F5562"/>
    <w:rsid w:val="007F55B7"/>
    <w:rsid w:val="007F561A"/>
    <w:rsid w:val="007F57BC"/>
    <w:rsid w:val="007F5B03"/>
    <w:rsid w:val="007F5BC1"/>
    <w:rsid w:val="007F5F7A"/>
    <w:rsid w:val="007F6128"/>
    <w:rsid w:val="007F62F1"/>
    <w:rsid w:val="007F63F9"/>
    <w:rsid w:val="007F65C1"/>
    <w:rsid w:val="007F6797"/>
    <w:rsid w:val="007F67BA"/>
    <w:rsid w:val="007F6E50"/>
    <w:rsid w:val="007F710C"/>
    <w:rsid w:val="007F7301"/>
    <w:rsid w:val="007F78B2"/>
    <w:rsid w:val="007F7B94"/>
    <w:rsid w:val="007F7CC1"/>
    <w:rsid w:val="00800112"/>
    <w:rsid w:val="00800A61"/>
    <w:rsid w:val="00800AAE"/>
    <w:rsid w:val="008011F4"/>
    <w:rsid w:val="0080140F"/>
    <w:rsid w:val="008015EE"/>
    <w:rsid w:val="008016EA"/>
    <w:rsid w:val="00801798"/>
    <w:rsid w:val="008017E3"/>
    <w:rsid w:val="0080194C"/>
    <w:rsid w:val="008019F7"/>
    <w:rsid w:val="00801A1E"/>
    <w:rsid w:val="00801AB9"/>
    <w:rsid w:val="00801D4E"/>
    <w:rsid w:val="00801E72"/>
    <w:rsid w:val="00802015"/>
    <w:rsid w:val="00802412"/>
    <w:rsid w:val="008024E6"/>
    <w:rsid w:val="008025FD"/>
    <w:rsid w:val="00802D29"/>
    <w:rsid w:val="00802E61"/>
    <w:rsid w:val="008031EB"/>
    <w:rsid w:val="00803309"/>
    <w:rsid w:val="00803321"/>
    <w:rsid w:val="008035B0"/>
    <w:rsid w:val="00803656"/>
    <w:rsid w:val="00803BA0"/>
    <w:rsid w:val="00803CC8"/>
    <w:rsid w:val="00804163"/>
    <w:rsid w:val="00804198"/>
    <w:rsid w:val="0080419B"/>
    <w:rsid w:val="008042CB"/>
    <w:rsid w:val="008043AE"/>
    <w:rsid w:val="0080454A"/>
    <w:rsid w:val="008045FD"/>
    <w:rsid w:val="00804E54"/>
    <w:rsid w:val="00804F97"/>
    <w:rsid w:val="0080521F"/>
    <w:rsid w:val="008055BC"/>
    <w:rsid w:val="0080572A"/>
    <w:rsid w:val="00805AD9"/>
    <w:rsid w:val="00805B06"/>
    <w:rsid w:val="00805BA3"/>
    <w:rsid w:val="00805C03"/>
    <w:rsid w:val="00806257"/>
    <w:rsid w:val="00806488"/>
    <w:rsid w:val="008065BD"/>
    <w:rsid w:val="008066D3"/>
    <w:rsid w:val="00806952"/>
    <w:rsid w:val="00806A08"/>
    <w:rsid w:val="00806BBC"/>
    <w:rsid w:val="00806C42"/>
    <w:rsid w:val="00806C8F"/>
    <w:rsid w:val="00806DE8"/>
    <w:rsid w:val="00807828"/>
    <w:rsid w:val="00807971"/>
    <w:rsid w:val="00807C41"/>
    <w:rsid w:val="00807E01"/>
    <w:rsid w:val="00807E63"/>
    <w:rsid w:val="008100C5"/>
    <w:rsid w:val="008103D0"/>
    <w:rsid w:val="00810414"/>
    <w:rsid w:val="008104D4"/>
    <w:rsid w:val="008105C4"/>
    <w:rsid w:val="0081089E"/>
    <w:rsid w:val="008108D2"/>
    <w:rsid w:val="0081092C"/>
    <w:rsid w:val="00810939"/>
    <w:rsid w:val="00810988"/>
    <w:rsid w:val="00810CF1"/>
    <w:rsid w:val="00810D52"/>
    <w:rsid w:val="00810EB3"/>
    <w:rsid w:val="00811062"/>
    <w:rsid w:val="008111A7"/>
    <w:rsid w:val="00811396"/>
    <w:rsid w:val="0081144D"/>
    <w:rsid w:val="008117B7"/>
    <w:rsid w:val="00811DDF"/>
    <w:rsid w:val="00811DEB"/>
    <w:rsid w:val="00811F0C"/>
    <w:rsid w:val="008121CD"/>
    <w:rsid w:val="008123DA"/>
    <w:rsid w:val="00812406"/>
    <w:rsid w:val="008124AE"/>
    <w:rsid w:val="00812885"/>
    <w:rsid w:val="008129B5"/>
    <w:rsid w:val="00812CB3"/>
    <w:rsid w:val="00812EFB"/>
    <w:rsid w:val="00812F8C"/>
    <w:rsid w:val="00813144"/>
    <w:rsid w:val="0081318E"/>
    <w:rsid w:val="00813460"/>
    <w:rsid w:val="00813480"/>
    <w:rsid w:val="008137DE"/>
    <w:rsid w:val="0081387B"/>
    <w:rsid w:val="008138D2"/>
    <w:rsid w:val="00813977"/>
    <w:rsid w:val="00813C3D"/>
    <w:rsid w:val="00813C40"/>
    <w:rsid w:val="00813E58"/>
    <w:rsid w:val="008141F8"/>
    <w:rsid w:val="0081445D"/>
    <w:rsid w:val="00814783"/>
    <w:rsid w:val="00814B06"/>
    <w:rsid w:val="00814B5D"/>
    <w:rsid w:val="00814E72"/>
    <w:rsid w:val="008155F8"/>
    <w:rsid w:val="008156EC"/>
    <w:rsid w:val="00815F04"/>
    <w:rsid w:val="008164DF"/>
    <w:rsid w:val="00816646"/>
    <w:rsid w:val="008166C7"/>
    <w:rsid w:val="00816718"/>
    <w:rsid w:val="00816D42"/>
    <w:rsid w:val="00816DBC"/>
    <w:rsid w:val="00816E7C"/>
    <w:rsid w:val="008171F1"/>
    <w:rsid w:val="00817850"/>
    <w:rsid w:val="008178FE"/>
    <w:rsid w:val="00817932"/>
    <w:rsid w:val="00817A0E"/>
    <w:rsid w:val="00817BD9"/>
    <w:rsid w:val="00817F58"/>
    <w:rsid w:val="008203A5"/>
    <w:rsid w:val="008203F8"/>
    <w:rsid w:val="008207BA"/>
    <w:rsid w:val="00820910"/>
    <w:rsid w:val="00820BAD"/>
    <w:rsid w:val="00820FBC"/>
    <w:rsid w:val="0082101D"/>
    <w:rsid w:val="008211C7"/>
    <w:rsid w:val="00821288"/>
    <w:rsid w:val="0082128C"/>
    <w:rsid w:val="00821B25"/>
    <w:rsid w:val="00821CA0"/>
    <w:rsid w:val="00821F8A"/>
    <w:rsid w:val="008223EB"/>
    <w:rsid w:val="0082294A"/>
    <w:rsid w:val="00822D74"/>
    <w:rsid w:val="00823109"/>
    <w:rsid w:val="0082372C"/>
    <w:rsid w:val="00823903"/>
    <w:rsid w:val="0082398B"/>
    <w:rsid w:val="008245E6"/>
    <w:rsid w:val="0082462C"/>
    <w:rsid w:val="008247A7"/>
    <w:rsid w:val="00824819"/>
    <w:rsid w:val="0082497E"/>
    <w:rsid w:val="00824A2F"/>
    <w:rsid w:val="00824C2F"/>
    <w:rsid w:val="00824D02"/>
    <w:rsid w:val="00824D34"/>
    <w:rsid w:val="00824DCC"/>
    <w:rsid w:val="008250FE"/>
    <w:rsid w:val="0082523D"/>
    <w:rsid w:val="008254EE"/>
    <w:rsid w:val="00825BF4"/>
    <w:rsid w:val="00825C9D"/>
    <w:rsid w:val="00825DF3"/>
    <w:rsid w:val="0082630B"/>
    <w:rsid w:val="00826552"/>
    <w:rsid w:val="0082660A"/>
    <w:rsid w:val="008267C6"/>
    <w:rsid w:val="00826C95"/>
    <w:rsid w:val="00826D3D"/>
    <w:rsid w:val="00826DEE"/>
    <w:rsid w:val="00826EA7"/>
    <w:rsid w:val="008272BA"/>
    <w:rsid w:val="008272D4"/>
    <w:rsid w:val="0082738C"/>
    <w:rsid w:val="00827B84"/>
    <w:rsid w:val="00830168"/>
    <w:rsid w:val="00830747"/>
    <w:rsid w:val="00830BCB"/>
    <w:rsid w:val="00830CCB"/>
    <w:rsid w:val="00830E13"/>
    <w:rsid w:val="00830E94"/>
    <w:rsid w:val="00830F6B"/>
    <w:rsid w:val="0083140C"/>
    <w:rsid w:val="0083162A"/>
    <w:rsid w:val="008316CF"/>
    <w:rsid w:val="00831C09"/>
    <w:rsid w:val="00832169"/>
    <w:rsid w:val="00832244"/>
    <w:rsid w:val="0083224F"/>
    <w:rsid w:val="00832447"/>
    <w:rsid w:val="00832515"/>
    <w:rsid w:val="008325D4"/>
    <w:rsid w:val="00832723"/>
    <w:rsid w:val="008328D7"/>
    <w:rsid w:val="00832A95"/>
    <w:rsid w:val="00832AD9"/>
    <w:rsid w:val="00832DB8"/>
    <w:rsid w:val="00832F2E"/>
    <w:rsid w:val="00833422"/>
    <w:rsid w:val="008334B0"/>
    <w:rsid w:val="0083384B"/>
    <w:rsid w:val="00833C4D"/>
    <w:rsid w:val="00833CEB"/>
    <w:rsid w:val="00833E28"/>
    <w:rsid w:val="00833E5C"/>
    <w:rsid w:val="0083401C"/>
    <w:rsid w:val="00834245"/>
    <w:rsid w:val="008343D1"/>
    <w:rsid w:val="008346B2"/>
    <w:rsid w:val="00834B04"/>
    <w:rsid w:val="00834C6F"/>
    <w:rsid w:val="00834F7C"/>
    <w:rsid w:val="008350EA"/>
    <w:rsid w:val="0083513D"/>
    <w:rsid w:val="0083517A"/>
    <w:rsid w:val="008356C9"/>
    <w:rsid w:val="008357BC"/>
    <w:rsid w:val="00835871"/>
    <w:rsid w:val="00835D05"/>
    <w:rsid w:val="00835D67"/>
    <w:rsid w:val="00835E0A"/>
    <w:rsid w:val="00836070"/>
    <w:rsid w:val="0083636A"/>
    <w:rsid w:val="00836380"/>
    <w:rsid w:val="00836391"/>
    <w:rsid w:val="0083669E"/>
    <w:rsid w:val="00836A0F"/>
    <w:rsid w:val="00836CD2"/>
    <w:rsid w:val="00837160"/>
    <w:rsid w:val="00837371"/>
    <w:rsid w:val="008376F7"/>
    <w:rsid w:val="00837770"/>
    <w:rsid w:val="00837990"/>
    <w:rsid w:val="00837ECE"/>
    <w:rsid w:val="00840356"/>
    <w:rsid w:val="0084068D"/>
    <w:rsid w:val="008407E5"/>
    <w:rsid w:val="0084092F"/>
    <w:rsid w:val="00840979"/>
    <w:rsid w:val="00840A06"/>
    <w:rsid w:val="00840B13"/>
    <w:rsid w:val="00840BAD"/>
    <w:rsid w:val="00840C1C"/>
    <w:rsid w:val="00840E5A"/>
    <w:rsid w:val="008410AE"/>
    <w:rsid w:val="00841739"/>
    <w:rsid w:val="00841997"/>
    <w:rsid w:val="0084199E"/>
    <w:rsid w:val="00842043"/>
    <w:rsid w:val="00842D5B"/>
    <w:rsid w:val="008433A5"/>
    <w:rsid w:val="008434EE"/>
    <w:rsid w:val="00843511"/>
    <w:rsid w:val="00843710"/>
    <w:rsid w:val="00843CFC"/>
    <w:rsid w:val="00843E02"/>
    <w:rsid w:val="00843EDF"/>
    <w:rsid w:val="0084415F"/>
    <w:rsid w:val="0084430C"/>
    <w:rsid w:val="00844420"/>
    <w:rsid w:val="0084443A"/>
    <w:rsid w:val="0084474A"/>
    <w:rsid w:val="00844754"/>
    <w:rsid w:val="008448FE"/>
    <w:rsid w:val="00844961"/>
    <w:rsid w:val="00844EA2"/>
    <w:rsid w:val="0084503A"/>
    <w:rsid w:val="00845203"/>
    <w:rsid w:val="00845478"/>
    <w:rsid w:val="00845486"/>
    <w:rsid w:val="0084554A"/>
    <w:rsid w:val="00845A86"/>
    <w:rsid w:val="00845B53"/>
    <w:rsid w:val="00845E89"/>
    <w:rsid w:val="008467C1"/>
    <w:rsid w:val="008468DE"/>
    <w:rsid w:val="00846934"/>
    <w:rsid w:val="00846B7F"/>
    <w:rsid w:val="00846C91"/>
    <w:rsid w:val="00846E5E"/>
    <w:rsid w:val="00846F12"/>
    <w:rsid w:val="00846FF3"/>
    <w:rsid w:val="00847E67"/>
    <w:rsid w:val="00847F27"/>
    <w:rsid w:val="00850173"/>
    <w:rsid w:val="00850177"/>
    <w:rsid w:val="008503E2"/>
    <w:rsid w:val="008506EF"/>
    <w:rsid w:val="00850B6B"/>
    <w:rsid w:val="00850C1E"/>
    <w:rsid w:val="00850C46"/>
    <w:rsid w:val="0085131D"/>
    <w:rsid w:val="00851ADF"/>
    <w:rsid w:val="00851CA6"/>
    <w:rsid w:val="00851DCA"/>
    <w:rsid w:val="008520F6"/>
    <w:rsid w:val="0085211E"/>
    <w:rsid w:val="0085246C"/>
    <w:rsid w:val="00852620"/>
    <w:rsid w:val="00852B0E"/>
    <w:rsid w:val="00852C6E"/>
    <w:rsid w:val="00852D90"/>
    <w:rsid w:val="00852E7A"/>
    <w:rsid w:val="00853039"/>
    <w:rsid w:val="008531B2"/>
    <w:rsid w:val="008532A6"/>
    <w:rsid w:val="0085347A"/>
    <w:rsid w:val="00853836"/>
    <w:rsid w:val="00853935"/>
    <w:rsid w:val="0085394F"/>
    <w:rsid w:val="008539C2"/>
    <w:rsid w:val="0085432D"/>
    <w:rsid w:val="008544A0"/>
    <w:rsid w:val="008547F9"/>
    <w:rsid w:val="0085480A"/>
    <w:rsid w:val="00854AEF"/>
    <w:rsid w:val="00854BF4"/>
    <w:rsid w:val="00854D01"/>
    <w:rsid w:val="00854F96"/>
    <w:rsid w:val="00855345"/>
    <w:rsid w:val="00855565"/>
    <w:rsid w:val="0085586A"/>
    <w:rsid w:val="008558FC"/>
    <w:rsid w:val="00855B1C"/>
    <w:rsid w:val="00855FD6"/>
    <w:rsid w:val="00856075"/>
    <w:rsid w:val="008563EE"/>
    <w:rsid w:val="008564D6"/>
    <w:rsid w:val="00856507"/>
    <w:rsid w:val="00856CAA"/>
    <w:rsid w:val="00857097"/>
    <w:rsid w:val="0085710E"/>
    <w:rsid w:val="00857C62"/>
    <w:rsid w:val="00857D7E"/>
    <w:rsid w:val="00857DBB"/>
    <w:rsid w:val="0086002D"/>
    <w:rsid w:val="00860936"/>
    <w:rsid w:val="00860B57"/>
    <w:rsid w:val="00860F1F"/>
    <w:rsid w:val="008610FD"/>
    <w:rsid w:val="00861151"/>
    <w:rsid w:val="008612F5"/>
    <w:rsid w:val="00861635"/>
    <w:rsid w:val="008616F7"/>
    <w:rsid w:val="00861E52"/>
    <w:rsid w:val="00861E8E"/>
    <w:rsid w:val="00861EB3"/>
    <w:rsid w:val="00861EE5"/>
    <w:rsid w:val="00861FBD"/>
    <w:rsid w:val="00861FE4"/>
    <w:rsid w:val="008621DA"/>
    <w:rsid w:val="0086272F"/>
    <w:rsid w:val="008627B2"/>
    <w:rsid w:val="00862815"/>
    <w:rsid w:val="00862A8B"/>
    <w:rsid w:val="00862D98"/>
    <w:rsid w:val="0086309E"/>
    <w:rsid w:val="008630A2"/>
    <w:rsid w:val="00863384"/>
    <w:rsid w:val="008634B1"/>
    <w:rsid w:val="00863853"/>
    <w:rsid w:val="00863A91"/>
    <w:rsid w:val="00863AFB"/>
    <w:rsid w:val="00863DB8"/>
    <w:rsid w:val="0086413C"/>
    <w:rsid w:val="008641E7"/>
    <w:rsid w:val="00864409"/>
    <w:rsid w:val="008646A5"/>
    <w:rsid w:val="008646D4"/>
    <w:rsid w:val="00864914"/>
    <w:rsid w:val="00864A0A"/>
    <w:rsid w:val="00864A79"/>
    <w:rsid w:val="00864AF2"/>
    <w:rsid w:val="00864D19"/>
    <w:rsid w:val="008653B3"/>
    <w:rsid w:val="00865603"/>
    <w:rsid w:val="00865B96"/>
    <w:rsid w:val="0086623F"/>
    <w:rsid w:val="00866544"/>
    <w:rsid w:val="008665F1"/>
    <w:rsid w:val="00866769"/>
    <w:rsid w:val="00866878"/>
    <w:rsid w:val="008668E3"/>
    <w:rsid w:val="00866A6D"/>
    <w:rsid w:val="00866B7F"/>
    <w:rsid w:val="008672C0"/>
    <w:rsid w:val="0086748B"/>
    <w:rsid w:val="008676E6"/>
    <w:rsid w:val="00867882"/>
    <w:rsid w:val="0086796C"/>
    <w:rsid w:val="00867978"/>
    <w:rsid w:val="00867D70"/>
    <w:rsid w:val="00870094"/>
    <w:rsid w:val="008701CF"/>
    <w:rsid w:val="0087090B"/>
    <w:rsid w:val="0087094F"/>
    <w:rsid w:val="00870A26"/>
    <w:rsid w:val="00870E31"/>
    <w:rsid w:val="00870F3E"/>
    <w:rsid w:val="00871055"/>
    <w:rsid w:val="008713D3"/>
    <w:rsid w:val="008714C6"/>
    <w:rsid w:val="00871557"/>
    <w:rsid w:val="008718B6"/>
    <w:rsid w:val="008718EF"/>
    <w:rsid w:val="008719EF"/>
    <w:rsid w:val="00871ADA"/>
    <w:rsid w:val="00871D65"/>
    <w:rsid w:val="0087206E"/>
    <w:rsid w:val="008722C5"/>
    <w:rsid w:val="00872B53"/>
    <w:rsid w:val="00872BE2"/>
    <w:rsid w:val="00872FCC"/>
    <w:rsid w:val="0087300A"/>
    <w:rsid w:val="00873125"/>
    <w:rsid w:val="0087323A"/>
    <w:rsid w:val="0087325E"/>
    <w:rsid w:val="00873673"/>
    <w:rsid w:val="008738AB"/>
    <w:rsid w:val="00873934"/>
    <w:rsid w:val="00873C3E"/>
    <w:rsid w:val="00874B79"/>
    <w:rsid w:val="008752F7"/>
    <w:rsid w:val="0087555C"/>
    <w:rsid w:val="00875787"/>
    <w:rsid w:val="00875A0B"/>
    <w:rsid w:val="00875CE2"/>
    <w:rsid w:val="008760A2"/>
    <w:rsid w:val="00876282"/>
    <w:rsid w:val="00876374"/>
    <w:rsid w:val="008763FC"/>
    <w:rsid w:val="00876582"/>
    <w:rsid w:val="00876B51"/>
    <w:rsid w:val="00876BFC"/>
    <w:rsid w:val="00876E6E"/>
    <w:rsid w:val="00877034"/>
    <w:rsid w:val="00877256"/>
    <w:rsid w:val="00877345"/>
    <w:rsid w:val="0087741C"/>
    <w:rsid w:val="00877483"/>
    <w:rsid w:val="00877553"/>
    <w:rsid w:val="008778B4"/>
    <w:rsid w:val="00877F99"/>
    <w:rsid w:val="008800EB"/>
    <w:rsid w:val="008808D5"/>
    <w:rsid w:val="00880B88"/>
    <w:rsid w:val="00880C47"/>
    <w:rsid w:val="00880E19"/>
    <w:rsid w:val="00881054"/>
    <w:rsid w:val="00881058"/>
    <w:rsid w:val="00881524"/>
    <w:rsid w:val="008817C2"/>
    <w:rsid w:val="008819B9"/>
    <w:rsid w:val="00881C56"/>
    <w:rsid w:val="00882064"/>
    <w:rsid w:val="0088210C"/>
    <w:rsid w:val="0088231F"/>
    <w:rsid w:val="0088237F"/>
    <w:rsid w:val="008825F2"/>
    <w:rsid w:val="00882614"/>
    <w:rsid w:val="008827F0"/>
    <w:rsid w:val="00882BC8"/>
    <w:rsid w:val="00882D21"/>
    <w:rsid w:val="0088311F"/>
    <w:rsid w:val="00883126"/>
    <w:rsid w:val="008833CD"/>
    <w:rsid w:val="00883748"/>
    <w:rsid w:val="00884041"/>
    <w:rsid w:val="008843DA"/>
    <w:rsid w:val="00884408"/>
    <w:rsid w:val="00884634"/>
    <w:rsid w:val="008849E7"/>
    <w:rsid w:val="00884AC6"/>
    <w:rsid w:val="00884BB0"/>
    <w:rsid w:val="00884C9F"/>
    <w:rsid w:val="00884DD6"/>
    <w:rsid w:val="008854FB"/>
    <w:rsid w:val="008857B1"/>
    <w:rsid w:val="00885CD8"/>
    <w:rsid w:val="00885ED9"/>
    <w:rsid w:val="0088608F"/>
    <w:rsid w:val="008865D4"/>
    <w:rsid w:val="00886CE4"/>
    <w:rsid w:val="00886CE7"/>
    <w:rsid w:val="00886D6D"/>
    <w:rsid w:val="00886EF4"/>
    <w:rsid w:val="00887238"/>
    <w:rsid w:val="008872A8"/>
    <w:rsid w:val="00887552"/>
    <w:rsid w:val="00887AC7"/>
    <w:rsid w:val="00887C92"/>
    <w:rsid w:val="00887F84"/>
    <w:rsid w:val="008900A9"/>
    <w:rsid w:val="008900AD"/>
    <w:rsid w:val="0089011E"/>
    <w:rsid w:val="00890283"/>
    <w:rsid w:val="00890341"/>
    <w:rsid w:val="0089058C"/>
    <w:rsid w:val="008906F1"/>
    <w:rsid w:val="0089096B"/>
    <w:rsid w:val="00891039"/>
    <w:rsid w:val="008911F7"/>
    <w:rsid w:val="0089137E"/>
    <w:rsid w:val="00891384"/>
    <w:rsid w:val="00891686"/>
    <w:rsid w:val="00891ABD"/>
    <w:rsid w:val="00892253"/>
    <w:rsid w:val="0089249C"/>
    <w:rsid w:val="0089303B"/>
    <w:rsid w:val="00893073"/>
    <w:rsid w:val="00893155"/>
    <w:rsid w:val="0089327A"/>
    <w:rsid w:val="0089362C"/>
    <w:rsid w:val="008936D8"/>
    <w:rsid w:val="00893843"/>
    <w:rsid w:val="00893848"/>
    <w:rsid w:val="00893954"/>
    <w:rsid w:val="00893C5A"/>
    <w:rsid w:val="0089400C"/>
    <w:rsid w:val="00894035"/>
    <w:rsid w:val="00894109"/>
    <w:rsid w:val="008943C2"/>
    <w:rsid w:val="008943F9"/>
    <w:rsid w:val="00894459"/>
    <w:rsid w:val="008947A7"/>
    <w:rsid w:val="00894AB2"/>
    <w:rsid w:val="00894D14"/>
    <w:rsid w:val="00895095"/>
    <w:rsid w:val="008950C6"/>
    <w:rsid w:val="0089559C"/>
    <w:rsid w:val="00895E2C"/>
    <w:rsid w:val="00895EF8"/>
    <w:rsid w:val="008968B0"/>
    <w:rsid w:val="00896B49"/>
    <w:rsid w:val="00897095"/>
    <w:rsid w:val="008970C5"/>
    <w:rsid w:val="008974D8"/>
    <w:rsid w:val="00897910"/>
    <w:rsid w:val="008979B0"/>
    <w:rsid w:val="008A06E7"/>
    <w:rsid w:val="008A0C18"/>
    <w:rsid w:val="008A0E38"/>
    <w:rsid w:val="008A121F"/>
    <w:rsid w:val="008A1594"/>
    <w:rsid w:val="008A1E82"/>
    <w:rsid w:val="008A1E8F"/>
    <w:rsid w:val="008A1EA9"/>
    <w:rsid w:val="008A25EC"/>
    <w:rsid w:val="008A26B1"/>
    <w:rsid w:val="008A2843"/>
    <w:rsid w:val="008A2F78"/>
    <w:rsid w:val="008A2FBD"/>
    <w:rsid w:val="008A3027"/>
    <w:rsid w:val="008A3431"/>
    <w:rsid w:val="008A3471"/>
    <w:rsid w:val="008A361B"/>
    <w:rsid w:val="008A3801"/>
    <w:rsid w:val="008A3861"/>
    <w:rsid w:val="008A38BB"/>
    <w:rsid w:val="008A399E"/>
    <w:rsid w:val="008A41EA"/>
    <w:rsid w:val="008A448C"/>
    <w:rsid w:val="008A4A03"/>
    <w:rsid w:val="008A4EA7"/>
    <w:rsid w:val="008A51B6"/>
    <w:rsid w:val="008A5298"/>
    <w:rsid w:val="008A549E"/>
    <w:rsid w:val="008A55C7"/>
    <w:rsid w:val="008A5834"/>
    <w:rsid w:val="008A5D19"/>
    <w:rsid w:val="008A5D5C"/>
    <w:rsid w:val="008A621B"/>
    <w:rsid w:val="008A6279"/>
    <w:rsid w:val="008A638D"/>
    <w:rsid w:val="008A6498"/>
    <w:rsid w:val="008A658A"/>
    <w:rsid w:val="008A68D2"/>
    <w:rsid w:val="008A69E8"/>
    <w:rsid w:val="008A6A31"/>
    <w:rsid w:val="008A6E43"/>
    <w:rsid w:val="008A6EEC"/>
    <w:rsid w:val="008A7003"/>
    <w:rsid w:val="008A7220"/>
    <w:rsid w:val="008A7270"/>
    <w:rsid w:val="008A7435"/>
    <w:rsid w:val="008A74C6"/>
    <w:rsid w:val="008A7657"/>
    <w:rsid w:val="008A78FA"/>
    <w:rsid w:val="008A7D2F"/>
    <w:rsid w:val="008B0141"/>
    <w:rsid w:val="008B02C7"/>
    <w:rsid w:val="008B079E"/>
    <w:rsid w:val="008B07B0"/>
    <w:rsid w:val="008B0B41"/>
    <w:rsid w:val="008B0BE0"/>
    <w:rsid w:val="008B0C4E"/>
    <w:rsid w:val="008B0E26"/>
    <w:rsid w:val="008B123F"/>
    <w:rsid w:val="008B1290"/>
    <w:rsid w:val="008B158E"/>
    <w:rsid w:val="008B1670"/>
    <w:rsid w:val="008B16A9"/>
    <w:rsid w:val="008B16AD"/>
    <w:rsid w:val="008B17BA"/>
    <w:rsid w:val="008B17D2"/>
    <w:rsid w:val="008B1F60"/>
    <w:rsid w:val="008B2029"/>
    <w:rsid w:val="008B21C1"/>
    <w:rsid w:val="008B2248"/>
    <w:rsid w:val="008B22CA"/>
    <w:rsid w:val="008B235A"/>
    <w:rsid w:val="008B24EC"/>
    <w:rsid w:val="008B2B06"/>
    <w:rsid w:val="008B2BA3"/>
    <w:rsid w:val="008B2C28"/>
    <w:rsid w:val="008B2C9A"/>
    <w:rsid w:val="008B2F95"/>
    <w:rsid w:val="008B311C"/>
    <w:rsid w:val="008B3169"/>
    <w:rsid w:val="008B394A"/>
    <w:rsid w:val="008B3BE8"/>
    <w:rsid w:val="008B3CFF"/>
    <w:rsid w:val="008B4464"/>
    <w:rsid w:val="008B475A"/>
    <w:rsid w:val="008B47C6"/>
    <w:rsid w:val="008B4874"/>
    <w:rsid w:val="008B4A34"/>
    <w:rsid w:val="008B4A76"/>
    <w:rsid w:val="008B4AA4"/>
    <w:rsid w:val="008B51F4"/>
    <w:rsid w:val="008B5269"/>
    <w:rsid w:val="008B53FB"/>
    <w:rsid w:val="008B5698"/>
    <w:rsid w:val="008B579E"/>
    <w:rsid w:val="008B58EA"/>
    <w:rsid w:val="008B642F"/>
    <w:rsid w:val="008B650C"/>
    <w:rsid w:val="008B651C"/>
    <w:rsid w:val="008B65F0"/>
    <w:rsid w:val="008B6A28"/>
    <w:rsid w:val="008B6AB9"/>
    <w:rsid w:val="008B6BFC"/>
    <w:rsid w:val="008B6E00"/>
    <w:rsid w:val="008B74A9"/>
    <w:rsid w:val="008B765F"/>
    <w:rsid w:val="008B779C"/>
    <w:rsid w:val="008B77D6"/>
    <w:rsid w:val="008B77F7"/>
    <w:rsid w:val="008B7938"/>
    <w:rsid w:val="008B7C2D"/>
    <w:rsid w:val="008B7D08"/>
    <w:rsid w:val="008B7D9D"/>
    <w:rsid w:val="008B7FCA"/>
    <w:rsid w:val="008C00B9"/>
    <w:rsid w:val="008C01B9"/>
    <w:rsid w:val="008C01CF"/>
    <w:rsid w:val="008C0247"/>
    <w:rsid w:val="008C037A"/>
    <w:rsid w:val="008C04D9"/>
    <w:rsid w:val="008C04F8"/>
    <w:rsid w:val="008C050C"/>
    <w:rsid w:val="008C09E2"/>
    <w:rsid w:val="008C0BFC"/>
    <w:rsid w:val="008C0F69"/>
    <w:rsid w:val="008C1294"/>
    <w:rsid w:val="008C1878"/>
    <w:rsid w:val="008C18AA"/>
    <w:rsid w:val="008C1B14"/>
    <w:rsid w:val="008C1B6A"/>
    <w:rsid w:val="008C1B81"/>
    <w:rsid w:val="008C1BD8"/>
    <w:rsid w:val="008C1C2D"/>
    <w:rsid w:val="008C1E7F"/>
    <w:rsid w:val="008C220A"/>
    <w:rsid w:val="008C277A"/>
    <w:rsid w:val="008C2805"/>
    <w:rsid w:val="008C29BB"/>
    <w:rsid w:val="008C2C0B"/>
    <w:rsid w:val="008C3453"/>
    <w:rsid w:val="008C3AED"/>
    <w:rsid w:val="008C3C29"/>
    <w:rsid w:val="008C3DAE"/>
    <w:rsid w:val="008C3F08"/>
    <w:rsid w:val="008C3F26"/>
    <w:rsid w:val="008C3F71"/>
    <w:rsid w:val="008C412B"/>
    <w:rsid w:val="008C4434"/>
    <w:rsid w:val="008C45CE"/>
    <w:rsid w:val="008C4614"/>
    <w:rsid w:val="008C47B8"/>
    <w:rsid w:val="008C4838"/>
    <w:rsid w:val="008C4D6D"/>
    <w:rsid w:val="008C4DF8"/>
    <w:rsid w:val="008C4E23"/>
    <w:rsid w:val="008C4E8C"/>
    <w:rsid w:val="008C4F9A"/>
    <w:rsid w:val="008C534A"/>
    <w:rsid w:val="008C5499"/>
    <w:rsid w:val="008C5602"/>
    <w:rsid w:val="008C5710"/>
    <w:rsid w:val="008C5845"/>
    <w:rsid w:val="008C5B7B"/>
    <w:rsid w:val="008C5DEE"/>
    <w:rsid w:val="008C6277"/>
    <w:rsid w:val="008C63DA"/>
    <w:rsid w:val="008C6430"/>
    <w:rsid w:val="008C643A"/>
    <w:rsid w:val="008C653F"/>
    <w:rsid w:val="008C6F02"/>
    <w:rsid w:val="008C72D5"/>
    <w:rsid w:val="008C7387"/>
    <w:rsid w:val="008C747D"/>
    <w:rsid w:val="008C7698"/>
    <w:rsid w:val="008C77E8"/>
    <w:rsid w:val="008C7810"/>
    <w:rsid w:val="008C79E2"/>
    <w:rsid w:val="008C7B5D"/>
    <w:rsid w:val="008C7C62"/>
    <w:rsid w:val="008C7D2B"/>
    <w:rsid w:val="008C7D62"/>
    <w:rsid w:val="008C7DC7"/>
    <w:rsid w:val="008C7F59"/>
    <w:rsid w:val="008D007F"/>
    <w:rsid w:val="008D00E6"/>
    <w:rsid w:val="008D01B1"/>
    <w:rsid w:val="008D02F2"/>
    <w:rsid w:val="008D04E1"/>
    <w:rsid w:val="008D09D0"/>
    <w:rsid w:val="008D0C78"/>
    <w:rsid w:val="008D0E5F"/>
    <w:rsid w:val="008D0F7D"/>
    <w:rsid w:val="008D1198"/>
    <w:rsid w:val="008D1521"/>
    <w:rsid w:val="008D16EE"/>
    <w:rsid w:val="008D179E"/>
    <w:rsid w:val="008D18A5"/>
    <w:rsid w:val="008D190D"/>
    <w:rsid w:val="008D1AF1"/>
    <w:rsid w:val="008D1C3A"/>
    <w:rsid w:val="008D1E1F"/>
    <w:rsid w:val="008D1E65"/>
    <w:rsid w:val="008D1EF4"/>
    <w:rsid w:val="008D1F3A"/>
    <w:rsid w:val="008D1FE0"/>
    <w:rsid w:val="008D207D"/>
    <w:rsid w:val="008D216B"/>
    <w:rsid w:val="008D21EA"/>
    <w:rsid w:val="008D232A"/>
    <w:rsid w:val="008D2424"/>
    <w:rsid w:val="008D24F2"/>
    <w:rsid w:val="008D280C"/>
    <w:rsid w:val="008D2942"/>
    <w:rsid w:val="008D2CC5"/>
    <w:rsid w:val="008D2D28"/>
    <w:rsid w:val="008D3246"/>
    <w:rsid w:val="008D3415"/>
    <w:rsid w:val="008D346C"/>
    <w:rsid w:val="008D37A8"/>
    <w:rsid w:val="008D38C7"/>
    <w:rsid w:val="008D3B8A"/>
    <w:rsid w:val="008D3BBF"/>
    <w:rsid w:val="008D3E56"/>
    <w:rsid w:val="008D3FDB"/>
    <w:rsid w:val="008D4044"/>
    <w:rsid w:val="008D429F"/>
    <w:rsid w:val="008D436D"/>
    <w:rsid w:val="008D452C"/>
    <w:rsid w:val="008D4712"/>
    <w:rsid w:val="008D481F"/>
    <w:rsid w:val="008D4A42"/>
    <w:rsid w:val="008D4A97"/>
    <w:rsid w:val="008D4C42"/>
    <w:rsid w:val="008D4D10"/>
    <w:rsid w:val="008D4FF7"/>
    <w:rsid w:val="008D52DB"/>
    <w:rsid w:val="008D5472"/>
    <w:rsid w:val="008D54FA"/>
    <w:rsid w:val="008D5765"/>
    <w:rsid w:val="008D58A4"/>
    <w:rsid w:val="008D5BFA"/>
    <w:rsid w:val="008D5D3D"/>
    <w:rsid w:val="008D5D44"/>
    <w:rsid w:val="008D5D92"/>
    <w:rsid w:val="008D5D97"/>
    <w:rsid w:val="008D6291"/>
    <w:rsid w:val="008D6569"/>
    <w:rsid w:val="008D6626"/>
    <w:rsid w:val="008D670A"/>
    <w:rsid w:val="008D6766"/>
    <w:rsid w:val="008D68BB"/>
    <w:rsid w:val="008D6FC8"/>
    <w:rsid w:val="008D725C"/>
    <w:rsid w:val="008D7430"/>
    <w:rsid w:val="008D745B"/>
    <w:rsid w:val="008D754E"/>
    <w:rsid w:val="008D75CD"/>
    <w:rsid w:val="008D7833"/>
    <w:rsid w:val="008D7E96"/>
    <w:rsid w:val="008D7F91"/>
    <w:rsid w:val="008E006B"/>
    <w:rsid w:val="008E0124"/>
    <w:rsid w:val="008E048F"/>
    <w:rsid w:val="008E0706"/>
    <w:rsid w:val="008E0F92"/>
    <w:rsid w:val="008E15EB"/>
    <w:rsid w:val="008E16CD"/>
    <w:rsid w:val="008E17B7"/>
    <w:rsid w:val="008E1844"/>
    <w:rsid w:val="008E2011"/>
    <w:rsid w:val="008E208C"/>
    <w:rsid w:val="008E2A91"/>
    <w:rsid w:val="008E2CE1"/>
    <w:rsid w:val="008E2D4B"/>
    <w:rsid w:val="008E2DD3"/>
    <w:rsid w:val="008E2FD1"/>
    <w:rsid w:val="008E309E"/>
    <w:rsid w:val="008E30C4"/>
    <w:rsid w:val="008E325E"/>
    <w:rsid w:val="008E358B"/>
    <w:rsid w:val="008E3999"/>
    <w:rsid w:val="008E3A0A"/>
    <w:rsid w:val="008E3C63"/>
    <w:rsid w:val="008E3E3D"/>
    <w:rsid w:val="008E4087"/>
    <w:rsid w:val="008E40D7"/>
    <w:rsid w:val="008E4655"/>
    <w:rsid w:val="008E496C"/>
    <w:rsid w:val="008E4A6B"/>
    <w:rsid w:val="008E4B46"/>
    <w:rsid w:val="008E4EE4"/>
    <w:rsid w:val="008E511A"/>
    <w:rsid w:val="008E5198"/>
    <w:rsid w:val="008E544D"/>
    <w:rsid w:val="008E5888"/>
    <w:rsid w:val="008E5979"/>
    <w:rsid w:val="008E5A30"/>
    <w:rsid w:val="008E5B1B"/>
    <w:rsid w:val="008E5BE0"/>
    <w:rsid w:val="008E5EC7"/>
    <w:rsid w:val="008E609A"/>
    <w:rsid w:val="008E63CA"/>
    <w:rsid w:val="008E65EA"/>
    <w:rsid w:val="008E6A53"/>
    <w:rsid w:val="008E6AF4"/>
    <w:rsid w:val="008E6B0E"/>
    <w:rsid w:val="008E6CE0"/>
    <w:rsid w:val="008E6D1F"/>
    <w:rsid w:val="008E6E9D"/>
    <w:rsid w:val="008E6F18"/>
    <w:rsid w:val="008E6F29"/>
    <w:rsid w:val="008E6FA1"/>
    <w:rsid w:val="008E706F"/>
    <w:rsid w:val="008E7323"/>
    <w:rsid w:val="008E74C9"/>
    <w:rsid w:val="008E7524"/>
    <w:rsid w:val="008E7996"/>
    <w:rsid w:val="008E7CF7"/>
    <w:rsid w:val="008F0002"/>
    <w:rsid w:val="008F02D1"/>
    <w:rsid w:val="008F0374"/>
    <w:rsid w:val="008F0416"/>
    <w:rsid w:val="008F0853"/>
    <w:rsid w:val="008F0988"/>
    <w:rsid w:val="008F09D9"/>
    <w:rsid w:val="008F0ADF"/>
    <w:rsid w:val="008F0B2D"/>
    <w:rsid w:val="008F0D25"/>
    <w:rsid w:val="008F0FEA"/>
    <w:rsid w:val="008F14D6"/>
    <w:rsid w:val="008F153A"/>
    <w:rsid w:val="008F15BE"/>
    <w:rsid w:val="008F1888"/>
    <w:rsid w:val="008F1A5C"/>
    <w:rsid w:val="008F1A75"/>
    <w:rsid w:val="008F1AD2"/>
    <w:rsid w:val="008F1DBF"/>
    <w:rsid w:val="008F2147"/>
    <w:rsid w:val="008F2201"/>
    <w:rsid w:val="008F228A"/>
    <w:rsid w:val="008F2412"/>
    <w:rsid w:val="008F24E4"/>
    <w:rsid w:val="008F26C8"/>
    <w:rsid w:val="008F271C"/>
    <w:rsid w:val="008F280C"/>
    <w:rsid w:val="008F281E"/>
    <w:rsid w:val="008F2865"/>
    <w:rsid w:val="008F2971"/>
    <w:rsid w:val="008F2B31"/>
    <w:rsid w:val="008F2B6C"/>
    <w:rsid w:val="008F2CF9"/>
    <w:rsid w:val="008F300A"/>
    <w:rsid w:val="008F3AF9"/>
    <w:rsid w:val="008F3F4E"/>
    <w:rsid w:val="008F42FA"/>
    <w:rsid w:val="008F4479"/>
    <w:rsid w:val="008F4836"/>
    <w:rsid w:val="008F4906"/>
    <w:rsid w:val="008F49D6"/>
    <w:rsid w:val="008F4E06"/>
    <w:rsid w:val="008F55D0"/>
    <w:rsid w:val="008F589F"/>
    <w:rsid w:val="008F5BDE"/>
    <w:rsid w:val="008F5C14"/>
    <w:rsid w:val="008F5C44"/>
    <w:rsid w:val="008F5D46"/>
    <w:rsid w:val="008F6191"/>
    <w:rsid w:val="008F6636"/>
    <w:rsid w:val="008F69DE"/>
    <w:rsid w:val="008F6BF8"/>
    <w:rsid w:val="008F7071"/>
    <w:rsid w:val="008F71BD"/>
    <w:rsid w:val="008F7229"/>
    <w:rsid w:val="008F7258"/>
    <w:rsid w:val="008F743B"/>
    <w:rsid w:val="008F7581"/>
    <w:rsid w:val="008F75AE"/>
    <w:rsid w:val="008F7B01"/>
    <w:rsid w:val="008F7B62"/>
    <w:rsid w:val="008F7D7A"/>
    <w:rsid w:val="00900047"/>
    <w:rsid w:val="009000D4"/>
    <w:rsid w:val="00900140"/>
    <w:rsid w:val="009002A7"/>
    <w:rsid w:val="00900721"/>
    <w:rsid w:val="00900796"/>
    <w:rsid w:val="00900805"/>
    <w:rsid w:val="00900A81"/>
    <w:rsid w:val="00900AA9"/>
    <w:rsid w:val="00900AE6"/>
    <w:rsid w:val="00900B24"/>
    <w:rsid w:val="00900B82"/>
    <w:rsid w:val="00900F3D"/>
    <w:rsid w:val="00901028"/>
    <w:rsid w:val="0090171D"/>
    <w:rsid w:val="009019A5"/>
    <w:rsid w:val="009020A4"/>
    <w:rsid w:val="009025A2"/>
    <w:rsid w:val="00902640"/>
    <w:rsid w:val="009027A2"/>
    <w:rsid w:val="00902963"/>
    <w:rsid w:val="009029BC"/>
    <w:rsid w:val="00902B9F"/>
    <w:rsid w:val="00902CE4"/>
    <w:rsid w:val="00902D0A"/>
    <w:rsid w:val="00902DBC"/>
    <w:rsid w:val="0090329D"/>
    <w:rsid w:val="0090331A"/>
    <w:rsid w:val="0090371C"/>
    <w:rsid w:val="00903929"/>
    <w:rsid w:val="00903A40"/>
    <w:rsid w:val="00903CDE"/>
    <w:rsid w:val="009040F4"/>
    <w:rsid w:val="00904245"/>
    <w:rsid w:val="009045F0"/>
    <w:rsid w:val="0090487C"/>
    <w:rsid w:val="00904C07"/>
    <w:rsid w:val="00904F2A"/>
    <w:rsid w:val="00904F5F"/>
    <w:rsid w:val="00905133"/>
    <w:rsid w:val="00905143"/>
    <w:rsid w:val="0090541B"/>
    <w:rsid w:val="00905426"/>
    <w:rsid w:val="00905939"/>
    <w:rsid w:val="0090593F"/>
    <w:rsid w:val="00905C29"/>
    <w:rsid w:val="00905D70"/>
    <w:rsid w:val="009062EE"/>
    <w:rsid w:val="00906BA0"/>
    <w:rsid w:val="00906F2F"/>
    <w:rsid w:val="009074B4"/>
    <w:rsid w:val="009075B1"/>
    <w:rsid w:val="0090774F"/>
    <w:rsid w:val="009077ED"/>
    <w:rsid w:val="00907BB3"/>
    <w:rsid w:val="00907CA4"/>
    <w:rsid w:val="00907D01"/>
    <w:rsid w:val="00907DCC"/>
    <w:rsid w:val="00907EE4"/>
    <w:rsid w:val="009101B2"/>
    <w:rsid w:val="00910281"/>
    <w:rsid w:val="00910700"/>
    <w:rsid w:val="009109FA"/>
    <w:rsid w:val="00910AA0"/>
    <w:rsid w:val="00910DCC"/>
    <w:rsid w:val="00910E36"/>
    <w:rsid w:val="00911028"/>
    <w:rsid w:val="00911439"/>
    <w:rsid w:val="0091190E"/>
    <w:rsid w:val="00911BE2"/>
    <w:rsid w:val="00911E3C"/>
    <w:rsid w:val="009128D7"/>
    <w:rsid w:val="00912A38"/>
    <w:rsid w:val="00912AF0"/>
    <w:rsid w:val="00912C6A"/>
    <w:rsid w:val="00912EFC"/>
    <w:rsid w:val="0091332B"/>
    <w:rsid w:val="0091360C"/>
    <w:rsid w:val="00913703"/>
    <w:rsid w:val="009139D0"/>
    <w:rsid w:val="00913CC0"/>
    <w:rsid w:val="00913EE8"/>
    <w:rsid w:val="00913F81"/>
    <w:rsid w:val="00913F87"/>
    <w:rsid w:val="009140DE"/>
    <w:rsid w:val="00914432"/>
    <w:rsid w:val="00914663"/>
    <w:rsid w:val="00914740"/>
    <w:rsid w:val="00914864"/>
    <w:rsid w:val="00914C80"/>
    <w:rsid w:val="00914DC4"/>
    <w:rsid w:val="00915338"/>
    <w:rsid w:val="0091539C"/>
    <w:rsid w:val="00915546"/>
    <w:rsid w:val="0091556B"/>
    <w:rsid w:val="00915861"/>
    <w:rsid w:val="00915895"/>
    <w:rsid w:val="00916232"/>
    <w:rsid w:val="00916978"/>
    <w:rsid w:val="009169EC"/>
    <w:rsid w:val="00916B92"/>
    <w:rsid w:val="00916C51"/>
    <w:rsid w:val="00916EF6"/>
    <w:rsid w:val="0091703F"/>
    <w:rsid w:val="0091704A"/>
    <w:rsid w:val="00917583"/>
    <w:rsid w:val="009178BA"/>
    <w:rsid w:val="00917AEB"/>
    <w:rsid w:val="00917B5F"/>
    <w:rsid w:val="00917C27"/>
    <w:rsid w:val="009204F7"/>
    <w:rsid w:val="00920523"/>
    <w:rsid w:val="009207B1"/>
    <w:rsid w:val="0092089B"/>
    <w:rsid w:val="0092097B"/>
    <w:rsid w:val="009209AD"/>
    <w:rsid w:val="00920AF0"/>
    <w:rsid w:val="00920B36"/>
    <w:rsid w:val="00920BFB"/>
    <w:rsid w:val="00921616"/>
    <w:rsid w:val="009216A3"/>
    <w:rsid w:val="009216F0"/>
    <w:rsid w:val="00921955"/>
    <w:rsid w:val="00921A18"/>
    <w:rsid w:val="00921B8F"/>
    <w:rsid w:val="00921F00"/>
    <w:rsid w:val="00922036"/>
    <w:rsid w:val="00922185"/>
    <w:rsid w:val="009226A8"/>
    <w:rsid w:val="009227C2"/>
    <w:rsid w:val="00922942"/>
    <w:rsid w:val="00922BB2"/>
    <w:rsid w:val="00922BBC"/>
    <w:rsid w:val="00922D57"/>
    <w:rsid w:val="00922E08"/>
    <w:rsid w:val="00923032"/>
    <w:rsid w:val="00923170"/>
    <w:rsid w:val="009233ED"/>
    <w:rsid w:val="00923AC8"/>
    <w:rsid w:val="00923AD2"/>
    <w:rsid w:val="00923CF1"/>
    <w:rsid w:val="009244DC"/>
    <w:rsid w:val="00924860"/>
    <w:rsid w:val="00924B72"/>
    <w:rsid w:val="00924F8F"/>
    <w:rsid w:val="00925005"/>
    <w:rsid w:val="00925103"/>
    <w:rsid w:val="009252EA"/>
    <w:rsid w:val="009253B7"/>
    <w:rsid w:val="00925904"/>
    <w:rsid w:val="00925AD1"/>
    <w:rsid w:val="00925C5A"/>
    <w:rsid w:val="00925EC4"/>
    <w:rsid w:val="00926894"/>
    <w:rsid w:val="00926CD9"/>
    <w:rsid w:val="00926E8D"/>
    <w:rsid w:val="0092761E"/>
    <w:rsid w:val="0092775A"/>
    <w:rsid w:val="00927766"/>
    <w:rsid w:val="00927989"/>
    <w:rsid w:val="00927F10"/>
    <w:rsid w:val="00927F37"/>
    <w:rsid w:val="00927F9F"/>
    <w:rsid w:val="00927FCD"/>
    <w:rsid w:val="009308CE"/>
    <w:rsid w:val="00930C3C"/>
    <w:rsid w:val="00930CB9"/>
    <w:rsid w:val="00930DFA"/>
    <w:rsid w:val="00930E59"/>
    <w:rsid w:val="00931090"/>
    <w:rsid w:val="009314FE"/>
    <w:rsid w:val="00931628"/>
    <w:rsid w:val="00931848"/>
    <w:rsid w:val="00931A3E"/>
    <w:rsid w:val="00931AB7"/>
    <w:rsid w:val="00931BEF"/>
    <w:rsid w:val="00932084"/>
    <w:rsid w:val="009320B1"/>
    <w:rsid w:val="0093243B"/>
    <w:rsid w:val="0093244B"/>
    <w:rsid w:val="00932540"/>
    <w:rsid w:val="0093263B"/>
    <w:rsid w:val="0093271B"/>
    <w:rsid w:val="00932A45"/>
    <w:rsid w:val="00932C3A"/>
    <w:rsid w:val="00932D0B"/>
    <w:rsid w:val="00932E3A"/>
    <w:rsid w:val="0093366D"/>
    <w:rsid w:val="00933A4A"/>
    <w:rsid w:val="00933BBB"/>
    <w:rsid w:val="00933D6D"/>
    <w:rsid w:val="009340D7"/>
    <w:rsid w:val="009344D8"/>
    <w:rsid w:val="00934713"/>
    <w:rsid w:val="009348D5"/>
    <w:rsid w:val="009349D4"/>
    <w:rsid w:val="00934A51"/>
    <w:rsid w:val="00934B91"/>
    <w:rsid w:val="00934C25"/>
    <w:rsid w:val="00934ED7"/>
    <w:rsid w:val="00935349"/>
    <w:rsid w:val="0093548D"/>
    <w:rsid w:val="0093548F"/>
    <w:rsid w:val="00935641"/>
    <w:rsid w:val="00935664"/>
    <w:rsid w:val="00935A20"/>
    <w:rsid w:val="00935A2A"/>
    <w:rsid w:val="00935A30"/>
    <w:rsid w:val="00935AD9"/>
    <w:rsid w:val="00935FAC"/>
    <w:rsid w:val="00936466"/>
    <w:rsid w:val="00936751"/>
    <w:rsid w:val="00936B0B"/>
    <w:rsid w:val="00937020"/>
    <w:rsid w:val="00937116"/>
    <w:rsid w:val="009372D3"/>
    <w:rsid w:val="009372DA"/>
    <w:rsid w:val="00937503"/>
    <w:rsid w:val="0093767F"/>
    <w:rsid w:val="00937A43"/>
    <w:rsid w:val="009402A1"/>
    <w:rsid w:val="009408AF"/>
    <w:rsid w:val="009408CB"/>
    <w:rsid w:val="00940AEB"/>
    <w:rsid w:val="00940B9A"/>
    <w:rsid w:val="00940C15"/>
    <w:rsid w:val="00940D41"/>
    <w:rsid w:val="00940E14"/>
    <w:rsid w:val="009412F6"/>
    <w:rsid w:val="009415B1"/>
    <w:rsid w:val="0094191A"/>
    <w:rsid w:val="00941F4B"/>
    <w:rsid w:val="00942039"/>
    <w:rsid w:val="009423AC"/>
    <w:rsid w:val="00942531"/>
    <w:rsid w:val="009426D3"/>
    <w:rsid w:val="009427EB"/>
    <w:rsid w:val="009429F4"/>
    <w:rsid w:val="00942EC3"/>
    <w:rsid w:val="009434CB"/>
    <w:rsid w:val="009436A5"/>
    <w:rsid w:val="0094389C"/>
    <w:rsid w:val="00943A20"/>
    <w:rsid w:val="00944437"/>
    <w:rsid w:val="009447BB"/>
    <w:rsid w:val="009447FB"/>
    <w:rsid w:val="00944836"/>
    <w:rsid w:val="00944AB4"/>
    <w:rsid w:val="00944B61"/>
    <w:rsid w:val="00944C4B"/>
    <w:rsid w:val="00945002"/>
    <w:rsid w:val="00945410"/>
    <w:rsid w:val="00945516"/>
    <w:rsid w:val="009455F9"/>
    <w:rsid w:val="00945BF8"/>
    <w:rsid w:val="009462D0"/>
    <w:rsid w:val="00946314"/>
    <w:rsid w:val="00946696"/>
    <w:rsid w:val="009468AB"/>
    <w:rsid w:val="0094695F"/>
    <w:rsid w:val="00946964"/>
    <w:rsid w:val="00946EAF"/>
    <w:rsid w:val="00946FD3"/>
    <w:rsid w:val="00947295"/>
    <w:rsid w:val="00947512"/>
    <w:rsid w:val="00947663"/>
    <w:rsid w:val="00947723"/>
    <w:rsid w:val="009479DC"/>
    <w:rsid w:val="00947CA3"/>
    <w:rsid w:val="00947D3F"/>
    <w:rsid w:val="00947EE1"/>
    <w:rsid w:val="00947FB3"/>
    <w:rsid w:val="00950313"/>
    <w:rsid w:val="009503E6"/>
    <w:rsid w:val="009508BC"/>
    <w:rsid w:val="00950C1E"/>
    <w:rsid w:val="00950C31"/>
    <w:rsid w:val="00951054"/>
    <w:rsid w:val="009510D8"/>
    <w:rsid w:val="00951567"/>
    <w:rsid w:val="009515D6"/>
    <w:rsid w:val="00951756"/>
    <w:rsid w:val="0095185A"/>
    <w:rsid w:val="00951D89"/>
    <w:rsid w:val="009520C6"/>
    <w:rsid w:val="0095218F"/>
    <w:rsid w:val="009521E2"/>
    <w:rsid w:val="00952428"/>
    <w:rsid w:val="00952543"/>
    <w:rsid w:val="009528E3"/>
    <w:rsid w:val="00952B8D"/>
    <w:rsid w:val="00952C2F"/>
    <w:rsid w:val="00952F6F"/>
    <w:rsid w:val="00953095"/>
    <w:rsid w:val="009532AB"/>
    <w:rsid w:val="009536A5"/>
    <w:rsid w:val="00953B91"/>
    <w:rsid w:val="00953D07"/>
    <w:rsid w:val="00953E84"/>
    <w:rsid w:val="00953ED3"/>
    <w:rsid w:val="009540C7"/>
    <w:rsid w:val="0095430A"/>
    <w:rsid w:val="0095468A"/>
    <w:rsid w:val="0095493A"/>
    <w:rsid w:val="00954A3F"/>
    <w:rsid w:val="00954C08"/>
    <w:rsid w:val="00954EFE"/>
    <w:rsid w:val="00955159"/>
    <w:rsid w:val="009552F6"/>
    <w:rsid w:val="00955354"/>
    <w:rsid w:val="009555C4"/>
    <w:rsid w:val="00955C3A"/>
    <w:rsid w:val="00955CF0"/>
    <w:rsid w:val="00955E1C"/>
    <w:rsid w:val="00955EA9"/>
    <w:rsid w:val="00956199"/>
    <w:rsid w:val="00956368"/>
    <w:rsid w:val="009565D4"/>
    <w:rsid w:val="00956B16"/>
    <w:rsid w:val="00956D64"/>
    <w:rsid w:val="00956DFB"/>
    <w:rsid w:val="0095727B"/>
    <w:rsid w:val="009574E0"/>
    <w:rsid w:val="00957729"/>
    <w:rsid w:val="0095776F"/>
    <w:rsid w:val="009579C7"/>
    <w:rsid w:val="00957F11"/>
    <w:rsid w:val="00957F15"/>
    <w:rsid w:val="00960116"/>
    <w:rsid w:val="0096042F"/>
    <w:rsid w:val="0096053E"/>
    <w:rsid w:val="009606D7"/>
    <w:rsid w:val="009608CA"/>
    <w:rsid w:val="0096094D"/>
    <w:rsid w:val="00960987"/>
    <w:rsid w:val="009609A0"/>
    <w:rsid w:val="009609AF"/>
    <w:rsid w:val="009609F8"/>
    <w:rsid w:val="00960B83"/>
    <w:rsid w:val="00960BE3"/>
    <w:rsid w:val="00960D15"/>
    <w:rsid w:val="009610DF"/>
    <w:rsid w:val="00961253"/>
    <w:rsid w:val="009615B0"/>
    <w:rsid w:val="00961662"/>
    <w:rsid w:val="00961757"/>
    <w:rsid w:val="00961884"/>
    <w:rsid w:val="0096199D"/>
    <w:rsid w:val="00961E5E"/>
    <w:rsid w:val="00961EA0"/>
    <w:rsid w:val="00961F79"/>
    <w:rsid w:val="009625FA"/>
    <w:rsid w:val="009627F4"/>
    <w:rsid w:val="00962C2A"/>
    <w:rsid w:val="00962F03"/>
    <w:rsid w:val="00962F1F"/>
    <w:rsid w:val="00963118"/>
    <w:rsid w:val="0096316C"/>
    <w:rsid w:val="009631DD"/>
    <w:rsid w:val="00963821"/>
    <w:rsid w:val="00963825"/>
    <w:rsid w:val="00963AA6"/>
    <w:rsid w:val="00963B7B"/>
    <w:rsid w:val="00963C32"/>
    <w:rsid w:val="00963C3B"/>
    <w:rsid w:val="00963E2D"/>
    <w:rsid w:val="00963EF8"/>
    <w:rsid w:val="00963F52"/>
    <w:rsid w:val="0096424A"/>
    <w:rsid w:val="00964370"/>
    <w:rsid w:val="009643CE"/>
    <w:rsid w:val="00964408"/>
    <w:rsid w:val="0096442B"/>
    <w:rsid w:val="00964541"/>
    <w:rsid w:val="009646F9"/>
    <w:rsid w:val="009648B9"/>
    <w:rsid w:val="009649DA"/>
    <w:rsid w:val="00964C9C"/>
    <w:rsid w:val="00964E88"/>
    <w:rsid w:val="00964EC5"/>
    <w:rsid w:val="009652F2"/>
    <w:rsid w:val="00965A5C"/>
    <w:rsid w:val="00965C43"/>
    <w:rsid w:val="00965CB2"/>
    <w:rsid w:val="00965D16"/>
    <w:rsid w:val="00965E1E"/>
    <w:rsid w:val="00966060"/>
    <w:rsid w:val="00966303"/>
    <w:rsid w:val="00966448"/>
    <w:rsid w:val="009666FD"/>
    <w:rsid w:val="00966716"/>
    <w:rsid w:val="0096672E"/>
    <w:rsid w:val="00966765"/>
    <w:rsid w:val="00966783"/>
    <w:rsid w:val="009667EE"/>
    <w:rsid w:val="00966BC6"/>
    <w:rsid w:val="00966DA1"/>
    <w:rsid w:val="00966EC0"/>
    <w:rsid w:val="00966F1E"/>
    <w:rsid w:val="0096701C"/>
    <w:rsid w:val="009670D3"/>
    <w:rsid w:val="0096710B"/>
    <w:rsid w:val="00967119"/>
    <w:rsid w:val="00967127"/>
    <w:rsid w:val="00967407"/>
    <w:rsid w:val="009676BB"/>
    <w:rsid w:val="00967717"/>
    <w:rsid w:val="00967802"/>
    <w:rsid w:val="0096783B"/>
    <w:rsid w:val="00967979"/>
    <w:rsid w:val="00967CD0"/>
    <w:rsid w:val="00967E89"/>
    <w:rsid w:val="00970096"/>
    <w:rsid w:val="0097015A"/>
    <w:rsid w:val="009702FE"/>
    <w:rsid w:val="00970665"/>
    <w:rsid w:val="00970969"/>
    <w:rsid w:val="00970AEA"/>
    <w:rsid w:val="00970BB2"/>
    <w:rsid w:val="00970D5A"/>
    <w:rsid w:val="00970DC6"/>
    <w:rsid w:val="00971069"/>
    <w:rsid w:val="00971329"/>
    <w:rsid w:val="00971548"/>
    <w:rsid w:val="00971610"/>
    <w:rsid w:val="00971657"/>
    <w:rsid w:val="009716A1"/>
    <w:rsid w:val="00971A09"/>
    <w:rsid w:val="00971AC9"/>
    <w:rsid w:val="00972005"/>
    <w:rsid w:val="009723CB"/>
    <w:rsid w:val="00972634"/>
    <w:rsid w:val="0097277E"/>
    <w:rsid w:val="0097286B"/>
    <w:rsid w:val="009729B0"/>
    <w:rsid w:val="00972EFB"/>
    <w:rsid w:val="00972FA2"/>
    <w:rsid w:val="00973070"/>
    <w:rsid w:val="0097357E"/>
    <w:rsid w:val="009735EA"/>
    <w:rsid w:val="00973D24"/>
    <w:rsid w:val="00973F22"/>
    <w:rsid w:val="00973FA8"/>
    <w:rsid w:val="00974164"/>
    <w:rsid w:val="00974506"/>
    <w:rsid w:val="00974571"/>
    <w:rsid w:val="00974591"/>
    <w:rsid w:val="009747ED"/>
    <w:rsid w:val="00974ACD"/>
    <w:rsid w:val="00974EA6"/>
    <w:rsid w:val="00974F34"/>
    <w:rsid w:val="00975099"/>
    <w:rsid w:val="00975208"/>
    <w:rsid w:val="00975778"/>
    <w:rsid w:val="009758F6"/>
    <w:rsid w:val="00975971"/>
    <w:rsid w:val="00975AFA"/>
    <w:rsid w:val="00975DAB"/>
    <w:rsid w:val="009760DF"/>
    <w:rsid w:val="009766E6"/>
    <w:rsid w:val="0097672C"/>
    <w:rsid w:val="0097682A"/>
    <w:rsid w:val="0097682D"/>
    <w:rsid w:val="00976880"/>
    <w:rsid w:val="00976939"/>
    <w:rsid w:val="00976A5A"/>
    <w:rsid w:val="00976A7B"/>
    <w:rsid w:val="00976AB8"/>
    <w:rsid w:val="00976BFB"/>
    <w:rsid w:val="00976D88"/>
    <w:rsid w:val="00976E7E"/>
    <w:rsid w:val="00976FA6"/>
    <w:rsid w:val="00976FB8"/>
    <w:rsid w:val="0097728F"/>
    <w:rsid w:val="00977B60"/>
    <w:rsid w:val="00977C60"/>
    <w:rsid w:val="00977E19"/>
    <w:rsid w:val="00977E51"/>
    <w:rsid w:val="00980186"/>
    <w:rsid w:val="00980462"/>
    <w:rsid w:val="0098047A"/>
    <w:rsid w:val="0098056A"/>
    <w:rsid w:val="00980678"/>
    <w:rsid w:val="0098068D"/>
    <w:rsid w:val="009807A0"/>
    <w:rsid w:val="00980BB3"/>
    <w:rsid w:val="00980CA3"/>
    <w:rsid w:val="0098107A"/>
    <w:rsid w:val="009817EE"/>
    <w:rsid w:val="009818A8"/>
    <w:rsid w:val="009818D7"/>
    <w:rsid w:val="00981A03"/>
    <w:rsid w:val="00981F54"/>
    <w:rsid w:val="00981FE9"/>
    <w:rsid w:val="009821D0"/>
    <w:rsid w:val="009823AE"/>
    <w:rsid w:val="0098247B"/>
    <w:rsid w:val="0098252E"/>
    <w:rsid w:val="00982750"/>
    <w:rsid w:val="009827A5"/>
    <w:rsid w:val="00982DB1"/>
    <w:rsid w:val="00983162"/>
    <w:rsid w:val="00983384"/>
    <w:rsid w:val="009833E7"/>
    <w:rsid w:val="0098352F"/>
    <w:rsid w:val="0098364F"/>
    <w:rsid w:val="00983843"/>
    <w:rsid w:val="00983C52"/>
    <w:rsid w:val="00983E7C"/>
    <w:rsid w:val="009848DD"/>
    <w:rsid w:val="00984E31"/>
    <w:rsid w:val="00985301"/>
    <w:rsid w:val="0098542D"/>
    <w:rsid w:val="009854B3"/>
    <w:rsid w:val="00985562"/>
    <w:rsid w:val="009858D8"/>
    <w:rsid w:val="00985DA4"/>
    <w:rsid w:val="00986135"/>
    <w:rsid w:val="009862FB"/>
    <w:rsid w:val="0098630E"/>
    <w:rsid w:val="0098630F"/>
    <w:rsid w:val="00986326"/>
    <w:rsid w:val="00986791"/>
    <w:rsid w:val="00986A85"/>
    <w:rsid w:val="00986E5E"/>
    <w:rsid w:val="00987749"/>
    <w:rsid w:val="0098778E"/>
    <w:rsid w:val="009878C4"/>
    <w:rsid w:val="0098792F"/>
    <w:rsid w:val="00987C67"/>
    <w:rsid w:val="00990041"/>
    <w:rsid w:val="00990377"/>
    <w:rsid w:val="009909FF"/>
    <w:rsid w:val="00990A6F"/>
    <w:rsid w:val="00990B9F"/>
    <w:rsid w:val="0099127F"/>
    <w:rsid w:val="009912F8"/>
    <w:rsid w:val="00991368"/>
    <w:rsid w:val="009916DE"/>
    <w:rsid w:val="0099175F"/>
    <w:rsid w:val="00991813"/>
    <w:rsid w:val="009918EB"/>
    <w:rsid w:val="00991914"/>
    <w:rsid w:val="00991CC0"/>
    <w:rsid w:val="00991CF6"/>
    <w:rsid w:val="00991DE4"/>
    <w:rsid w:val="00991E18"/>
    <w:rsid w:val="00991EC9"/>
    <w:rsid w:val="00992198"/>
    <w:rsid w:val="00992354"/>
    <w:rsid w:val="0099239C"/>
    <w:rsid w:val="0099244C"/>
    <w:rsid w:val="009926C0"/>
    <w:rsid w:val="009927FB"/>
    <w:rsid w:val="009929BC"/>
    <w:rsid w:val="009929FE"/>
    <w:rsid w:val="00992A04"/>
    <w:rsid w:val="00992AF3"/>
    <w:rsid w:val="00992CEB"/>
    <w:rsid w:val="00992D32"/>
    <w:rsid w:val="00992F98"/>
    <w:rsid w:val="009930FF"/>
    <w:rsid w:val="00993434"/>
    <w:rsid w:val="009934D1"/>
    <w:rsid w:val="0099359B"/>
    <w:rsid w:val="0099369E"/>
    <w:rsid w:val="00993932"/>
    <w:rsid w:val="00993C73"/>
    <w:rsid w:val="00993F00"/>
    <w:rsid w:val="00994060"/>
    <w:rsid w:val="00994080"/>
    <w:rsid w:val="0099456B"/>
    <w:rsid w:val="00994A48"/>
    <w:rsid w:val="00994A7B"/>
    <w:rsid w:val="00994D59"/>
    <w:rsid w:val="00994D9F"/>
    <w:rsid w:val="00994F90"/>
    <w:rsid w:val="009951F1"/>
    <w:rsid w:val="00995294"/>
    <w:rsid w:val="009958C4"/>
    <w:rsid w:val="009959A0"/>
    <w:rsid w:val="00995B61"/>
    <w:rsid w:val="00995C5E"/>
    <w:rsid w:val="00995DB8"/>
    <w:rsid w:val="00996297"/>
    <w:rsid w:val="009965D5"/>
    <w:rsid w:val="0099667E"/>
    <w:rsid w:val="009967F1"/>
    <w:rsid w:val="009968E2"/>
    <w:rsid w:val="00996A61"/>
    <w:rsid w:val="00996C17"/>
    <w:rsid w:val="00996CEA"/>
    <w:rsid w:val="00996E70"/>
    <w:rsid w:val="00996F91"/>
    <w:rsid w:val="00997318"/>
    <w:rsid w:val="0099734A"/>
    <w:rsid w:val="0099776C"/>
    <w:rsid w:val="0099780C"/>
    <w:rsid w:val="009978D2"/>
    <w:rsid w:val="00997AD3"/>
    <w:rsid w:val="009A00B0"/>
    <w:rsid w:val="009A0199"/>
    <w:rsid w:val="009A02EA"/>
    <w:rsid w:val="009A0AD0"/>
    <w:rsid w:val="009A0AF8"/>
    <w:rsid w:val="009A0C38"/>
    <w:rsid w:val="009A0CB6"/>
    <w:rsid w:val="009A11D1"/>
    <w:rsid w:val="009A11D8"/>
    <w:rsid w:val="009A13A1"/>
    <w:rsid w:val="009A140B"/>
    <w:rsid w:val="009A1437"/>
    <w:rsid w:val="009A15D9"/>
    <w:rsid w:val="009A1683"/>
    <w:rsid w:val="009A185A"/>
    <w:rsid w:val="009A19A6"/>
    <w:rsid w:val="009A1ADB"/>
    <w:rsid w:val="009A1E67"/>
    <w:rsid w:val="009A278B"/>
    <w:rsid w:val="009A2ADF"/>
    <w:rsid w:val="009A2C11"/>
    <w:rsid w:val="009A2DE9"/>
    <w:rsid w:val="009A3266"/>
    <w:rsid w:val="009A336D"/>
    <w:rsid w:val="009A35D9"/>
    <w:rsid w:val="009A3BD7"/>
    <w:rsid w:val="009A3CE8"/>
    <w:rsid w:val="009A3DD0"/>
    <w:rsid w:val="009A4232"/>
    <w:rsid w:val="009A4285"/>
    <w:rsid w:val="009A475E"/>
    <w:rsid w:val="009A4B55"/>
    <w:rsid w:val="009A4BC9"/>
    <w:rsid w:val="009A5804"/>
    <w:rsid w:val="009A5B15"/>
    <w:rsid w:val="009A5B75"/>
    <w:rsid w:val="009A5BA6"/>
    <w:rsid w:val="009A5CEE"/>
    <w:rsid w:val="009A5D48"/>
    <w:rsid w:val="009A5F69"/>
    <w:rsid w:val="009A610F"/>
    <w:rsid w:val="009A67B3"/>
    <w:rsid w:val="009A692A"/>
    <w:rsid w:val="009A6D85"/>
    <w:rsid w:val="009A6FB1"/>
    <w:rsid w:val="009A6FD4"/>
    <w:rsid w:val="009A7157"/>
    <w:rsid w:val="009A7317"/>
    <w:rsid w:val="009A7477"/>
    <w:rsid w:val="009A74F0"/>
    <w:rsid w:val="009A76E0"/>
    <w:rsid w:val="009A7FED"/>
    <w:rsid w:val="009B00D2"/>
    <w:rsid w:val="009B024D"/>
    <w:rsid w:val="009B0283"/>
    <w:rsid w:val="009B0297"/>
    <w:rsid w:val="009B040C"/>
    <w:rsid w:val="009B0699"/>
    <w:rsid w:val="009B06EC"/>
    <w:rsid w:val="009B0895"/>
    <w:rsid w:val="009B0BE0"/>
    <w:rsid w:val="009B0C40"/>
    <w:rsid w:val="009B0C77"/>
    <w:rsid w:val="009B0D33"/>
    <w:rsid w:val="009B0F84"/>
    <w:rsid w:val="009B1092"/>
    <w:rsid w:val="009B123C"/>
    <w:rsid w:val="009B124A"/>
    <w:rsid w:val="009B1600"/>
    <w:rsid w:val="009B17D5"/>
    <w:rsid w:val="009B19A7"/>
    <w:rsid w:val="009B1A6B"/>
    <w:rsid w:val="009B1B62"/>
    <w:rsid w:val="009B1B82"/>
    <w:rsid w:val="009B1C93"/>
    <w:rsid w:val="009B1D10"/>
    <w:rsid w:val="009B1DAC"/>
    <w:rsid w:val="009B2287"/>
    <w:rsid w:val="009B2391"/>
    <w:rsid w:val="009B268D"/>
    <w:rsid w:val="009B2D28"/>
    <w:rsid w:val="009B2DF3"/>
    <w:rsid w:val="009B2F35"/>
    <w:rsid w:val="009B3000"/>
    <w:rsid w:val="009B3845"/>
    <w:rsid w:val="009B3976"/>
    <w:rsid w:val="009B3A18"/>
    <w:rsid w:val="009B3A9C"/>
    <w:rsid w:val="009B3C3D"/>
    <w:rsid w:val="009B3E56"/>
    <w:rsid w:val="009B3E61"/>
    <w:rsid w:val="009B4113"/>
    <w:rsid w:val="009B4283"/>
    <w:rsid w:val="009B4508"/>
    <w:rsid w:val="009B4831"/>
    <w:rsid w:val="009B4B95"/>
    <w:rsid w:val="009B4D2C"/>
    <w:rsid w:val="009B4E9C"/>
    <w:rsid w:val="009B507D"/>
    <w:rsid w:val="009B51F7"/>
    <w:rsid w:val="009B5416"/>
    <w:rsid w:val="009B562F"/>
    <w:rsid w:val="009B58B3"/>
    <w:rsid w:val="009B597C"/>
    <w:rsid w:val="009B5ADB"/>
    <w:rsid w:val="009B5B13"/>
    <w:rsid w:val="009B5C75"/>
    <w:rsid w:val="009B5CEF"/>
    <w:rsid w:val="009B5D86"/>
    <w:rsid w:val="009B5EDE"/>
    <w:rsid w:val="009B68BD"/>
    <w:rsid w:val="009B6955"/>
    <w:rsid w:val="009B6E0F"/>
    <w:rsid w:val="009B6E43"/>
    <w:rsid w:val="009B6E51"/>
    <w:rsid w:val="009B73EB"/>
    <w:rsid w:val="009B7536"/>
    <w:rsid w:val="009B774E"/>
    <w:rsid w:val="009B7A4B"/>
    <w:rsid w:val="009B7C37"/>
    <w:rsid w:val="009B7CA3"/>
    <w:rsid w:val="009B7CC9"/>
    <w:rsid w:val="009B7DCC"/>
    <w:rsid w:val="009B7FB3"/>
    <w:rsid w:val="009C03A6"/>
    <w:rsid w:val="009C0A78"/>
    <w:rsid w:val="009C0B74"/>
    <w:rsid w:val="009C0E9C"/>
    <w:rsid w:val="009C0EEA"/>
    <w:rsid w:val="009C107E"/>
    <w:rsid w:val="009C11B5"/>
    <w:rsid w:val="009C1446"/>
    <w:rsid w:val="009C1460"/>
    <w:rsid w:val="009C1602"/>
    <w:rsid w:val="009C16C5"/>
    <w:rsid w:val="009C17F4"/>
    <w:rsid w:val="009C185E"/>
    <w:rsid w:val="009C1C9A"/>
    <w:rsid w:val="009C1CBA"/>
    <w:rsid w:val="009C1D3E"/>
    <w:rsid w:val="009C1EF9"/>
    <w:rsid w:val="009C2190"/>
    <w:rsid w:val="009C21FD"/>
    <w:rsid w:val="009C2331"/>
    <w:rsid w:val="009C28B8"/>
    <w:rsid w:val="009C2AA2"/>
    <w:rsid w:val="009C2B39"/>
    <w:rsid w:val="009C2CCB"/>
    <w:rsid w:val="009C2E97"/>
    <w:rsid w:val="009C3477"/>
    <w:rsid w:val="009C37DC"/>
    <w:rsid w:val="009C3C11"/>
    <w:rsid w:val="009C3C93"/>
    <w:rsid w:val="009C3DAD"/>
    <w:rsid w:val="009C3F54"/>
    <w:rsid w:val="009C3FC5"/>
    <w:rsid w:val="009C446F"/>
    <w:rsid w:val="009C45C1"/>
    <w:rsid w:val="009C47FF"/>
    <w:rsid w:val="009C48E6"/>
    <w:rsid w:val="009C48EA"/>
    <w:rsid w:val="009C4A25"/>
    <w:rsid w:val="009C4BE7"/>
    <w:rsid w:val="009C4E25"/>
    <w:rsid w:val="009C5082"/>
    <w:rsid w:val="009C5144"/>
    <w:rsid w:val="009C559C"/>
    <w:rsid w:val="009C561E"/>
    <w:rsid w:val="009C56C2"/>
    <w:rsid w:val="009C580B"/>
    <w:rsid w:val="009C5C5F"/>
    <w:rsid w:val="009C6178"/>
    <w:rsid w:val="009C61B4"/>
    <w:rsid w:val="009C61E9"/>
    <w:rsid w:val="009C6481"/>
    <w:rsid w:val="009C65AA"/>
    <w:rsid w:val="009C66AA"/>
    <w:rsid w:val="009C66DF"/>
    <w:rsid w:val="009C67E4"/>
    <w:rsid w:val="009C6931"/>
    <w:rsid w:val="009C6B65"/>
    <w:rsid w:val="009C6CC5"/>
    <w:rsid w:val="009C70BD"/>
    <w:rsid w:val="009C7710"/>
    <w:rsid w:val="009C7979"/>
    <w:rsid w:val="009C7C53"/>
    <w:rsid w:val="009C7C99"/>
    <w:rsid w:val="009C7D33"/>
    <w:rsid w:val="009C7F63"/>
    <w:rsid w:val="009C7FB9"/>
    <w:rsid w:val="009D02F4"/>
    <w:rsid w:val="009D03E0"/>
    <w:rsid w:val="009D070A"/>
    <w:rsid w:val="009D0CB8"/>
    <w:rsid w:val="009D0E8A"/>
    <w:rsid w:val="009D0F98"/>
    <w:rsid w:val="009D1712"/>
    <w:rsid w:val="009D192D"/>
    <w:rsid w:val="009D217B"/>
    <w:rsid w:val="009D27B2"/>
    <w:rsid w:val="009D2B78"/>
    <w:rsid w:val="009D34A0"/>
    <w:rsid w:val="009D34C8"/>
    <w:rsid w:val="009D34F2"/>
    <w:rsid w:val="009D379F"/>
    <w:rsid w:val="009D395F"/>
    <w:rsid w:val="009D3A96"/>
    <w:rsid w:val="009D3EE2"/>
    <w:rsid w:val="009D3EEB"/>
    <w:rsid w:val="009D3F79"/>
    <w:rsid w:val="009D429D"/>
    <w:rsid w:val="009D4376"/>
    <w:rsid w:val="009D43B4"/>
    <w:rsid w:val="009D4837"/>
    <w:rsid w:val="009D4A82"/>
    <w:rsid w:val="009D4ACD"/>
    <w:rsid w:val="009D4C04"/>
    <w:rsid w:val="009D4DFA"/>
    <w:rsid w:val="009D4E21"/>
    <w:rsid w:val="009D4EF4"/>
    <w:rsid w:val="009D501C"/>
    <w:rsid w:val="009D515F"/>
    <w:rsid w:val="009D519A"/>
    <w:rsid w:val="009D55AB"/>
    <w:rsid w:val="009D5694"/>
    <w:rsid w:val="009D5766"/>
    <w:rsid w:val="009D57D1"/>
    <w:rsid w:val="009D5CB0"/>
    <w:rsid w:val="009D5DEB"/>
    <w:rsid w:val="009D6000"/>
    <w:rsid w:val="009D614B"/>
    <w:rsid w:val="009D61E3"/>
    <w:rsid w:val="009D6924"/>
    <w:rsid w:val="009D6C28"/>
    <w:rsid w:val="009D6ED8"/>
    <w:rsid w:val="009D74CB"/>
    <w:rsid w:val="009D761F"/>
    <w:rsid w:val="009D7E93"/>
    <w:rsid w:val="009E039F"/>
    <w:rsid w:val="009E075B"/>
    <w:rsid w:val="009E0914"/>
    <w:rsid w:val="009E0941"/>
    <w:rsid w:val="009E0983"/>
    <w:rsid w:val="009E09ED"/>
    <w:rsid w:val="009E0B26"/>
    <w:rsid w:val="009E0B39"/>
    <w:rsid w:val="009E0E1A"/>
    <w:rsid w:val="009E0FDF"/>
    <w:rsid w:val="009E1199"/>
    <w:rsid w:val="009E1353"/>
    <w:rsid w:val="009E14C3"/>
    <w:rsid w:val="009E1C62"/>
    <w:rsid w:val="009E1F62"/>
    <w:rsid w:val="009E1F9A"/>
    <w:rsid w:val="009E2468"/>
    <w:rsid w:val="009E25BE"/>
    <w:rsid w:val="009E2723"/>
    <w:rsid w:val="009E28C1"/>
    <w:rsid w:val="009E2A50"/>
    <w:rsid w:val="009E2DF7"/>
    <w:rsid w:val="009E2E8D"/>
    <w:rsid w:val="009E2F95"/>
    <w:rsid w:val="009E3014"/>
    <w:rsid w:val="009E311F"/>
    <w:rsid w:val="009E3202"/>
    <w:rsid w:val="009E3D4B"/>
    <w:rsid w:val="009E3D71"/>
    <w:rsid w:val="009E3E67"/>
    <w:rsid w:val="009E42F2"/>
    <w:rsid w:val="009E451E"/>
    <w:rsid w:val="009E473B"/>
    <w:rsid w:val="009E47ED"/>
    <w:rsid w:val="009E4A99"/>
    <w:rsid w:val="009E4B0A"/>
    <w:rsid w:val="009E50AE"/>
    <w:rsid w:val="009E53D5"/>
    <w:rsid w:val="009E5A26"/>
    <w:rsid w:val="009E5A35"/>
    <w:rsid w:val="009E5A6C"/>
    <w:rsid w:val="009E5C4F"/>
    <w:rsid w:val="009E611F"/>
    <w:rsid w:val="009E6D25"/>
    <w:rsid w:val="009E6FCF"/>
    <w:rsid w:val="009E71FE"/>
    <w:rsid w:val="009E7310"/>
    <w:rsid w:val="009E7664"/>
    <w:rsid w:val="009E77DF"/>
    <w:rsid w:val="009E7A30"/>
    <w:rsid w:val="009E7D57"/>
    <w:rsid w:val="009E7E35"/>
    <w:rsid w:val="009E7E79"/>
    <w:rsid w:val="009F0012"/>
    <w:rsid w:val="009F0279"/>
    <w:rsid w:val="009F05A2"/>
    <w:rsid w:val="009F0875"/>
    <w:rsid w:val="009F0C34"/>
    <w:rsid w:val="009F0DB0"/>
    <w:rsid w:val="009F0F79"/>
    <w:rsid w:val="009F1185"/>
    <w:rsid w:val="009F149D"/>
    <w:rsid w:val="009F1693"/>
    <w:rsid w:val="009F1772"/>
    <w:rsid w:val="009F17D5"/>
    <w:rsid w:val="009F1896"/>
    <w:rsid w:val="009F1A4D"/>
    <w:rsid w:val="009F1C76"/>
    <w:rsid w:val="009F1CA1"/>
    <w:rsid w:val="009F1D07"/>
    <w:rsid w:val="009F2068"/>
    <w:rsid w:val="009F25E4"/>
    <w:rsid w:val="009F2AFA"/>
    <w:rsid w:val="009F2D29"/>
    <w:rsid w:val="009F3483"/>
    <w:rsid w:val="009F34AD"/>
    <w:rsid w:val="009F3550"/>
    <w:rsid w:val="009F394D"/>
    <w:rsid w:val="009F39EF"/>
    <w:rsid w:val="009F3DEB"/>
    <w:rsid w:val="009F4038"/>
    <w:rsid w:val="009F4056"/>
    <w:rsid w:val="009F4075"/>
    <w:rsid w:val="009F4138"/>
    <w:rsid w:val="009F465C"/>
    <w:rsid w:val="009F472B"/>
    <w:rsid w:val="009F4A04"/>
    <w:rsid w:val="009F5002"/>
    <w:rsid w:val="009F5036"/>
    <w:rsid w:val="009F5045"/>
    <w:rsid w:val="009F51BE"/>
    <w:rsid w:val="009F51D2"/>
    <w:rsid w:val="009F529B"/>
    <w:rsid w:val="009F5363"/>
    <w:rsid w:val="009F53EF"/>
    <w:rsid w:val="009F54E0"/>
    <w:rsid w:val="009F593A"/>
    <w:rsid w:val="009F59CD"/>
    <w:rsid w:val="009F5C04"/>
    <w:rsid w:val="009F5DE6"/>
    <w:rsid w:val="009F5EC3"/>
    <w:rsid w:val="009F5FDD"/>
    <w:rsid w:val="009F60BB"/>
    <w:rsid w:val="009F6161"/>
    <w:rsid w:val="009F62CC"/>
    <w:rsid w:val="009F6329"/>
    <w:rsid w:val="009F661A"/>
    <w:rsid w:val="009F662D"/>
    <w:rsid w:val="009F6652"/>
    <w:rsid w:val="009F675C"/>
    <w:rsid w:val="009F67A1"/>
    <w:rsid w:val="009F69F0"/>
    <w:rsid w:val="009F6CD0"/>
    <w:rsid w:val="009F6D1F"/>
    <w:rsid w:val="009F6EC9"/>
    <w:rsid w:val="009F6F9A"/>
    <w:rsid w:val="009F70EF"/>
    <w:rsid w:val="009F717A"/>
    <w:rsid w:val="009F7332"/>
    <w:rsid w:val="009F7369"/>
    <w:rsid w:val="009F7521"/>
    <w:rsid w:val="009F76B0"/>
    <w:rsid w:val="009F7948"/>
    <w:rsid w:val="009F7996"/>
    <w:rsid w:val="009F7FAE"/>
    <w:rsid w:val="00A00454"/>
    <w:rsid w:val="00A00601"/>
    <w:rsid w:val="00A00889"/>
    <w:rsid w:val="00A00A7C"/>
    <w:rsid w:val="00A00AD3"/>
    <w:rsid w:val="00A00AE3"/>
    <w:rsid w:val="00A00D46"/>
    <w:rsid w:val="00A013A3"/>
    <w:rsid w:val="00A013CC"/>
    <w:rsid w:val="00A01830"/>
    <w:rsid w:val="00A0197D"/>
    <w:rsid w:val="00A019FE"/>
    <w:rsid w:val="00A01B37"/>
    <w:rsid w:val="00A01C24"/>
    <w:rsid w:val="00A01D28"/>
    <w:rsid w:val="00A02175"/>
    <w:rsid w:val="00A0221F"/>
    <w:rsid w:val="00A02307"/>
    <w:rsid w:val="00A02342"/>
    <w:rsid w:val="00A02728"/>
    <w:rsid w:val="00A02886"/>
    <w:rsid w:val="00A029F5"/>
    <w:rsid w:val="00A02AF1"/>
    <w:rsid w:val="00A02B05"/>
    <w:rsid w:val="00A02B1B"/>
    <w:rsid w:val="00A02B71"/>
    <w:rsid w:val="00A02C6B"/>
    <w:rsid w:val="00A02CC7"/>
    <w:rsid w:val="00A02D12"/>
    <w:rsid w:val="00A02DA2"/>
    <w:rsid w:val="00A02DF8"/>
    <w:rsid w:val="00A032D9"/>
    <w:rsid w:val="00A0380E"/>
    <w:rsid w:val="00A03B11"/>
    <w:rsid w:val="00A03B68"/>
    <w:rsid w:val="00A03BBC"/>
    <w:rsid w:val="00A03D5D"/>
    <w:rsid w:val="00A03FFB"/>
    <w:rsid w:val="00A041C6"/>
    <w:rsid w:val="00A044E4"/>
    <w:rsid w:val="00A04575"/>
    <w:rsid w:val="00A04722"/>
    <w:rsid w:val="00A047EC"/>
    <w:rsid w:val="00A04AC3"/>
    <w:rsid w:val="00A050AF"/>
    <w:rsid w:val="00A053C3"/>
    <w:rsid w:val="00A05C3D"/>
    <w:rsid w:val="00A05D29"/>
    <w:rsid w:val="00A05EFE"/>
    <w:rsid w:val="00A05FDE"/>
    <w:rsid w:val="00A0602B"/>
    <w:rsid w:val="00A060B8"/>
    <w:rsid w:val="00A06185"/>
    <w:rsid w:val="00A06CD4"/>
    <w:rsid w:val="00A06D87"/>
    <w:rsid w:val="00A06E27"/>
    <w:rsid w:val="00A06FAD"/>
    <w:rsid w:val="00A07557"/>
    <w:rsid w:val="00A10233"/>
    <w:rsid w:val="00A10340"/>
    <w:rsid w:val="00A10502"/>
    <w:rsid w:val="00A10585"/>
    <w:rsid w:val="00A109E8"/>
    <w:rsid w:val="00A10DA7"/>
    <w:rsid w:val="00A110B9"/>
    <w:rsid w:val="00A110F0"/>
    <w:rsid w:val="00A11138"/>
    <w:rsid w:val="00A1117B"/>
    <w:rsid w:val="00A1128B"/>
    <w:rsid w:val="00A114A9"/>
    <w:rsid w:val="00A115E6"/>
    <w:rsid w:val="00A11940"/>
    <w:rsid w:val="00A1197B"/>
    <w:rsid w:val="00A11F20"/>
    <w:rsid w:val="00A12038"/>
    <w:rsid w:val="00A12168"/>
    <w:rsid w:val="00A121BB"/>
    <w:rsid w:val="00A122E4"/>
    <w:rsid w:val="00A1248E"/>
    <w:rsid w:val="00A1249C"/>
    <w:rsid w:val="00A12A26"/>
    <w:rsid w:val="00A12C1E"/>
    <w:rsid w:val="00A12E94"/>
    <w:rsid w:val="00A12F98"/>
    <w:rsid w:val="00A13092"/>
    <w:rsid w:val="00A13321"/>
    <w:rsid w:val="00A13536"/>
    <w:rsid w:val="00A1360B"/>
    <w:rsid w:val="00A13704"/>
    <w:rsid w:val="00A13781"/>
    <w:rsid w:val="00A138B1"/>
    <w:rsid w:val="00A139FC"/>
    <w:rsid w:val="00A13B50"/>
    <w:rsid w:val="00A13BB3"/>
    <w:rsid w:val="00A13EC6"/>
    <w:rsid w:val="00A14082"/>
    <w:rsid w:val="00A14539"/>
    <w:rsid w:val="00A14597"/>
    <w:rsid w:val="00A146BB"/>
    <w:rsid w:val="00A1486B"/>
    <w:rsid w:val="00A14DA8"/>
    <w:rsid w:val="00A14E38"/>
    <w:rsid w:val="00A15668"/>
    <w:rsid w:val="00A156A8"/>
    <w:rsid w:val="00A1570E"/>
    <w:rsid w:val="00A15E53"/>
    <w:rsid w:val="00A16069"/>
    <w:rsid w:val="00A16099"/>
    <w:rsid w:val="00A1656C"/>
    <w:rsid w:val="00A1671A"/>
    <w:rsid w:val="00A168AB"/>
    <w:rsid w:val="00A16A0D"/>
    <w:rsid w:val="00A16F1C"/>
    <w:rsid w:val="00A16F69"/>
    <w:rsid w:val="00A16F93"/>
    <w:rsid w:val="00A17120"/>
    <w:rsid w:val="00A172BE"/>
    <w:rsid w:val="00A17320"/>
    <w:rsid w:val="00A173D6"/>
    <w:rsid w:val="00A176CE"/>
    <w:rsid w:val="00A179B5"/>
    <w:rsid w:val="00A17AAF"/>
    <w:rsid w:val="00A17AF5"/>
    <w:rsid w:val="00A17BBD"/>
    <w:rsid w:val="00A17D86"/>
    <w:rsid w:val="00A17E0E"/>
    <w:rsid w:val="00A17EEE"/>
    <w:rsid w:val="00A20576"/>
    <w:rsid w:val="00A205A3"/>
    <w:rsid w:val="00A205AC"/>
    <w:rsid w:val="00A20839"/>
    <w:rsid w:val="00A20885"/>
    <w:rsid w:val="00A208F1"/>
    <w:rsid w:val="00A20AF1"/>
    <w:rsid w:val="00A20EB9"/>
    <w:rsid w:val="00A20F97"/>
    <w:rsid w:val="00A20FE4"/>
    <w:rsid w:val="00A211DC"/>
    <w:rsid w:val="00A21278"/>
    <w:rsid w:val="00A21447"/>
    <w:rsid w:val="00A21596"/>
    <w:rsid w:val="00A21803"/>
    <w:rsid w:val="00A21922"/>
    <w:rsid w:val="00A21E91"/>
    <w:rsid w:val="00A22380"/>
    <w:rsid w:val="00A229CB"/>
    <w:rsid w:val="00A22B8F"/>
    <w:rsid w:val="00A22C6F"/>
    <w:rsid w:val="00A22DAB"/>
    <w:rsid w:val="00A230F4"/>
    <w:rsid w:val="00A23289"/>
    <w:rsid w:val="00A23506"/>
    <w:rsid w:val="00A2377C"/>
    <w:rsid w:val="00A238E9"/>
    <w:rsid w:val="00A239B4"/>
    <w:rsid w:val="00A23A6B"/>
    <w:rsid w:val="00A23C08"/>
    <w:rsid w:val="00A23F6A"/>
    <w:rsid w:val="00A241F9"/>
    <w:rsid w:val="00A2420F"/>
    <w:rsid w:val="00A24260"/>
    <w:rsid w:val="00A2438E"/>
    <w:rsid w:val="00A2458E"/>
    <w:rsid w:val="00A24605"/>
    <w:rsid w:val="00A248E8"/>
    <w:rsid w:val="00A250AD"/>
    <w:rsid w:val="00A25107"/>
    <w:rsid w:val="00A252DE"/>
    <w:rsid w:val="00A25302"/>
    <w:rsid w:val="00A2533D"/>
    <w:rsid w:val="00A25475"/>
    <w:rsid w:val="00A2559C"/>
    <w:rsid w:val="00A25653"/>
    <w:rsid w:val="00A259A1"/>
    <w:rsid w:val="00A25C70"/>
    <w:rsid w:val="00A26320"/>
    <w:rsid w:val="00A26DBC"/>
    <w:rsid w:val="00A26DF1"/>
    <w:rsid w:val="00A26E9F"/>
    <w:rsid w:val="00A27164"/>
    <w:rsid w:val="00A272AD"/>
    <w:rsid w:val="00A272E4"/>
    <w:rsid w:val="00A27373"/>
    <w:rsid w:val="00A27408"/>
    <w:rsid w:val="00A274CD"/>
    <w:rsid w:val="00A276DF"/>
    <w:rsid w:val="00A2798F"/>
    <w:rsid w:val="00A2799D"/>
    <w:rsid w:val="00A27DAF"/>
    <w:rsid w:val="00A27E6B"/>
    <w:rsid w:val="00A30052"/>
    <w:rsid w:val="00A30087"/>
    <w:rsid w:val="00A30347"/>
    <w:rsid w:val="00A303AF"/>
    <w:rsid w:val="00A304F1"/>
    <w:rsid w:val="00A30535"/>
    <w:rsid w:val="00A30B35"/>
    <w:rsid w:val="00A30C40"/>
    <w:rsid w:val="00A30E11"/>
    <w:rsid w:val="00A30E3B"/>
    <w:rsid w:val="00A310A3"/>
    <w:rsid w:val="00A31288"/>
    <w:rsid w:val="00A31414"/>
    <w:rsid w:val="00A31453"/>
    <w:rsid w:val="00A3164E"/>
    <w:rsid w:val="00A318D6"/>
    <w:rsid w:val="00A31A07"/>
    <w:rsid w:val="00A32033"/>
    <w:rsid w:val="00A3205D"/>
    <w:rsid w:val="00A32121"/>
    <w:rsid w:val="00A32193"/>
    <w:rsid w:val="00A32224"/>
    <w:rsid w:val="00A326FC"/>
    <w:rsid w:val="00A3277F"/>
    <w:rsid w:val="00A32ADE"/>
    <w:rsid w:val="00A32BD5"/>
    <w:rsid w:val="00A32FDE"/>
    <w:rsid w:val="00A33336"/>
    <w:rsid w:val="00A33554"/>
    <w:rsid w:val="00A337CD"/>
    <w:rsid w:val="00A33B46"/>
    <w:rsid w:val="00A33BA5"/>
    <w:rsid w:val="00A340F8"/>
    <w:rsid w:val="00A342E1"/>
    <w:rsid w:val="00A344EA"/>
    <w:rsid w:val="00A34502"/>
    <w:rsid w:val="00A34870"/>
    <w:rsid w:val="00A34C61"/>
    <w:rsid w:val="00A353CB"/>
    <w:rsid w:val="00A3561D"/>
    <w:rsid w:val="00A35875"/>
    <w:rsid w:val="00A35A6F"/>
    <w:rsid w:val="00A35DAC"/>
    <w:rsid w:val="00A35DEE"/>
    <w:rsid w:val="00A35F50"/>
    <w:rsid w:val="00A35F8D"/>
    <w:rsid w:val="00A36620"/>
    <w:rsid w:val="00A368C6"/>
    <w:rsid w:val="00A36999"/>
    <w:rsid w:val="00A36A3D"/>
    <w:rsid w:val="00A36C09"/>
    <w:rsid w:val="00A36C35"/>
    <w:rsid w:val="00A36D4C"/>
    <w:rsid w:val="00A36D8B"/>
    <w:rsid w:val="00A36DD0"/>
    <w:rsid w:val="00A36EDE"/>
    <w:rsid w:val="00A36F02"/>
    <w:rsid w:val="00A37751"/>
    <w:rsid w:val="00A378BB"/>
    <w:rsid w:val="00A37CB6"/>
    <w:rsid w:val="00A37CE5"/>
    <w:rsid w:val="00A401F9"/>
    <w:rsid w:val="00A40209"/>
    <w:rsid w:val="00A4030B"/>
    <w:rsid w:val="00A40666"/>
    <w:rsid w:val="00A4087B"/>
    <w:rsid w:val="00A408DD"/>
    <w:rsid w:val="00A40BA6"/>
    <w:rsid w:val="00A40C3D"/>
    <w:rsid w:val="00A40C5A"/>
    <w:rsid w:val="00A4104A"/>
    <w:rsid w:val="00A4129C"/>
    <w:rsid w:val="00A415AC"/>
    <w:rsid w:val="00A4160B"/>
    <w:rsid w:val="00A418C3"/>
    <w:rsid w:val="00A41A22"/>
    <w:rsid w:val="00A41B9A"/>
    <w:rsid w:val="00A41F4C"/>
    <w:rsid w:val="00A42450"/>
    <w:rsid w:val="00A424FF"/>
    <w:rsid w:val="00A4261D"/>
    <w:rsid w:val="00A42645"/>
    <w:rsid w:val="00A42A92"/>
    <w:rsid w:val="00A42CEA"/>
    <w:rsid w:val="00A42DE6"/>
    <w:rsid w:val="00A42EC9"/>
    <w:rsid w:val="00A4307B"/>
    <w:rsid w:val="00A4312E"/>
    <w:rsid w:val="00A43301"/>
    <w:rsid w:val="00A43945"/>
    <w:rsid w:val="00A4436B"/>
    <w:rsid w:val="00A44595"/>
    <w:rsid w:val="00A4478E"/>
    <w:rsid w:val="00A44861"/>
    <w:rsid w:val="00A44990"/>
    <w:rsid w:val="00A44C4F"/>
    <w:rsid w:val="00A44FFE"/>
    <w:rsid w:val="00A4537F"/>
    <w:rsid w:val="00A45391"/>
    <w:rsid w:val="00A45655"/>
    <w:rsid w:val="00A45663"/>
    <w:rsid w:val="00A4586C"/>
    <w:rsid w:val="00A45976"/>
    <w:rsid w:val="00A45BAD"/>
    <w:rsid w:val="00A460DE"/>
    <w:rsid w:val="00A46284"/>
    <w:rsid w:val="00A46750"/>
    <w:rsid w:val="00A467A8"/>
    <w:rsid w:val="00A46BD7"/>
    <w:rsid w:val="00A46FE0"/>
    <w:rsid w:val="00A475B9"/>
    <w:rsid w:val="00A4771D"/>
    <w:rsid w:val="00A47A12"/>
    <w:rsid w:val="00A47ABA"/>
    <w:rsid w:val="00A47E21"/>
    <w:rsid w:val="00A47E9D"/>
    <w:rsid w:val="00A50372"/>
    <w:rsid w:val="00A505E8"/>
    <w:rsid w:val="00A5070D"/>
    <w:rsid w:val="00A50BDD"/>
    <w:rsid w:val="00A50C3F"/>
    <w:rsid w:val="00A50E96"/>
    <w:rsid w:val="00A51863"/>
    <w:rsid w:val="00A51C45"/>
    <w:rsid w:val="00A51DB6"/>
    <w:rsid w:val="00A51FB2"/>
    <w:rsid w:val="00A5220E"/>
    <w:rsid w:val="00A523AE"/>
    <w:rsid w:val="00A525F6"/>
    <w:rsid w:val="00A52D8F"/>
    <w:rsid w:val="00A52ED3"/>
    <w:rsid w:val="00A52FE9"/>
    <w:rsid w:val="00A5323D"/>
    <w:rsid w:val="00A53395"/>
    <w:rsid w:val="00A533E1"/>
    <w:rsid w:val="00A5355B"/>
    <w:rsid w:val="00A5356A"/>
    <w:rsid w:val="00A535E2"/>
    <w:rsid w:val="00A538AD"/>
    <w:rsid w:val="00A539F2"/>
    <w:rsid w:val="00A53D50"/>
    <w:rsid w:val="00A53E41"/>
    <w:rsid w:val="00A54257"/>
    <w:rsid w:val="00A54354"/>
    <w:rsid w:val="00A543D2"/>
    <w:rsid w:val="00A546C9"/>
    <w:rsid w:val="00A54BA7"/>
    <w:rsid w:val="00A54D40"/>
    <w:rsid w:val="00A54DF7"/>
    <w:rsid w:val="00A54E5A"/>
    <w:rsid w:val="00A5511D"/>
    <w:rsid w:val="00A55402"/>
    <w:rsid w:val="00A5550F"/>
    <w:rsid w:val="00A55699"/>
    <w:rsid w:val="00A557A6"/>
    <w:rsid w:val="00A557EC"/>
    <w:rsid w:val="00A55B88"/>
    <w:rsid w:val="00A55BE5"/>
    <w:rsid w:val="00A560D6"/>
    <w:rsid w:val="00A5616B"/>
    <w:rsid w:val="00A56558"/>
    <w:rsid w:val="00A5667C"/>
    <w:rsid w:val="00A568EE"/>
    <w:rsid w:val="00A56AB2"/>
    <w:rsid w:val="00A56CBC"/>
    <w:rsid w:val="00A56DEC"/>
    <w:rsid w:val="00A56E38"/>
    <w:rsid w:val="00A56FE0"/>
    <w:rsid w:val="00A57932"/>
    <w:rsid w:val="00A57934"/>
    <w:rsid w:val="00A57CF0"/>
    <w:rsid w:val="00A57F49"/>
    <w:rsid w:val="00A57F8C"/>
    <w:rsid w:val="00A605CC"/>
    <w:rsid w:val="00A60A66"/>
    <w:rsid w:val="00A60BE7"/>
    <w:rsid w:val="00A60CA6"/>
    <w:rsid w:val="00A60F58"/>
    <w:rsid w:val="00A61038"/>
    <w:rsid w:val="00A61092"/>
    <w:rsid w:val="00A6111A"/>
    <w:rsid w:val="00A611EF"/>
    <w:rsid w:val="00A615AB"/>
    <w:rsid w:val="00A61671"/>
    <w:rsid w:val="00A619F7"/>
    <w:rsid w:val="00A61B5C"/>
    <w:rsid w:val="00A61C7D"/>
    <w:rsid w:val="00A61FC2"/>
    <w:rsid w:val="00A61FCE"/>
    <w:rsid w:val="00A622D2"/>
    <w:rsid w:val="00A6232D"/>
    <w:rsid w:val="00A625AB"/>
    <w:rsid w:val="00A62899"/>
    <w:rsid w:val="00A628AF"/>
    <w:rsid w:val="00A62A35"/>
    <w:rsid w:val="00A62A87"/>
    <w:rsid w:val="00A62AAE"/>
    <w:rsid w:val="00A62AC4"/>
    <w:rsid w:val="00A62B87"/>
    <w:rsid w:val="00A62D17"/>
    <w:rsid w:val="00A62DAD"/>
    <w:rsid w:val="00A62DDF"/>
    <w:rsid w:val="00A62FEC"/>
    <w:rsid w:val="00A63318"/>
    <w:rsid w:val="00A63585"/>
    <w:rsid w:val="00A637BE"/>
    <w:rsid w:val="00A6388D"/>
    <w:rsid w:val="00A63BED"/>
    <w:rsid w:val="00A63D7B"/>
    <w:rsid w:val="00A63EBA"/>
    <w:rsid w:val="00A64588"/>
    <w:rsid w:val="00A64783"/>
    <w:rsid w:val="00A64A4F"/>
    <w:rsid w:val="00A653FC"/>
    <w:rsid w:val="00A6559E"/>
    <w:rsid w:val="00A6560D"/>
    <w:rsid w:val="00A6585E"/>
    <w:rsid w:val="00A6596A"/>
    <w:rsid w:val="00A6599E"/>
    <w:rsid w:val="00A65A9D"/>
    <w:rsid w:val="00A65AA9"/>
    <w:rsid w:val="00A65FA2"/>
    <w:rsid w:val="00A661C9"/>
    <w:rsid w:val="00A6665D"/>
    <w:rsid w:val="00A66874"/>
    <w:rsid w:val="00A669F1"/>
    <w:rsid w:val="00A66E96"/>
    <w:rsid w:val="00A67135"/>
    <w:rsid w:val="00A675A0"/>
    <w:rsid w:val="00A67D0C"/>
    <w:rsid w:val="00A67F3D"/>
    <w:rsid w:val="00A70036"/>
    <w:rsid w:val="00A70489"/>
    <w:rsid w:val="00A705FC"/>
    <w:rsid w:val="00A70600"/>
    <w:rsid w:val="00A7064F"/>
    <w:rsid w:val="00A70748"/>
    <w:rsid w:val="00A70814"/>
    <w:rsid w:val="00A70883"/>
    <w:rsid w:val="00A70A16"/>
    <w:rsid w:val="00A70C01"/>
    <w:rsid w:val="00A70D00"/>
    <w:rsid w:val="00A70D1C"/>
    <w:rsid w:val="00A70D8B"/>
    <w:rsid w:val="00A70DF7"/>
    <w:rsid w:val="00A71376"/>
    <w:rsid w:val="00A714ED"/>
    <w:rsid w:val="00A71529"/>
    <w:rsid w:val="00A71ABC"/>
    <w:rsid w:val="00A71D77"/>
    <w:rsid w:val="00A71FF7"/>
    <w:rsid w:val="00A720B7"/>
    <w:rsid w:val="00A7225D"/>
    <w:rsid w:val="00A723D8"/>
    <w:rsid w:val="00A723F0"/>
    <w:rsid w:val="00A7241C"/>
    <w:rsid w:val="00A7245F"/>
    <w:rsid w:val="00A725CB"/>
    <w:rsid w:val="00A72999"/>
    <w:rsid w:val="00A72A5F"/>
    <w:rsid w:val="00A72C74"/>
    <w:rsid w:val="00A72D8A"/>
    <w:rsid w:val="00A72FF4"/>
    <w:rsid w:val="00A730E5"/>
    <w:rsid w:val="00A731C9"/>
    <w:rsid w:val="00A735C7"/>
    <w:rsid w:val="00A7395F"/>
    <w:rsid w:val="00A73972"/>
    <w:rsid w:val="00A73B45"/>
    <w:rsid w:val="00A740A0"/>
    <w:rsid w:val="00A740EA"/>
    <w:rsid w:val="00A74347"/>
    <w:rsid w:val="00A74560"/>
    <w:rsid w:val="00A745B8"/>
    <w:rsid w:val="00A748F4"/>
    <w:rsid w:val="00A74C7B"/>
    <w:rsid w:val="00A74DB1"/>
    <w:rsid w:val="00A74E33"/>
    <w:rsid w:val="00A755D9"/>
    <w:rsid w:val="00A756C5"/>
    <w:rsid w:val="00A75807"/>
    <w:rsid w:val="00A759E0"/>
    <w:rsid w:val="00A7626B"/>
    <w:rsid w:val="00A76377"/>
    <w:rsid w:val="00A76446"/>
    <w:rsid w:val="00A769E1"/>
    <w:rsid w:val="00A76BD9"/>
    <w:rsid w:val="00A76E61"/>
    <w:rsid w:val="00A76E97"/>
    <w:rsid w:val="00A76EEA"/>
    <w:rsid w:val="00A771B1"/>
    <w:rsid w:val="00A7748D"/>
    <w:rsid w:val="00A775B3"/>
    <w:rsid w:val="00A77735"/>
    <w:rsid w:val="00A778EA"/>
    <w:rsid w:val="00A77CEC"/>
    <w:rsid w:val="00A8010E"/>
    <w:rsid w:val="00A80375"/>
    <w:rsid w:val="00A80A0E"/>
    <w:rsid w:val="00A80CD0"/>
    <w:rsid w:val="00A80DD3"/>
    <w:rsid w:val="00A81091"/>
    <w:rsid w:val="00A81250"/>
    <w:rsid w:val="00A812C0"/>
    <w:rsid w:val="00A8152B"/>
    <w:rsid w:val="00A81629"/>
    <w:rsid w:val="00A8182F"/>
    <w:rsid w:val="00A8186A"/>
    <w:rsid w:val="00A818A2"/>
    <w:rsid w:val="00A8191D"/>
    <w:rsid w:val="00A81B87"/>
    <w:rsid w:val="00A8220B"/>
    <w:rsid w:val="00A8224E"/>
    <w:rsid w:val="00A82454"/>
    <w:rsid w:val="00A82A61"/>
    <w:rsid w:val="00A83083"/>
    <w:rsid w:val="00A83096"/>
    <w:rsid w:val="00A8322A"/>
    <w:rsid w:val="00A83509"/>
    <w:rsid w:val="00A83943"/>
    <w:rsid w:val="00A83B22"/>
    <w:rsid w:val="00A84199"/>
    <w:rsid w:val="00A843F7"/>
    <w:rsid w:val="00A84561"/>
    <w:rsid w:val="00A8467E"/>
    <w:rsid w:val="00A84C1E"/>
    <w:rsid w:val="00A84EE5"/>
    <w:rsid w:val="00A84F58"/>
    <w:rsid w:val="00A84F9B"/>
    <w:rsid w:val="00A852A6"/>
    <w:rsid w:val="00A8551C"/>
    <w:rsid w:val="00A8562B"/>
    <w:rsid w:val="00A85C29"/>
    <w:rsid w:val="00A85F2F"/>
    <w:rsid w:val="00A86213"/>
    <w:rsid w:val="00A86386"/>
    <w:rsid w:val="00A86776"/>
    <w:rsid w:val="00A867A7"/>
    <w:rsid w:val="00A868B2"/>
    <w:rsid w:val="00A8695E"/>
    <w:rsid w:val="00A86A49"/>
    <w:rsid w:val="00A86F06"/>
    <w:rsid w:val="00A87000"/>
    <w:rsid w:val="00A8785C"/>
    <w:rsid w:val="00A9025B"/>
    <w:rsid w:val="00A903E0"/>
    <w:rsid w:val="00A90499"/>
    <w:rsid w:val="00A90C4B"/>
    <w:rsid w:val="00A90CFE"/>
    <w:rsid w:val="00A9116F"/>
    <w:rsid w:val="00A9123A"/>
    <w:rsid w:val="00A9144D"/>
    <w:rsid w:val="00A9157F"/>
    <w:rsid w:val="00A919B9"/>
    <w:rsid w:val="00A91D5F"/>
    <w:rsid w:val="00A91F10"/>
    <w:rsid w:val="00A92564"/>
    <w:rsid w:val="00A92816"/>
    <w:rsid w:val="00A92C01"/>
    <w:rsid w:val="00A92E40"/>
    <w:rsid w:val="00A92FAB"/>
    <w:rsid w:val="00A93315"/>
    <w:rsid w:val="00A93A00"/>
    <w:rsid w:val="00A93C0F"/>
    <w:rsid w:val="00A93CE0"/>
    <w:rsid w:val="00A93D36"/>
    <w:rsid w:val="00A93F6D"/>
    <w:rsid w:val="00A94293"/>
    <w:rsid w:val="00A9443C"/>
    <w:rsid w:val="00A944D0"/>
    <w:rsid w:val="00A944F4"/>
    <w:rsid w:val="00A94652"/>
    <w:rsid w:val="00A94773"/>
    <w:rsid w:val="00A94BFD"/>
    <w:rsid w:val="00A94E82"/>
    <w:rsid w:val="00A95490"/>
    <w:rsid w:val="00A95529"/>
    <w:rsid w:val="00A957F3"/>
    <w:rsid w:val="00A9582B"/>
    <w:rsid w:val="00A95A09"/>
    <w:rsid w:val="00A95D13"/>
    <w:rsid w:val="00A95DEA"/>
    <w:rsid w:val="00A961EB"/>
    <w:rsid w:val="00A962F3"/>
    <w:rsid w:val="00A969C5"/>
    <w:rsid w:val="00A96B46"/>
    <w:rsid w:val="00A96CE9"/>
    <w:rsid w:val="00A96D91"/>
    <w:rsid w:val="00A97032"/>
    <w:rsid w:val="00A9715A"/>
    <w:rsid w:val="00A972C5"/>
    <w:rsid w:val="00A9744D"/>
    <w:rsid w:val="00A97531"/>
    <w:rsid w:val="00A975A2"/>
    <w:rsid w:val="00A975A6"/>
    <w:rsid w:val="00A976D4"/>
    <w:rsid w:val="00A979A5"/>
    <w:rsid w:val="00A97D3E"/>
    <w:rsid w:val="00A97F60"/>
    <w:rsid w:val="00AA0165"/>
    <w:rsid w:val="00AA0235"/>
    <w:rsid w:val="00AA057D"/>
    <w:rsid w:val="00AA06E8"/>
    <w:rsid w:val="00AA0BFA"/>
    <w:rsid w:val="00AA0C89"/>
    <w:rsid w:val="00AA10C3"/>
    <w:rsid w:val="00AA1267"/>
    <w:rsid w:val="00AA1410"/>
    <w:rsid w:val="00AA182C"/>
    <w:rsid w:val="00AA18BA"/>
    <w:rsid w:val="00AA18E3"/>
    <w:rsid w:val="00AA18F8"/>
    <w:rsid w:val="00AA1F2C"/>
    <w:rsid w:val="00AA22B1"/>
    <w:rsid w:val="00AA22F4"/>
    <w:rsid w:val="00AA2407"/>
    <w:rsid w:val="00AA2433"/>
    <w:rsid w:val="00AA27CB"/>
    <w:rsid w:val="00AA2DB4"/>
    <w:rsid w:val="00AA3125"/>
    <w:rsid w:val="00AA32D4"/>
    <w:rsid w:val="00AA331A"/>
    <w:rsid w:val="00AA3466"/>
    <w:rsid w:val="00AA381F"/>
    <w:rsid w:val="00AA3EF6"/>
    <w:rsid w:val="00AA41AA"/>
    <w:rsid w:val="00AA4318"/>
    <w:rsid w:val="00AA43DB"/>
    <w:rsid w:val="00AA4572"/>
    <w:rsid w:val="00AA4609"/>
    <w:rsid w:val="00AA467B"/>
    <w:rsid w:val="00AA489E"/>
    <w:rsid w:val="00AA49E8"/>
    <w:rsid w:val="00AA4A5D"/>
    <w:rsid w:val="00AA4AAF"/>
    <w:rsid w:val="00AA4B72"/>
    <w:rsid w:val="00AA4DD2"/>
    <w:rsid w:val="00AA51D0"/>
    <w:rsid w:val="00AA543C"/>
    <w:rsid w:val="00AA5538"/>
    <w:rsid w:val="00AA57BF"/>
    <w:rsid w:val="00AA5A7B"/>
    <w:rsid w:val="00AA5A80"/>
    <w:rsid w:val="00AA616B"/>
    <w:rsid w:val="00AA6353"/>
    <w:rsid w:val="00AA63B0"/>
    <w:rsid w:val="00AA678B"/>
    <w:rsid w:val="00AA689E"/>
    <w:rsid w:val="00AA692B"/>
    <w:rsid w:val="00AA69D4"/>
    <w:rsid w:val="00AA6AD4"/>
    <w:rsid w:val="00AA6C4B"/>
    <w:rsid w:val="00AA6CD9"/>
    <w:rsid w:val="00AA6D68"/>
    <w:rsid w:val="00AA6DF6"/>
    <w:rsid w:val="00AA7387"/>
    <w:rsid w:val="00AA73F2"/>
    <w:rsid w:val="00AA745E"/>
    <w:rsid w:val="00AA7D4D"/>
    <w:rsid w:val="00AB01D3"/>
    <w:rsid w:val="00AB054F"/>
    <w:rsid w:val="00AB0699"/>
    <w:rsid w:val="00AB073C"/>
    <w:rsid w:val="00AB0772"/>
    <w:rsid w:val="00AB07E0"/>
    <w:rsid w:val="00AB0A3B"/>
    <w:rsid w:val="00AB1078"/>
    <w:rsid w:val="00AB10DD"/>
    <w:rsid w:val="00AB146F"/>
    <w:rsid w:val="00AB15AC"/>
    <w:rsid w:val="00AB1A69"/>
    <w:rsid w:val="00AB1C27"/>
    <w:rsid w:val="00AB1D09"/>
    <w:rsid w:val="00AB1D87"/>
    <w:rsid w:val="00AB1F5C"/>
    <w:rsid w:val="00AB1F79"/>
    <w:rsid w:val="00AB2351"/>
    <w:rsid w:val="00AB2672"/>
    <w:rsid w:val="00AB26B6"/>
    <w:rsid w:val="00AB27F1"/>
    <w:rsid w:val="00AB2A0C"/>
    <w:rsid w:val="00AB2BC3"/>
    <w:rsid w:val="00AB2D12"/>
    <w:rsid w:val="00AB2DB8"/>
    <w:rsid w:val="00AB2E75"/>
    <w:rsid w:val="00AB315E"/>
    <w:rsid w:val="00AB34A2"/>
    <w:rsid w:val="00AB3568"/>
    <w:rsid w:val="00AB356C"/>
    <w:rsid w:val="00AB35B2"/>
    <w:rsid w:val="00AB3849"/>
    <w:rsid w:val="00AB38CE"/>
    <w:rsid w:val="00AB392D"/>
    <w:rsid w:val="00AB3DE6"/>
    <w:rsid w:val="00AB3E1B"/>
    <w:rsid w:val="00AB3EF4"/>
    <w:rsid w:val="00AB44E9"/>
    <w:rsid w:val="00AB45D8"/>
    <w:rsid w:val="00AB46CA"/>
    <w:rsid w:val="00AB4772"/>
    <w:rsid w:val="00AB4C0A"/>
    <w:rsid w:val="00AB4DDC"/>
    <w:rsid w:val="00AB5107"/>
    <w:rsid w:val="00AB5A72"/>
    <w:rsid w:val="00AB5B54"/>
    <w:rsid w:val="00AB5BE8"/>
    <w:rsid w:val="00AB5DC6"/>
    <w:rsid w:val="00AB5ED9"/>
    <w:rsid w:val="00AB5FF6"/>
    <w:rsid w:val="00AB5FF9"/>
    <w:rsid w:val="00AB623F"/>
    <w:rsid w:val="00AB63EB"/>
    <w:rsid w:val="00AB645C"/>
    <w:rsid w:val="00AB6922"/>
    <w:rsid w:val="00AB69FA"/>
    <w:rsid w:val="00AB6A99"/>
    <w:rsid w:val="00AB6D8B"/>
    <w:rsid w:val="00AB6F12"/>
    <w:rsid w:val="00AB6FB8"/>
    <w:rsid w:val="00AB74C2"/>
    <w:rsid w:val="00AC005F"/>
    <w:rsid w:val="00AC008B"/>
    <w:rsid w:val="00AC059A"/>
    <w:rsid w:val="00AC0670"/>
    <w:rsid w:val="00AC08DD"/>
    <w:rsid w:val="00AC09B1"/>
    <w:rsid w:val="00AC09CC"/>
    <w:rsid w:val="00AC0C07"/>
    <w:rsid w:val="00AC0D18"/>
    <w:rsid w:val="00AC0DB9"/>
    <w:rsid w:val="00AC0EA7"/>
    <w:rsid w:val="00AC1329"/>
    <w:rsid w:val="00AC1364"/>
    <w:rsid w:val="00AC167C"/>
    <w:rsid w:val="00AC187A"/>
    <w:rsid w:val="00AC1A06"/>
    <w:rsid w:val="00AC1C6C"/>
    <w:rsid w:val="00AC1CC1"/>
    <w:rsid w:val="00AC211F"/>
    <w:rsid w:val="00AC2367"/>
    <w:rsid w:val="00AC237E"/>
    <w:rsid w:val="00AC24DF"/>
    <w:rsid w:val="00AC2613"/>
    <w:rsid w:val="00AC2A22"/>
    <w:rsid w:val="00AC2A28"/>
    <w:rsid w:val="00AC2D76"/>
    <w:rsid w:val="00AC2F55"/>
    <w:rsid w:val="00AC3119"/>
    <w:rsid w:val="00AC3319"/>
    <w:rsid w:val="00AC348C"/>
    <w:rsid w:val="00AC3706"/>
    <w:rsid w:val="00AC3D29"/>
    <w:rsid w:val="00AC3EC6"/>
    <w:rsid w:val="00AC3FEE"/>
    <w:rsid w:val="00AC46DA"/>
    <w:rsid w:val="00AC4BFF"/>
    <w:rsid w:val="00AC4C5B"/>
    <w:rsid w:val="00AC4C6A"/>
    <w:rsid w:val="00AC5330"/>
    <w:rsid w:val="00AC5359"/>
    <w:rsid w:val="00AC5460"/>
    <w:rsid w:val="00AC5C3B"/>
    <w:rsid w:val="00AC5CBD"/>
    <w:rsid w:val="00AC5D11"/>
    <w:rsid w:val="00AC5FAC"/>
    <w:rsid w:val="00AC62BB"/>
    <w:rsid w:val="00AC63C3"/>
    <w:rsid w:val="00AC6437"/>
    <w:rsid w:val="00AC66FB"/>
    <w:rsid w:val="00AC698C"/>
    <w:rsid w:val="00AC6F66"/>
    <w:rsid w:val="00AC6FD4"/>
    <w:rsid w:val="00AC704B"/>
    <w:rsid w:val="00AC73A2"/>
    <w:rsid w:val="00AC7988"/>
    <w:rsid w:val="00AC7B52"/>
    <w:rsid w:val="00AC7CF1"/>
    <w:rsid w:val="00AD00C4"/>
    <w:rsid w:val="00AD02E1"/>
    <w:rsid w:val="00AD05EF"/>
    <w:rsid w:val="00AD0B66"/>
    <w:rsid w:val="00AD0D97"/>
    <w:rsid w:val="00AD0FD5"/>
    <w:rsid w:val="00AD1444"/>
    <w:rsid w:val="00AD1761"/>
    <w:rsid w:val="00AD18A9"/>
    <w:rsid w:val="00AD18F5"/>
    <w:rsid w:val="00AD1B08"/>
    <w:rsid w:val="00AD1DA8"/>
    <w:rsid w:val="00AD1E83"/>
    <w:rsid w:val="00AD210D"/>
    <w:rsid w:val="00AD21D5"/>
    <w:rsid w:val="00AD25AC"/>
    <w:rsid w:val="00AD2660"/>
    <w:rsid w:val="00AD27F0"/>
    <w:rsid w:val="00AD2ACD"/>
    <w:rsid w:val="00AD2DD5"/>
    <w:rsid w:val="00AD2E8D"/>
    <w:rsid w:val="00AD2EA5"/>
    <w:rsid w:val="00AD2F81"/>
    <w:rsid w:val="00AD30AF"/>
    <w:rsid w:val="00AD30E1"/>
    <w:rsid w:val="00AD36C9"/>
    <w:rsid w:val="00AD3812"/>
    <w:rsid w:val="00AD38A5"/>
    <w:rsid w:val="00AD3B38"/>
    <w:rsid w:val="00AD3DEB"/>
    <w:rsid w:val="00AD4071"/>
    <w:rsid w:val="00AD41EE"/>
    <w:rsid w:val="00AD4334"/>
    <w:rsid w:val="00AD4465"/>
    <w:rsid w:val="00AD4695"/>
    <w:rsid w:val="00AD469F"/>
    <w:rsid w:val="00AD4893"/>
    <w:rsid w:val="00AD4995"/>
    <w:rsid w:val="00AD4B8C"/>
    <w:rsid w:val="00AD4C3D"/>
    <w:rsid w:val="00AD4EC3"/>
    <w:rsid w:val="00AD51E7"/>
    <w:rsid w:val="00AD523A"/>
    <w:rsid w:val="00AD53FC"/>
    <w:rsid w:val="00AD5624"/>
    <w:rsid w:val="00AD5718"/>
    <w:rsid w:val="00AD57B3"/>
    <w:rsid w:val="00AD5812"/>
    <w:rsid w:val="00AD597E"/>
    <w:rsid w:val="00AD5FE0"/>
    <w:rsid w:val="00AD60A5"/>
    <w:rsid w:val="00AD6237"/>
    <w:rsid w:val="00AD6BB6"/>
    <w:rsid w:val="00AD6BE4"/>
    <w:rsid w:val="00AD6CCB"/>
    <w:rsid w:val="00AD6D19"/>
    <w:rsid w:val="00AD707E"/>
    <w:rsid w:val="00AD723F"/>
    <w:rsid w:val="00AD747C"/>
    <w:rsid w:val="00AD75EF"/>
    <w:rsid w:val="00AD7A14"/>
    <w:rsid w:val="00AD7E10"/>
    <w:rsid w:val="00AD7E43"/>
    <w:rsid w:val="00AD7ECD"/>
    <w:rsid w:val="00AE003E"/>
    <w:rsid w:val="00AE05CE"/>
    <w:rsid w:val="00AE0868"/>
    <w:rsid w:val="00AE08EC"/>
    <w:rsid w:val="00AE0B28"/>
    <w:rsid w:val="00AE0F1F"/>
    <w:rsid w:val="00AE1292"/>
    <w:rsid w:val="00AE1B51"/>
    <w:rsid w:val="00AE1C36"/>
    <w:rsid w:val="00AE1C41"/>
    <w:rsid w:val="00AE1DC2"/>
    <w:rsid w:val="00AE1E3C"/>
    <w:rsid w:val="00AE1F38"/>
    <w:rsid w:val="00AE20F3"/>
    <w:rsid w:val="00AE21A1"/>
    <w:rsid w:val="00AE28FF"/>
    <w:rsid w:val="00AE2A9D"/>
    <w:rsid w:val="00AE2ACC"/>
    <w:rsid w:val="00AE2B1D"/>
    <w:rsid w:val="00AE2C80"/>
    <w:rsid w:val="00AE2CDA"/>
    <w:rsid w:val="00AE2E1D"/>
    <w:rsid w:val="00AE32C1"/>
    <w:rsid w:val="00AE32F6"/>
    <w:rsid w:val="00AE3350"/>
    <w:rsid w:val="00AE33B3"/>
    <w:rsid w:val="00AE37B3"/>
    <w:rsid w:val="00AE3895"/>
    <w:rsid w:val="00AE3968"/>
    <w:rsid w:val="00AE3DAA"/>
    <w:rsid w:val="00AE401A"/>
    <w:rsid w:val="00AE4070"/>
    <w:rsid w:val="00AE415B"/>
    <w:rsid w:val="00AE41C4"/>
    <w:rsid w:val="00AE46C3"/>
    <w:rsid w:val="00AE47CA"/>
    <w:rsid w:val="00AE47EF"/>
    <w:rsid w:val="00AE4C12"/>
    <w:rsid w:val="00AE4C27"/>
    <w:rsid w:val="00AE4F75"/>
    <w:rsid w:val="00AE4FA5"/>
    <w:rsid w:val="00AE51CA"/>
    <w:rsid w:val="00AE5283"/>
    <w:rsid w:val="00AE5325"/>
    <w:rsid w:val="00AE5A15"/>
    <w:rsid w:val="00AE5A42"/>
    <w:rsid w:val="00AE5C4E"/>
    <w:rsid w:val="00AE617F"/>
    <w:rsid w:val="00AE62C8"/>
    <w:rsid w:val="00AE6418"/>
    <w:rsid w:val="00AE6685"/>
    <w:rsid w:val="00AE68A0"/>
    <w:rsid w:val="00AE6D4A"/>
    <w:rsid w:val="00AE7730"/>
    <w:rsid w:val="00AE7745"/>
    <w:rsid w:val="00AE7A93"/>
    <w:rsid w:val="00AE7C57"/>
    <w:rsid w:val="00AE7CD9"/>
    <w:rsid w:val="00AE7E06"/>
    <w:rsid w:val="00AE7F57"/>
    <w:rsid w:val="00AF00F8"/>
    <w:rsid w:val="00AF01E0"/>
    <w:rsid w:val="00AF0431"/>
    <w:rsid w:val="00AF0516"/>
    <w:rsid w:val="00AF05E2"/>
    <w:rsid w:val="00AF0763"/>
    <w:rsid w:val="00AF0AC6"/>
    <w:rsid w:val="00AF100E"/>
    <w:rsid w:val="00AF1068"/>
    <w:rsid w:val="00AF1720"/>
    <w:rsid w:val="00AF19AA"/>
    <w:rsid w:val="00AF1CB1"/>
    <w:rsid w:val="00AF1D4C"/>
    <w:rsid w:val="00AF1E0F"/>
    <w:rsid w:val="00AF1F07"/>
    <w:rsid w:val="00AF218F"/>
    <w:rsid w:val="00AF229C"/>
    <w:rsid w:val="00AF25D8"/>
    <w:rsid w:val="00AF268A"/>
    <w:rsid w:val="00AF26BB"/>
    <w:rsid w:val="00AF292A"/>
    <w:rsid w:val="00AF29D3"/>
    <w:rsid w:val="00AF2A72"/>
    <w:rsid w:val="00AF2DAA"/>
    <w:rsid w:val="00AF2DC6"/>
    <w:rsid w:val="00AF2F68"/>
    <w:rsid w:val="00AF3163"/>
    <w:rsid w:val="00AF33BE"/>
    <w:rsid w:val="00AF3405"/>
    <w:rsid w:val="00AF3533"/>
    <w:rsid w:val="00AF35DB"/>
    <w:rsid w:val="00AF3612"/>
    <w:rsid w:val="00AF3C35"/>
    <w:rsid w:val="00AF3DD9"/>
    <w:rsid w:val="00AF3DFB"/>
    <w:rsid w:val="00AF3E60"/>
    <w:rsid w:val="00AF41FB"/>
    <w:rsid w:val="00AF4205"/>
    <w:rsid w:val="00AF454B"/>
    <w:rsid w:val="00AF45B8"/>
    <w:rsid w:val="00AF46D2"/>
    <w:rsid w:val="00AF500A"/>
    <w:rsid w:val="00AF51C2"/>
    <w:rsid w:val="00AF555E"/>
    <w:rsid w:val="00AF56EA"/>
    <w:rsid w:val="00AF59A2"/>
    <w:rsid w:val="00AF5AF6"/>
    <w:rsid w:val="00AF5D53"/>
    <w:rsid w:val="00AF5D69"/>
    <w:rsid w:val="00AF5D7F"/>
    <w:rsid w:val="00AF5DF4"/>
    <w:rsid w:val="00AF5F01"/>
    <w:rsid w:val="00AF5F60"/>
    <w:rsid w:val="00AF5FC9"/>
    <w:rsid w:val="00AF631C"/>
    <w:rsid w:val="00AF6727"/>
    <w:rsid w:val="00AF688D"/>
    <w:rsid w:val="00AF689B"/>
    <w:rsid w:val="00AF692F"/>
    <w:rsid w:val="00AF6AAF"/>
    <w:rsid w:val="00AF6B77"/>
    <w:rsid w:val="00AF6CF0"/>
    <w:rsid w:val="00AF6E01"/>
    <w:rsid w:val="00AF7059"/>
    <w:rsid w:val="00AF70BD"/>
    <w:rsid w:val="00AF70DC"/>
    <w:rsid w:val="00AF7239"/>
    <w:rsid w:val="00AF748B"/>
    <w:rsid w:val="00AF74A5"/>
    <w:rsid w:val="00AF75E1"/>
    <w:rsid w:val="00AF7847"/>
    <w:rsid w:val="00AF79B8"/>
    <w:rsid w:val="00AF7A03"/>
    <w:rsid w:val="00AF7E25"/>
    <w:rsid w:val="00AF7E98"/>
    <w:rsid w:val="00AF7FCA"/>
    <w:rsid w:val="00B0014A"/>
    <w:rsid w:val="00B004D0"/>
    <w:rsid w:val="00B006B2"/>
    <w:rsid w:val="00B00710"/>
    <w:rsid w:val="00B00DF7"/>
    <w:rsid w:val="00B00EBC"/>
    <w:rsid w:val="00B00FA8"/>
    <w:rsid w:val="00B01259"/>
    <w:rsid w:val="00B014C2"/>
    <w:rsid w:val="00B014E2"/>
    <w:rsid w:val="00B0161A"/>
    <w:rsid w:val="00B0162D"/>
    <w:rsid w:val="00B01A1F"/>
    <w:rsid w:val="00B01C2F"/>
    <w:rsid w:val="00B01DDB"/>
    <w:rsid w:val="00B01DE4"/>
    <w:rsid w:val="00B02109"/>
    <w:rsid w:val="00B02225"/>
    <w:rsid w:val="00B022BB"/>
    <w:rsid w:val="00B027B4"/>
    <w:rsid w:val="00B02975"/>
    <w:rsid w:val="00B02B15"/>
    <w:rsid w:val="00B02C48"/>
    <w:rsid w:val="00B02C97"/>
    <w:rsid w:val="00B02D97"/>
    <w:rsid w:val="00B0300A"/>
    <w:rsid w:val="00B0313C"/>
    <w:rsid w:val="00B031B9"/>
    <w:rsid w:val="00B03225"/>
    <w:rsid w:val="00B0326B"/>
    <w:rsid w:val="00B032F1"/>
    <w:rsid w:val="00B03318"/>
    <w:rsid w:val="00B03662"/>
    <w:rsid w:val="00B03815"/>
    <w:rsid w:val="00B03820"/>
    <w:rsid w:val="00B03866"/>
    <w:rsid w:val="00B03915"/>
    <w:rsid w:val="00B03A4C"/>
    <w:rsid w:val="00B03A66"/>
    <w:rsid w:val="00B03C2F"/>
    <w:rsid w:val="00B03DF5"/>
    <w:rsid w:val="00B040A5"/>
    <w:rsid w:val="00B042CE"/>
    <w:rsid w:val="00B0444A"/>
    <w:rsid w:val="00B045C8"/>
    <w:rsid w:val="00B04941"/>
    <w:rsid w:val="00B0505B"/>
    <w:rsid w:val="00B051B8"/>
    <w:rsid w:val="00B05480"/>
    <w:rsid w:val="00B0564E"/>
    <w:rsid w:val="00B057B6"/>
    <w:rsid w:val="00B059B7"/>
    <w:rsid w:val="00B05A63"/>
    <w:rsid w:val="00B05FFC"/>
    <w:rsid w:val="00B06077"/>
    <w:rsid w:val="00B062CE"/>
    <w:rsid w:val="00B063CB"/>
    <w:rsid w:val="00B0645C"/>
    <w:rsid w:val="00B064C5"/>
    <w:rsid w:val="00B065EC"/>
    <w:rsid w:val="00B066DE"/>
    <w:rsid w:val="00B06AAA"/>
    <w:rsid w:val="00B06E2B"/>
    <w:rsid w:val="00B06EAF"/>
    <w:rsid w:val="00B06FFE"/>
    <w:rsid w:val="00B07664"/>
    <w:rsid w:val="00B076C8"/>
    <w:rsid w:val="00B07C58"/>
    <w:rsid w:val="00B07C9D"/>
    <w:rsid w:val="00B07EE5"/>
    <w:rsid w:val="00B07F16"/>
    <w:rsid w:val="00B10801"/>
    <w:rsid w:val="00B108D4"/>
    <w:rsid w:val="00B10A00"/>
    <w:rsid w:val="00B10CA8"/>
    <w:rsid w:val="00B10E31"/>
    <w:rsid w:val="00B10F01"/>
    <w:rsid w:val="00B10F31"/>
    <w:rsid w:val="00B11515"/>
    <w:rsid w:val="00B118AC"/>
    <w:rsid w:val="00B118C8"/>
    <w:rsid w:val="00B11B1E"/>
    <w:rsid w:val="00B12193"/>
    <w:rsid w:val="00B12236"/>
    <w:rsid w:val="00B12240"/>
    <w:rsid w:val="00B12357"/>
    <w:rsid w:val="00B1258E"/>
    <w:rsid w:val="00B1273E"/>
    <w:rsid w:val="00B12795"/>
    <w:rsid w:val="00B127CA"/>
    <w:rsid w:val="00B12816"/>
    <w:rsid w:val="00B1290E"/>
    <w:rsid w:val="00B12CAD"/>
    <w:rsid w:val="00B12D75"/>
    <w:rsid w:val="00B1306E"/>
    <w:rsid w:val="00B130AB"/>
    <w:rsid w:val="00B130FA"/>
    <w:rsid w:val="00B1317F"/>
    <w:rsid w:val="00B132C6"/>
    <w:rsid w:val="00B13368"/>
    <w:rsid w:val="00B133E0"/>
    <w:rsid w:val="00B135A8"/>
    <w:rsid w:val="00B135E7"/>
    <w:rsid w:val="00B13779"/>
    <w:rsid w:val="00B13783"/>
    <w:rsid w:val="00B137D1"/>
    <w:rsid w:val="00B139BF"/>
    <w:rsid w:val="00B13A27"/>
    <w:rsid w:val="00B13ADE"/>
    <w:rsid w:val="00B13DB0"/>
    <w:rsid w:val="00B13E5C"/>
    <w:rsid w:val="00B13EF7"/>
    <w:rsid w:val="00B14085"/>
    <w:rsid w:val="00B141D3"/>
    <w:rsid w:val="00B1426A"/>
    <w:rsid w:val="00B1432F"/>
    <w:rsid w:val="00B14952"/>
    <w:rsid w:val="00B14B4E"/>
    <w:rsid w:val="00B14CAD"/>
    <w:rsid w:val="00B14CDE"/>
    <w:rsid w:val="00B14F26"/>
    <w:rsid w:val="00B15107"/>
    <w:rsid w:val="00B151A5"/>
    <w:rsid w:val="00B1528B"/>
    <w:rsid w:val="00B15411"/>
    <w:rsid w:val="00B15636"/>
    <w:rsid w:val="00B15681"/>
    <w:rsid w:val="00B159FE"/>
    <w:rsid w:val="00B15C92"/>
    <w:rsid w:val="00B15CBB"/>
    <w:rsid w:val="00B15D57"/>
    <w:rsid w:val="00B15DC0"/>
    <w:rsid w:val="00B15DD5"/>
    <w:rsid w:val="00B16303"/>
    <w:rsid w:val="00B1644D"/>
    <w:rsid w:val="00B1652B"/>
    <w:rsid w:val="00B16687"/>
    <w:rsid w:val="00B16B39"/>
    <w:rsid w:val="00B16C32"/>
    <w:rsid w:val="00B16E33"/>
    <w:rsid w:val="00B1725A"/>
    <w:rsid w:val="00B1732B"/>
    <w:rsid w:val="00B1741F"/>
    <w:rsid w:val="00B17867"/>
    <w:rsid w:val="00B17A61"/>
    <w:rsid w:val="00B17DC6"/>
    <w:rsid w:val="00B17DF4"/>
    <w:rsid w:val="00B17EF3"/>
    <w:rsid w:val="00B20382"/>
    <w:rsid w:val="00B2053E"/>
    <w:rsid w:val="00B2077B"/>
    <w:rsid w:val="00B20A23"/>
    <w:rsid w:val="00B20B64"/>
    <w:rsid w:val="00B20C27"/>
    <w:rsid w:val="00B20E90"/>
    <w:rsid w:val="00B20FD7"/>
    <w:rsid w:val="00B20FDA"/>
    <w:rsid w:val="00B2127C"/>
    <w:rsid w:val="00B2133D"/>
    <w:rsid w:val="00B21CA9"/>
    <w:rsid w:val="00B21D6A"/>
    <w:rsid w:val="00B21E47"/>
    <w:rsid w:val="00B21F83"/>
    <w:rsid w:val="00B222DE"/>
    <w:rsid w:val="00B223D7"/>
    <w:rsid w:val="00B2257F"/>
    <w:rsid w:val="00B22846"/>
    <w:rsid w:val="00B228A2"/>
    <w:rsid w:val="00B228B5"/>
    <w:rsid w:val="00B22942"/>
    <w:rsid w:val="00B22AC1"/>
    <w:rsid w:val="00B22B5B"/>
    <w:rsid w:val="00B2313A"/>
    <w:rsid w:val="00B2327F"/>
    <w:rsid w:val="00B2339C"/>
    <w:rsid w:val="00B2373D"/>
    <w:rsid w:val="00B2393E"/>
    <w:rsid w:val="00B239F0"/>
    <w:rsid w:val="00B23C33"/>
    <w:rsid w:val="00B23E89"/>
    <w:rsid w:val="00B240CE"/>
    <w:rsid w:val="00B2430F"/>
    <w:rsid w:val="00B243F1"/>
    <w:rsid w:val="00B244ED"/>
    <w:rsid w:val="00B2460E"/>
    <w:rsid w:val="00B246D3"/>
    <w:rsid w:val="00B247DE"/>
    <w:rsid w:val="00B24A8E"/>
    <w:rsid w:val="00B24C66"/>
    <w:rsid w:val="00B2516C"/>
    <w:rsid w:val="00B251D9"/>
    <w:rsid w:val="00B254FD"/>
    <w:rsid w:val="00B25869"/>
    <w:rsid w:val="00B262D9"/>
    <w:rsid w:val="00B264A7"/>
    <w:rsid w:val="00B2682C"/>
    <w:rsid w:val="00B26A25"/>
    <w:rsid w:val="00B26B45"/>
    <w:rsid w:val="00B26C42"/>
    <w:rsid w:val="00B27283"/>
    <w:rsid w:val="00B2782E"/>
    <w:rsid w:val="00B279E5"/>
    <w:rsid w:val="00B27A1B"/>
    <w:rsid w:val="00B27EC3"/>
    <w:rsid w:val="00B300C7"/>
    <w:rsid w:val="00B300DE"/>
    <w:rsid w:val="00B305C9"/>
    <w:rsid w:val="00B3064D"/>
    <w:rsid w:val="00B30994"/>
    <w:rsid w:val="00B309D1"/>
    <w:rsid w:val="00B30A92"/>
    <w:rsid w:val="00B30BAF"/>
    <w:rsid w:val="00B30FEB"/>
    <w:rsid w:val="00B31198"/>
    <w:rsid w:val="00B31829"/>
    <w:rsid w:val="00B31962"/>
    <w:rsid w:val="00B31A89"/>
    <w:rsid w:val="00B31D78"/>
    <w:rsid w:val="00B325B4"/>
    <w:rsid w:val="00B326B7"/>
    <w:rsid w:val="00B326F5"/>
    <w:rsid w:val="00B327B8"/>
    <w:rsid w:val="00B32C2A"/>
    <w:rsid w:val="00B33530"/>
    <w:rsid w:val="00B3378B"/>
    <w:rsid w:val="00B337B0"/>
    <w:rsid w:val="00B3390C"/>
    <w:rsid w:val="00B33CD1"/>
    <w:rsid w:val="00B33D70"/>
    <w:rsid w:val="00B33E36"/>
    <w:rsid w:val="00B33EB4"/>
    <w:rsid w:val="00B34202"/>
    <w:rsid w:val="00B344F7"/>
    <w:rsid w:val="00B346A7"/>
    <w:rsid w:val="00B34B81"/>
    <w:rsid w:val="00B34CDA"/>
    <w:rsid w:val="00B34D45"/>
    <w:rsid w:val="00B35167"/>
    <w:rsid w:val="00B355BF"/>
    <w:rsid w:val="00B35896"/>
    <w:rsid w:val="00B35D1A"/>
    <w:rsid w:val="00B3614F"/>
    <w:rsid w:val="00B366C7"/>
    <w:rsid w:val="00B367A5"/>
    <w:rsid w:val="00B36836"/>
    <w:rsid w:val="00B36C8D"/>
    <w:rsid w:val="00B36D1F"/>
    <w:rsid w:val="00B36D93"/>
    <w:rsid w:val="00B3728E"/>
    <w:rsid w:val="00B3729A"/>
    <w:rsid w:val="00B3731D"/>
    <w:rsid w:val="00B37789"/>
    <w:rsid w:val="00B37C4F"/>
    <w:rsid w:val="00B37D2B"/>
    <w:rsid w:val="00B37D68"/>
    <w:rsid w:val="00B4022A"/>
    <w:rsid w:val="00B402B7"/>
    <w:rsid w:val="00B402CD"/>
    <w:rsid w:val="00B4031D"/>
    <w:rsid w:val="00B40505"/>
    <w:rsid w:val="00B40583"/>
    <w:rsid w:val="00B405BC"/>
    <w:rsid w:val="00B406AE"/>
    <w:rsid w:val="00B4070B"/>
    <w:rsid w:val="00B40A88"/>
    <w:rsid w:val="00B40C7C"/>
    <w:rsid w:val="00B40F5C"/>
    <w:rsid w:val="00B410C0"/>
    <w:rsid w:val="00B417AB"/>
    <w:rsid w:val="00B4185E"/>
    <w:rsid w:val="00B41BA8"/>
    <w:rsid w:val="00B41DFB"/>
    <w:rsid w:val="00B41F47"/>
    <w:rsid w:val="00B41FBB"/>
    <w:rsid w:val="00B42018"/>
    <w:rsid w:val="00B4205C"/>
    <w:rsid w:val="00B42370"/>
    <w:rsid w:val="00B423E0"/>
    <w:rsid w:val="00B42589"/>
    <w:rsid w:val="00B42882"/>
    <w:rsid w:val="00B428DC"/>
    <w:rsid w:val="00B43230"/>
    <w:rsid w:val="00B432E7"/>
    <w:rsid w:val="00B43310"/>
    <w:rsid w:val="00B43588"/>
    <w:rsid w:val="00B4359A"/>
    <w:rsid w:val="00B43798"/>
    <w:rsid w:val="00B44117"/>
    <w:rsid w:val="00B443B0"/>
    <w:rsid w:val="00B4489B"/>
    <w:rsid w:val="00B44A1E"/>
    <w:rsid w:val="00B44A26"/>
    <w:rsid w:val="00B44BBD"/>
    <w:rsid w:val="00B44C52"/>
    <w:rsid w:val="00B44D57"/>
    <w:rsid w:val="00B45177"/>
    <w:rsid w:val="00B4543E"/>
    <w:rsid w:val="00B456C9"/>
    <w:rsid w:val="00B457E9"/>
    <w:rsid w:val="00B45873"/>
    <w:rsid w:val="00B45948"/>
    <w:rsid w:val="00B45BFA"/>
    <w:rsid w:val="00B45C02"/>
    <w:rsid w:val="00B45CB8"/>
    <w:rsid w:val="00B45E10"/>
    <w:rsid w:val="00B45E13"/>
    <w:rsid w:val="00B45F6C"/>
    <w:rsid w:val="00B46119"/>
    <w:rsid w:val="00B462E7"/>
    <w:rsid w:val="00B46ABD"/>
    <w:rsid w:val="00B46DD9"/>
    <w:rsid w:val="00B46FFF"/>
    <w:rsid w:val="00B4704B"/>
    <w:rsid w:val="00B47064"/>
    <w:rsid w:val="00B47237"/>
    <w:rsid w:val="00B47388"/>
    <w:rsid w:val="00B47650"/>
    <w:rsid w:val="00B477AF"/>
    <w:rsid w:val="00B47856"/>
    <w:rsid w:val="00B47A1C"/>
    <w:rsid w:val="00B47DFE"/>
    <w:rsid w:val="00B47E1E"/>
    <w:rsid w:val="00B47EEE"/>
    <w:rsid w:val="00B50245"/>
    <w:rsid w:val="00B502DF"/>
    <w:rsid w:val="00B506FB"/>
    <w:rsid w:val="00B5071D"/>
    <w:rsid w:val="00B50AD4"/>
    <w:rsid w:val="00B50C47"/>
    <w:rsid w:val="00B50D60"/>
    <w:rsid w:val="00B50EDF"/>
    <w:rsid w:val="00B50FFB"/>
    <w:rsid w:val="00B510DE"/>
    <w:rsid w:val="00B51463"/>
    <w:rsid w:val="00B515AC"/>
    <w:rsid w:val="00B51681"/>
    <w:rsid w:val="00B5181F"/>
    <w:rsid w:val="00B51A93"/>
    <w:rsid w:val="00B51D2B"/>
    <w:rsid w:val="00B528B6"/>
    <w:rsid w:val="00B52AD1"/>
    <w:rsid w:val="00B52B58"/>
    <w:rsid w:val="00B52C83"/>
    <w:rsid w:val="00B52F2F"/>
    <w:rsid w:val="00B532F2"/>
    <w:rsid w:val="00B536A7"/>
    <w:rsid w:val="00B53AAD"/>
    <w:rsid w:val="00B53E20"/>
    <w:rsid w:val="00B53F47"/>
    <w:rsid w:val="00B53F97"/>
    <w:rsid w:val="00B5416A"/>
    <w:rsid w:val="00B545AB"/>
    <w:rsid w:val="00B549F8"/>
    <w:rsid w:val="00B55065"/>
    <w:rsid w:val="00B550D2"/>
    <w:rsid w:val="00B551E1"/>
    <w:rsid w:val="00B555C5"/>
    <w:rsid w:val="00B55767"/>
    <w:rsid w:val="00B557D2"/>
    <w:rsid w:val="00B558EC"/>
    <w:rsid w:val="00B55E55"/>
    <w:rsid w:val="00B56197"/>
    <w:rsid w:val="00B56471"/>
    <w:rsid w:val="00B566D8"/>
    <w:rsid w:val="00B5718B"/>
    <w:rsid w:val="00B57A60"/>
    <w:rsid w:val="00B57AA9"/>
    <w:rsid w:val="00B57AB7"/>
    <w:rsid w:val="00B57DAF"/>
    <w:rsid w:val="00B6006A"/>
    <w:rsid w:val="00B600E6"/>
    <w:rsid w:val="00B601D9"/>
    <w:rsid w:val="00B60221"/>
    <w:rsid w:val="00B602EA"/>
    <w:rsid w:val="00B6032D"/>
    <w:rsid w:val="00B60364"/>
    <w:rsid w:val="00B60455"/>
    <w:rsid w:val="00B60745"/>
    <w:rsid w:val="00B6083D"/>
    <w:rsid w:val="00B60A77"/>
    <w:rsid w:val="00B60B3F"/>
    <w:rsid w:val="00B60F3C"/>
    <w:rsid w:val="00B6151D"/>
    <w:rsid w:val="00B61810"/>
    <w:rsid w:val="00B6190B"/>
    <w:rsid w:val="00B61EA7"/>
    <w:rsid w:val="00B6258A"/>
    <w:rsid w:val="00B63A21"/>
    <w:rsid w:val="00B63ECB"/>
    <w:rsid w:val="00B63F25"/>
    <w:rsid w:val="00B64210"/>
    <w:rsid w:val="00B64225"/>
    <w:rsid w:val="00B646DA"/>
    <w:rsid w:val="00B64B53"/>
    <w:rsid w:val="00B64D4F"/>
    <w:rsid w:val="00B64FE2"/>
    <w:rsid w:val="00B65160"/>
    <w:rsid w:val="00B65359"/>
    <w:rsid w:val="00B6541B"/>
    <w:rsid w:val="00B6547A"/>
    <w:rsid w:val="00B654A4"/>
    <w:rsid w:val="00B65684"/>
    <w:rsid w:val="00B658F4"/>
    <w:rsid w:val="00B65B6E"/>
    <w:rsid w:val="00B65D96"/>
    <w:rsid w:val="00B65F81"/>
    <w:rsid w:val="00B66060"/>
    <w:rsid w:val="00B660D2"/>
    <w:rsid w:val="00B662E1"/>
    <w:rsid w:val="00B663EC"/>
    <w:rsid w:val="00B6662F"/>
    <w:rsid w:val="00B668E0"/>
    <w:rsid w:val="00B66A3E"/>
    <w:rsid w:val="00B66A7D"/>
    <w:rsid w:val="00B66C9D"/>
    <w:rsid w:val="00B66DDB"/>
    <w:rsid w:val="00B66E6C"/>
    <w:rsid w:val="00B66E91"/>
    <w:rsid w:val="00B673E7"/>
    <w:rsid w:val="00B675D1"/>
    <w:rsid w:val="00B67637"/>
    <w:rsid w:val="00B67B17"/>
    <w:rsid w:val="00B67B29"/>
    <w:rsid w:val="00B67E9E"/>
    <w:rsid w:val="00B67F28"/>
    <w:rsid w:val="00B67FDC"/>
    <w:rsid w:val="00B702FD"/>
    <w:rsid w:val="00B706CC"/>
    <w:rsid w:val="00B708FB"/>
    <w:rsid w:val="00B7090A"/>
    <w:rsid w:val="00B709FA"/>
    <w:rsid w:val="00B70FCF"/>
    <w:rsid w:val="00B710E1"/>
    <w:rsid w:val="00B712B8"/>
    <w:rsid w:val="00B7134A"/>
    <w:rsid w:val="00B7151F"/>
    <w:rsid w:val="00B71527"/>
    <w:rsid w:val="00B71C75"/>
    <w:rsid w:val="00B71CB7"/>
    <w:rsid w:val="00B71CFC"/>
    <w:rsid w:val="00B71F52"/>
    <w:rsid w:val="00B7229C"/>
    <w:rsid w:val="00B7256E"/>
    <w:rsid w:val="00B728D3"/>
    <w:rsid w:val="00B72A40"/>
    <w:rsid w:val="00B72C03"/>
    <w:rsid w:val="00B72C18"/>
    <w:rsid w:val="00B72CE0"/>
    <w:rsid w:val="00B72E10"/>
    <w:rsid w:val="00B72F0B"/>
    <w:rsid w:val="00B73469"/>
    <w:rsid w:val="00B73771"/>
    <w:rsid w:val="00B737E8"/>
    <w:rsid w:val="00B73A3B"/>
    <w:rsid w:val="00B73B8C"/>
    <w:rsid w:val="00B73F04"/>
    <w:rsid w:val="00B7405C"/>
    <w:rsid w:val="00B74061"/>
    <w:rsid w:val="00B740E7"/>
    <w:rsid w:val="00B74148"/>
    <w:rsid w:val="00B7418C"/>
    <w:rsid w:val="00B74214"/>
    <w:rsid w:val="00B743FA"/>
    <w:rsid w:val="00B74444"/>
    <w:rsid w:val="00B74538"/>
    <w:rsid w:val="00B74B26"/>
    <w:rsid w:val="00B74B37"/>
    <w:rsid w:val="00B74C30"/>
    <w:rsid w:val="00B7508A"/>
    <w:rsid w:val="00B75140"/>
    <w:rsid w:val="00B7516B"/>
    <w:rsid w:val="00B754A0"/>
    <w:rsid w:val="00B75B8C"/>
    <w:rsid w:val="00B75DBC"/>
    <w:rsid w:val="00B7608B"/>
    <w:rsid w:val="00B760F6"/>
    <w:rsid w:val="00B763E0"/>
    <w:rsid w:val="00B76511"/>
    <w:rsid w:val="00B7662A"/>
    <w:rsid w:val="00B76D69"/>
    <w:rsid w:val="00B77151"/>
    <w:rsid w:val="00B77358"/>
    <w:rsid w:val="00B7774E"/>
    <w:rsid w:val="00B8006B"/>
    <w:rsid w:val="00B80100"/>
    <w:rsid w:val="00B8016D"/>
    <w:rsid w:val="00B802EA"/>
    <w:rsid w:val="00B80391"/>
    <w:rsid w:val="00B80401"/>
    <w:rsid w:val="00B80515"/>
    <w:rsid w:val="00B805BD"/>
    <w:rsid w:val="00B80763"/>
    <w:rsid w:val="00B807E9"/>
    <w:rsid w:val="00B80854"/>
    <w:rsid w:val="00B80B5A"/>
    <w:rsid w:val="00B80DA2"/>
    <w:rsid w:val="00B81077"/>
    <w:rsid w:val="00B81119"/>
    <w:rsid w:val="00B814B9"/>
    <w:rsid w:val="00B8193F"/>
    <w:rsid w:val="00B81C67"/>
    <w:rsid w:val="00B82196"/>
    <w:rsid w:val="00B82199"/>
    <w:rsid w:val="00B826B9"/>
    <w:rsid w:val="00B827CD"/>
    <w:rsid w:val="00B829E3"/>
    <w:rsid w:val="00B82CA6"/>
    <w:rsid w:val="00B82FFE"/>
    <w:rsid w:val="00B83356"/>
    <w:rsid w:val="00B835A2"/>
    <w:rsid w:val="00B8387E"/>
    <w:rsid w:val="00B83AA3"/>
    <w:rsid w:val="00B83BFF"/>
    <w:rsid w:val="00B83DA5"/>
    <w:rsid w:val="00B83E67"/>
    <w:rsid w:val="00B84039"/>
    <w:rsid w:val="00B84283"/>
    <w:rsid w:val="00B84BD1"/>
    <w:rsid w:val="00B84BF8"/>
    <w:rsid w:val="00B84C8B"/>
    <w:rsid w:val="00B85042"/>
    <w:rsid w:val="00B85283"/>
    <w:rsid w:val="00B852AC"/>
    <w:rsid w:val="00B8561F"/>
    <w:rsid w:val="00B85867"/>
    <w:rsid w:val="00B85C89"/>
    <w:rsid w:val="00B864A4"/>
    <w:rsid w:val="00B86B90"/>
    <w:rsid w:val="00B8704E"/>
    <w:rsid w:val="00B87261"/>
    <w:rsid w:val="00B87357"/>
    <w:rsid w:val="00B875D2"/>
    <w:rsid w:val="00B875E1"/>
    <w:rsid w:val="00B878B0"/>
    <w:rsid w:val="00B87B24"/>
    <w:rsid w:val="00B87BEA"/>
    <w:rsid w:val="00B87C38"/>
    <w:rsid w:val="00B87CFA"/>
    <w:rsid w:val="00B87DA9"/>
    <w:rsid w:val="00B87DD4"/>
    <w:rsid w:val="00B90233"/>
    <w:rsid w:val="00B90535"/>
    <w:rsid w:val="00B90760"/>
    <w:rsid w:val="00B90761"/>
    <w:rsid w:val="00B90767"/>
    <w:rsid w:val="00B908B1"/>
    <w:rsid w:val="00B90A88"/>
    <w:rsid w:val="00B90B4D"/>
    <w:rsid w:val="00B90CE2"/>
    <w:rsid w:val="00B90EBC"/>
    <w:rsid w:val="00B910F4"/>
    <w:rsid w:val="00B91102"/>
    <w:rsid w:val="00B911FE"/>
    <w:rsid w:val="00B912EC"/>
    <w:rsid w:val="00B9162B"/>
    <w:rsid w:val="00B9176B"/>
    <w:rsid w:val="00B91B28"/>
    <w:rsid w:val="00B91C47"/>
    <w:rsid w:val="00B91E26"/>
    <w:rsid w:val="00B91EAF"/>
    <w:rsid w:val="00B920C7"/>
    <w:rsid w:val="00B92890"/>
    <w:rsid w:val="00B929D1"/>
    <w:rsid w:val="00B92CA4"/>
    <w:rsid w:val="00B92CAC"/>
    <w:rsid w:val="00B931D5"/>
    <w:rsid w:val="00B931EE"/>
    <w:rsid w:val="00B93761"/>
    <w:rsid w:val="00B938D9"/>
    <w:rsid w:val="00B93923"/>
    <w:rsid w:val="00B93FB8"/>
    <w:rsid w:val="00B9409B"/>
    <w:rsid w:val="00B940A7"/>
    <w:rsid w:val="00B94190"/>
    <w:rsid w:val="00B9429A"/>
    <w:rsid w:val="00B944EC"/>
    <w:rsid w:val="00B94603"/>
    <w:rsid w:val="00B94A91"/>
    <w:rsid w:val="00B94BD7"/>
    <w:rsid w:val="00B94C65"/>
    <w:rsid w:val="00B94D7C"/>
    <w:rsid w:val="00B94EEF"/>
    <w:rsid w:val="00B95C64"/>
    <w:rsid w:val="00B961C8"/>
    <w:rsid w:val="00B961F8"/>
    <w:rsid w:val="00B9630F"/>
    <w:rsid w:val="00B96439"/>
    <w:rsid w:val="00B96640"/>
    <w:rsid w:val="00B967F6"/>
    <w:rsid w:val="00B97155"/>
    <w:rsid w:val="00B973D2"/>
    <w:rsid w:val="00B973FD"/>
    <w:rsid w:val="00B976E8"/>
    <w:rsid w:val="00B97AFF"/>
    <w:rsid w:val="00B97D96"/>
    <w:rsid w:val="00BA01A1"/>
    <w:rsid w:val="00BA0250"/>
    <w:rsid w:val="00BA0263"/>
    <w:rsid w:val="00BA08D5"/>
    <w:rsid w:val="00BA0E05"/>
    <w:rsid w:val="00BA0E7A"/>
    <w:rsid w:val="00BA117F"/>
    <w:rsid w:val="00BA13B9"/>
    <w:rsid w:val="00BA15B4"/>
    <w:rsid w:val="00BA15EC"/>
    <w:rsid w:val="00BA162D"/>
    <w:rsid w:val="00BA1B07"/>
    <w:rsid w:val="00BA1B57"/>
    <w:rsid w:val="00BA1C32"/>
    <w:rsid w:val="00BA1F86"/>
    <w:rsid w:val="00BA2082"/>
    <w:rsid w:val="00BA2166"/>
    <w:rsid w:val="00BA23E6"/>
    <w:rsid w:val="00BA2406"/>
    <w:rsid w:val="00BA2774"/>
    <w:rsid w:val="00BA27A9"/>
    <w:rsid w:val="00BA2CE3"/>
    <w:rsid w:val="00BA2E93"/>
    <w:rsid w:val="00BA30F6"/>
    <w:rsid w:val="00BA32B8"/>
    <w:rsid w:val="00BA332A"/>
    <w:rsid w:val="00BA33F5"/>
    <w:rsid w:val="00BA346F"/>
    <w:rsid w:val="00BA3522"/>
    <w:rsid w:val="00BA3636"/>
    <w:rsid w:val="00BA3DA5"/>
    <w:rsid w:val="00BA4654"/>
    <w:rsid w:val="00BA491C"/>
    <w:rsid w:val="00BA4945"/>
    <w:rsid w:val="00BA49C2"/>
    <w:rsid w:val="00BA4AAD"/>
    <w:rsid w:val="00BA4FBD"/>
    <w:rsid w:val="00BA4FD7"/>
    <w:rsid w:val="00BA50A7"/>
    <w:rsid w:val="00BA51CF"/>
    <w:rsid w:val="00BA535E"/>
    <w:rsid w:val="00BA59D7"/>
    <w:rsid w:val="00BA5AFD"/>
    <w:rsid w:val="00BA5BA0"/>
    <w:rsid w:val="00BA5CA6"/>
    <w:rsid w:val="00BA5D6F"/>
    <w:rsid w:val="00BA5DE4"/>
    <w:rsid w:val="00BA5FF4"/>
    <w:rsid w:val="00BA6034"/>
    <w:rsid w:val="00BA60C6"/>
    <w:rsid w:val="00BA6217"/>
    <w:rsid w:val="00BA64EB"/>
    <w:rsid w:val="00BA6AB3"/>
    <w:rsid w:val="00BA6B25"/>
    <w:rsid w:val="00BA6F55"/>
    <w:rsid w:val="00BA717B"/>
    <w:rsid w:val="00BA71A7"/>
    <w:rsid w:val="00BA72DF"/>
    <w:rsid w:val="00BA7543"/>
    <w:rsid w:val="00BA793B"/>
    <w:rsid w:val="00BA7DEC"/>
    <w:rsid w:val="00BA7F16"/>
    <w:rsid w:val="00BB01B3"/>
    <w:rsid w:val="00BB020E"/>
    <w:rsid w:val="00BB0541"/>
    <w:rsid w:val="00BB06C7"/>
    <w:rsid w:val="00BB0841"/>
    <w:rsid w:val="00BB09EB"/>
    <w:rsid w:val="00BB0DD1"/>
    <w:rsid w:val="00BB11A2"/>
    <w:rsid w:val="00BB12AB"/>
    <w:rsid w:val="00BB1369"/>
    <w:rsid w:val="00BB1521"/>
    <w:rsid w:val="00BB15DE"/>
    <w:rsid w:val="00BB16B0"/>
    <w:rsid w:val="00BB178A"/>
    <w:rsid w:val="00BB190D"/>
    <w:rsid w:val="00BB19BB"/>
    <w:rsid w:val="00BB1A47"/>
    <w:rsid w:val="00BB1A97"/>
    <w:rsid w:val="00BB1C00"/>
    <w:rsid w:val="00BB1D5D"/>
    <w:rsid w:val="00BB1E45"/>
    <w:rsid w:val="00BB1E4F"/>
    <w:rsid w:val="00BB2024"/>
    <w:rsid w:val="00BB2052"/>
    <w:rsid w:val="00BB219F"/>
    <w:rsid w:val="00BB22A6"/>
    <w:rsid w:val="00BB2773"/>
    <w:rsid w:val="00BB28AD"/>
    <w:rsid w:val="00BB2DEA"/>
    <w:rsid w:val="00BB2ED5"/>
    <w:rsid w:val="00BB32C8"/>
    <w:rsid w:val="00BB33D8"/>
    <w:rsid w:val="00BB3440"/>
    <w:rsid w:val="00BB3824"/>
    <w:rsid w:val="00BB3CE4"/>
    <w:rsid w:val="00BB3CF9"/>
    <w:rsid w:val="00BB3E9C"/>
    <w:rsid w:val="00BB3F25"/>
    <w:rsid w:val="00BB4314"/>
    <w:rsid w:val="00BB44A9"/>
    <w:rsid w:val="00BB452E"/>
    <w:rsid w:val="00BB4AC3"/>
    <w:rsid w:val="00BB4D17"/>
    <w:rsid w:val="00BB4D55"/>
    <w:rsid w:val="00BB4D84"/>
    <w:rsid w:val="00BB5351"/>
    <w:rsid w:val="00BB5E65"/>
    <w:rsid w:val="00BB673D"/>
    <w:rsid w:val="00BB67EE"/>
    <w:rsid w:val="00BB6825"/>
    <w:rsid w:val="00BB6885"/>
    <w:rsid w:val="00BB6A03"/>
    <w:rsid w:val="00BB6A2A"/>
    <w:rsid w:val="00BB6B96"/>
    <w:rsid w:val="00BB6BD9"/>
    <w:rsid w:val="00BB6E31"/>
    <w:rsid w:val="00BB6EB2"/>
    <w:rsid w:val="00BB7187"/>
    <w:rsid w:val="00BB7900"/>
    <w:rsid w:val="00BB7B9A"/>
    <w:rsid w:val="00BB7CEF"/>
    <w:rsid w:val="00BC02CA"/>
    <w:rsid w:val="00BC0432"/>
    <w:rsid w:val="00BC055F"/>
    <w:rsid w:val="00BC05E6"/>
    <w:rsid w:val="00BC06F0"/>
    <w:rsid w:val="00BC072C"/>
    <w:rsid w:val="00BC0752"/>
    <w:rsid w:val="00BC08DF"/>
    <w:rsid w:val="00BC092D"/>
    <w:rsid w:val="00BC0C4D"/>
    <w:rsid w:val="00BC1044"/>
    <w:rsid w:val="00BC13F7"/>
    <w:rsid w:val="00BC1636"/>
    <w:rsid w:val="00BC1722"/>
    <w:rsid w:val="00BC1D4E"/>
    <w:rsid w:val="00BC1E34"/>
    <w:rsid w:val="00BC1FF7"/>
    <w:rsid w:val="00BC202C"/>
    <w:rsid w:val="00BC2095"/>
    <w:rsid w:val="00BC2275"/>
    <w:rsid w:val="00BC2347"/>
    <w:rsid w:val="00BC23A4"/>
    <w:rsid w:val="00BC2AF4"/>
    <w:rsid w:val="00BC2D12"/>
    <w:rsid w:val="00BC2EAB"/>
    <w:rsid w:val="00BC30FF"/>
    <w:rsid w:val="00BC32D4"/>
    <w:rsid w:val="00BC3791"/>
    <w:rsid w:val="00BC3AEB"/>
    <w:rsid w:val="00BC4399"/>
    <w:rsid w:val="00BC45E8"/>
    <w:rsid w:val="00BC45FA"/>
    <w:rsid w:val="00BC480F"/>
    <w:rsid w:val="00BC4987"/>
    <w:rsid w:val="00BC4CCD"/>
    <w:rsid w:val="00BC4E5B"/>
    <w:rsid w:val="00BC4F05"/>
    <w:rsid w:val="00BC57EE"/>
    <w:rsid w:val="00BC58BC"/>
    <w:rsid w:val="00BC6022"/>
    <w:rsid w:val="00BC65DF"/>
    <w:rsid w:val="00BC6789"/>
    <w:rsid w:val="00BC691D"/>
    <w:rsid w:val="00BC6AFE"/>
    <w:rsid w:val="00BC6B02"/>
    <w:rsid w:val="00BC6DEB"/>
    <w:rsid w:val="00BC7355"/>
    <w:rsid w:val="00BC7541"/>
    <w:rsid w:val="00BC75B6"/>
    <w:rsid w:val="00BC761E"/>
    <w:rsid w:val="00BC7709"/>
    <w:rsid w:val="00BC79B8"/>
    <w:rsid w:val="00BC7FBF"/>
    <w:rsid w:val="00BD0357"/>
    <w:rsid w:val="00BD047F"/>
    <w:rsid w:val="00BD05C2"/>
    <w:rsid w:val="00BD0706"/>
    <w:rsid w:val="00BD0723"/>
    <w:rsid w:val="00BD0ABB"/>
    <w:rsid w:val="00BD0B40"/>
    <w:rsid w:val="00BD0F68"/>
    <w:rsid w:val="00BD108E"/>
    <w:rsid w:val="00BD1183"/>
    <w:rsid w:val="00BD1224"/>
    <w:rsid w:val="00BD16C4"/>
    <w:rsid w:val="00BD16D2"/>
    <w:rsid w:val="00BD18E2"/>
    <w:rsid w:val="00BD1994"/>
    <w:rsid w:val="00BD1A93"/>
    <w:rsid w:val="00BD1BC4"/>
    <w:rsid w:val="00BD1C07"/>
    <w:rsid w:val="00BD1C61"/>
    <w:rsid w:val="00BD1E1F"/>
    <w:rsid w:val="00BD1FA4"/>
    <w:rsid w:val="00BD2124"/>
    <w:rsid w:val="00BD22D6"/>
    <w:rsid w:val="00BD23AA"/>
    <w:rsid w:val="00BD26CC"/>
    <w:rsid w:val="00BD28C6"/>
    <w:rsid w:val="00BD2A1F"/>
    <w:rsid w:val="00BD2B55"/>
    <w:rsid w:val="00BD2BB2"/>
    <w:rsid w:val="00BD2C27"/>
    <w:rsid w:val="00BD3198"/>
    <w:rsid w:val="00BD338A"/>
    <w:rsid w:val="00BD34C3"/>
    <w:rsid w:val="00BD35ED"/>
    <w:rsid w:val="00BD3D4F"/>
    <w:rsid w:val="00BD3F61"/>
    <w:rsid w:val="00BD4105"/>
    <w:rsid w:val="00BD449D"/>
    <w:rsid w:val="00BD46AC"/>
    <w:rsid w:val="00BD47EB"/>
    <w:rsid w:val="00BD49A7"/>
    <w:rsid w:val="00BD4D08"/>
    <w:rsid w:val="00BD4FC6"/>
    <w:rsid w:val="00BD5144"/>
    <w:rsid w:val="00BD5266"/>
    <w:rsid w:val="00BD52B8"/>
    <w:rsid w:val="00BD5512"/>
    <w:rsid w:val="00BD588E"/>
    <w:rsid w:val="00BD5B5A"/>
    <w:rsid w:val="00BD5E04"/>
    <w:rsid w:val="00BD6245"/>
    <w:rsid w:val="00BD6518"/>
    <w:rsid w:val="00BD66A0"/>
    <w:rsid w:val="00BD69FE"/>
    <w:rsid w:val="00BD6A3D"/>
    <w:rsid w:val="00BD6AB6"/>
    <w:rsid w:val="00BD6C8D"/>
    <w:rsid w:val="00BD6EFA"/>
    <w:rsid w:val="00BD71F7"/>
    <w:rsid w:val="00BD7283"/>
    <w:rsid w:val="00BD7523"/>
    <w:rsid w:val="00BD7807"/>
    <w:rsid w:val="00BD7870"/>
    <w:rsid w:val="00BD7DE5"/>
    <w:rsid w:val="00BD7FD2"/>
    <w:rsid w:val="00BE0046"/>
    <w:rsid w:val="00BE008B"/>
    <w:rsid w:val="00BE00D7"/>
    <w:rsid w:val="00BE0647"/>
    <w:rsid w:val="00BE0B32"/>
    <w:rsid w:val="00BE0EFC"/>
    <w:rsid w:val="00BE108E"/>
    <w:rsid w:val="00BE12BF"/>
    <w:rsid w:val="00BE1450"/>
    <w:rsid w:val="00BE1799"/>
    <w:rsid w:val="00BE17C0"/>
    <w:rsid w:val="00BE18FF"/>
    <w:rsid w:val="00BE193D"/>
    <w:rsid w:val="00BE19C4"/>
    <w:rsid w:val="00BE1CDD"/>
    <w:rsid w:val="00BE1EB0"/>
    <w:rsid w:val="00BE2225"/>
    <w:rsid w:val="00BE2364"/>
    <w:rsid w:val="00BE24A5"/>
    <w:rsid w:val="00BE2AEE"/>
    <w:rsid w:val="00BE2BBF"/>
    <w:rsid w:val="00BE2D99"/>
    <w:rsid w:val="00BE33D2"/>
    <w:rsid w:val="00BE3482"/>
    <w:rsid w:val="00BE3580"/>
    <w:rsid w:val="00BE35E9"/>
    <w:rsid w:val="00BE3976"/>
    <w:rsid w:val="00BE3CE7"/>
    <w:rsid w:val="00BE3F85"/>
    <w:rsid w:val="00BE431E"/>
    <w:rsid w:val="00BE45CB"/>
    <w:rsid w:val="00BE47B7"/>
    <w:rsid w:val="00BE4852"/>
    <w:rsid w:val="00BE4BD0"/>
    <w:rsid w:val="00BE5275"/>
    <w:rsid w:val="00BE5288"/>
    <w:rsid w:val="00BE5777"/>
    <w:rsid w:val="00BE5960"/>
    <w:rsid w:val="00BE5FDE"/>
    <w:rsid w:val="00BE6131"/>
    <w:rsid w:val="00BE6153"/>
    <w:rsid w:val="00BE61AF"/>
    <w:rsid w:val="00BE62B6"/>
    <w:rsid w:val="00BE6480"/>
    <w:rsid w:val="00BE6550"/>
    <w:rsid w:val="00BE6E68"/>
    <w:rsid w:val="00BE71AB"/>
    <w:rsid w:val="00BE7202"/>
    <w:rsid w:val="00BE7232"/>
    <w:rsid w:val="00BE724A"/>
    <w:rsid w:val="00BE7297"/>
    <w:rsid w:val="00BE734A"/>
    <w:rsid w:val="00BE7366"/>
    <w:rsid w:val="00BE755D"/>
    <w:rsid w:val="00BE76DE"/>
    <w:rsid w:val="00BE774A"/>
    <w:rsid w:val="00BE77E3"/>
    <w:rsid w:val="00BE7922"/>
    <w:rsid w:val="00BE7CA3"/>
    <w:rsid w:val="00BE7CE9"/>
    <w:rsid w:val="00BE7DEF"/>
    <w:rsid w:val="00BE7FE1"/>
    <w:rsid w:val="00BF05BE"/>
    <w:rsid w:val="00BF071C"/>
    <w:rsid w:val="00BF074C"/>
    <w:rsid w:val="00BF0985"/>
    <w:rsid w:val="00BF0DED"/>
    <w:rsid w:val="00BF0F39"/>
    <w:rsid w:val="00BF101D"/>
    <w:rsid w:val="00BF154D"/>
    <w:rsid w:val="00BF180C"/>
    <w:rsid w:val="00BF2375"/>
    <w:rsid w:val="00BF251D"/>
    <w:rsid w:val="00BF253F"/>
    <w:rsid w:val="00BF28C4"/>
    <w:rsid w:val="00BF28D4"/>
    <w:rsid w:val="00BF2A88"/>
    <w:rsid w:val="00BF2EAB"/>
    <w:rsid w:val="00BF2F86"/>
    <w:rsid w:val="00BF32D4"/>
    <w:rsid w:val="00BF3671"/>
    <w:rsid w:val="00BF372E"/>
    <w:rsid w:val="00BF3A28"/>
    <w:rsid w:val="00BF3BCD"/>
    <w:rsid w:val="00BF3C95"/>
    <w:rsid w:val="00BF3E12"/>
    <w:rsid w:val="00BF4373"/>
    <w:rsid w:val="00BF4A90"/>
    <w:rsid w:val="00BF4ECB"/>
    <w:rsid w:val="00BF51F2"/>
    <w:rsid w:val="00BF5263"/>
    <w:rsid w:val="00BF530A"/>
    <w:rsid w:val="00BF55AA"/>
    <w:rsid w:val="00BF56F6"/>
    <w:rsid w:val="00BF5BF0"/>
    <w:rsid w:val="00BF5C8A"/>
    <w:rsid w:val="00BF5E9D"/>
    <w:rsid w:val="00BF6152"/>
    <w:rsid w:val="00BF61FE"/>
    <w:rsid w:val="00BF6325"/>
    <w:rsid w:val="00BF6567"/>
    <w:rsid w:val="00BF66FF"/>
    <w:rsid w:val="00BF6893"/>
    <w:rsid w:val="00BF6A28"/>
    <w:rsid w:val="00BF6ACC"/>
    <w:rsid w:val="00BF6E6B"/>
    <w:rsid w:val="00BF7191"/>
    <w:rsid w:val="00BF726A"/>
    <w:rsid w:val="00BF7282"/>
    <w:rsid w:val="00BF7359"/>
    <w:rsid w:val="00BF77A4"/>
    <w:rsid w:val="00BF7E48"/>
    <w:rsid w:val="00C0001A"/>
    <w:rsid w:val="00C0008C"/>
    <w:rsid w:val="00C0021C"/>
    <w:rsid w:val="00C0051B"/>
    <w:rsid w:val="00C00562"/>
    <w:rsid w:val="00C00635"/>
    <w:rsid w:val="00C00802"/>
    <w:rsid w:val="00C00855"/>
    <w:rsid w:val="00C0085B"/>
    <w:rsid w:val="00C009EB"/>
    <w:rsid w:val="00C00A0D"/>
    <w:rsid w:val="00C00A8C"/>
    <w:rsid w:val="00C00E90"/>
    <w:rsid w:val="00C0100B"/>
    <w:rsid w:val="00C01241"/>
    <w:rsid w:val="00C01303"/>
    <w:rsid w:val="00C01463"/>
    <w:rsid w:val="00C01613"/>
    <w:rsid w:val="00C0199C"/>
    <w:rsid w:val="00C01FDD"/>
    <w:rsid w:val="00C02046"/>
    <w:rsid w:val="00C02376"/>
    <w:rsid w:val="00C0240F"/>
    <w:rsid w:val="00C0258B"/>
    <w:rsid w:val="00C0260A"/>
    <w:rsid w:val="00C02CEE"/>
    <w:rsid w:val="00C02CF0"/>
    <w:rsid w:val="00C02D42"/>
    <w:rsid w:val="00C02EBC"/>
    <w:rsid w:val="00C032A1"/>
    <w:rsid w:val="00C032B8"/>
    <w:rsid w:val="00C03325"/>
    <w:rsid w:val="00C0395C"/>
    <w:rsid w:val="00C03B3C"/>
    <w:rsid w:val="00C03B5D"/>
    <w:rsid w:val="00C03E4D"/>
    <w:rsid w:val="00C040B5"/>
    <w:rsid w:val="00C040C4"/>
    <w:rsid w:val="00C04456"/>
    <w:rsid w:val="00C04543"/>
    <w:rsid w:val="00C045A9"/>
    <w:rsid w:val="00C04AE3"/>
    <w:rsid w:val="00C04ED9"/>
    <w:rsid w:val="00C053C2"/>
    <w:rsid w:val="00C05547"/>
    <w:rsid w:val="00C05617"/>
    <w:rsid w:val="00C0565A"/>
    <w:rsid w:val="00C056A9"/>
    <w:rsid w:val="00C0606D"/>
    <w:rsid w:val="00C0618B"/>
    <w:rsid w:val="00C062E5"/>
    <w:rsid w:val="00C0647F"/>
    <w:rsid w:val="00C06575"/>
    <w:rsid w:val="00C0674A"/>
    <w:rsid w:val="00C06A9F"/>
    <w:rsid w:val="00C06F6E"/>
    <w:rsid w:val="00C07080"/>
    <w:rsid w:val="00C07153"/>
    <w:rsid w:val="00C07341"/>
    <w:rsid w:val="00C0748F"/>
    <w:rsid w:val="00C074A6"/>
    <w:rsid w:val="00C074D8"/>
    <w:rsid w:val="00C07701"/>
    <w:rsid w:val="00C0775D"/>
    <w:rsid w:val="00C07760"/>
    <w:rsid w:val="00C07CD9"/>
    <w:rsid w:val="00C1005B"/>
    <w:rsid w:val="00C10145"/>
    <w:rsid w:val="00C101C5"/>
    <w:rsid w:val="00C10234"/>
    <w:rsid w:val="00C10358"/>
    <w:rsid w:val="00C10C6D"/>
    <w:rsid w:val="00C10D23"/>
    <w:rsid w:val="00C11237"/>
    <w:rsid w:val="00C112AC"/>
    <w:rsid w:val="00C113B7"/>
    <w:rsid w:val="00C11905"/>
    <w:rsid w:val="00C11A7F"/>
    <w:rsid w:val="00C11C34"/>
    <w:rsid w:val="00C11C65"/>
    <w:rsid w:val="00C11CB0"/>
    <w:rsid w:val="00C12053"/>
    <w:rsid w:val="00C120CD"/>
    <w:rsid w:val="00C12347"/>
    <w:rsid w:val="00C12704"/>
    <w:rsid w:val="00C132C3"/>
    <w:rsid w:val="00C1342C"/>
    <w:rsid w:val="00C13456"/>
    <w:rsid w:val="00C13903"/>
    <w:rsid w:val="00C13A64"/>
    <w:rsid w:val="00C13A69"/>
    <w:rsid w:val="00C13A8A"/>
    <w:rsid w:val="00C13D73"/>
    <w:rsid w:val="00C141A2"/>
    <w:rsid w:val="00C147A2"/>
    <w:rsid w:val="00C14864"/>
    <w:rsid w:val="00C1486B"/>
    <w:rsid w:val="00C14DFC"/>
    <w:rsid w:val="00C14FA3"/>
    <w:rsid w:val="00C15A28"/>
    <w:rsid w:val="00C15B58"/>
    <w:rsid w:val="00C15BF2"/>
    <w:rsid w:val="00C15F5F"/>
    <w:rsid w:val="00C15F9A"/>
    <w:rsid w:val="00C1600B"/>
    <w:rsid w:val="00C160C3"/>
    <w:rsid w:val="00C16405"/>
    <w:rsid w:val="00C1661F"/>
    <w:rsid w:val="00C16847"/>
    <w:rsid w:val="00C169F2"/>
    <w:rsid w:val="00C16D91"/>
    <w:rsid w:val="00C16DA7"/>
    <w:rsid w:val="00C171FB"/>
    <w:rsid w:val="00C178A4"/>
    <w:rsid w:val="00C1792C"/>
    <w:rsid w:val="00C17E75"/>
    <w:rsid w:val="00C2008C"/>
    <w:rsid w:val="00C202C5"/>
    <w:rsid w:val="00C20600"/>
    <w:rsid w:val="00C20811"/>
    <w:rsid w:val="00C20D61"/>
    <w:rsid w:val="00C20ECF"/>
    <w:rsid w:val="00C20FA4"/>
    <w:rsid w:val="00C21135"/>
    <w:rsid w:val="00C2139F"/>
    <w:rsid w:val="00C2169F"/>
    <w:rsid w:val="00C21B74"/>
    <w:rsid w:val="00C21EB9"/>
    <w:rsid w:val="00C2225D"/>
    <w:rsid w:val="00C223F8"/>
    <w:rsid w:val="00C22771"/>
    <w:rsid w:val="00C22882"/>
    <w:rsid w:val="00C22CFE"/>
    <w:rsid w:val="00C22D3D"/>
    <w:rsid w:val="00C22DB1"/>
    <w:rsid w:val="00C22E5A"/>
    <w:rsid w:val="00C22EBA"/>
    <w:rsid w:val="00C234F3"/>
    <w:rsid w:val="00C242C8"/>
    <w:rsid w:val="00C2440C"/>
    <w:rsid w:val="00C24DC4"/>
    <w:rsid w:val="00C24FF9"/>
    <w:rsid w:val="00C25100"/>
    <w:rsid w:val="00C251F1"/>
    <w:rsid w:val="00C25396"/>
    <w:rsid w:val="00C2542D"/>
    <w:rsid w:val="00C25436"/>
    <w:rsid w:val="00C2544A"/>
    <w:rsid w:val="00C25648"/>
    <w:rsid w:val="00C259E4"/>
    <w:rsid w:val="00C25A31"/>
    <w:rsid w:val="00C25D0E"/>
    <w:rsid w:val="00C26017"/>
    <w:rsid w:val="00C263FC"/>
    <w:rsid w:val="00C2673D"/>
    <w:rsid w:val="00C26FC2"/>
    <w:rsid w:val="00C2703E"/>
    <w:rsid w:val="00C274B7"/>
    <w:rsid w:val="00C27548"/>
    <w:rsid w:val="00C2758B"/>
    <w:rsid w:val="00C27C39"/>
    <w:rsid w:val="00C3001F"/>
    <w:rsid w:val="00C3007F"/>
    <w:rsid w:val="00C3024E"/>
    <w:rsid w:val="00C30322"/>
    <w:rsid w:val="00C303EB"/>
    <w:rsid w:val="00C30861"/>
    <w:rsid w:val="00C308B8"/>
    <w:rsid w:val="00C30BCC"/>
    <w:rsid w:val="00C30EBB"/>
    <w:rsid w:val="00C30EBF"/>
    <w:rsid w:val="00C30FD0"/>
    <w:rsid w:val="00C3169E"/>
    <w:rsid w:val="00C31A2A"/>
    <w:rsid w:val="00C31AF6"/>
    <w:rsid w:val="00C31B48"/>
    <w:rsid w:val="00C31F4C"/>
    <w:rsid w:val="00C32141"/>
    <w:rsid w:val="00C322C5"/>
    <w:rsid w:val="00C322D5"/>
    <w:rsid w:val="00C32491"/>
    <w:rsid w:val="00C324AC"/>
    <w:rsid w:val="00C325C2"/>
    <w:rsid w:val="00C32715"/>
    <w:rsid w:val="00C3275F"/>
    <w:rsid w:val="00C327AD"/>
    <w:rsid w:val="00C32829"/>
    <w:rsid w:val="00C3286A"/>
    <w:rsid w:val="00C328F4"/>
    <w:rsid w:val="00C32AE6"/>
    <w:rsid w:val="00C32DB2"/>
    <w:rsid w:val="00C33719"/>
    <w:rsid w:val="00C3382B"/>
    <w:rsid w:val="00C33B56"/>
    <w:rsid w:val="00C33B99"/>
    <w:rsid w:val="00C3409E"/>
    <w:rsid w:val="00C340AA"/>
    <w:rsid w:val="00C345F0"/>
    <w:rsid w:val="00C34AD0"/>
    <w:rsid w:val="00C34B9D"/>
    <w:rsid w:val="00C34BA2"/>
    <w:rsid w:val="00C34F33"/>
    <w:rsid w:val="00C3501B"/>
    <w:rsid w:val="00C35022"/>
    <w:rsid w:val="00C35207"/>
    <w:rsid w:val="00C3527A"/>
    <w:rsid w:val="00C362F5"/>
    <w:rsid w:val="00C36615"/>
    <w:rsid w:val="00C369E0"/>
    <w:rsid w:val="00C36DDD"/>
    <w:rsid w:val="00C3720C"/>
    <w:rsid w:val="00C373E9"/>
    <w:rsid w:val="00C37817"/>
    <w:rsid w:val="00C379E7"/>
    <w:rsid w:val="00C37AC0"/>
    <w:rsid w:val="00C37ACB"/>
    <w:rsid w:val="00C37C7C"/>
    <w:rsid w:val="00C37D70"/>
    <w:rsid w:val="00C37DF2"/>
    <w:rsid w:val="00C37F82"/>
    <w:rsid w:val="00C402B6"/>
    <w:rsid w:val="00C402F4"/>
    <w:rsid w:val="00C40359"/>
    <w:rsid w:val="00C4050F"/>
    <w:rsid w:val="00C40518"/>
    <w:rsid w:val="00C405A8"/>
    <w:rsid w:val="00C40689"/>
    <w:rsid w:val="00C4074C"/>
    <w:rsid w:val="00C40950"/>
    <w:rsid w:val="00C40B8A"/>
    <w:rsid w:val="00C40CC3"/>
    <w:rsid w:val="00C40DA7"/>
    <w:rsid w:val="00C4106D"/>
    <w:rsid w:val="00C41150"/>
    <w:rsid w:val="00C4128A"/>
    <w:rsid w:val="00C413F5"/>
    <w:rsid w:val="00C414FB"/>
    <w:rsid w:val="00C41588"/>
    <w:rsid w:val="00C41602"/>
    <w:rsid w:val="00C416CA"/>
    <w:rsid w:val="00C4173C"/>
    <w:rsid w:val="00C4199C"/>
    <w:rsid w:val="00C41CA1"/>
    <w:rsid w:val="00C41E9F"/>
    <w:rsid w:val="00C41F0E"/>
    <w:rsid w:val="00C420AE"/>
    <w:rsid w:val="00C420CB"/>
    <w:rsid w:val="00C4214C"/>
    <w:rsid w:val="00C42167"/>
    <w:rsid w:val="00C422D2"/>
    <w:rsid w:val="00C4234F"/>
    <w:rsid w:val="00C42E15"/>
    <w:rsid w:val="00C42F05"/>
    <w:rsid w:val="00C43004"/>
    <w:rsid w:val="00C431D4"/>
    <w:rsid w:val="00C432F8"/>
    <w:rsid w:val="00C4331C"/>
    <w:rsid w:val="00C436BB"/>
    <w:rsid w:val="00C437B1"/>
    <w:rsid w:val="00C43853"/>
    <w:rsid w:val="00C4387D"/>
    <w:rsid w:val="00C4414B"/>
    <w:rsid w:val="00C4443F"/>
    <w:rsid w:val="00C4453F"/>
    <w:rsid w:val="00C44A89"/>
    <w:rsid w:val="00C44B19"/>
    <w:rsid w:val="00C44C14"/>
    <w:rsid w:val="00C44EAD"/>
    <w:rsid w:val="00C45173"/>
    <w:rsid w:val="00C45350"/>
    <w:rsid w:val="00C45614"/>
    <w:rsid w:val="00C45832"/>
    <w:rsid w:val="00C458E2"/>
    <w:rsid w:val="00C4593A"/>
    <w:rsid w:val="00C45940"/>
    <w:rsid w:val="00C45B9C"/>
    <w:rsid w:val="00C45C39"/>
    <w:rsid w:val="00C45C56"/>
    <w:rsid w:val="00C46552"/>
    <w:rsid w:val="00C4671C"/>
    <w:rsid w:val="00C468B7"/>
    <w:rsid w:val="00C47069"/>
    <w:rsid w:val="00C47460"/>
    <w:rsid w:val="00C474DE"/>
    <w:rsid w:val="00C47537"/>
    <w:rsid w:val="00C47716"/>
    <w:rsid w:val="00C47B58"/>
    <w:rsid w:val="00C47BAA"/>
    <w:rsid w:val="00C50273"/>
    <w:rsid w:val="00C50764"/>
    <w:rsid w:val="00C50AFA"/>
    <w:rsid w:val="00C50F65"/>
    <w:rsid w:val="00C51025"/>
    <w:rsid w:val="00C514ED"/>
    <w:rsid w:val="00C51593"/>
    <w:rsid w:val="00C51807"/>
    <w:rsid w:val="00C51841"/>
    <w:rsid w:val="00C51945"/>
    <w:rsid w:val="00C51ACF"/>
    <w:rsid w:val="00C51B40"/>
    <w:rsid w:val="00C51B4D"/>
    <w:rsid w:val="00C51E6C"/>
    <w:rsid w:val="00C52582"/>
    <w:rsid w:val="00C526DA"/>
    <w:rsid w:val="00C52B12"/>
    <w:rsid w:val="00C53062"/>
    <w:rsid w:val="00C530F2"/>
    <w:rsid w:val="00C5380A"/>
    <w:rsid w:val="00C53881"/>
    <w:rsid w:val="00C53EBB"/>
    <w:rsid w:val="00C541C9"/>
    <w:rsid w:val="00C547B7"/>
    <w:rsid w:val="00C548FB"/>
    <w:rsid w:val="00C54994"/>
    <w:rsid w:val="00C54A8E"/>
    <w:rsid w:val="00C54D3E"/>
    <w:rsid w:val="00C54F4A"/>
    <w:rsid w:val="00C550B8"/>
    <w:rsid w:val="00C55270"/>
    <w:rsid w:val="00C55861"/>
    <w:rsid w:val="00C559CF"/>
    <w:rsid w:val="00C55C2D"/>
    <w:rsid w:val="00C55C37"/>
    <w:rsid w:val="00C55C42"/>
    <w:rsid w:val="00C55E05"/>
    <w:rsid w:val="00C56367"/>
    <w:rsid w:val="00C5649B"/>
    <w:rsid w:val="00C56A45"/>
    <w:rsid w:val="00C56AB9"/>
    <w:rsid w:val="00C56E2A"/>
    <w:rsid w:val="00C57744"/>
    <w:rsid w:val="00C57A8D"/>
    <w:rsid w:val="00C57AE7"/>
    <w:rsid w:val="00C57FB4"/>
    <w:rsid w:val="00C60113"/>
    <w:rsid w:val="00C605E2"/>
    <w:rsid w:val="00C60904"/>
    <w:rsid w:val="00C6099C"/>
    <w:rsid w:val="00C609D7"/>
    <w:rsid w:val="00C60F8B"/>
    <w:rsid w:val="00C6108D"/>
    <w:rsid w:val="00C612B1"/>
    <w:rsid w:val="00C612C7"/>
    <w:rsid w:val="00C61467"/>
    <w:rsid w:val="00C615E9"/>
    <w:rsid w:val="00C6165A"/>
    <w:rsid w:val="00C617E8"/>
    <w:rsid w:val="00C61A8A"/>
    <w:rsid w:val="00C61B1F"/>
    <w:rsid w:val="00C61F2B"/>
    <w:rsid w:val="00C61F79"/>
    <w:rsid w:val="00C61FB9"/>
    <w:rsid w:val="00C62140"/>
    <w:rsid w:val="00C62172"/>
    <w:rsid w:val="00C62386"/>
    <w:rsid w:val="00C624CF"/>
    <w:rsid w:val="00C62598"/>
    <w:rsid w:val="00C626AF"/>
    <w:rsid w:val="00C626E8"/>
    <w:rsid w:val="00C627F2"/>
    <w:rsid w:val="00C62B71"/>
    <w:rsid w:val="00C62F9B"/>
    <w:rsid w:val="00C62FA4"/>
    <w:rsid w:val="00C6326B"/>
    <w:rsid w:val="00C637BB"/>
    <w:rsid w:val="00C63930"/>
    <w:rsid w:val="00C63ED6"/>
    <w:rsid w:val="00C640E8"/>
    <w:rsid w:val="00C643BC"/>
    <w:rsid w:val="00C643EE"/>
    <w:rsid w:val="00C646DC"/>
    <w:rsid w:val="00C64885"/>
    <w:rsid w:val="00C64B4F"/>
    <w:rsid w:val="00C65221"/>
    <w:rsid w:val="00C6577B"/>
    <w:rsid w:val="00C657FF"/>
    <w:rsid w:val="00C65DF3"/>
    <w:rsid w:val="00C65EE8"/>
    <w:rsid w:val="00C65F23"/>
    <w:rsid w:val="00C66120"/>
    <w:rsid w:val="00C66235"/>
    <w:rsid w:val="00C663AE"/>
    <w:rsid w:val="00C667A8"/>
    <w:rsid w:val="00C669D0"/>
    <w:rsid w:val="00C66E0A"/>
    <w:rsid w:val="00C66FBE"/>
    <w:rsid w:val="00C672B8"/>
    <w:rsid w:val="00C6755B"/>
    <w:rsid w:val="00C67652"/>
    <w:rsid w:val="00C676B7"/>
    <w:rsid w:val="00C676EE"/>
    <w:rsid w:val="00C678FD"/>
    <w:rsid w:val="00C67900"/>
    <w:rsid w:val="00C67B09"/>
    <w:rsid w:val="00C700DB"/>
    <w:rsid w:val="00C7016F"/>
    <w:rsid w:val="00C702AF"/>
    <w:rsid w:val="00C703C2"/>
    <w:rsid w:val="00C7063F"/>
    <w:rsid w:val="00C70828"/>
    <w:rsid w:val="00C70D3F"/>
    <w:rsid w:val="00C71181"/>
    <w:rsid w:val="00C71342"/>
    <w:rsid w:val="00C713F1"/>
    <w:rsid w:val="00C714CD"/>
    <w:rsid w:val="00C71A32"/>
    <w:rsid w:val="00C71CCF"/>
    <w:rsid w:val="00C71F79"/>
    <w:rsid w:val="00C71FD4"/>
    <w:rsid w:val="00C720FA"/>
    <w:rsid w:val="00C72347"/>
    <w:rsid w:val="00C723C6"/>
    <w:rsid w:val="00C725C9"/>
    <w:rsid w:val="00C7280C"/>
    <w:rsid w:val="00C72A52"/>
    <w:rsid w:val="00C72A6C"/>
    <w:rsid w:val="00C72D64"/>
    <w:rsid w:val="00C72E96"/>
    <w:rsid w:val="00C73316"/>
    <w:rsid w:val="00C7336F"/>
    <w:rsid w:val="00C733BF"/>
    <w:rsid w:val="00C73477"/>
    <w:rsid w:val="00C73662"/>
    <w:rsid w:val="00C736F2"/>
    <w:rsid w:val="00C73D9F"/>
    <w:rsid w:val="00C73DAD"/>
    <w:rsid w:val="00C7402F"/>
    <w:rsid w:val="00C74312"/>
    <w:rsid w:val="00C74389"/>
    <w:rsid w:val="00C74633"/>
    <w:rsid w:val="00C74C4E"/>
    <w:rsid w:val="00C74CA1"/>
    <w:rsid w:val="00C74E91"/>
    <w:rsid w:val="00C75007"/>
    <w:rsid w:val="00C7517A"/>
    <w:rsid w:val="00C7549C"/>
    <w:rsid w:val="00C756D0"/>
    <w:rsid w:val="00C75790"/>
    <w:rsid w:val="00C75B8C"/>
    <w:rsid w:val="00C764B0"/>
    <w:rsid w:val="00C7678D"/>
    <w:rsid w:val="00C76799"/>
    <w:rsid w:val="00C767EC"/>
    <w:rsid w:val="00C76AB3"/>
    <w:rsid w:val="00C76D2E"/>
    <w:rsid w:val="00C76DDB"/>
    <w:rsid w:val="00C77105"/>
    <w:rsid w:val="00C771FA"/>
    <w:rsid w:val="00C772BC"/>
    <w:rsid w:val="00C772D1"/>
    <w:rsid w:val="00C774AC"/>
    <w:rsid w:val="00C77540"/>
    <w:rsid w:val="00C7755B"/>
    <w:rsid w:val="00C7759B"/>
    <w:rsid w:val="00C775A2"/>
    <w:rsid w:val="00C77610"/>
    <w:rsid w:val="00C7798D"/>
    <w:rsid w:val="00C77AFB"/>
    <w:rsid w:val="00C77E32"/>
    <w:rsid w:val="00C77F3B"/>
    <w:rsid w:val="00C77F72"/>
    <w:rsid w:val="00C77F87"/>
    <w:rsid w:val="00C77FD4"/>
    <w:rsid w:val="00C80244"/>
    <w:rsid w:val="00C802C6"/>
    <w:rsid w:val="00C8038C"/>
    <w:rsid w:val="00C803A2"/>
    <w:rsid w:val="00C803D4"/>
    <w:rsid w:val="00C804F4"/>
    <w:rsid w:val="00C80573"/>
    <w:rsid w:val="00C805AE"/>
    <w:rsid w:val="00C80977"/>
    <w:rsid w:val="00C80B21"/>
    <w:rsid w:val="00C8121E"/>
    <w:rsid w:val="00C812BA"/>
    <w:rsid w:val="00C81311"/>
    <w:rsid w:val="00C81458"/>
    <w:rsid w:val="00C8151D"/>
    <w:rsid w:val="00C818BD"/>
    <w:rsid w:val="00C81A77"/>
    <w:rsid w:val="00C820AC"/>
    <w:rsid w:val="00C822B9"/>
    <w:rsid w:val="00C824D2"/>
    <w:rsid w:val="00C825C9"/>
    <w:rsid w:val="00C8296A"/>
    <w:rsid w:val="00C82B43"/>
    <w:rsid w:val="00C82F68"/>
    <w:rsid w:val="00C830DB"/>
    <w:rsid w:val="00C8310B"/>
    <w:rsid w:val="00C831C1"/>
    <w:rsid w:val="00C83448"/>
    <w:rsid w:val="00C83B30"/>
    <w:rsid w:val="00C83BE4"/>
    <w:rsid w:val="00C83C9E"/>
    <w:rsid w:val="00C84582"/>
    <w:rsid w:val="00C8467E"/>
    <w:rsid w:val="00C84726"/>
    <w:rsid w:val="00C8487D"/>
    <w:rsid w:val="00C84AE1"/>
    <w:rsid w:val="00C84C8B"/>
    <w:rsid w:val="00C84CE4"/>
    <w:rsid w:val="00C84D7D"/>
    <w:rsid w:val="00C84DC9"/>
    <w:rsid w:val="00C851CD"/>
    <w:rsid w:val="00C854E8"/>
    <w:rsid w:val="00C8598A"/>
    <w:rsid w:val="00C85A91"/>
    <w:rsid w:val="00C85A9A"/>
    <w:rsid w:val="00C85B2C"/>
    <w:rsid w:val="00C85D16"/>
    <w:rsid w:val="00C85F28"/>
    <w:rsid w:val="00C86072"/>
    <w:rsid w:val="00C86239"/>
    <w:rsid w:val="00C86302"/>
    <w:rsid w:val="00C866E5"/>
    <w:rsid w:val="00C8680F"/>
    <w:rsid w:val="00C86E48"/>
    <w:rsid w:val="00C870B9"/>
    <w:rsid w:val="00C871DA"/>
    <w:rsid w:val="00C871FB"/>
    <w:rsid w:val="00C8790E"/>
    <w:rsid w:val="00C87E5F"/>
    <w:rsid w:val="00C87F0A"/>
    <w:rsid w:val="00C900D8"/>
    <w:rsid w:val="00C9030B"/>
    <w:rsid w:val="00C90341"/>
    <w:rsid w:val="00C90351"/>
    <w:rsid w:val="00C903E6"/>
    <w:rsid w:val="00C904AF"/>
    <w:rsid w:val="00C90591"/>
    <w:rsid w:val="00C909D3"/>
    <w:rsid w:val="00C90AD7"/>
    <w:rsid w:val="00C90CD1"/>
    <w:rsid w:val="00C90E57"/>
    <w:rsid w:val="00C910B1"/>
    <w:rsid w:val="00C9136D"/>
    <w:rsid w:val="00C916AD"/>
    <w:rsid w:val="00C9170E"/>
    <w:rsid w:val="00C918D5"/>
    <w:rsid w:val="00C91C55"/>
    <w:rsid w:val="00C91C6D"/>
    <w:rsid w:val="00C91EAC"/>
    <w:rsid w:val="00C92303"/>
    <w:rsid w:val="00C92367"/>
    <w:rsid w:val="00C923AC"/>
    <w:rsid w:val="00C92418"/>
    <w:rsid w:val="00C924B9"/>
    <w:rsid w:val="00C92810"/>
    <w:rsid w:val="00C92A7A"/>
    <w:rsid w:val="00C92EA4"/>
    <w:rsid w:val="00C92EA8"/>
    <w:rsid w:val="00C93090"/>
    <w:rsid w:val="00C932D2"/>
    <w:rsid w:val="00C932E1"/>
    <w:rsid w:val="00C9354B"/>
    <w:rsid w:val="00C9369E"/>
    <w:rsid w:val="00C936C4"/>
    <w:rsid w:val="00C938A4"/>
    <w:rsid w:val="00C93987"/>
    <w:rsid w:val="00C93CD6"/>
    <w:rsid w:val="00C94091"/>
    <w:rsid w:val="00C940EC"/>
    <w:rsid w:val="00C9436B"/>
    <w:rsid w:val="00C94372"/>
    <w:rsid w:val="00C944EC"/>
    <w:rsid w:val="00C945CB"/>
    <w:rsid w:val="00C94901"/>
    <w:rsid w:val="00C94CEF"/>
    <w:rsid w:val="00C94F42"/>
    <w:rsid w:val="00C95647"/>
    <w:rsid w:val="00C9567E"/>
    <w:rsid w:val="00C95A54"/>
    <w:rsid w:val="00C95E18"/>
    <w:rsid w:val="00C95FCD"/>
    <w:rsid w:val="00C96360"/>
    <w:rsid w:val="00C963A3"/>
    <w:rsid w:val="00C96576"/>
    <w:rsid w:val="00C968B5"/>
    <w:rsid w:val="00C96A3D"/>
    <w:rsid w:val="00C96BDC"/>
    <w:rsid w:val="00C96CAA"/>
    <w:rsid w:val="00C96D93"/>
    <w:rsid w:val="00C971A3"/>
    <w:rsid w:val="00C97527"/>
    <w:rsid w:val="00C97549"/>
    <w:rsid w:val="00C977EE"/>
    <w:rsid w:val="00C978AD"/>
    <w:rsid w:val="00C979CB"/>
    <w:rsid w:val="00CA0071"/>
    <w:rsid w:val="00CA00D9"/>
    <w:rsid w:val="00CA028B"/>
    <w:rsid w:val="00CA049A"/>
    <w:rsid w:val="00CA0521"/>
    <w:rsid w:val="00CA0BD9"/>
    <w:rsid w:val="00CA0F33"/>
    <w:rsid w:val="00CA0F6A"/>
    <w:rsid w:val="00CA1501"/>
    <w:rsid w:val="00CA18E4"/>
    <w:rsid w:val="00CA1DDA"/>
    <w:rsid w:val="00CA1F7A"/>
    <w:rsid w:val="00CA1FEE"/>
    <w:rsid w:val="00CA2198"/>
    <w:rsid w:val="00CA27AD"/>
    <w:rsid w:val="00CA280C"/>
    <w:rsid w:val="00CA2975"/>
    <w:rsid w:val="00CA2B52"/>
    <w:rsid w:val="00CA2DE7"/>
    <w:rsid w:val="00CA2E4B"/>
    <w:rsid w:val="00CA3148"/>
    <w:rsid w:val="00CA3242"/>
    <w:rsid w:val="00CA3285"/>
    <w:rsid w:val="00CA3441"/>
    <w:rsid w:val="00CA37F4"/>
    <w:rsid w:val="00CA37F5"/>
    <w:rsid w:val="00CA38E1"/>
    <w:rsid w:val="00CA3F02"/>
    <w:rsid w:val="00CA406B"/>
    <w:rsid w:val="00CA41D0"/>
    <w:rsid w:val="00CA43BF"/>
    <w:rsid w:val="00CA48AD"/>
    <w:rsid w:val="00CA4D6C"/>
    <w:rsid w:val="00CA4FCC"/>
    <w:rsid w:val="00CA52AF"/>
    <w:rsid w:val="00CA5357"/>
    <w:rsid w:val="00CA54F0"/>
    <w:rsid w:val="00CA55E9"/>
    <w:rsid w:val="00CA5837"/>
    <w:rsid w:val="00CA59BC"/>
    <w:rsid w:val="00CA5A70"/>
    <w:rsid w:val="00CA5DED"/>
    <w:rsid w:val="00CA5E70"/>
    <w:rsid w:val="00CA60F3"/>
    <w:rsid w:val="00CA628F"/>
    <w:rsid w:val="00CA63E7"/>
    <w:rsid w:val="00CA65FC"/>
    <w:rsid w:val="00CA6777"/>
    <w:rsid w:val="00CA681A"/>
    <w:rsid w:val="00CA68A5"/>
    <w:rsid w:val="00CA6AB4"/>
    <w:rsid w:val="00CA6B06"/>
    <w:rsid w:val="00CA6C24"/>
    <w:rsid w:val="00CA7342"/>
    <w:rsid w:val="00CA7792"/>
    <w:rsid w:val="00CA7B3F"/>
    <w:rsid w:val="00CB0058"/>
    <w:rsid w:val="00CB0166"/>
    <w:rsid w:val="00CB0427"/>
    <w:rsid w:val="00CB053C"/>
    <w:rsid w:val="00CB0910"/>
    <w:rsid w:val="00CB0A2E"/>
    <w:rsid w:val="00CB12C9"/>
    <w:rsid w:val="00CB1303"/>
    <w:rsid w:val="00CB1537"/>
    <w:rsid w:val="00CB1B58"/>
    <w:rsid w:val="00CB1B67"/>
    <w:rsid w:val="00CB1CBF"/>
    <w:rsid w:val="00CB1DAE"/>
    <w:rsid w:val="00CB1DB1"/>
    <w:rsid w:val="00CB1DF3"/>
    <w:rsid w:val="00CB1F20"/>
    <w:rsid w:val="00CB204B"/>
    <w:rsid w:val="00CB20CC"/>
    <w:rsid w:val="00CB214A"/>
    <w:rsid w:val="00CB2208"/>
    <w:rsid w:val="00CB257F"/>
    <w:rsid w:val="00CB2A10"/>
    <w:rsid w:val="00CB2AFC"/>
    <w:rsid w:val="00CB2B27"/>
    <w:rsid w:val="00CB2C38"/>
    <w:rsid w:val="00CB2C99"/>
    <w:rsid w:val="00CB31E4"/>
    <w:rsid w:val="00CB32BC"/>
    <w:rsid w:val="00CB332F"/>
    <w:rsid w:val="00CB3353"/>
    <w:rsid w:val="00CB36C2"/>
    <w:rsid w:val="00CB3953"/>
    <w:rsid w:val="00CB3C72"/>
    <w:rsid w:val="00CB3E05"/>
    <w:rsid w:val="00CB44A3"/>
    <w:rsid w:val="00CB4539"/>
    <w:rsid w:val="00CB4734"/>
    <w:rsid w:val="00CB4AB5"/>
    <w:rsid w:val="00CB4B13"/>
    <w:rsid w:val="00CB4FD5"/>
    <w:rsid w:val="00CB512C"/>
    <w:rsid w:val="00CB568B"/>
    <w:rsid w:val="00CB599A"/>
    <w:rsid w:val="00CB5A94"/>
    <w:rsid w:val="00CB5D0C"/>
    <w:rsid w:val="00CB5D77"/>
    <w:rsid w:val="00CB5D8A"/>
    <w:rsid w:val="00CB6654"/>
    <w:rsid w:val="00CB68F8"/>
    <w:rsid w:val="00CB6CA1"/>
    <w:rsid w:val="00CB718E"/>
    <w:rsid w:val="00CB71D3"/>
    <w:rsid w:val="00CB72BC"/>
    <w:rsid w:val="00CB7313"/>
    <w:rsid w:val="00CB751D"/>
    <w:rsid w:val="00CB7CDD"/>
    <w:rsid w:val="00CB7FC3"/>
    <w:rsid w:val="00CB7FE3"/>
    <w:rsid w:val="00CC023B"/>
    <w:rsid w:val="00CC07E2"/>
    <w:rsid w:val="00CC08CD"/>
    <w:rsid w:val="00CC0BF7"/>
    <w:rsid w:val="00CC0DD3"/>
    <w:rsid w:val="00CC0E11"/>
    <w:rsid w:val="00CC0F61"/>
    <w:rsid w:val="00CC1357"/>
    <w:rsid w:val="00CC155B"/>
    <w:rsid w:val="00CC1595"/>
    <w:rsid w:val="00CC1638"/>
    <w:rsid w:val="00CC1735"/>
    <w:rsid w:val="00CC19B4"/>
    <w:rsid w:val="00CC1C9C"/>
    <w:rsid w:val="00CC1F26"/>
    <w:rsid w:val="00CC2052"/>
    <w:rsid w:val="00CC217D"/>
    <w:rsid w:val="00CC2269"/>
    <w:rsid w:val="00CC229D"/>
    <w:rsid w:val="00CC2540"/>
    <w:rsid w:val="00CC26B2"/>
    <w:rsid w:val="00CC28D6"/>
    <w:rsid w:val="00CC2DFC"/>
    <w:rsid w:val="00CC2F03"/>
    <w:rsid w:val="00CC306C"/>
    <w:rsid w:val="00CC3468"/>
    <w:rsid w:val="00CC37E1"/>
    <w:rsid w:val="00CC3921"/>
    <w:rsid w:val="00CC3CDF"/>
    <w:rsid w:val="00CC3DBB"/>
    <w:rsid w:val="00CC41BA"/>
    <w:rsid w:val="00CC4328"/>
    <w:rsid w:val="00CC442E"/>
    <w:rsid w:val="00CC46FA"/>
    <w:rsid w:val="00CC4C34"/>
    <w:rsid w:val="00CC4D75"/>
    <w:rsid w:val="00CC4ED4"/>
    <w:rsid w:val="00CC508C"/>
    <w:rsid w:val="00CC50BE"/>
    <w:rsid w:val="00CC521F"/>
    <w:rsid w:val="00CC52CF"/>
    <w:rsid w:val="00CC54EE"/>
    <w:rsid w:val="00CC56B8"/>
    <w:rsid w:val="00CC57E2"/>
    <w:rsid w:val="00CC5851"/>
    <w:rsid w:val="00CC5DC6"/>
    <w:rsid w:val="00CC6219"/>
    <w:rsid w:val="00CC638D"/>
    <w:rsid w:val="00CC6426"/>
    <w:rsid w:val="00CC675E"/>
    <w:rsid w:val="00CC67AA"/>
    <w:rsid w:val="00CC6925"/>
    <w:rsid w:val="00CC69A5"/>
    <w:rsid w:val="00CC6F38"/>
    <w:rsid w:val="00CC7275"/>
    <w:rsid w:val="00CC737C"/>
    <w:rsid w:val="00CC78A8"/>
    <w:rsid w:val="00CC7B5F"/>
    <w:rsid w:val="00CC7B7E"/>
    <w:rsid w:val="00CC7E28"/>
    <w:rsid w:val="00CD000C"/>
    <w:rsid w:val="00CD0117"/>
    <w:rsid w:val="00CD0118"/>
    <w:rsid w:val="00CD026E"/>
    <w:rsid w:val="00CD03C4"/>
    <w:rsid w:val="00CD04CC"/>
    <w:rsid w:val="00CD050A"/>
    <w:rsid w:val="00CD0CF8"/>
    <w:rsid w:val="00CD0FCA"/>
    <w:rsid w:val="00CD11BF"/>
    <w:rsid w:val="00CD120A"/>
    <w:rsid w:val="00CD1213"/>
    <w:rsid w:val="00CD12EB"/>
    <w:rsid w:val="00CD1508"/>
    <w:rsid w:val="00CD1A4A"/>
    <w:rsid w:val="00CD1A4D"/>
    <w:rsid w:val="00CD1A8C"/>
    <w:rsid w:val="00CD1C72"/>
    <w:rsid w:val="00CD213B"/>
    <w:rsid w:val="00CD21F3"/>
    <w:rsid w:val="00CD22F1"/>
    <w:rsid w:val="00CD23E6"/>
    <w:rsid w:val="00CD2798"/>
    <w:rsid w:val="00CD2B28"/>
    <w:rsid w:val="00CD314A"/>
    <w:rsid w:val="00CD3211"/>
    <w:rsid w:val="00CD33BA"/>
    <w:rsid w:val="00CD3A25"/>
    <w:rsid w:val="00CD3BEC"/>
    <w:rsid w:val="00CD3CC9"/>
    <w:rsid w:val="00CD3F94"/>
    <w:rsid w:val="00CD4091"/>
    <w:rsid w:val="00CD43B0"/>
    <w:rsid w:val="00CD453B"/>
    <w:rsid w:val="00CD48BD"/>
    <w:rsid w:val="00CD51CD"/>
    <w:rsid w:val="00CD5335"/>
    <w:rsid w:val="00CD54A7"/>
    <w:rsid w:val="00CD5567"/>
    <w:rsid w:val="00CD5851"/>
    <w:rsid w:val="00CD5E24"/>
    <w:rsid w:val="00CD5F1A"/>
    <w:rsid w:val="00CD5F94"/>
    <w:rsid w:val="00CD6177"/>
    <w:rsid w:val="00CD618B"/>
    <w:rsid w:val="00CD6228"/>
    <w:rsid w:val="00CD626F"/>
    <w:rsid w:val="00CD6419"/>
    <w:rsid w:val="00CD64EB"/>
    <w:rsid w:val="00CD67D1"/>
    <w:rsid w:val="00CD67F2"/>
    <w:rsid w:val="00CD6817"/>
    <w:rsid w:val="00CD69E2"/>
    <w:rsid w:val="00CD6C3A"/>
    <w:rsid w:val="00CD6C91"/>
    <w:rsid w:val="00CD6DF7"/>
    <w:rsid w:val="00CD73BC"/>
    <w:rsid w:val="00CD7604"/>
    <w:rsid w:val="00CD76CB"/>
    <w:rsid w:val="00CD7775"/>
    <w:rsid w:val="00CD7866"/>
    <w:rsid w:val="00CD7CE7"/>
    <w:rsid w:val="00CD7D22"/>
    <w:rsid w:val="00CD7D80"/>
    <w:rsid w:val="00CE0016"/>
    <w:rsid w:val="00CE0122"/>
    <w:rsid w:val="00CE0233"/>
    <w:rsid w:val="00CE0427"/>
    <w:rsid w:val="00CE07BB"/>
    <w:rsid w:val="00CE0992"/>
    <w:rsid w:val="00CE0B60"/>
    <w:rsid w:val="00CE0FB3"/>
    <w:rsid w:val="00CE1194"/>
    <w:rsid w:val="00CE1531"/>
    <w:rsid w:val="00CE1781"/>
    <w:rsid w:val="00CE191B"/>
    <w:rsid w:val="00CE1A38"/>
    <w:rsid w:val="00CE1A59"/>
    <w:rsid w:val="00CE1B34"/>
    <w:rsid w:val="00CE1BBB"/>
    <w:rsid w:val="00CE1D5B"/>
    <w:rsid w:val="00CE2015"/>
    <w:rsid w:val="00CE207B"/>
    <w:rsid w:val="00CE230E"/>
    <w:rsid w:val="00CE23A6"/>
    <w:rsid w:val="00CE26E9"/>
    <w:rsid w:val="00CE2BFA"/>
    <w:rsid w:val="00CE2DDE"/>
    <w:rsid w:val="00CE2FD3"/>
    <w:rsid w:val="00CE3158"/>
    <w:rsid w:val="00CE345E"/>
    <w:rsid w:val="00CE34D2"/>
    <w:rsid w:val="00CE3704"/>
    <w:rsid w:val="00CE397A"/>
    <w:rsid w:val="00CE3BD6"/>
    <w:rsid w:val="00CE3C0B"/>
    <w:rsid w:val="00CE3C5B"/>
    <w:rsid w:val="00CE3DAF"/>
    <w:rsid w:val="00CE3EA4"/>
    <w:rsid w:val="00CE3FEA"/>
    <w:rsid w:val="00CE41D9"/>
    <w:rsid w:val="00CE46A5"/>
    <w:rsid w:val="00CE46D3"/>
    <w:rsid w:val="00CE48EF"/>
    <w:rsid w:val="00CE4A46"/>
    <w:rsid w:val="00CE4F0A"/>
    <w:rsid w:val="00CE5309"/>
    <w:rsid w:val="00CE53DF"/>
    <w:rsid w:val="00CE56D5"/>
    <w:rsid w:val="00CE5766"/>
    <w:rsid w:val="00CE5DA9"/>
    <w:rsid w:val="00CE5E0D"/>
    <w:rsid w:val="00CE5E9C"/>
    <w:rsid w:val="00CE5FD6"/>
    <w:rsid w:val="00CE605C"/>
    <w:rsid w:val="00CE6070"/>
    <w:rsid w:val="00CE6338"/>
    <w:rsid w:val="00CE648B"/>
    <w:rsid w:val="00CE6843"/>
    <w:rsid w:val="00CE69B7"/>
    <w:rsid w:val="00CE6A49"/>
    <w:rsid w:val="00CE6B10"/>
    <w:rsid w:val="00CE6BDD"/>
    <w:rsid w:val="00CE6C0A"/>
    <w:rsid w:val="00CE6C50"/>
    <w:rsid w:val="00CE6CB2"/>
    <w:rsid w:val="00CE6E8D"/>
    <w:rsid w:val="00CE6F17"/>
    <w:rsid w:val="00CE728C"/>
    <w:rsid w:val="00CE73A9"/>
    <w:rsid w:val="00CE7546"/>
    <w:rsid w:val="00CF0597"/>
    <w:rsid w:val="00CF078A"/>
    <w:rsid w:val="00CF0946"/>
    <w:rsid w:val="00CF095E"/>
    <w:rsid w:val="00CF0F52"/>
    <w:rsid w:val="00CF0F73"/>
    <w:rsid w:val="00CF10F1"/>
    <w:rsid w:val="00CF14CC"/>
    <w:rsid w:val="00CF187C"/>
    <w:rsid w:val="00CF1C7C"/>
    <w:rsid w:val="00CF21F8"/>
    <w:rsid w:val="00CF2297"/>
    <w:rsid w:val="00CF2316"/>
    <w:rsid w:val="00CF24EE"/>
    <w:rsid w:val="00CF276F"/>
    <w:rsid w:val="00CF27E0"/>
    <w:rsid w:val="00CF28BD"/>
    <w:rsid w:val="00CF28F5"/>
    <w:rsid w:val="00CF2E07"/>
    <w:rsid w:val="00CF2E6E"/>
    <w:rsid w:val="00CF3074"/>
    <w:rsid w:val="00CF3107"/>
    <w:rsid w:val="00CF3224"/>
    <w:rsid w:val="00CF335F"/>
    <w:rsid w:val="00CF3537"/>
    <w:rsid w:val="00CF3540"/>
    <w:rsid w:val="00CF3687"/>
    <w:rsid w:val="00CF38B0"/>
    <w:rsid w:val="00CF3965"/>
    <w:rsid w:val="00CF3B3A"/>
    <w:rsid w:val="00CF3D8F"/>
    <w:rsid w:val="00CF4120"/>
    <w:rsid w:val="00CF42B1"/>
    <w:rsid w:val="00CF43A3"/>
    <w:rsid w:val="00CF43A6"/>
    <w:rsid w:val="00CF4553"/>
    <w:rsid w:val="00CF471E"/>
    <w:rsid w:val="00CF47DD"/>
    <w:rsid w:val="00CF4926"/>
    <w:rsid w:val="00CF4A34"/>
    <w:rsid w:val="00CF4AE9"/>
    <w:rsid w:val="00CF4C24"/>
    <w:rsid w:val="00CF4CD4"/>
    <w:rsid w:val="00CF4D6B"/>
    <w:rsid w:val="00CF4DEC"/>
    <w:rsid w:val="00CF4F5E"/>
    <w:rsid w:val="00CF52C1"/>
    <w:rsid w:val="00CF53A1"/>
    <w:rsid w:val="00CF59BF"/>
    <w:rsid w:val="00CF5A6B"/>
    <w:rsid w:val="00CF5A6E"/>
    <w:rsid w:val="00CF5F12"/>
    <w:rsid w:val="00CF60BC"/>
    <w:rsid w:val="00CF61C8"/>
    <w:rsid w:val="00CF61D7"/>
    <w:rsid w:val="00CF6546"/>
    <w:rsid w:val="00CF65D5"/>
    <w:rsid w:val="00CF67C1"/>
    <w:rsid w:val="00CF67C2"/>
    <w:rsid w:val="00CF6973"/>
    <w:rsid w:val="00CF69AA"/>
    <w:rsid w:val="00CF6B35"/>
    <w:rsid w:val="00CF6C36"/>
    <w:rsid w:val="00CF6F9E"/>
    <w:rsid w:val="00CF71FE"/>
    <w:rsid w:val="00CF72A4"/>
    <w:rsid w:val="00CF739F"/>
    <w:rsid w:val="00CF75F4"/>
    <w:rsid w:val="00CF770C"/>
    <w:rsid w:val="00CF7CE2"/>
    <w:rsid w:val="00CF7E4A"/>
    <w:rsid w:val="00D009CA"/>
    <w:rsid w:val="00D00B78"/>
    <w:rsid w:val="00D00CED"/>
    <w:rsid w:val="00D01200"/>
    <w:rsid w:val="00D01427"/>
    <w:rsid w:val="00D0162B"/>
    <w:rsid w:val="00D017DF"/>
    <w:rsid w:val="00D020B8"/>
    <w:rsid w:val="00D0239B"/>
    <w:rsid w:val="00D024E7"/>
    <w:rsid w:val="00D025DC"/>
    <w:rsid w:val="00D02649"/>
    <w:rsid w:val="00D02BEE"/>
    <w:rsid w:val="00D02E92"/>
    <w:rsid w:val="00D03A88"/>
    <w:rsid w:val="00D03C25"/>
    <w:rsid w:val="00D03D14"/>
    <w:rsid w:val="00D03D4D"/>
    <w:rsid w:val="00D0477D"/>
    <w:rsid w:val="00D04AA3"/>
    <w:rsid w:val="00D04B2E"/>
    <w:rsid w:val="00D04C09"/>
    <w:rsid w:val="00D04DBC"/>
    <w:rsid w:val="00D04E70"/>
    <w:rsid w:val="00D052C1"/>
    <w:rsid w:val="00D0550F"/>
    <w:rsid w:val="00D05920"/>
    <w:rsid w:val="00D05C33"/>
    <w:rsid w:val="00D061B3"/>
    <w:rsid w:val="00D06320"/>
    <w:rsid w:val="00D06476"/>
    <w:rsid w:val="00D0669B"/>
    <w:rsid w:val="00D0676F"/>
    <w:rsid w:val="00D06C50"/>
    <w:rsid w:val="00D06C51"/>
    <w:rsid w:val="00D06C6C"/>
    <w:rsid w:val="00D07291"/>
    <w:rsid w:val="00D072A6"/>
    <w:rsid w:val="00D0733D"/>
    <w:rsid w:val="00D0733F"/>
    <w:rsid w:val="00D07396"/>
    <w:rsid w:val="00D07490"/>
    <w:rsid w:val="00D0782B"/>
    <w:rsid w:val="00D078A2"/>
    <w:rsid w:val="00D079DA"/>
    <w:rsid w:val="00D079F4"/>
    <w:rsid w:val="00D07A3F"/>
    <w:rsid w:val="00D07B10"/>
    <w:rsid w:val="00D07FD5"/>
    <w:rsid w:val="00D07FE2"/>
    <w:rsid w:val="00D1033B"/>
    <w:rsid w:val="00D103CA"/>
    <w:rsid w:val="00D10468"/>
    <w:rsid w:val="00D1085E"/>
    <w:rsid w:val="00D108BF"/>
    <w:rsid w:val="00D10BB7"/>
    <w:rsid w:val="00D10DBA"/>
    <w:rsid w:val="00D10E53"/>
    <w:rsid w:val="00D10F76"/>
    <w:rsid w:val="00D10FCD"/>
    <w:rsid w:val="00D1106C"/>
    <w:rsid w:val="00D1145A"/>
    <w:rsid w:val="00D11785"/>
    <w:rsid w:val="00D118EE"/>
    <w:rsid w:val="00D11AAF"/>
    <w:rsid w:val="00D11B55"/>
    <w:rsid w:val="00D11E2D"/>
    <w:rsid w:val="00D11E5D"/>
    <w:rsid w:val="00D11E97"/>
    <w:rsid w:val="00D11F6F"/>
    <w:rsid w:val="00D12199"/>
    <w:rsid w:val="00D1224F"/>
    <w:rsid w:val="00D12398"/>
    <w:rsid w:val="00D123D6"/>
    <w:rsid w:val="00D125CD"/>
    <w:rsid w:val="00D1269F"/>
    <w:rsid w:val="00D12712"/>
    <w:rsid w:val="00D12847"/>
    <w:rsid w:val="00D12997"/>
    <w:rsid w:val="00D12A0B"/>
    <w:rsid w:val="00D12C9D"/>
    <w:rsid w:val="00D12F48"/>
    <w:rsid w:val="00D1319F"/>
    <w:rsid w:val="00D13213"/>
    <w:rsid w:val="00D13322"/>
    <w:rsid w:val="00D13729"/>
    <w:rsid w:val="00D1390A"/>
    <w:rsid w:val="00D13CA5"/>
    <w:rsid w:val="00D13DD6"/>
    <w:rsid w:val="00D13EE1"/>
    <w:rsid w:val="00D141C3"/>
    <w:rsid w:val="00D142C1"/>
    <w:rsid w:val="00D14559"/>
    <w:rsid w:val="00D14BF7"/>
    <w:rsid w:val="00D14C1E"/>
    <w:rsid w:val="00D14C96"/>
    <w:rsid w:val="00D14DD0"/>
    <w:rsid w:val="00D1531B"/>
    <w:rsid w:val="00D155F0"/>
    <w:rsid w:val="00D1569B"/>
    <w:rsid w:val="00D156E2"/>
    <w:rsid w:val="00D1577D"/>
    <w:rsid w:val="00D15784"/>
    <w:rsid w:val="00D159EB"/>
    <w:rsid w:val="00D15CA4"/>
    <w:rsid w:val="00D15D5A"/>
    <w:rsid w:val="00D15DED"/>
    <w:rsid w:val="00D163CE"/>
    <w:rsid w:val="00D16A0A"/>
    <w:rsid w:val="00D16C19"/>
    <w:rsid w:val="00D16DC2"/>
    <w:rsid w:val="00D16F4F"/>
    <w:rsid w:val="00D1714C"/>
    <w:rsid w:val="00D1751C"/>
    <w:rsid w:val="00D17575"/>
    <w:rsid w:val="00D17827"/>
    <w:rsid w:val="00D17885"/>
    <w:rsid w:val="00D17AF7"/>
    <w:rsid w:val="00D17EF5"/>
    <w:rsid w:val="00D20073"/>
    <w:rsid w:val="00D202EC"/>
    <w:rsid w:val="00D20441"/>
    <w:rsid w:val="00D20447"/>
    <w:rsid w:val="00D20E8F"/>
    <w:rsid w:val="00D2101C"/>
    <w:rsid w:val="00D211BF"/>
    <w:rsid w:val="00D2189B"/>
    <w:rsid w:val="00D21B60"/>
    <w:rsid w:val="00D21C6F"/>
    <w:rsid w:val="00D21DB2"/>
    <w:rsid w:val="00D21FDA"/>
    <w:rsid w:val="00D2200B"/>
    <w:rsid w:val="00D222C1"/>
    <w:rsid w:val="00D22878"/>
    <w:rsid w:val="00D229A9"/>
    <w:rsid w:val="00D229C2"/>
    <w:rsid w:val="00D22BC6"/>
    <w:rsid w:val="00D22C8F"/>
    <w:rsid w:val="00D22E8E"/>
    <w:rsid w:val="00D22F59"/>
    <w:rsid w:val="00D22F88"/>
    <w:rsid w:val="00D23255"/>
    <w:rsid w:val="00D23297"/>
    <w:rsid w:val="00D233EB"/>
    <w:rsid w:val="00D23658"/>
    <w:rsid w:val="00D23DC1"/>
    <w:rsid w:val="00D23F46"/>
    <w:rsid w:val="00D2401B"/>
    <w:rsid w:val="00D24036"/>
    <w:rsid w:val="00D240D7"/>
    <w:rsid w:val="00D24343"/>
    <w:rsid w:val="00D2464D"/>
    <w:rsid w:val="00D24AD5"/>
    <w:rsid w:val="00D24AE6"/>
    <w:rsid w:val="00D24EC9"/>
    <w:rsid w:val="00D24F22"/>
    <w:rsid w:val="00D251AE"/>
    <w:rsid w:val="00D252A2"/>
    <w:rsid w:val="00D252F8"/>
    <w:rsid w:val="00D25432"/>
    <w:rsid w:val="00D25471"/>
    <w:rsid w:val="00D255C1"/>
    <w:rsid w:val="00D25FA7"/>
    <w:rsid w:val="00D25FDA"/>
    <w:rsid w:val="00D26044"/>
    <w:rsid w:val="00D265F2"/>
    <w:rsid w:val="00D26727"/>
    <w:rsid w:val="00D26A61"/>
    <w:rsid w:val="00D26C82"/>
    <w:rsid w:val="00D26CD8"/>
    <w:rsid w:val="00D26DC6"/>
    <w:rsid w:val="00D26E2B"/>
    <w:rsid w:val="00D27133"/>
    <w:rsid w:val="00D27308"/>
    <w:rsid w:val="00D27347"/>
    <w:rsid w:val="00D275DE"/>
    <w:rsid w:val="00D2774D"/>
    <w:rsid w:val="00D27C68"/>
    <w:rsid w:val="00D27DCC"/>
    <w:rsid w:val="00D27EBB"/>
    <w:rsid w:val="00D27EC3"/>
    <w:rsid w:val="00D30191"/>
    <w:rsid w:val="00D30270"/>
    <w:rsid w:val="00D3039E"/>
    <w:rsid w:val="00D30777"/>
    <w:rsid w:val="00D30886"/>
    <w:rsid w:val="00D31011"/>
    <w:rsid w:val="00D310BB"/>
    <w:rsid w:val="00D31632"/>
    <w:rsid w:val="00D316F8"/>
    <w:rsid w:val="00D319F0"/>
    <w:rsid w:val="00D31DC5"/>
    <w:rsid w:val="00D31E23"/>
    <w:rsid w:val="00D31FA8"/>
    <w:rsid w:val="00D3214D"/>
    <w:rsid w:val="00D3215B"/>
    <w:rsid w:val="00D32367"/>
    <w:rsid w:val="00D323AC"/>
    <w:rsid w:val="00D32478"/>
    <w:rsid w:val="00D3268A"/>
    <w:rsid w:val="00D32853"/>
    <w:rsid w:val="00D32869"/>
    <w:rsid w:val="00D32DB2"/>
    <w:rsid w:val="00D33562"/>
    <w:rsid w:val="00D335D9"/>
    <w:rsid w:val="00D3372F"/>
    <w:rsid w:val="00D33AE9"/>
    <w:rsid w:val="00D33D6F"/>
    <w:rsid w:val="00D34416"/>
    <w:rsid w:val="00D34480"/>
    <w:rsid w:val="00D346E8"/>
    <w:rsid w:val="00D34757"/>
    <w:rsid w:val="00D349E4"/>
    <w:rsid w:val="00D34F9D"/>
    <w:rsid w:val="00D35256"/>
    <w:rsid w:val="00D35296"/>
    <w:rsid w:val="00D35839"/>
    <w:rsid w:val="00D35A55"/>
    <w:rsid w:val="00D35D09"/>
    <w:rsid w:val="00D35F42"/>
    <w:rsid w:val="00D363B4"/>
    <w:rsid w:val="00D36528"/>
    <w:rsid w:val="00D36702"/>
    <w:rsid w:val="00D36826"/>
    <w:rsid w:val="00D36B6A"/>
    <w:rsid w:val="00D36B92"/>
    <w:rsid w:val="00D36C00"/>
    <w:rsid w:val="00D36C72"/>
    <w:rsid w:val="00D36D50"/>
    <w:rsid w:val="00D36F54"/>
    <w:rsid w:val="00D36FF2"/>
    <w:rsid w:val="00D3726A"/>
    <w:rsid w:val="00D376A3"/>
    <w:rsid w:val="00D3772F"/>
    <w:rsid w:val="00D37893"/>
    <w:rsid w:val="00D37905"/>
    <w:rsid w:val="00D3796A"/>
    <w:rsid w:val="00D37D87"/>
    <w:rsid w:val="00D403ED"/>
    <w:rsid w:val="00D40555"/>
    <w:rsid w:val="00D406FC"/>
    <w:rsid w:val="00D412C7"/>
    <w:rsid w:val="00D414A1"/>
    <w:rsid w:val="00D41536"/>
    <w:rsid w:val="00D415B1"/>
    <w:rsid w:val="00D419B9"/>
    <w:rsid w:val="00D41B9A"/>
    <w:rsid w:val="00D41FD6"/>
    <w:rsid w:val="00D4218E"/>
    <w:rsid w:val="00D42225"/>
    <w:rsid w:val="00D42331"/>
    <w:rsid w:val="00D42373"/>
    <w:rsid w:val="00D427EB"/>
    <w:rsid w:val="00D429FB"/>
    <w:rsid w:val="00D42D3E"/>
    <w:rsid w:val="00D42EFE"/>
    <w:rsid w:val="00D42F24"/>
    <w:rsid w:val="00D43156"/>
    <w:rsid w:val="00D432E4"/>
    <w:rsid w:val="00D43312"/>
    <w:rsid w:val="00D43641"/>
    <w:rsid w:val="00D4375C"/>
    <w:rsid w:val="00D439E7"/>
    <w:rsid w:val="00D43A91"/>
    <w:rsid w:val="00D43F7F"/>
    <w:rsid w:val="00D4405C"/>
    <w:rsid w:val="00D440AB"/>
    <w:rsid w:val="00D444EE"/>
    <w:rsid w:val="00D4454A"/>
    <w:rsid w:val="00D449CC"/>
    <w:rsid w:val="00D44B2B"/>
    <w:rsid w:val="00D44F7D"/>
    <w:rsid w:val="00D45194"/>
    <w:rsid w:val="00D4548B"/>
    <w:rsid w:val="00D45A8A"/>
    <w:rsid w:val="00D45B7F"/>
    <w:rsid w:val="00D45CF0"/>
    <w:rsid w:val="00D45E1A"/>
    <w:rsid w:val="00D45E8C"/>
    <w:rsid w:val="00D460F8"/>
    <w:rsid w:val="00D46115"/>
    <w:rsid w:val="00D4617D"/>
    <w:rsid w:val="00D4646E"/>
    <w:rsid w:val="00D464F9"/>
    <w:rsid w:val="00D46599"/>
    <w:rsid w:val="00D467B0"/>
    <w:rsid w:val="00D467C3"/>
    <w:rsid w:val="00D46957"/>
    <w:rsid w:val="00D46972"/>
    <w:rsid w:val="00D46ACB"/>
    <w:rsid w:val="00D46ADD"/>
    <w:rsid w:val="00D471B5"/>
    <w:rsid w:val="00D471C8"/>
    <w:rsid w:val="00D47910"/>
    <w:rsid w:val="00D47B20"/>
    <w:rsid w:val="00D47C10"/>
    <w:rsid w:val="00D47C33"/>
    <w:rsid w:val="00D47EF8"/>
    <w:rsid w:val="00D50168"/>
    <w:rsid w:val="00D504B8"/>
    <w:rsid w:val="00D50609"/>
    <w:rsid w:val="00D50B8F"/>
    <w:rsid w:val="00D50C20"/>
    <w:rsid w:val="00D50FA0"/>
    <w:rsid w:val="00D51045"/>
    <w:rsid w:val="00D513CC"/>
    <w:rsid w:val="00D51477"/>
    <w:rsid w:val="00D51765"/>
    <w:rsid w:val="00D5192B"/>
    <w:rsid w:val="00D51DE7"/>
    <w:rsid w:val="00D51E99"/>
    <w:rsid w:val="00D52051"/>
    <w:rsid w:val="00D521A6"/>
    <w:rsid w:val="00D52403"/>
    <w:rsid w:val="00D5283A"/>
    <w:rsid w:val="00D52B37"/>
    <w:rsid w:val="00D52CF0"/>
    <w:rsid w:val="00D52D5E"/>
    <w:rsid w:val="00D52F1D"/>
    <w:rsid w:val="00D53246"/>
    <w:rsid w:val="00D5334A"/>
    <w:rsid w:val="00D533B5"/>
    <w:rsid w:val="00D53459"/>
    <w:rsid w:val="00D5384C"/>
    <w:rsid w:val="00D5387C"/>
    <w:rsid w:val="00D53CCB"/>
    <w:rsid w:val="00D540E0"/>
    <w:rsid w:val="00D541A8"/>
    <w:rsid w:val="00D545FF"/>
    <w:rsid w:val="00D5472A"/>
    <w:rsid w:val="00D549A7"/>
    <w:rsid w:val="00D54BAC"/>
    <w:rsid w:val="00D54BD7"/>
    <w:rsid w:val="00D54CDC"/>
    <w:rsid w:val="00D54D67"/>
    <w:rsid w:val="00D54DA7"/>
    <w:rsid w:val="00D54F4C"/>
    <w:rsid w:val="00D55108"/>
    <w:rsid w:val="00D551A9"/>
    <w:rsid w:val="00D551BC"/>
    <w:rsid w:val="00D555DA"/>
    <w:rsid w:val="00D55893"/>
    <w:rsid w:val="00D55946"/>
    <w:rsid w:val="00D55B0E"/>
    <w:rsid w:val="00D55F2F"/>
    <w:rsid w:val="00D562B0"/>
    <w:rsid w:val="00D5663D"/>
    <w:rsid w:val="00D56730"/>
    <w:rsid w:val="00D56784"/>
    <w:rsid w:val="00D567CB"/>
    <w:rsid w:val="00D5680D"/>
    <w:rsid w:val="00D5696E"/>
    <w:rsid w:val="00D56A19"/>
    <w:rsid w:val="00D56A47"/>
    <w:rsid w:val="00D56AC9"/>
    <w:rsid w:val="00D56C7F"/>
    <w:rsid w:val="00D56F25"/>
    <w:rsid w:val="00D56FE6"/>
    <w:rsid w:val="00D57188"/>
    <w:rsid w:val="00D571B0"/>
    <w:rsid w:val="00D5735B"/>
    <w:rsid w:val="00D57438"/>
    <w:rsid w:val="00D57514"/>
    <w:rsid w:val="00D575AE"/>
    <w:rsid w:val="00D576A2"/>
    <w:rsid w:val="00D5770B"/>
    <w:rsid w:val="00D57D38"/>
    <w:rsid w:val="00D57FA5"/>
    <w:rsid w:val="00D6021F"/>
    <w:rsid w:val="00D602FE"/>
    <w:rsid w:val="00D60426"/>
    <w:rsid w:val="00D606E0"/>
    <w:rsid w:val="00D60AD6"/>
    <w:rsid w:val="00D60CD9"/>
    <w:rsid w:val="00D60EAD"/>
    <w:rsid w:val="00D60FA6"/>
    <w:rsid w:val="00D61093"/>
    <w:rsid w:val="00D616E8"/>
    <w:rsid w:val="00D61763"/>
    <w:rsid w:val="00D617A9"/>
    <w:rsid w:val="00D61935"/>
    <w:rsid w:val="00D6196A"/>
    <w:rsid w:val="00D61ACA"/>
    <w:rsid w:val="00D61BCF"/>
    <w:rsid w:val="00D61DC5"/>
    <w:rsid w:val="00D61DEE"/>
    <w:rsid w:val="00D61E6E"/>
    <w:rsid w:val="00D6244C"/>
    <w:rsid w:val="00D62577"/>
    <w:rsid w:val="00D62C16"/>
    <w:rsid w:val="00D62D24"/>
    <w:rsid w:val="00D62D33"/>
    <w:rsid w:val="00D62E3A"/>
    <w:rsid w:val="00D63001"/>
    <w:rsid w:val="00D630C6"/>
    <w:rsid w:val="00D630FA"/>
    <w:rsid w:val="00D637EA"/>
    <w:rsid w:val="00D6393C"/>
    <w:rsid w:val="00D63C80"/>
    <w:rsid w:val="00D63E15"/>
    <w:rsid w:val="00D6418E"/>
    <w:rsid w:val="00D64349"/>
    <w:rsid w:val="00D644B2"/>
    <w:rsid w:val="00D645C6"/>
    <w:rsid w:val="00D64977"/>
    <w:rsid w:val="00D64984"/>
    <w:rsid w:val="00D64BC8"/>
    <w:rsid w:val="00D64D87"/>
    <w:rsid w:val="00D6522D"/>
    <w:rsid w:val="00D6536C"/>
    <w:rsid w:val="00D65847"/>
    <w:rsid w:val="00D65ACD"/>
    <w:rsid w:val="00D65AEF"/>
    <w:rsid w:val="00D65B83"/>
    <w:rsid w:val="00D65CE7"/>
    <w:rsid w:val="00D65F22"/>
    <w:rsid w:val="00D664C1"/>
    <w:rsid w:val="00D6676D"/>
    <w:rsid w:val="00D66843"/>
    <w:rsid w:val="00D66987"/>
    <w:rsid w:val="00D66E46"/>
    <w:rsid w:val="00D6738D"/>
    <w:rsid w:val="00D676C0"/>
    <w:rsid w:val="00D67740"/>
    <w:rsid w:val="00D67780"/>
    <w:rsid w:val="00D679E4"/>
    <w:rsid w:val="00D679EB"/>
    <w:rsid w:val="00D67A10"/>
    <w:rsid w:val="00D67A7C"/>
    <w:rsid w:val="00D70246"/>
    <w:rsid w:val="00D7028A"/>
    <w:rsid w:val="00D70366"/>
    <w:rsid w:val="00D705F8"/>
    <w:rsid w:val="00D70848"/>
    <w:rsid w:val="00D70E2B"/>
    <w:rsid w:val="00D70EFA"/>
    <w:rsid w:val="00D7104A"/>
    <w:rsid w:val="00D7104D"/>
    <w:rsid w:val="00D71072"/>
    <w:rsid w:val="00D71172"/>
    <w:rsid w:val="00D71267"/>
    <w:rsid w:val="00D716CF"/>
    <w:rsid w:val="00D717BE"/>
    <w:rsid w:val="00D717E4"/>
    <w:rsid w:val="00D71AEB"/>
    <w:rsid w:val="00D71B20"/>
    <w:rsid w:val="00D71C20"/>
    <w:rsid w:val="00D71CAE"/>
    <w:rsid w:val="00D71D0A"/>
    <w:rsid w:val="00D71FA1"/>
    <w:rsid w:val="00D71FE2"/>
    <w:rsid w:val="00D72890"/>
    <w:rsid w:val="00D72B1B"/>
    <w:rsid w:val="00D72B68"/>
    <w:rsid w:val="00D72CF6"/>
    <w:rsid w:val="00D72D00"/>
    <w:rsid w:val="00D73175"/>
    <w:rsid w:val="00D73482"/>
    <w:rsid w:val="00D73491"/>
    <w:rsid w:val="00D734BF"/>
    <w:rsid w:val="00D736F0"/>
    <w:rsid w:val="00D739E8"/>
    <w:rsid w:val="00D73A1F"/>
    <w:rsid w:val="00D73ADF"/>
    <w:rsid w:val="00D73B24"/>
    <w:rsid w:val="00D73C81"/>
    <w:rsid w:val="00D73F99"/>
    <w:rsid w:val="00D7411F"/>
    <w:rsid w:val="00D7412A"/>
    <w:rsid w:val="00D745B5"/>
    <w:rsid w:val="00D747E3"/>
    <w:rsid w:val="00D7480A"/>
    <w:rsid w:val="00D74A24"/>
    <w:rsid w:val="00D74B04"/>
    <w:rsid w:val="00D74B3F"/>
    <w:rsid w:val="00D74C18"/>
    <w:rsid w:val="00D74CEE"/>
    <w:rsid w:val="00D74D31"/>
    <w:rsid w:val="00D74FB3"/>
    <w:rsid w:val="00D7531A"/>
    <w:rsid w:val="00D754EF"/>
    <w:rsid w:val="00D755A4"/>
    <w:rsid w:val="00D758B5"/>
    <w:rsid w:val="00D758FC"/>
    <w:rsid w:val="00D75B3F"/>
    <w:rsid w:val="00D75CC1"/>
    <w:rsid w:val="00D763AD"/>
    <w:rsid w:val="00D7665A"/>
    <w:rsid w:val="00D7680D"/>
    <w:rsid w:val="00D76BEA"/>
    <w:rsid w:val="00D76DC0"/>
    <w:rsid w:val="00D76EE1"/>
    <w:rsid w:val="00D77047"/>
    <w:rsid w:val="00D77063"/>
    <w:rsid w:val="00D770F3"/>
    <w:rsid w:val="00D77194"/>
    <w:rsid w:val="00D775D1"/>
    <w:rsid w:val="00D777C5"/>
    <w:rsid w:val="00D77866"/>
    <w:rsid w:val="00D778AB"/>
    <w:rsid w:val="00D77B3E"/>
    <w:rsid w:val="00D77E1A"/>
    <w:rsid w:val="00D77F02"/>
    <w:rsid w:val="00D800EC"/>
    <w:rsid w:val="00D80251"/>
    <w:rsid w:val="00D8029C"/>
    <w:rsid w:val="00D803D6"/>
    <w:rsid w:val="00D804A4"/>
    <w:rsid w:val="00D804D7"/>
    <w:rsid w:val="00D80638"/>
    <w:rsid w:val="00D80842"/>
    <w:rsid w:val="00D809D4"/>
    <w:rsid w:val="00D80AD1"/>
    <w:rsid w:val="00D80BF2"/>
    <w:rsid w:val="00D80F69"/>
    <w:rsid w:val="00D80FAA"/>
    <w:rsid w:val="00D810D9"/>
    <w:rsid w:val="00D814CA"/>
    <w:rsid w:val="00D81F35"/>
    <w:rsid w:val="00D820F0"/>
    <w:rsid w:val="00D82403"/>
    <w:rsid w:val="00D82589"/>
    <w:rsid w:val="00D82651"/>
    <w:rsid w:val="00D82805"/>
    <w:rsid w:val="00D829FA"/>
    <w:rsid w:val="00D82A56"/>
    <w:rsid w:val="00D82F72"/>
    <w:rsid w:val="00D8330D"/>
    <w:rsid w:val="00D83BAD"/>
    <w:rsid w:val="00D83C0A"/>
    <w:rsid w:val="00D83DC4"/>
    <w:rsid w:val="00D83FA9"/>
    <w:rsid w:val="00D84836"/>
    <w:rsid w:val="00D848B6"/>
    <w:rsid w:val="00D84CE6"/>
    <w:rsid w:val="00D84E0A"/>
    <w:rsid w:val="00D850CD"/>
    <w:rsid w:val="00D850D4"/>
    <w:rsid w:val="00D8511A"/>
    <w:rsid w:val="00D857D5"/>
    <w:rsid w:val="00D85840"/>
    <w:rsid w:val="00D8597A"/>
    <w:rsid w:val="00D85C3A"/>
    <w:rsid w:val="00D85CF1"/>
    <w:rsid w:val="00D85EE8"/>
    <w:rsid w:val="00D85F34"/>
    <w:rsid w:val="00D86100"/>
    <w:rsid w:val="00D8629A"/>
    <w:rsid w:val="00D865BE"/>
    <w:rsid w:val="00D8674D"/>
    <w:rsid w:val="00D867B6"/>
    <w:rsid w:val="00D86CBA"/>
    <w:rsid w:val="00D86E94"/>
    <w:rsid w:val="00D871CC"/>
    <w:rsid w:val="00D8720E"/>
    <w:rsid w:val="00D874D6"/>
    <w:rsid w:val="00D87959"/>
    <w:rsid w:val="00D87D70"/>
    <w:rsid w:val="00D87F69"/>
    <w:rsid w:val="00D87FF0"/>
    <w:rsid w:val="00D90472"/>
    <w:rsid w:val="00D90539"/>
    <w:rsid w:val="00D90578"/>
    <w:rsid w:val="00D906B8"/>
    <w:rsid w:val="00D906C3"/>
    <w:rsid w:val="00D90921"/>
    <w:rsid w:val="00D90B70"/>
    <w:rsid w:val="00D90DB6"/>
    <w:rsid w:val="00D90EB7"/>
    <w:rsid w:val="00D90EF8"/>
    <w:rsid w:val="00D90F9D"/>
    <w:rsid w:val="00D9104B"/>
    <w:rsid w:val="00D9116B"/>
    <w:rsid w:val="00D91317"/>
    <w:rsid w:val="00D9135B"/>
    <w:rsid w:val="00D915A2"/>
    <w:rsid w:val="00D9169A"/>
    <w:rsid w:val="00D91813"/>
    <w:rsid w:val="00D918B7"/>
    <w:rsid w:val="00D91C40"/>
    <w:rsid w:val="00D91E59"/>
    <w:rsid w:val="00D91E65"/>
    <w:rsid w:val="00D92297"/>
    <w:rsid w:val="00D92706"/>
    <w:rsid w:val="00D92866"/>
    <w:rsid w:val="00D92B20"/>
    <w:rsid w:val="00D92B21"/>
    <w:rsid w:val="00D92B40"/>
    <w:rsid w:val="00D92CCC"/>
    <w:rsid w:val="00D931C3"/>
    <w:rsid w:val="00D9330E"/>
    <w:rsid w:val="00D93431"/>
    <w:rsid w:val="00D9346E"/>
    <w:rsid w:val="00D9353E"/>
    <w:rsid w:val="00D93744"/>
    <w:rsid w:val="00D93788"/>
    <w:rsid w:val="00D9382A"/>
    <w:rsid w:val="00D93A2D"/>
    <w:rsid w:val="00D93CE5"/>
    <w:rsid w:val="00D93D02"/>
    <w:rsid w:val="00D93E20"/>
    <w:rsid w:val="00D93E7B"/>
    <w:rsid w:val="00D941B9"/>
    <w:rsid w:val="00D94426"/>
    <w:rsid w:val="00D94427"/>
    <w:rsid w:val="00D9449C"/>
    <w:rsid w:val="00D94613"/>
    <w:rsid w:val="00D94C5F"/>
    <w:rsid w:val="00D94FE3"/>
    <w:rsid w:val="00D9515E"/>
    <w:rsid w:val="00D952E4"/>
    <w:rsid w:val="00D9543A"/>
    <w:rsid w:val="00D959C3"/>
    <w:rsid w:val="00D95A83"/>
    <w:rsid w:val="00D95C4B"/>
    <w:rsid w:val="00D95E4C"/>
    <w:rsid w:val="00D95F39"/>
    <w:rsid w:val="00D960C5"/>
    <w:rsid w:val="00D9614D"/>
    <w:rsid w:val="00D965C2"/>
    <w:rsid w:val="00D9686C"/>
    <w:rsid w:val="00D96881"/>
    <w:rsid w:val="00D96BBD"/>
    <w:rsid w:val="00D96C31"/>
    <w:rsid w:val="00D96C80"/>
    <w:rsid w:val="00D96E83"/>
    <w:rsid w:val="00D96F25"/>
    <w:rsid w:val="00D9709E"/>
    <w:rsid w:val="00D97163"/>
    <w:rsid w:val="00D97319"/>
    <w:rsid w:val="00D97787"/>
    <w:rsid w:val="00D97A3F"/>
    <w:rsid w:val="00D97C37"/>
    <w:rsid w:val="00D97C6C"/>
    <w:rsid w:val="00D97C8C"/>
    <w:rsid w:val="00DA0068"/>
    <w:rsid w:val="00DA01AA"/>
    <w:rsid w:val="00DA01BF"/>
    <w:rsid w:val="00DA036B"/>
    <w:rsid w:val="00DA0530"/>
    <w:rsid w:val="00DA06C8"/>
    <w:rsid w:val="00DA06D4"/>
    <w:rsid w:val="00DA0A5C"/>
    <w:rsid w:val="00DA0EA0"/>
    <w:rsid w:val="00DA1748"/>
    <w:rsid w:val="00DA17B2"/>
    <w:rsid w:val="00DA1811"/>
    <w:rsid w:val="00DA19CB"/>
    <w:rsid w:val="00DA1B22"/>
    <w:rsid w:val="00DA1CE4"/>
    <w:rsid w:val="00DA1E2C"/>
    <w:rsid w:val="00DA1F2F"/>
    <w:rsid w:val="00DA210A"/>
    <w:rsid w:val="00DA2153"/>
    <w:rsid w:val="00DA2217"/>
    <w:rsid w:val="00DA222B"/>
    <w:rsid w:val="00DA2396"/>
    <w:rsid w:val="00DA269B"/>
    <w:rsid w:val="00DA29E2"/>
    <w:rsid w:val="00DA2A9A"/>
    <w:rsid w:val="00DA2BCF"/>
    <w:rsid w:val="00DA2EBD"/>
    <w:rsid w:val="00DA2F4C"/>
    <w:rsid w:val="00DA2F79"/>
    <w:rsid w:val="00DA320C"/>
    <w:rsid w:val="00DA3396"/>
    <w:rsid w:val="00DA33B1"/>
    <w:rsid w:val="00DA37A9"/>
    <w:rsid w:val="00DA3846"/>
    <w:rsid w:val="00DA388D"/>
    <w:rsid w:val="00DA3B8E"/>
    <w:rsid w:val="00DA402E"/>
    <w:rsid w:val="00DA41EC"/>
    <w:rsid w:val="00DA4230"/>
    <w:rsid w:val="00DA43DE"/>
    <w:rsid w:val="00DA4B2E"/>
    <w:rsid w:val="00DA4CF5"/>
    <w:rsid w:val="00DA4F71"/>
    <w:rsid w:val="00DA5CF6"/>
    <w:rsid w:val="00DA5DFD"/>
    <w:rsid w:val="00DA5EF7"/>
    <w:rsid w:val="00DA60E5"/>
    <w:rsid w:val="00DA6252"/>
    <w:rsid w:val="00DA67DD"/>
    <w:rsid w:val="00DA685A"/>
    <w:rsid w:val="00DA69A9"/>
    <w:rsid w:val="00DA6C39"/>
    <w:rsid w:val="00DA6E4B"/>
    <w:rsid w:val="00DA6EA4"/>
    <w:rsid w:val="00DA6FB9"/>
    <w:rsid w:val="00DA701B"/>
    <w:rsid w:val="00DA71C9"/>
    <w:rsid w:val="00DA72FE"/>
    <w:rsid w:val="00DA75FB"/>
    <w:rsid w:val="00DA7973"/>
    <w:rsid w:val="00DA79FA"/>
    <w:rsid w:val="00DA7AE6"/>
    <w:rsid w:val="00DB0291"/>
    <w:rsid w:val="00DB02F9"/>
    <w:rsid w:val="00DB050A"/>
    <w:rsid w:val="00DB0561"/>
    <w:rsid w:val="00DB06F0"/>
    <w:rsid w:val="00DB0DEA"/>
    <w:rsid w:val="00DB0EC2"/>
    <w:rsid w:val="00DB0F12"/>
    <w:rsid w:val="00DB106A"/>
    <w:rsid w:val="00DB140A"/>
    <w:rsid w:val="00DB14AC"/>
    <w:rsid w:val="00DB1789"/>
    <w:rsid w:val="00DB17A3"/>
    <w:rsid w:val="00DB207F"/>
    <w:rsid w:val="00DB25E2"/>
    <w:rsid w:val="00DB269A"/>
    <w:rsid w:val="00DB298C"/>
    <w:rsid w:val="00DB2A3D"/>
    <w:rsid w:val="00DB2C79"/>
    <w:rsid w:val="00DB2D02"/>
    <w:rsid w:val="00DB2D72"/>
    <w:rsid w:val="00DB2DD0"/>
    <w:rsid w:val="00DB2EA6"/>
    <w:rsid w:val="00DB2F4A"/>
    <w:rsid w:val="00DB30FD"/>
    <w:rsid w:val="00DB3115"/>
    <w:rsid w:val="00DB311B"/>
    <w:rsid w:val="00DB31E0"/>
    <w:rsid w:val="00DB3562"/>
    <w:rsid w:val="00DB3E4B"/>
    <w:rsid w:val="00DB4055"/>
    <w:rsid w:val="00DB40B2"/>
    <w:rsid w:val="00DB410C"/>
    <w:rsid w:val="00DB4240"/>
    <w:rsid w:val="00DB433F"/>
    <w:rsid w:val="00DB4484"/>
    <w:rsid w:val="00DB44D3"/>
    <w:rsid w:val="00DB4670"/>
    <w:rsid w:val="00DB48CE"/>
    <w:rsid w:val="00DB4C33"/>
    <w:rsid w:val="00DB4C6F"/>
    <w:rsid w:val="00DB4D15"/>
    <w:rsid w:val="00DB4F0D"/>
    <w:rsid w:val="00DB5488"/>
    <w:rsid w:val="00DB59C5"/>
    <w:rsid w:val="00DB6058"/>
    <w:rsid w:val="00DB60CA"/>
    <w:rsid w:val="00DB6163"/>
    <w:rsid w:val="00DB62C0"/>
    <w:rsid w:val="00DB631E"/>
    <w:rsid w:val="00DB656E"/>
    <w:rsid w:val="00DB6B85"/>
    <w:rsid w:val="00DB72C9"/>
    <w:rsid w:val="00DB733B"/>
    <w:rsid w:val="00DB7499"/>
    <w:rsid w:val="00DB74F0"/>
    <w:rsid w:val="00DB7663"/>
    <w:rsid w:val="00DB7756"/>
    <w:rsid w:val="00DB7B4A"/>
    <w:rsid w:val="00DB7BAB"/>
    <w:rsid w:val="00DB7C12"/>
    <w:rsid w:val="00DB7EA0"/>
    <w:rsid w:val="00DC023C"/>
    <w:rsid w:val="00DC0581"/>
    <w:rsid w:val="00DC06AD"/>
    <w:rsid w:val="00DC08C8"/>
    <w:rsid w:val="00DC097C"/>
    <w:rsid w:val="00DC0E21"/>
    <w:rsid w:val="00DC1136"/>
    <w:rsid w:val="00DC1561"/>
    <w:rsid w:val="00DC1680"/>
    <w:rsid w:val="00DC1762"/>
    <w:rsid w:val="00DC189A"/>
    <w:rsid w:val="00DC194F"/>
    <w:rsid w:val="00DC221B"/>
    <w:rsid w:val="00DC22FC"/>
    <w:rsid w:val="00DC2632"/>
    <w:rsid w:val="00DC28AC"/>
    <w:rsid w:val="00DC29C8"/>
    <w:rsid w:val="00DC2B73"/>
    <w:rsid w:val="00DC2DB2"/>
    <w:rsid w:val="00DC2E46"/>
    <w:rsid w:val="00DC30BC"/>
    <w:rsid w:val="00DC3238"/>
    <w:rsid w:val="00DC343F"/>
    <w:rsid w:val="00DC34AB"/>
    <w:rsid w:val="00DC3959"/>
    <w:rsid w:val="00DC3B4B"/>
    <w:rsid w:val="00DC3B95"/>
    <w:rsid w:val="00DC3BC5"/>
    <w:rsid w:val="00DC3C4F"/>
    <w:rsid w:val="00DC3CBE"/>
    <w:rsid w:val="00DC3D25"/>
    <w:rsid w:val="00DC3E8D"/>
    <w:rsid w:val="00DC3EB3"/>
    <w:rsid w:val="00DC3F3D"/>
    <w:rsid w:val="00DC3FAC"/>
    <w:rsid w:val="00DC4124"/>
    <w:rsid w:val="00DC458D"/>
    <w:rsid w:val="00DC46F2"/>
    <w:rsid w:val="00DC496B"/>
    <w:rsid w:val="00DC4BE5"/>
    <w:rsid w:val="00DC4D5F"/>
    <w:rsid w:val="00DC4F36"/>
    <w:rsid w:val="00DC4FEE"/>
    <w:rsid w:val="00DC5107"/>
    <w:rsid w:val="00DC5480"/>
    <w:rsid w:val="00DC5526"/>
    <w:rsid w:val="00DC5840"/>
    <w:rsid w:val="00DC5915"/>
    <w:rsid w:val="00DC595E"/>
    <w:rsid w:val="00DC5981"/>
    <w:rsid w:val="00DC5DEB"/>
    <w:rsid w:val="00DC5F3A"/>
    <w:rsid w:val="00DC615B"/>
    <w:rsid w:val="00DC6275"/>
    <w:rsid w:val="00DC68EF"/>
    <w:rsid w:val="00DC6CAC"/>
    <w:rsid w:val="00DC6DA3"/>
    <w:rsid w:val="00DC6E3C"/>
    <w:rsid w:val="00DC6F29"/>
    <w:rsid w:val="00DC6F86"/>
    <w:rsid w:val="00DC7080"/>
    <w:rsid w:val="00DC70CF"/>
    <w:rsid w:val="00DC7295"/>
    <w:rsid w:val="00DC73EF"/>
    <w:rsid w:val="00DC761E"/>
    <w:rsid w:val="00DC77C1"/>
    <w:rsid w:val="00DC78C0"/>
    <w:rsid w:val="00DC7C21"/>
    <w:rsid w:val="00DD0086"/>
    <w:rsid w:val="00DD03C5"/>
    <w:rsid w:val="00DD041F"/>
    <w:rsid w:val="00DD04B8"/>
    <w:rsid w:val="00DD0591"/>
    <w:rsid w:val="00DD0592"/>
    <w:rsid w:val="00DD0954"/>
    <w:rsid w:val="00DD0AF1"/>
    <w:rsid w:val="00DD0AFB"/>
    <w:rsid w:val="00DD10D1"/>
    <w:rsid w:val="00DD130F"/>
    <w:rsid w:val="00DD1932"/>
    <w:rsid w:val="00DD19A9"/>
    <w:rsid w:val="00DD1ACD"/>
    <w:rsid w:val="00DD1E30"/>
    <w:rsid w:val="00DD25A5"/>
    <w:rsid w:val="00DD2733"/>
    <w:rsid w:val="00DD2872"/>
    <w:rsid w:val="00DD2A4C"/>
    <w:rsid w:val="00DD2B13"/>
    <w:rsid w:val="00DD311C"/>
    <w:rsid w:val="00DD34F9"/>
    <w:rsid w:val="00DD3670"/>
    <w:rsid w:val="00DD39B9"/>
    <w:rsid w:val="00DD3A9B"/>
    <w:rsid w:val="00DD3E09"/>
    <w:rsid w:val="00DD41B4"/>
    <w:rsid w:val="00DD48EB"/>
    <w:rsid w:val="00DD49C5"/>
    <w:rsid w:val="00DD4ABD"/>
    <w:rsid w:val="00DD5008"/>
    <w:rsid w:val="00DD526C"/>
    <w:rsid w:val="00DD55A0"/>
    <w:rsid w:val="00DD5779"/>
    <w:rsid w:val="00DD592D"/>
    <w:rsid w:val="00DD5954"/>
    <w:rsid w:val="00DD59EF"/>
    <w:rsid w:val="00DD5EA9"/>
    <w:rsid w:val="00DD5F1C"/>
    <w:rsid w:val="00DD5F3F"/>
    <w:rsid w:val="00DD5FA7"/>
    <w:rsid w:val="00DD627D"/>
    <w:rsid w:val="00DD64BB"/>
    <w:rsid w:val="00DD64BD"/>
    <w:rsid w:val="00DD65B4"/>
    <w:rsid w:val="00DD6941"/>
    <w:rsid w:val="00DD6CB1"/>
    <w:rsid w:val="00DD6DA9"/>
    <w:rsid w:val="00DD6E0C"/>
    <w:rsid w:val="00DD77BF"/>
    <w:rsid w:val="00DD7921"/>
    <w:rsid w:val="00DD7C6F"/>
    <w:rsid w:val="00DD7F2D"/>
    <w:rsid w:val="00DD7FF0"/>
    <w:rsid w:val="00DE02C5"/>
    <w:rsid w:val="00DE03E8"/>
    <w:rsid w:val="00DE0468"/>
    <w:rsid w:val="00DE052D"/>
    <w:rsid w:val="00DE060D"/>
    <w:rsid w:val="00DE0620"/>
    <w:rsid w:val="00DE0823"/>
    <w:rsid w:val="00DE08CF"/>
    <w:rsid w:val="00DE0CBB"/>
    <w:rsid w:val="00DE0CCF"/>
    <w:rsid w:val="00DE1161"/>
    <w:rsid w:val="00DE120C"/>
    <w:rsid w:val="00DE152D"/>
    <w:rsid w:val="00DE1937"/>
    <w:rsid w:val="00DE1C8B"/>
    <w:rsid w:val="00DE2060"/>
    <w:rsid w:val="00DE2205"/>
    <w:rsid w:val="00DE222E"/>
    <w:rsid w:val="00DE234E"/>
    <w:rsid w:val="00DE2844"/>
    <w:rsid w:val="00DE28E9"/>
    <w:rsid w:val="00DE2D44"/>
    <w:rsid w:val="00DE2ED6"/>
    <w:rsid w:val="00DE302B"/>
    <w:rsid w:val="00DE32D3"/>
    <w:rsid w:val="00DE364E"/>
    <w:rsid w:val="00DE366A"/>
    <w:rsid w:val="00DE3931"/>
    <w:rsid w:val="00DE3B67"/>
    <w:rsid w:val="00DE3E4D"/>
    <w:rsid w:val="00DE4018"/>
    <w:rsid w:val="00DE4189"/>
    <w:rsid w:val="00DE4398"/>
    <w:rsid w:val="00DE5000"/>
    <w:rsid w:val="00DE5038"/>
    <w:rsid w:val="00DE514D"/>
    <w:rsid w:val="00DE5399"/>
    <w:rsid w:val="00DE5542"/>
    <w:rsid w:val="00DE599E"/>
    <w:rsid w:val="00DE5A5B"/>
    <w:rsid w:val="00DE5AAA"/>
    <w:rsid w:val="00DE5D4D"/>
    <w:rsid w:val="00DE60A1"/>
    <w:rsid w:val="00DE624B"/>
    <w:rsid w:val="00DE65EC"/>
    <w:rsid w:val="00DE66DB"/>
    <w:rsid w:val="00DE6708"/>
    <w:rsid w:val="00DE6857"/>
    <w:rsid w:val="00DE6D9E"/>
    <w:rsid w:val="00DE6FC7"/>
    <w:rsid w:val="00DE70CD"/>
    <w:rsid w:val="00DE725D"/>
    <w:rsid w:val="00DE737E"/>
    <w:rsid w:val="00DE74D1"/>
    <w:rsid w:val="00DE752A"/>
    <w:rsid w:val="00DE7864"/>
    <w:rsid w:val="00DE7B8B"/>
    <w:rsid w:val="00DE7C15"/>
    <w:rsid w:val="00DE7D36"/>
    <w:rsid w:val="00DE7D61"/>
    <w:rsid w:val="00DE7FBF"/>
    <w:rsid w:val="00DF05AC"/>
    <w:rsid w:val="00DF06C0"/>
    <w:rsid w:val="00DF0AF1"/>
    <w:rsid w:val="00DF0C18"/>
    <w:rsid w:val="00DF1005"/>
    <w:rsid w:val="00DF120B"/>
    <w:rsid w:val="00DF1760"/>
    <w:rsid w:val="00DF1777"/>
    <w:rsid w:val="00DF1900"/>
    <w:rsid w:val="00DF19F5"/>
    <w:rsid w:val="00DF1C6D"/>
    <w:rsid w:val="00DF1D5D"/>
    <w:rsid w:val="00DF213A"/>
    <w:rsid w:val="00DF21AC"/>
    <w:rsid w:val="00DF2623"/>
    <w:rsid w:val="00DF27ED"/>
    <w:rsid w:val="00DF28E6"/>
    <w:rsid w:val="00DF2941"/>
    <w:rsid w:val="00DF29BD"/>
    <w:rsid w:val="00DF2BF8"/>
    <w:rsid w:val="00DF3131"/>
    <w:rsid w:val="00DF3394"/>
    <w:rsid w:val="00DF33DE"/>
    <w:rsid w:val="00DF38AC"/>
    <w:rsid w:val="00DF39D1"/>
    <w:rsid w:val="00DF3AD7"/>
    <w:rsid w:val="00DF3BEB"/>
    <w:rsid w:val="00DF4088"/>
    <w:rsid w:val="00DF413D"/>
    <w:rsid w:val="00DF42F1"/>
    <w:rsid w:val="00DF4735"/>
    <w:rsid w:val="00DF4CC6"/>
    <w:rsid w:val="00DF5154"/>
    <w:rsid w:val="00DF5407"/>
    <w:rsid w:val="00DF56E4"/>
    <w:rsid w:val="00DF5742"/>
    <w:rsid w:val="00DF577C"/>
    <w:rsid w:val="00DF5939"/>
    <w:rsid w:val="00DF59C9"/>
    <w:rsid w:val="00DF5B26"/>
    <w:rsid w:val="00DF5B27"/>
    <w:rsid w:val="00DF650A"/>
    <w:rsid w:val="00DF65E6"/>
    <w:rsid w:val="00DF6697"/>
    <w:rsid w:val="00DF6846"/>
    <w:rsid w:val="00DF69BB"/>
    <w:rsid w:val="00DF6DE4"/>
    <w:rsid w:val="00DF6DF5"/>
    <w:rsid w:val="00DF6EAA"/>
    <w:rsid w:val="00DF6F81"/>
    <w:rsid w:val="00DF743B"/>
    <w:rsid w:val="00DF76C1"/>
    <w:rsid w:val="00DF77F8"/>
    <w:rsid w:val="00DF791B"/>
    <w:rsid w:val="00DF7997"/>
    <w:rsid w:val="00DF79F2"/>
    <w:rsid w:val="00DF7D37"/>
    <w:rsid w:val="00DF7EE7"/>
    <w:rsid w:val="00DF7F35"/>
    <w:rsid w:val="00E005A8"/>
    <w:rsid w:val="00E00859"/>
    <w:rsid w:val="00E0085F"/>
    <w:rsid w:val="00E01292"/>
    <w:rsid w:val="00E013BB"/>
    <w:rsid w:val="00E01929"/>
    <w:rsid w:val="00E01ACF"/>
    <w:rsid w:val="00E01BD4"/>
    <w:rsid w:val="00E01D50"/>
    <w:rsid w:val="00E01E4B"/>
    <w:rsid w:val="00E01FAB"/>
    <w:rsid w:val="00E0205E"/>
    <w:rsid w:val="00E0225D"/>
    <w:rsid w:val="00E025BD"/>
    <w:rsid w:val="00E0284B"/>
    <w:rsid w:val="00E0289E"/>
    <w:rsid w:val="00E02979"/>
    <w:rsid w:val="00E029CE"/>
    <w:rsid w:val="00E029F2"/>
    <w:rsid w:val="00E030E9"/>
    <w:rsid w:val="00E0321A"/>
    <w:rsid w:val="00E03412"/>
    <w:rsid w:val="00E03546"/>
    <w:rsid w:val="00E0358B"/>
    <w:rsid w:val="00E035D8"/>
    <w:rsid w:val="00E03CFF"/>
    <w:rsid w:val="00E03E86"/>
    <w:rsid w:val="00E044C9"/>
    <w:rsid w:val="00E044EA"/>
    <w:rsid w:val="00E04D5F"/>
    <w:rsid w:val="00E04E91"/>
    <w:rsid w:val="00E05088"/>
    <w:rsid w:val="00E050EB"/>
    <w:rsid w:val="00E051C5"/>
    <w:rsid w:val="00E0524E"/>
    <w:rsid w:val="00E05F5C"/>
    <w:rsid w:val="00E06179"/>
    <w:rsid w:val="00E068C4"/>
    <w:rsid w:val="00E06B6A"/>
    <w:rsid w:val="00E06EAE"/>
    <w:rsid w:val="00E070A6"/>
    <w:rsid w:val="00E072CE"/>
    <w:rsid w:val="00E07543"/>
    <w:rsid w:val="00E07C7E"/>
    <w:rsid w:val="00E10152"/>
    <w:rsid w:val="00E1037F"/>
    <w:rsid w:val="00E104AA"/>
    <w:rsid w:val="00E10507"/>
    <w:rsid w:val="00E10514"/>
    <w:rsid w:val="00E1075F"/>
    <w:rsid w:val="00E10B72"/>
    <w:rsid w:val="00E10BDB"/>
    <w:rsid w:val="00E10C23"/>
    <w:rsid w:val="00E11098"/>
    <w:rsid w:val="00E11313"/>
    <w:rsid w:val="00E11341"/>
    <w:rsid w:val="00E113E1"/>
    <w:rsid w:val="00E11C8F"/>
    <w:rsid w:val="00E11E3B"/>
    <w:rsid w:val="00E11E52"/>
    <w:rsid w:val="00E12410"/>
    <w:rsid w:val="00E12462"/>
    <w:rsid w:val="00E126E4"/>
    <w:rsid w:val="00E12C14"/>
    <w:rsid w:val="00E12D80"/>
    <w:rsid w:val="00E1342C"/>
    <w:rsid w:val="00E1373F"/>
    <w:rsid w:val="00E139A3"/>
    <w:rsid w:val="00E13ADF"/>
    <w:rsid w:val="00E13DCC"/>
    <w:rsid w:val="00E14CB7"/>
    <w:rsid w:val="00E14E3F"/>
    <w:rsid w:val="00E15244"/>
    <w:rsid w:val="00E1551F"/>
    <w:rsid w:val="00E155B5"/>
    <w:rsid w:val="00E15769"/>
    <w:rsid w:val="00E1588F"/>
    <w:rsid w:val="00E15906"/>
    <w:rsid w:val="00E15922"/>
    <w:rsid w:val="00E15DD1"/>
    <w:rsid w:val="00E15FC8"/>
    <w:rsid w:val="00E164F9"/>
    <w:rsid w:val="00E16679"/>
    <w:rsid w:val="00E16941"/>
    <w:rsid w:val="00E16A0E"/>
    <w:rsid w:val="00E170EE"/>
    <w:rsid w:val="00E176A8"/>
    <w:rsid w:val="00E1777B"/>
    <w:rsid w:val="00E178AB"/>
    <w:rsid w:val="00E17D05"/>
    <w:rsid w:val="00E20449"/>
    <w:rsid w:val="00E204BE"/>
    <w:rsid w:val="00E208B6"/>
    <w:rsid w:val="00E20B49"/>
    <w:rsid w:val="00E20EAA"/>
    <w:rsid w:val="00E21064"/>
    <w:rsid w:val="00E213B8"/>
    <w:rsid w:val="00E2192B"/>
    <w:rsid w:val="00E21B76"/>
    <w:rsid w:val="00E22034"/>
    <w:rsid w:val="00E22120"/>
    <w:rsid w:val="00E223FC"/>
    <w:rsid w:val="00E22575"/>
    <w:rsid w:val="00E22AD2"/>
    <w:rsid w:val="00E22B94"/>
    <w:rsid w:val="00E22D22"/>
    <w:rsid w:val="00E22E3D"/>
    <w:rsid w:val="00E233C1"/>
    <w:rsid w:val="00E23570"/>
    <w:rsid w:val="00E235E5"/>
    <w:rsid w:val="00E23624"/>
    <w:rsid w:val="00E237E2"/>
    <w:rsid w:val="00E23836"/>
    <w:rsid w:val="00E23A10"/>
    <w:rsid w:val="00E23CD5"/>
    <w:rsid w:val="00E23CF3"/>
    <w:rsid w:val="00E240C9"/>
    <w:rsid w:val="00E2412C"/>
    <w:rsid w:val="00E242BF"/>
    <w:rsid w:val="00E24300"/>
    <w:rsid w:val="00E24393"/>
    <w:rsid w:val="00E243F4"/>
    <w:rsid w:val="00E24516"/>
    <w:rsid w:val="00E24E72"/>
    <w:rsid w:val="00E24FC0"/>
    <w:rsid w:val="00E2505C"/>
    <w:rsid w:val="00E252A2"/>
    <w:rsid w:val="00E253C3"/>
    <w:rsid w:val="00E255CE"/>
    <w:rsid w:val="00E256DA"/>
    <w:rsid w:val="00E25871"/>
    <w:rsid w:val="00E258B6"/>
    <w:rsid w:val="00E2592C"/>
    <w:rsid w:val="00E259C5"/>
    <w:rsid w:val="00E25A54"/>
    <w:rsid w:val="00E25E71"/>
    <w:rsid w:val="00E25F87"/>
    <w:rsid w:val="00E25F88"/>
    <w:rsid w:val="00E2649B"/>
    <w:rsid w:val="00E26636"/>
    <w:rsid w:val="00E26698"/>
    <w:rsid w:val="00E267C7"/>
    <w:rsid w:val="00E2685D"/>
    <w:rsid w:val="00E26A4D"/>
    <w:rsid w:val="00E26B8D"/>
    <w:rsid w:val="00E26C0D"/>
    <w:rsid w:val="00E270B5"/>
    <w:rsid w:val="00E272A9"/>
    <w:rsid w:val="00E279BC"/>
    <w:rsid w:val="00E27B39"/>
    <w:rsid w:val="00E30453"/>
    <w:rsid w:val="00E30722"/>
    <w:rsid w:val="00E3077C"/>
    <w:rsid w:val="00E30BBE"/>
    <w:rsid w:val="00E30BD6"/>
    <w:rsid w:val="00E30C1F"/>
    <w:rsid w:val="00E30EF0"/>
    <w:rsid w:val="00E31081"/>
    <w:rsid w:val="00E311CF"/>
    <w:rsid w:val="00E3162C"/>
    <w:rsid w:val="00E31887"/>
    <w:rsid w:val="00E319BF"/>
    <w:rsid w:val="00E31BF4"/>
    <w:rsid w:val="00E31CF8"/>
    <w:rsid w:val="00E31DD4"/>
    <w:rsid w:val="00E31E05"/>
    <w:rsid w:val="00E32648"/>
    <w:rsid w:val="00E32797"/>
    <w:rsid w:val="00E32D53"/>
    <w:rsid w:val="00E3306C"/>
    <w:rsid w:val="00E3326A"/>
    <w:rsid w:val="00E33328"/>
    <w:rsid w:val="00E334C9"/>
    <w:rsid w:val="00E33A41"/>
    <w:rsid w:val="00E33D9F"/>
    <w:rsid w:val="00E33F03"/>
    <w:rsid w:val="00E3476B"/>
    <w:rsid w:val="00E3497C"/>
    <w:rsid w:val="00E34996"/>
    <w:rsid w:val="00E34A41"/>
    <w:rsid w:val="00E34D44"/>
    <w:rsid w:val="00E351CC"/>
    <w:rsid w:val="00E35752"/>
    <w:rsid w:val="00E35753"/>
    <w:rsid w:val="00E3584D"/>
    <w:rsid w:val="00E35881"/>
    <w:rsid w:val="00E358A9"/>
    <w:rsid w:val="00E35B94"/>
    <w:rsid w:val="00E35D58"/>
    <w:rsid w:val="00E35E00"/>
    <w:rsid w:val="00E36091"/>
    <w:rsid w:val="00E36419"/>
    <w:rsid w:val="00E36743"/>
    <w:rsid w:val="00E36884"/>
    <w:rsid w:val="00E36AF2"/>
    <w:rsid w:val="00E37170"/>
    <w:rsid w:val="00E37271"/>
    <w:rsid w:val="00E373FA"/>
    <w:rsid w:val="00E3748C"/>
    <w:rsid w:val="00E375A5"/>
    <w:rsid w:val="00E375D0"/>
    <w:rsid w:val="00E37703"/>
    <w:rsid w:val="00E377EF"/>
    <w:rsid w:val="00E379A4"/>
    <w:rsid w:val="00E37EFD"/>
    <w:rsid w:val="00E40097"/>
    <w:rsid w:val="00E400C7"/>
    <w:rsid w:val="00E404B4"/>
    <w:rsid w:val="00E40ADC"/>
    <w:rsid w:val="00E40CA0"/>
    <w:rsid w:val="00E40F96"/>
    <w:rsid w:val="00E41800"/>
    <w:rsid w:val="00E418F3"/>
    <w:rsid w:val="00E41C96"/>
    <w:rsid w:val="00E41E77"/>
    <w:rsid w:val="00E41EAD"/>
    <w:rsid w:val="00E42069"/>
    <w:rsid w:val="00E42424"/>
    <w:rsid w:val="00E427AD"/>
    <w:rsid w:val="00E42A82"/>
    <w:rsid w:val="00E42BBC"/>
    <w:rsid w:val="00E42FB7"/>
    <w:rsid w:val="00E4305F"/>
    <w:rsid w:val="00E43134"/>
    <w:rsid w:val="00E435F0"/>
    <w:rsid w:val="00E438F4"/>
    <w:rsid w:val="00E43A21"/>
    <w:rsid w:val="00E43AC0"/>
    <w:rsid w:val="00E43B10"/>
    <w:rsid w:val="00E43E99"/>
    <w:rsid w:val="00E43EE7"/>
    <w:rsid w:val="00E43FB3"/>
    <w:rsid w:val="00E4433B"/>
    <w:rsid w:val="00E44377"/>
    <w:rsid w:val="00E445C2"/>
    <w:rsid w:val="00E44789"/>
    <w:rsid w:val="00E447E9"/>
    <w:rsid w:val="00E44856"/>
    <w:rsid w:val="00E44887"/>
    <w:rsid w:val="00E44914"/>
    <w:rsid w:val="00E44916"/>
    <w:rsid w:val="00E44974"/>
    <w:rsid w:val="00E44C05"/>
    <w:rsid w:val="00E44CDF"/>
    <w:rsid w:val="00E44D0A"/>
    <w:rsid w:val="00E44D15"/>
    <w:rsid w:val="00E45071"/>
    <w:rsid w:val="00E452BE"/>
    <w:rsid w:val="00E45492"/>
    <w:rsid w:val="00E45965"/>
    <w:rsid w:val="00E45DA2"/>
    <w:rsid w:val="00E45E06"/>
    <w:rsid w:val="00E45E40"/>
    <w:rsid w:val="00E462FF"/>
    <w:rsid w:val="00E464F9"/>
    <w:rsid w:val="00E4657C"/>
    <w:rsid w:val="00E4699C"/>
    <w:rsid w:val="00E46AF1"/>
    <w:rsid w:val="00E46B65"/>
    <w:rsid w:val="00E46F61"/>
    <w:rsid w:val="00E47082"/>
    <w:rsid w:val="00E47096"/>
    <w:rsid w:val="00E478D3"/>
    <w:rsid w:val="00E4791E"/>
    <w:rsid w:val="00E47924"/>
    <w:rsid w:val="00E47A5E"/>
    <w:rsid w:val="00E47C55"/>
    <w:rsid w:val="00E50049"/>
    <w:rsid w:val="00E500C5"/>
    <w:rsid w:val="00E500DF"/>
    <w:rsid w:val="00E501F6"/>
    <w:rsid w:val="00E503DC"/>
    <w:rsid w:val="00E50548"/>
    <w:rsid w:val="00E50616"/>
    <w:rsid w:val="00E507A5"/>
    <w:rsid w:val="00E50802"/>
    <w:rsid w:val="00E508F5"/>
    <w:rsid w:val="00E50960"/>
    <w:rsid w:val="00E50D5D"/>
    <w:rsid w:val="00E50E96"/>
    <w:rsid w:val="00E50EE3"/>
    <w:rsid w:val="00E5107D"/>
    <w:rsid w:val="00E5130A"/>
    <w:rsid w:val="00E5181F"/>
    <w:rsid w:val="00E51B50"/>
    <w:rsid w:val="00E51B6F"/>
    <w:rsid w:val="00E51D0A"/>
    <w:rsid w:val="00E51F18"/>
    <w:rsid w:val="00E51FD2"/>
    <w:rsid w:val="00E5221E"/>
    <w:rsid w:val="00E5281B"/>
    <w:rsid w:val="00E52E91"/>
    <w:rsid w:val="00E52F7E"/>
    <w:rsid w:val="00E52FDD"/>
    <w:rsid w:val="00E53202"/>
    <w:rsid w:val="00E5354A"/>
    <w:rsid w:val="00E53602"/>
    <w:rsid w:val="00E537A8"/>
    <w:rsid w:val="00E53995"/>
    <w:rsid w:val="00E53C2A"/>
    <w:rsid w:val="00E53E5B"/>
    <w:rsid w:val="00E542C2"/>
    <w:rsid w:val="00E5434B"/>
    <w:rsid w:val="00E54527"/>
    <w:rsid w:val="00E54609"/>
    <w:rsid w:val="00E5479A"/>
    <w:rsid w:val="00E54A4E"/>
    <w:rsid w:val="00E54BB7"/>
    <w:rsid w:val="00E54CD5"/>
    <w:rsid w:val="00E54D40"/>
    <w:rsid w:val="00E54E42"/>
    <w:rsid w:val="00E5535D"/>
    <w:rsid w:val="00E5549D"/>
    <w:rsid w:val="00E555A4"/>
    <w:rsid w:val="00E55995"/>
    <w:rsid w:val="00E55B1A"/>
    <w:rsid w:val="00E55B60"/>
    <w:rsid w:val="00E55B84"/>
    <w:rsid w:val="00E55C7C"/>
    <w:rsid w:val="00E55E43"/>
    <w:rsid w:val="00E55F18"/>
    <w:rsid w:val="00E5609A"/>
    <w:rsid w:val="00E560F1"/>
    <w:rsid w:val="00E560F9"/>
    <w:rsid w:val="00E562A6"/>
    <w:rsid w:val="00E56588"/>
    <w:rsid w:val="00E5668B"/>
    <w:rsid w:val="00E56D7C"/>
    <w:rsid w:val="00E57757"/>
    <w:rsid w:val="00E57853"/>
    <w:rsid w:val="00E57B2C"/>
    <w:rsid w:val="00E601D2"/>
    <w:rsid w:val="00E60440"/>
    <w:rsid w:val="00E604D6"/>
    <w:rsid w:val="00E60BBB"/>
    <w:rsid w:val="00E60BDC"/>
    <w:rsid w:val="00E60D04"/>
    <w:rsid w:val="00E60F32"/>
    <w:rsid w:val="00E610C3"/>
    <w:rsid w:val="00E611F0"/>
    <w:rsid w:val="00E6120D"/>
    <w:rsid w:val="00E61298"/>
    <w:rsid w:val="00E61536"/>
    <w:rsid w:val="00E61637"/>
    <w:rsid w:val="00E61A40"/>
    <w:rsid w:val="00E61C23"/>
    <w:rsid w:val="00E61EF3"/>
    <w:rsid w:val="00E61F3A"/>
    <w:rsid w:val="00E623ED"/>
    <w:rsid w:val="00E62404"/>
    <w:rsid w:val="00E62507"/>
    <w:rsid w:val="00E629A0"/>
    <w:rsid w:val="00E62C6C"/>
    <w:rsid w:val="00E62F5A"/>
    <w:rsid w:val="00E631E2"/>
    <w:rsid w:val="00E63324"/>
    <w:rsid w:val="00E634E7"/>
    <w:rsid w:val="00E63929"/>
    <w:rsid w:val="00E639DE"/>
    <w:rsid w:val="00E63A0A"/>
    <w:rsid w:val="00E63BBD"/>
    <w:rsid w:val="00E63D62"/>
    <w:rsid w:val="00E640BD"/>
    <w:rsid w:val="00E642E2"/>
    <w:rsid w:val="00E64428"/>
    <w:rsid w:val="00E644E6"/>
    <w:rsid w:val="00E64965"/>
    <w:rsid w:val="00E64CE6"/>
    <w:rsid w:val="00E64D25"/>
    <w:rsid w:val="00E64E0B"/>
    <w:rsid w:val="00E64E8F"/>
    <w:rsid w:val="00E652C7"/>
    <w:rsid w:val="00E65466"/>
    <w:rsid w:val="00E6567D"/>
    <w:rsid w:val="00E6572F"/>
    <w:rsid w:val="00E657EF"/>
    <w:rsid w:val="00E65DA9"/>
    <w:rsid w:val="00E65E2F"/>
    <w:rsid w:val="00E662E9"/>
    <w:rsid w:val="00E666E0"/>
    <w:rsid w:val="00E66790"/>
    <w:rsid w:val="00E66791"/>
    <w:rsid w:val="00E66A31"/>
    <w:rsid w:val="00E66AC1"/>
    <w:rsid w:val="00E66B95"/>
    <w:rsid w:val="00E66D70"/>
    <w:rsid w:val="00E66DDB"/>
    <w:rsid w:val="00E66FF4"/>
    <w:rsid w:val="00E67031"/>
    <w:rsid w:val="00E6715E"/>
    <w:rsid w:val="00E67175"/>
    <w:rsid w:val="00E6735E"/>
    <w:rsid w:val="00E675B2"/>
    <w:rsid w:val="00E6762F"/>
    <w:rsid w:val="00E6764E"/>
    <w:rsid w:val="00E677A6"/>
    <w:rsid w:val="00E67815"/>
    <w:rsid w:val="00E67878"/>
    <w:rsid w:val="00E67BD6"/>
    <w:rsid w:val="00E67DD6"/>
    <w:rsid w:val="00E67E58"/>
    <w:rsid w:val="00E67E92"/>
    <w:rsid w:val="00E70540"/>
    <w:rsid w:val="00E70C00"/>
    <w:rsid w:val="00E70E23"/>
    <w:rsid w:val="00E70F71"/>
    <w:rsid w:val="00E70F7D"/>
    <w:rsid w:val="00E7117A"/>
    <w:rsid w:val="00E713D0"/>
    <w:rsid w:val="00E713EA"/>
    <w:rsid w:val="00E715C3"/>
    <w:rsid w:val="00E71611"/>
    <w:rsid w:val="00E719AE"/>
    <w:rsid w:val="00E71A65"/>
    <w:rsid w:val="00E71B10"/>
    <w:rsid w:val="00E71C18"/>
    <w:rsid w:val="00E71CD8"/>
    <w:rsid w:val="00E71D4D"/>
    <w:rsid w:val="00E71F7D"/>
    <w:rsid w:val="00E71FF0"/>
    <w:rsid w:val="00E72004"/>
    <w:rsid w:val="00E720D6"/>
    <w:rsid w:val="00E72709"/>
    <w:rsid w:val="00E7284F"/>
    <w:rsid w:val="00E72997"/>
    <w:rsid w:val="00E72A76"/>
    <w:rsid w:val="00E72DD0"/>
    <w:rsid w:val="00E72E7B"/>
    <w:rsid w:val="00E731A6"/>
    <w:rsid w:val="00E731E1"/>
    <w:rsid w:val="00E732AA"/>
    <w:rsid w:val="00E734BD"/>
    <w:rsid w:val="00E7361B"/>
    <w:rsid w:val="00E73749"/>
    <w:rsid w:val="00E73999"/>
    <w:rsid w:val="00E73A12"/>
    <w:rsid w:val="00E73A82"/>
    <w:rsid w:val="00E73ACE"/>
    <w:rsid w:val="00E73CA5"/>
    <w:rsid w:val="00E73DB0"/>
    <w:rsid w:val="00E73DB4"/>
    <w:rsid w:val="00E7410F"/>
    <w:rsid w:val="00E741DC"/>
    <w:rsid w:val="00E7434B"/>
    <w:rsid w:val="00E743B1"/>
    <w:rsid w:val="00E74420"/>
    <w:rsid w:val="00E74579"/>
    <w:rsid w:val="00E74693"/>
    <w:rsid w:val="00E748A0"/>
    <w:rsid w:val="00E74F63"/>
    <w:rsid w:val="00E74FF7"/>
    <w:rsid w:val="00E75030"/>
    <w:rsid w:val="00E75302"/>
    <w:rsid w:val="00E757A9"/>
    <w:rsid w:val="00E75B8C"/>
    <w:rsid w:val="00E75F15"/>
    <w:rsid w:val="00E76019"/>
    <w:rsid w:val="00E76289"/>
    <w:rsid w:val="00E765D3"/>
    <w:rsid w:val="00E766DA"/>
    <w:rsid w:val="00E7681A"/>
    <w:rsid w:val="00E768A6"/>
    <w:rsid w:val="00E76CEE"/>
    <w:rsid w:val="00E76D63"/>
    <w:rsid w:val="00E7733D"/>
    <w:rsid w:val="00E77567"/>
    <w:rsid w:val="00E77572"/>
    <w:rsid w:val="00E77D77"/>
    <w:rsid w:val="00E77E58"/>
    <w:rsid w:val="00E77F00"/>
    <w:rsid w:val="00E77F5D"/>
    <w:rsid w:val="00E8049B"/>
    <w:rsid w:val="00E8069F"/>
    <w:rsid w:val="00E80AAC"/>
    <w:rsid w:val="00E80C8B"/>
    <w:rsid w:val="00E80DE0"/>
    <w:rsid w:val="00E8100B"/>
    <w:rsid w:val="00E81090"/>
    <w:rsid w:val="00E81700"/>
    <w:rsid w:val="00E818E8"/>
    <w:rsid w:val="00E81A45"/>
    <w:rsid w:val="00E81AE5"/>
    <w:rsid w:val="00E8230E"/>
    <w:rsid w:val="00E824A6"/>
    <w:rsid w:val="00E825C6"/>
    <w:rsid w:val="00E826DF"/>
    <w:rsid w:val="00E826EC"/>
    <w:rsid w:val="00E82E1E"/>
    <w:rsid w:val="00E83023"/>
    <w:rsid w:val="00E83090"/>
    <w:rsid w:val="00E8314F"/>
    <w:rsid w:val="00E8347C"/>
    <w:rsid w:val="00E834FE"/>
    <w:rsid w:val="00E83A2C"/>
    <w:rsid w:val="00E83CD0"/>
    <w:rsid w:val="00E83E84"/>
    <w:rsid w:val="00E8400E"/>
    <w:rsid w:val="00E84583"/>
    <w:rsid w:val="00E848CA"/>
    <w:rsid w:val="00E84D12"/>
    <w:rsid w:val="00E84D92"/>
    <w:rsid w:val="00E85314"/>
    <w:rsid w:val="00E85765"/>
    <w:rsid w:val="00E8586C"/>
    <w:rsid w:val="00E85A1C"/>
    <w:rsid w:val="00E85CE7"/>
    <w:rsid w:val="00E85D51"/>
    <w:rsid w:val="00E85EE9"/>
    <w:rsid w:val="00E8620C"/>
    <w:rsid w:val="00E86471"/>
    <w:rsid w:val="00E86631"/>
    <w:rsid w:val="00E86B24"/>
    <w:rsid w:val="00E86BE7"/>
    <w:rsid w:val="00E86E0D"/>
    <w:rsid w:val="00E86E65"/>
    <w:rsid w:val="00E873EF"/>
    <w:rsid w:val="00E87933"/>
    <w:rsid w:val="00E879D1"/>
    <w:rsid w:val="00E87B0F"/>
    <w:rsid w:val="00E87DC9"/>
    <w:rsid w:val="00E9016D"/>
    <w:rsid w:val="00E90649"/>
    <w:rsid w:val="00E906E5"/>
    <w:rsid w:val="00E9076A"/>
    <w:rsid w:val="00E9083B"/>
    <w:rsid w:val="00E908E7"/>
    <w:rsid w:val="00E90943"/>
    <w:rsid w:val="00E90959"/>
    <w:rsid w:val="00E90A25"/>
    <w:rsid w:val="00E90AFC"/>
    <w:rsid w:val="00E90B34"/>
    <w:rsid w:val="00E90D8E"/>
    <w:rsid w:val="00E90FFC"/>
    <w:rsid w:val="00E914A7"/>
    <w:rsid w:val="00E91590"/>
    <w:rsid w:val="00E91839"/>
    <w:rsid w:val="00E918BB"/>
    <w:rsid w:val="00E918C9"/>
    <w:rsid w:val="00E91A33"/>
    <w:rsid w:val="00E92296"/>
    <w:rsid w:val="00E92322"/>
    <w:rsid w:val="00E92493"/>
    <w:rsid w:val="00E9271B"/>
    <w:rsid w:val="00E92816"/>
    <w:rsid w:val="00E92888"/>
    <w:rsid w:val="00E9297F"/>
    <w:rsid w:val="00E929C5"/>
    <w:rsid w:val="00E929E2"/>
    <w:rsid w:val="00E92A32"/>
    <w:rsid w:val="00E92CF8"/>
    <w:rsid w:val="00E92E43"/>
    <w:rsid w:val="00E932F7"/>
    <w:rsid w:val="00E93817"/>
    <w:rsid w:val="00E943DD"/>
    <w:rsid w:val="00E94601"/>
    <w:rsid w:val="00E94C69"/>
    <w:rsid w:val="00E94D49"/>
    <w:rsid w:val="00E94F05"/>
    <w:rsid w:val="00E9512F"/>
    <w:rsid w:val="00E953E3"/>
    <w:rsid w:val="00E9573C"/>
    <w:rsid w:val="00E95993"/>
    <w:rsid w:val="00E95C54"/>
    <w:rsid w:val="00E95EB3"/>
    <w:rsid w:val="00E95EFF"/>
    <w:rsid w:val="00E961F9"/>
    <w:rsid w:val="00E963C0"/>
    <w:rsid w:val="00E9684F"/>
    <w:rsid w:val="00E971C3"/>
    <w:rsid w:val="00E97376"/>
    <w:rsid w:val="00E97901"/>
    <w:rsid w:val="00EA00C1"/>
    <w:rsid w:val="00EA0257"/>
    <w:rsid w:val="00EA0693"/>
    <w:rsid w:val="00EA0A1F"/>
    <w:rsid w:val="00EA0BB2"/>
    <w:rsid w:val="00EA0EA8"/>
    <w:rsid w:val="00EA0F04"/>
    <w:rsid w:val="00EA1071"/>
    <w:rsid w:val="00EA1088"/>
    <w:rsid w:val="00EA1363"/>
    <w:rsid w:val="00EA1687"/>
    <w:rsid w:val="00EA193F"/>
    <w:rsid w:val="00EA1BDF"/>
    <w:rsid w:val="00EA20F2"/>
    <w:rsid w:val="00EA23D4"/>
    <w:rsid w:val="00EA23F0"/>
    <w:rsid w:val="00EA2AD7"/>
    <w:rsid w:val="00EA2B33"/>
    <w:rsid w:val="00EA2D01"/>
    <w:rsid w:val="00EA2D02"/>
    <w:rsid w:val="00EA2D5E"/>
    <w:rsid w:val="00EA2E86"/>
    <w:rsid w:val="00EA350C"/>
    <w:rsid w:val="00EA370A"/>
    <w:rsid w:val="00EA3854"/>
    <w:rsid w:val="00EA38AD"/>
    <w:rsid w:val="00EA3BC5"/>
    <w:rsid w:val="00EA3CA2"/>
    <w:rsid w:val="00EA3CC2"/>
    <w:rsid w:val="00EA433D"/>
    <w:rsid w:val="00EA4633"/>
    <w:rsid w:val="00EA4720"/>
    <w:rsid w:val="00EA4B63"/>
    <w:rsid w:val="00EA4BCD"/>
    <w:rsid w:val="00EA4C4C"/>
    <w:rsid w:val="00EA4F0C"/>
    <w:rsid w:val="00EA5672"/>
    <w:rsid w:val="00EA5704"/>
    <w:rsid w:val="00EA5801"/>
    <w:rsid w:val="00EA5A06"/>
    <w:rsid w:val="00EA5C69"/>
    <w:rsid w:val="00EA5E6D"/>
    <w:rsid w:val="00EA609C"/>
    <w:rsid w:val="00EA611C"/>
    <w:rsid w:val="00EA6188"/>
    <w:rsid w:val="00EA62DC"/>
    <w:rsid w:val="00EA65EE"/>
    <w:rsid w:val="00EA69F8"/>
    <w:rsid w:val="00EA6CFB"/>
    <w:rsid w:val="00EA6E8F"/>
    <w:rsid w:val="00EA71CD"/>
    <w:rsid w:val="00EA7731"/>
    <w:rsid w:val="00EB01D0"/>
    <w:rsid w:val="00EB032D"/>
    <w:rsid w:val="00EB063D"/>
    <w:rsid w:val="00EB07F6"/>
    <w:rsid w:val="00EB08B6"/>
    <w:rsid w:val="00EB0A9D"/>
    <w:rsid w:val="00EB1109"/>
    <w:rsid w:val="00EB1331"/>
    <w:rsid w:val="00EB1334"/>
    <w:rsid w:val="00EB1568"/>
    <w:rsid w:val="00EB1822"/>
    <w:rsid w:val="00EB1A8A"/>
    <w:rsid w:val="00EB220C"/>
    <w:rsid w:val="00EB2513"/>
    <w:rsid w:val="00EB2566"/>
    <w:rsid w:val="00EB25A1"/>
    <w:rsid w:val="00EB25B0"/>
    <w:rsid w:val="00EB2CFC"/>
    <w:rsid w:val="00EB2DB6"/>
    <w:rsid w:val="00EB2E0D"/>
    <w:rsid w:val="00EB2E6A"/>
    <w:rsid w:val="00EB3088"/>
    <w:rsid w:val="00EB3632"/>
    <w:rsid w:val="00EB3753"/>
    <w:rsid w:val="00EB3857"/>
    <w:rsid w:val="00EB3F47"/>
    <w:rsid w:val="00EB3FE2"/>
    <w:rsid w:val="00EB4187"/>
    <w:rsid w:val="00EB42ED"/>
    <w:rsid w:val="00EB42EF"/>
    <w:rsid w:val="00EB46A8"/>
    <w:rsid w:val="00EB4851"/>
    <w:rsid w:val="00EB4990"/>
    <w:rsid w:val="00EB4B0F"/>
    <w:rsid w:val="00EB4DBE"/>
    <w:rsid w:val="00EB5002"/>
    <w:rsid w:val="00EB5124"/>
    <w:rsid w:val="00EB51EC"/>
    <w:rsid w:val="00EB5482"/>
    <w:rsid w:val="00EB54B3"/>
    <w:rsid w:val="00EB563A"/>
    <w:rsid w:val="00EB58D8"/>
    <w:rsid w:val="00EB5AA6"/>
    <w:rsid w:val="00EB5E2A"/>
    <w:rsid w:val="00EB6172"/>
    <w:rsid w:val="00EB63F7"/>
    <w:rsid w:val="00EB69C2"/>
    <w:rsid w:val="00EB6AEC"/>
    <w:rsid w:val="00EB6C14"/>
    <w:rsid w:val="00EB6FF3"/>
    <w:rsid w:val="00EB7057"/>
    <w:rsid w:val="00EB713E"/>
    <w:rsid w:val="00EB7294"/>
    <w:rsid w:val="00EB7580"/>
    <w:rsid w:val="00EB75AA"/>
    <w:rsid w:val="00EB76E8"/>
    <w:rsid w:val="00EB7ED0"/>
    <w:rsid w:val="00EC00FE"/>
    <w:rsid w:val="00EC011C"/>
    <w:rsid w:val="00EC024A"/>
    <w:rsid w:val="00EC02C1"/>
    <w:rsid w:val="00EC05CF"/>
    <w:rsid w:val="00EC0B31"/>
    <w:rsid w:val="00EC1031"/>
    <w:rsid w:val="00EC10CA"/>
    <w:rsid w:val="00EC12DB"/>
    <w:rsid w:val="00EC14DF"/>
    <w:rsid w:val="00EC1730"/>
    <w:rsid w:val="00EC1801"/>
    <w:rsid w:val="00EC18CD"/>
    <w:rsid w:val="00EC1938"/>
    <w:rsid w:val="00EC1DC7"/>
    <w:rsid w:val="00EC2027"/>
    <w:rsid w:val="00EC20AE"/>
    <w:rsid w:val="00EC21E4"/>
    <w:rsid w:val="00EC249B"/>
    <w:rsid w:val="00EC2754"/>
    <w:rsid w:val="00EC2830"/>
    <w:rsid w:val="00EC2A6D"/>
    <w:rsid w:val="00EC2CE1"/>
    <w:rsid w:val="00EC303D"/>
    <w:rsid w:val="00EC304F"/>
    <w:rsid w:val="00EC305C"/>
    <w:rsid w:val="00EC30B1"/>
    <w:rsid w:val="00EC3164"/>
    <w:rsid w:val="00EC32DA"/>
    <w:rsid w:val="00EC330C"/>
    <w:rsid w:val="00EC33B9"/>
    <w:rsid w:val="00EC33CC"/>
    <w:rsid w:val="00EC33EA"/>
    <w:rsid w:val="00EC344E"/>
    <w:rsid w:val="00EC360E"/>
    <w:rsid w:val="00EC3682"/>
    <w:rsid w:val="00EC3690"/>
    <w:rsid w:val="00EC3696"/>
    <w:rsid w:val="00EC3803"/>
    <w:rsid w:val="00EC394D"/>
    <w:rsid w:val="00EC3B54"/>
    <w:rsid w:val="00EC3C3B"/>
    <w:rsid w:val="00EC3C70"/>
    <w:rsid w:val="00EC3DF7"/>
    <w:rsid w:val="00EC3E4E"/>
    <w:rsid w:val="00EC3F88"/>
    <w:rsid w:val="00EC3FDC"/>
    <w:rsid w:val="00EC4390"/>
    <w:rsid w:val="00EC4418"/>
    <w:rsid w:val="00EC449B"/>
    <w:rsid w:val="00EC4555"/>
    <w:rsid w:val="00EC49CE"/>
    <w:rsid w:val="00EC4DF0"/>
    <w:rsid w:val="00EC4F37"/>
    <w:rsid w:val="00EC5568"/>
    <w:rsid w:val="00EC5690"/>
    <w:rsid w:val="00EC571B"/>
    <w:rsid w:val="00EC5B33"/>
    <w:rsid w:val="00EC5B34"/>
    <w:rsid w:val="00EC5D9F"/>
    <w:rsid w:val="00EC5E5C"/>
    <w:rsid w:val="00EC699C"/>
    <w:rsid w:val="00EC6A45"/>
    <w:rsid w:val="00EC6CBC"/>
    <w:rsid w:val="00EC6E0C"/>
    <w:rsid w:val="00EC6E40"/>
    <w:rsid w:val="00EC6FE0"/>
    <w:rsid w:val="00EC7216"/>
    <w:rsid w:val="00EC72D8"/>
    <w:rsid w:val="00EC7488"/>
    <w:rsid w:val="00EC786D"/>
    <w:rsid w:val="00EC7960"/>
    <w:rsid w:val="00EC7A3E"/>
    <w:rsid w:val="00EC7C96"/>
    <w:rsid w:val="00ED00FA"/>
    <w:rsid w:val="00ED0160"/>
    <w:rsid w:val="00ED065B"/>
    <w:rsid w:val="00ED0678"/>
    <w:rsid w:val="00ED0D53"/>
    <w:rsid w:val="00ED10B8"/>
    <w:rsid w:val="00ED1335"/>
    <w:rsid w:val="00ED1436"/>
    <w:rsid w:val="00ED17AE"/>
    <w:rsid w:val="00ED1B40"/>
    <w:rsid w:val="00ED1F8F"/>
    <w:rsid w:val="00ED2226"/>
    <w:rsid w:val="00ED2350"/>
    <w:rsid w:val="00ED24CD"/>
    <w:rsid w:val="00ED25AF"/>
    <w:rsid w:val="00ED274B"/>
    <w:rsid w:val="00ED28DF"/>
    <w:rsid w:val="00ED2BCA"/>
    <w:rsid w:val="00ED2C35"/>
    <w:rsid w:val="00ED2DD7"/>
    <w:rsid w:val="00ED3089"/>
    <w:rsid w:val="00ED3B68"/>
    <w:rsid w:val="00ED3CCE"/>
    <w:rsid w:val="00ED4046"/>
    <w:rsid w:val="00ED40DF"/>
    <w:rsid w:val="00ED43DF"/>
    <w:rsid w:val="00ED4452"/>
    <w:rsid w:val="00ED4573"/>
    <w:rsid w:val="00ED4741"/>
    <w:rsid w:val="00ED490B"/>
    <w:rsid w:val="00ED498A"/>
    <w:rsid w:val="00ED4D3B"/>
    <w:rsid w:val="00ED4EAD"/>
    <w:rsid w:val="00ED5BCF"/>
    <w:rsid w:val="00ED5D47"/>
    <w:rsid w:val="00ED5EE1"/>
    <w:rsid w:val="00ED5EE9"/>
    <w:rsid w:val="00ED5FB8"/>
    <w:rsid w:val="00ED614C"/>
    <w:rsid w:val="00ED632B"/>
    <w:rsid w:val="00ED63B7"/>
    <w:rsid w:val="00ED6735"/>
    <w:rsid w:val="00ED6923"/>
    <w:rsid w:val="00ED6D73"/>
    <w:rsid w:val="00ED6E77"/>
    <w:rsid w:val="00ED6F8E"/>
    <w:rsid w:val="00ED70E8"/>
    <w:rsid w:val="00ED7151"/>
    <w:rsid w:val="00ED7173"/>
    <w:rsid w:val="00ED7391"/>
    <w:rsid w:val="00ED74B9"/>
    <w:rsid w:val="00ED7880"/>
    <w:rsid w:val="00ED7BF5"/>
    <w:rsid w:val="00ED7C17"/>
    <w:rsid w:val="00ED7FCB"/>
    <w:rsid w:val="00ED7FCE"/>
    <w:rsid w:val="00ED7FEF"/>
    <w:rsid w:val="00EE0328"/>
    <w:rsid w:val="00EE03BB"/>
    <w:rsid w:val="00EE053D"/>
    <w:rsid w:val="00EE06FE"/>
    <w:rsid w:val="00EE08C6"/>
    <w:rsid w:val="00EE0A86"/>
    <w:rsid w:val="00EE0AC3"/>
    <w:rsid w:val="00EE0AEC"/>
    <w:rsid w:val="00EE13A0"/>
    <w:rsid w:val="00EE1C90"/>
    <w:rsid w:val="00EE1CEE"/>
    <w:rsid w:val="00EE1EF0"/>
    <w:rsid w:val="00EE22DB"/>
    <w:rsid w:val="00EE24B1"/>
    <w:rsid w:val="00EE26A2"/>
    <w:rsid w:val="00EE272F"/>
    <w:rsid w:val="00EE28EA"/>
    <w:rsid w:val="00EE2A4C"/>
    <w:rsid w:val="00EE33A6"/>
    <w:rsid w:val="00EE35CA"/>
    <w:rsid w:val="00EE3872"/>
    <w:rsid w:val="00EE38C0"/>
    <w:rsid w:val="00EE39E5"/>
    <w:rsid w:val="00EE3BF2"/>
    <w:rsid w:val="00EE40B6"/>
    <w:rsid w:val="00EE4B04"/>
    <w:rsid w:val="00EE4D7A"/>
    <w:rsid w:val="00EE4E6E"/>
    <w:rsid w:val="00EE5004"/>
    <w:rsid w:val="00EE51C0"/>
    <w:rsid w:val="00EE5371"/>
    <w:rsid w:val="00EE5429"/>
    <w:rsid w:val="00EE5C1A"/>
    <w:rsid w:val="00EE5D23"/>
    <w:rsid w:val="00EE5D55"/>
    <w:rsid w:val="00EE6399"/>
    <w:rsid w:val="00EE687F"/>
    <w:rsid w:val="00EE6DAD"/>
    <w:rsid w:val="00EE7127"/>
    <w:rsid w:val="00EE714D"/>
    <w:rsid w:val="00EE736B"/>
    <w:rsid w:val="00EE7745"/>
    <w:rsid w:val="00EE7A20"/>
    <w:rsid w:val="00EE7D2F"/>
    <w:rsid w:val="00EE7E44"/>
    <w:rsid w:val="00EF0194"/>
    <w:rsid w:val="00EF0292"/>
    <w:rsid w:val="00EF03DA"/>
    <w:rsid w:val="00EF06C9"/>
    <w:rsid w:val="00EF06CF"/>
    <w:rsid w:val="00EF07E5"/>
    <w:rsid w:val="00EF08DE"/>
    <w:rsid w:val="00EF0971"/>
    <w:rsid w:val="00EF0D7A"/>
    <w:rsid w:val="00EF0EF5"/>
    <w:rsid w:val="00EF132F"/>
    <w:rsid w:val="00EF15DD"/>
    <w:rsid w:val="00EF1689"/>
    <w:rsid w:val="00EF16BE"/>
    <w:rsid w:val="00EF1760"/>
    <w:rsid w:val="00EF18BE"/>
    <w:rsid w:val="00EF191C"/>
    <w:rsid w:val="00EF1998"/>
    <w:rsid w:val="00EF1A64"/>
    <w:rsid w:val="00EF1CAC"/>
    <w:rsid w:val="00EF1DDD"/>
    <w:rsid w:val="00EF214D"/>
    <w:rsid w:val="00EF21F1"/>
    <w:rsid w:val="00EF223E"/>
    <w:rsid w:val="00EF2284"/>
    <w:rsid w:val="00EF2296"/>
    <w:rsid w:val="00EF25AD"/>
    <w:rsid w:val="00EF27DF"/>
    <w:rsid w:val="00EF3116"/>
    <w:rsid w:val="00EF39B0"/>
    <w:rsid w:val="00EF39B2"/>
    <w:rsid w:val="00EF39D6"/>
    <w:rsid w:val="00EF3B99"/>
    <w:rsid w:val="00EF3BA5"/>
    <w:rsid w:val="00EF3DCD"/>
    <w:rsid w:val="00EF3E5C"/>
    <w:rsid w:val="00EF40B2"/>
    <w:rsid w:val="00EF4275"/>
    <w:rsid w:val="00EF43B9"/>
    <w:rsid w:val="00EF4801"/>
    <w:rsid w:val="00EF489B"/>
    <w:rsid w:val="00EF4A4F"/>
    <w:rsid w:val="00EF4A50"/>
    <w:rsid w:val="00EF4FBE"/>
    <w:rsid w:val="00EF4FEF"/>
    <w:rsid w:val="00EF5024"/>
    <w:rsid w:val="00EF517E"/>
    <w:rsid w:val="00EF546F"/>
    <w:rsid w:val="00EF5ACD"/>
    <w:rsid w:val="00EF5BA2"/>
    <w:rsid w:val="00EF5D7F"/>
    <w:rsid w:val="00EF5DE4"/>
    <w:rsid w:val="00EF5E98"/>
    <w:rsid w:val="00EF614C"/>
    <w:rsid w:val="00EF6400"/>
    <w:rsid w:val="00EF642D"/>
    <w:rsid w:val="00EF646D"/>
    <w:rsid w:val="00EF64AD"/>
    <w:rsid w:val="00EF692F"/>
    <w:rsid w:val="00EF6BDF"/>
    <w:rsid w:val="00EF6C16"/>
    <w:rsid w:val="00EF6C3C"/>
    <w:rsid w:val="00EF6CF7"/>
    <w:rsid w:val="00EF7094"/>
    <w:rsid w:val="00EF72C2"/>
    <w:rsid w:val="00EF7337"/>
    <w:rsid w:val="00EF741C"/>
    <w:rsid w:val="00EF742F"/>
    <w:rsid w:val="00EF7743"/>
    <w:rsid w:val="00EF7895"/>
    <w:rsid w:val="00EF7A25"/>
    <w:rsid w:val="00EF7E0A"/>
    <w:rsid w:val="00F0003F"/>
    <w:rsid w:val="00F000CC"/>
    <w:rsid w:val="00F00184"/>
    <w:rsid w:val="00F00203"/>
    <w:rsid w:val="00F0020C"/>
    <w:rsid w:val="00F00497"/>
    <w:rsid w:val="00F0083E"/>
    <w:rsid w:val="00F008B9"/>
    <w:rsid w:val="00F008C4"/>
    <w:rsid w:val="00F00A2C"/>
    <w:rsid w:val="00F00B3C"/>
    <w:rsid w:val="00F00E9E"/>
    <w:rsid w:val="00F00F49"/>
    <w:rsid w:val="00F01293"/>
    <w:rsid w:val="00F014E6"/>
    <w:rsid w:val="00F015FC"/>
    <w:rsid w:val="00F01A1A"/>
    <w:rsid w:val="00F01BBF"/>
    <w:rsid w:val="00F01D6B"/>
    <w:rsid w:val="00F01E75"/>
    <w:rsid w:val="00F02346"/>
    <w:rsid w:val="00F0256F"/>
    <w:rsid w:val="00F025B3"/>
    <w:rsid w:val="00F028D2"/>
    <w:rsid w:val="00F02B75"/>
    <w:rsid w:val="00F02D57"/>
    <w:rsid w:val="00F02DB8"/>
    <w:rsid w:val="00F02F07"/>
    <w:rsid w:val="00F03137"/>
    <w:rsid w:val="00F0343E"/>
    <w:rsid w:val="00F035D3"/>
    <w:rsid w:val="00F037F6"/>
    <w:rsid w:val="00F03992"/>
    <w:rsid w:val="00F03BDE"/>
    <w:rsid w:val="00F03C4E"/>
    <w:rsid w:val="00F03FC2"/>
    <w:rsid w:val="00F040A6"/>
    <w:rsid w:val="00F0426E"/>
    <w:rsid w:val="00F04270"/>
    <w:rsid w:val="00F044F6"/>
    <w:rsid w:val="00F04550"/>
    <w:rsid w:val="00F04621"/>
    <w:rsid w:val="00F048A9"/>
    <w:rsid w:val="00F05066"/>
    <w:rsid w:val="00F050F6"/>
    <w:rsid w:val="00F05186"/>
    <w:rsid w:val="00F054A5"/>
    <w:rsid w:val="00F057DC"/>
    <w:rsid w:val="00F05A06"/>
    <w:rsid w:val="00F05BCC"/>
    <w:rsid w:val="00F05C37"/>
    <w:rsid w:val="00F05DB8"/>
    <w:rsid w:val="00F061AC"/>
    <w:rsid w:val="00F062A3"/>
    <w:rsid w:val="00F06418"/>
    <w:rsid w:val="00F065BC"/>
    <w:rsid w:val="00F0677B"/>
    <w:rsid w:val="00F070C7"/>
    <w:rsid w:val="00F07131"/>
    <w:rsid w:val="00F072AC"/>
    <w:rsid w:val="00F074AF"/>
    <w:rsid w:val="00F07AE1"/>
    <w:rsid w:val="00F07BAB"/>
    <w:rsid w:val="00F07CA0"/>
    <w:rsid w:val="00F07EE8"/>
    <w:rsid w:val="00F07F40"/>
    <w:rsid w:val="00F1010E"/>
    <w:rsid w:val="00F1010F"/>
    <w:rsid w:val="00F1017F"/>
    <w:rsid w:val="00F101E0"/>
    <w:rsid w:val="00F10237"/>
    <w:rsid w:val="00F10D2C"/>
    <w:rsid w:val="00F10DBA"/>
    <w:rsid w:val="00F10EAA"/>
    <w:rsid w:val="00F113A5"/>
    <w:rsid w:val="00F113B0"/>
    <w:rsid w:val="00F1156C"/>
    <w:rsid w:val="00F1174C"/>
    <w:rsid w:val="00F11993"/>
    <w:rsid w:val="00F119A2"/>
    <w:rsid w:val="00F11AB5"/>
    <w:rsid w:val="00F11BD5"/>
    <w:rsid w:val="00F11CD9"/>
    <w:rsid w:val="00F11E83"/>
    <w:rsid w:val="00F1201C"/>
    <w:rsid w:val="00F12254"/>
    <w:rsid w:val="00F12357"/>
    <w:rsid w:val="00F12426"/>
    <w:rsid w:val="00F12519"/>
    <w:rsid w:val="00F125FC"/>
    <w:rsid w:val="00F12724"/>
    <w:rsid w:val="00F12790"/>
    <w:rsid w:val="00F12797"/>
    <w:rsid w:val="00F12832"/>
    <w:rsid w:val="00F12ABD"/>
    <w:rsid w:val="00F12F47"/>
    <w:rsid w:val="00F13441"/>
    <w:rsid w:val="00F13703"/>
    <w:rsid w:val="00F13964"/>
    <w:rsid w:val="00F13B00"/>
    <w:rsid w:val="00F13CFC"/>
    <w:rsid w:val="00F14039"/>
    <w:rsid w:val="00F14089"/>
    <w:rsid w:val="00F1409B"/>
    <w:rsid w:val="00F1457E"/>
    <w:rsid w:val="00F1460A"/>
    <w:rsid w:val="00F1481C"/>
    <w:rsid w:val="00F1486D"/>
    <w:rsid w:val="00F14988"/>
    <w:rsid w:val="00F14FE6"/>
    <w:rsid w:val="00F15070"/>
    <w:rsid w:val="00F153AB"/>
    <w:rsid w:val="00F155D8"/>
    <w:rsid w:val="00F15B36"/>
    <w:rsid w:val="00F15BD5"/>
    <w:rsid w:val="00F15DEB"/>
    <w:rsid w:val="00F16361"/>
    <w:rsid w:val="00F165F4"/>
    <w:rsid w:val="00F169FB"/>
    <w:rsid w:val="00F16E7B"/>
    <w:rsid w:val="00F174FF"/>
    <w:rsid w:val="00F176A8"/>
    <w:rsid w:val="00F17729"/>
    <w:rsid w:val="00F177C0"/>
    <w:rsid w:val="00F177EC"/>
    <w:rsid w:val="00F17AB6"/>
    <w:rsid w:val="00F17BC8"/>
    <w:rsid w:val="00F17D82"/>
    <w:rsid w:val="00F2013D"/>
    <w:rsid w:val="00F2017D"/>
    <w:rsid w:val="00F20185"/>
    <w:rsid w:val="00F2024D"/>
    <w:rsid w:val="00F206F2"/>
    <w:rsid w:val="00F20B06"/>
    <w:rsid w:val="00F21019"/>
    <w:rsid w:val="00F21645"/>
    <w:rsid w:val="00F217B0"/>
    <w:rsid w:val="00F21856"/>
    <w:rsid w:val="00F219BE"/>
    <w:rsid w:val="00F220E4"/>
    <w:rsid w:val="00F2279A"/>
    <w:rsid w:val="00F229E6"/>
    <w:rsid w:val="00F229E9"/>
    <w:rsid w:val="00F22A7A"/>
    <w:rsid w:val="00F22BB9"/>
    <w:rsid w:val="00F22D3F"/>
    <w:rsid w:val="00F22E6D"/>
    <w:rsid w:val="00F230F0"/>
    <w:rsid w:val="00F234A3"/>
    <w:rsid w:val="00F23515"/>
    <w:rsid w:val="00F2372A"/>
    <w:rsid w:val="00F23960"/>
    <w:rsid w:val="00F23A4B"/>
    <w:rsid w:val="00F24102"/>
    <w:rsid w:val="00F2414A"/>
    <w:rsid w:val="00F247AD"/>
    <w:rsid w:val="00F24B1D"/>
    <w:rsid w:val="00F24BD7"/>
    <w:rsid w:val="00F24CD0"/>
    <w:rsid w:val="00F24E0E"/>
    <w:rsid w:val="00F24FAB"/>
    <w:rsid w:val="00F24FBC"/>
    <w:rsid w:val="00F24FF6"/>
    <w:rsid w:val="00F259F8"/>
    <w:rsid w:val="00F25B73"/>
    <w:rsid w:val="00F25E1F"/>
    <w:rsid w:val="00F2629D"/>
    <w:rsid w:val="00F266C4"/>
    <w:rsid w:val="00F2672D"/>
    <w:rsid w:val="00F268D7"/>
    <w:rsid w:val="00F268DA"/>
    <w:rsid w:val="00F269F8"/>
    <w:rsid w:val="00F27757"/>
    <w:rsid w:val="00F27833"/>
    <w:rsid w:val="00F27C19"/>
    <w:rsid w:val="00F27EB7"/>
    <w:rsid w:val="00F30295"/>
    <w:rsid w:val="00F30303"/>
    <w:rsid w:val="00F304A4"/>
    <w:rsid w:val="00F307CC"/>
    <w:rsid w:val="00F309F1"/>
    <w:rsid w:val="00F30A22"/>
    <w:rsid w:val="00F30ADB"/>
    <w:rsid w:val="00F30D2F"/>
    <w:rsid w:val="00F30E38"/>
    <w:rsid w:val="00F314B6"/>
    <w:rsid w:val="00F31A54"/>
    <w:rsid w:val="00F31CAD"/>
    <w:rsid w:val="00F31DB4"/>
    <w:rsid w:val="00F31DF0"/>
    <w:rsid w:val="00F31E0A"/>
    <w:rsid w:val="00F321F8"/>
    <w:rsid w:val="00F323AA"/>
    <w:rsid w:val="00F328A9"/>
    <w:rsid w:val="00F32931"/>
    <w:rsid w:val="00F32B35"/>
    <w:rsid w:val="00F32C9B"/>
    <w:rsid w:val="00F32DAB"/>
    <w:rsid w:val="00F32E47"/>
    <w:rsid w:val="00F32E9A"/>
    <w:rsid w:val="00F32FAA"/>
    <w:rsid w:val="00F33704"/>
    <w:rsid w:val="00F3383C"/>
    <w:rsid w:val="00F33AF8"/>
    <w:rsid w:val="00F33C04"/>
    <w:rsid w:val="00F33E23"/>
    <w:rsid w:val="00F33E92"/>
    <w:rsid w:val="00F33F8D"/>
    <w:rsid w:val="00F33F9A"/>
    <w:rsid w:val="00F34009"/>
    <w:rsid w:val="00F34245"/>
    <w:rsid w:val="00F342FB"/>
    <w:rsid w:val="00F343D0"/>
    <w:rsid w:val="00F34486"/>
    <w:rsid w:val="00F348A4"/>
    <w:rsid w:val="00F34915"/>
    <w:rsid w:val="00F34C49"/>
    <w:rsid w:val="00F34F93"/>
    <w:rsid w:val="00F35191"/>
    <w:rsid w:val="00F352FF"/>
    <w:rsid w:val="00F35351"/>
    <w:rsid w:val="00F353BA"/>
    <w:rsid w:val="00F35A02"/>
    <w:rsid w:val="00F35A2F"/>
    <w:rsid w:val="00F35B77"/>
    <w:rsid w:val="00F35D98"/>
    <w:rsid w:val="00F35DB5"/>
    <w:rsid w:val="00F35DF3"/>
    <w:rsid w:val="00F35EDF"/>
    <w:rsid w:val="00F35FA2"/>
    <w:rsid w:val="00F361E6"/>
    <w:rsid w:val="00F365D4"/>
    <w:rsid w:val="00F365DC"/>
    <w:rsid w:val="00F366F2"/>
    <w:rsid w:val="00F36822"/>
    <w:rsid w:val="00F36DA6"/>
    <w:rsid w:val="00F37177"/>
    <w:rsid w:val="00F375D9"/>
    <w:rsid w:val="00F37A27"/>
    <w:rsid w:val="00F37A9C"/>
    <w:rsid w:val="00F37BC2"/>
    <w:rsid w:val="00F402B7"/>
    <w:rsid w:val="00F40419"/>
    <w:rsid w:val="00F40769"/>
    <w:rsid w:val="00F40851"/>
    <w:rsid w:val="00F40918"/>
    <w:rsid w:val="00F40A95"/>
    <w:rsid w:val="00F40C34"/>
    <w:rsid w:val="00F40EE7"/>
    <w:rsid w:val="00F40F8C"/>
    <w:rsid w:val="00F40FD7"/>
    <w:rsid w:val="00F410D7"/>
    <w:rsid w:val="00F417ED"/>
    <w:rsid w:val="00F41D19"/>
    <w:rsid w:val="00F41D5D"/>
    <w:rsid w:val="00F41F0B"/>
    <w:rsid w:val="00F41F9B"/>
    <w:rsid w:val="00F4211B"/>
    <w:rsid w:val="00F42637"/>
    <w:rsid w:val="00F4272E"/>
    <w:rsid w:val="00F42D68"/>
    <w:rsid w:val="00F4324E"/>
    <w:rsid w:val="00F432EB"/>
    <w:rsid w:val="00F438B1"/>
    <w:rsid w:val="00F439B2"/>
    <w:rsid w:val="00F43ACA"/>
    <w:rsid w:val="00F43DA1"/>
    <w:rsid w:val="00F43F1B"/>
    <w:rsid w:val="00F43F2D"/>
    <w:rsid w:val="00F44263"/>
    <w:rsid w:val="00F4443B"/>
    <w:rsid w:val="00F4466E"/>
    <w:rsid w:val="00F44A5D"/>
    <w:rsid w:val="00F44C86"/>
    <w:rsid w:val="00F44D64"/>
    <w:rsid w:val="00F44DCE"/>
    <w:rsid w:val="00F45045"/>
    <w:rsid w:val="00F450BB"/>
    <w:rsid w:val="00F452A7"/>
    <w:rsid w:val="00F45403"/>
    <w:rsid w:val="00F454C2"/>
    <w:rsid w:val="00F455D9"/>
    <w:rsid w:val="00F45B0A"/>
    <w:rsid w:val="00F45B65"/>
    <w:rsid w:val="00F45D7A"/>
    <w:rsid w:val="00F45E8A"/>
    <w:rsid w:val="00F4609D"/>
    <w:rsid w:val="00F46570"/>
    <w:rsid w:val="00F4688E"/>
    <w:rsid w:val="00F468BC"/>
    <w:rsid w:val="00F469A7"/>
    <w:rsid w:val="00F46C43"/>
    <w:rsid w:val="00F47258"/>
    <w:rsid w:val="00F47293"/>
    <w:rsid w:val="00F473D1"/>
    <w:rsid w:val="00F47544"/>
    <w:rsid w:val="00F47A99"/>
    <w:rsid w:val="00F47AD0"/>
    <w:rsid w:val="00F47E1A"/>
    <w:rsid w:val="00F50052"/>
    <w:rsid w:val="00F50161"/>
    <w:rsid w:val="00F5016F"/>
    <w:rsid w:val="00F5034F"/>
    <w:rsid w:val="00F5035F"/>
    <w:rsid w:val="00F5054A"/>
    <w:rsid w:val="00F50986"/>
    <w:rsid w:val="00F50C0F"/>
    <w:rsid w:val="00F50CF9"/>
    <w:rsid w:val="00F50EFE"/>
    <w:rsid w:val="00F50F4C"/>
    <w:rsid w:val="00F510C6"/>
    <w:rsid w:val="00F51497"/>
    <w:rsid w:val="00F516C2"/>
    <w:rsid w:val="00F5175E"/>
    <w:rsid w:val="00F517DE"/>
    <w:rsid w:val="00F519F7"/>
    <w:rsid w:val="00F51BF9"/>
    <w:rsid w:val="00F51CB5"/>
    <w:rsid w:val="00F51DD1"/>
    <w:rsid w:val="00F52418"/>
    <w:rsid w:val="00F5255D"/>
    <w:rsid w:val="00F525FE"/>
    <w:rsid w:val="00F526A0"/>
    <w:rsid w:val="00F5274E"/>
    <w:rsid w:val="00F529A0"/>
    <w:rsid w:val="00F52AAA"/>
    <w:rsid w:val="00F52B85"/>
    <w:rsid w:val="00F52D0A"/>
    <w:rsid w:val="00F52EE5"/>
    <w:rsid w:val="00F52F5F"/>
    <w:rsid w:val="00F5305B"/>
    <w:rsid w:val="00F53063"/>
    <w:rsid w:val="00F53099"/>
    <w:rsid w:val="00F532A0"/>
    <w:rsid w:val="00F53586"/>
    <w:rsid w:val="00F537D0"/>
    <w:rsid w:val="00F53999"/>
    <w:rsid w:val="00F539F5"/>
    <w:rsid w:val="00F53A3C"/>
    <w:rsid w:val="00F54251"/>
    <w:rsid w:val="00F549D0"/>
    <w:rsid w:val="00F549EA"/>
    <w:rsid w:val="00F54CDA"/>
    <w:rsid w:val="00F5531E"/>
    <w:rsid w:val="00F553B0"/>
    <w:rsid w:val="00F55A6D"/>
    <w:rsid w:val="00F55CBA"/>
    <w:rsid w:val="00F55E00"/>
    <w:rsid w:val="00F55E17"/>
    <w:rsid w:val="00F55FC7"/>
    <w:rsid w:val="00F56206"/>
    <w:rsid w:val="00F5687F"/>
    <w:rsid w:val="00F5698A"/>
    <w:rsid w:val="00F56AE3"/>
    <w:rsid w:val="00F56B2D"/>
    <w:rsid w:val="00F56CA5"/>
    <w:rsid w:val="00F56DE4"/>
    <w:rsid w:val="00F57210"/>
    <w:rsid w:val="00F57248"/>
    <w:rsid w:val="00F5740F"/>
    <w:rsid w:val="00F57701"/>
    <w:rsid w:val="00F57FE6"/>
    <w:rsid w:val="00F57FEF"/>
    <w:rsid w:val="00F60029"/>
    <w:rsid w:val="00F60036"/>
    <w:rsid w:val="00F6008A"/>
    <w:rsid w:val="00F60196"/>
    <w:rsid w:val="00F60AA5"/>
    <w:rsid w:val="00F60B3F"/>
    <w:rsid w:val="00F60C34"/>
    <w:rsid w:val="00F61295"/>
    <w:rsid w:val="00F6132F"/>
    <w:rsid w:val="00F615FF"/>
    <w:rsid w:val="00F6180A"/>
    <w:rsid w:val="00F61B1A"/>
    <w:rsid w:val="00F61B49"/>
    <w:rsid w:val="00F61CDE"/>
    <w:rsid w:val="00F61D43"/>
    <w:rsid w:val="00F61E68"/>
    <w:rsid w:val="00F621DF"/>
    <w:rsid w:val="00F6225C"/>
    <w:rsid w:val="00F623CE"/>
    <w:rsid w:val="00F625B0"/>
    <w:rsid w:val="00F62624"/>
    <w:rsid w:val="00F62984"/>
    <w:rsid w:val="00F629E6"/>
    <w:rsid w:val="00F62A66"/>
    <w:rsid w:val="00F62A94"/>
    <w:rsid w:val="00F62D97"/>
    <w:rsid w:val="00F630C6"/>
    <w:rsid w:val="00F6338A"/>
    <w:rsid w:val="00F63392"/>
    <w:rsid w:val="00F63403"/>
    <w:rsid w:val="00F63465"/>
    <w:rsid w:val="00F63470"/>
    <w:rsid w:val="00F6364C"/>
    <w:rsid w:val="00F6385A"/>
    <w:rsid w:val="00F63D25"/>
    <w:rsid w:val="00F63DCC"/>
    <w:rsid w:val="00F63E4E"/>
    <w:rsid w:val="00F63F4C"/>
    <w:rsid w:val="00F63FEA"/>
    <w:rsid w:val="00F6406F"/>
    <w:rsid w:val="00F64AFD"/>
    <w:rsid w:val="00F64C0E"/>
    <w:rsid w:val="00F64E3F"/>
    <w:rsid w:val="00F65074"/>
    <w:rsid w:val="00F6566E"/>
    <w:rsid w:val="00F65B54"/>
    <w:rsid w:val="00F66204"/>
    <w:rsid w:val="00F662CB"/>
    <w:rsid w:val="00F664D8"/>
    <w:rsid w:val="00F66546"/>
    <w:rsid w:val="00F665A6"/>
    <w:rsid w:val="00F665E1"/>
    <w:rsid w:val="00F66C5C"/>
    <w:rsid w:val="00F66C6A"/>
    <w:rsid w:val="00F66F19"/>
    <w:rsid w:val="00F67062"/>
    <w:rsid w:val="00F67110"/>
    <w:rsid w:val="00F6782E"/>
    <w:rsid w:val="00F6782F"/>
    <w:rsid w:val="00F67A10"/>
    <w:rsid w:val="00F67B49"/>
    <w:rsid w:val="00F67EDB"/>
    <w:rsid w:val="00F70BEE"/>
    <w:rsid w:val="00F70D29"/>
    <w:rsid w:val="00F70E5B"/>
    <w:rsid w:val="00F71013"/>
    <w:rsid w:val="00F71073"/>
    <w:rsid w:val="00F7111C"/>
    <w:rsid w:val="00F7127A"/>
    <w:rsid w:val="00F71319"/>
    <w:rsid w:val="00F7157E"/>
    <w:rsid w:val="00F7187B"/>
    <w:rsid w:val="00F718E9"/>
    <w:rsid w:val="00F71994"/>
    <w:rsid w:val="00F71CC5"/>
    <w:rsid w:val="00F71EB7"/>
    <w:rsid w:val="00F722AC"/>
    <w:rsid w:val="00F722CC"/>
    <w:rsid w:val="00F72398"/>
    <w:rsid w:val="00F7266D"/>
    <w:rsid w:val="00F7271F"/>
    <w:rsid w:val="00F72802"/>
    <w:rsid w:val="00F72836"/>
    <w:rsid w:val="00F72A7B"/>
    <w:rsid w:val="00F72C47"/>
    <w:rsid w:val="00F72D28"/>
    <w:rsid w:val="00F72DD8"/>
    <w:rsid w:val="00F72ED6"/>
    <w:rsid w:val="00F7322D"/>
    <w:rsid w:val="00F732FB"/>
    <w:rsid w:val="00F73453"/>
    <w:rsid w:val="00F735CC"/>
    <w:rsid w:val="00F738F8"/>
    <w:rsid w:val="00F73BAE"/>
    <w:rsid w:val="00F73C6B"/>
    <w:rsid w:val="00F73F14"/>
    <w:rsid w:val="00F74046"/>
    <w:rsid w:val="00F74338"/>
    <w:rsid w:val="00F744C3"/>
    <w:rsid w:val="00F745B9"/>
    <w:rsid w:val="00F74800"/>
    <w:rsid w:val="00F748AE"/>
    <w:rsid w:val="00F74A91"/>
    <w:rsid w:val="00F74A95"/>
    <w:rsid w:val="00F74B81"/>
    <w:rsid w:val="00F74E6D"/>
    <w:rsid w:val="00F74EB0"/>
    <w:rsid w:val="00F74EFA"/>
    <w:rsid w:val="00F75384"/>
    <w:rsid w:val="00F753CC"/>
    <w:rsid w:val="00F755DD"/>
    <w:rsid w:val="00F75641"/>
    <w:rsid w:val="00F75778"/>
    <w:rsid w:val="00F75CC9"/>
    <w:rsid w:val="00F75D28"/>
    <w:rsid w:val="00F761BB"/>
    <w:rsid w:val="00F7682C"/>
    <w:rsid w:val="00F7711A"/>
    <w:rsid w:val="00F77252"/>
    <w:rsid w:val="00F772A3"/>
    <w:rsid w:val="00F77461"/>
    <w:rsid w:val="00F774C7"/>
    <w:rsid w:val="00F77588"/>
    <w:rsid w:val="00F776D0"/>
    <w:rsid w:val="00F777EA"/>
    <w:rsid w:val="00F7783B"/>
    <w:rsid w:val="00F77E15"/>
    <w:rsid w:val="00F77E38"/>
    <w:rsid w:val="00F77E8C"/>
    <w:rsid w:val="00F80063"/>
    <w:rsid w:val="00F800D5"/>
    <w:rsid w:val="00F80144"/>
    <w:rsid w:val="00F80150"/>
    <w:rsid w:val="00F8053D"/>
    <w:rsid w:val="00F80592"/>
    <w:rsid w:val="00F805F7"/>
    <w:rsid w:val="00F8077D"/>
    <w:rsid w:val="00F80B1F"/>
    <w:rsid w:val="00F80B91"/>
    <w:rsid w:val="00F80CA7"/>
    <w:rsid w:val="00F80DC7"/>
    <w:rsid w:val="00F815DE"/>
    <w:rsid w:val="00F818F6"/>
    <w:rsid w:val="00F81AF8"/>
    <w:rsid w:val="00F81BF1"/>
    <w:rsid w:val="00F81C57"/>
    <w:rsid w:val="00F820B4"/>
    <w:rsid w:val="00F8230C"/>
    <w:rsid w:val="00F823B7"/>
    <w:rsid w:val="00F82419"/>
    <w:rsid w:val="00F8243F"/>
    <w:rsid w:val="00F8248D"/>
    <w:rsid w:val="00F8258C"/>
    <w:rsid w:val="00F827DA"/>
    <w:rsid w:val="00F828C4"/>
    <w:rsid w:val="00F829DB"/>
    <w:rsid w:val="00F82E36"/>
    <w:rsid w:val="00F82F2B"/>
    <w:rsid w:val="00F83251"/>
    <w:rsid w:val="00F8347E"/>
    <w:rsid w:val="00F83552"/>
    <w:rsid w:val="00F837C6"/>
    <w:rsid w:val="00F839BF"/>
    <w:rsid w:val="00F84353"/>
    <w:rsid w:val="00F8469C"/>
    <w:rsid w:val="00F846F7"/>
    <w:rsid w:val="00F84796"/>
    <w:rsid w:val="00F84954"/>
    <w:rsid w:val="00F84AB0"/>
    <w:rsid w:val="00F84EF9"/>
    <w:rsid w:val="00F84FC5"/>
    <w:rsid w:val="00F8507C"/>
    <w:rsid w:val="00F850AC"/>
    <w:rsid w:val="00F8532F"/>
    <w:rsid w:val="00F856BC"/>
    <w:rsid w:val="00F856E7"/>
    <w:rsid w:val="00F85E26"/>
    <w:rsid w:val="00F86271"/>
    <w:rsid w:val="00F86359"/>
    <w:rsid w:val="00F86469"/>
    <w:rsid w:val="00F867E2"/>
    <w:rsid w:val="00F87095"/>
    <w:rsid w:val="00F8712C"/>
    <w:rsid w:val="00F875FD"/>
    <w:rsid w:val="00F87672"/>
    <w:rsid w:val="00F87767"/>
    <w:rsid w:val="00F87A43"/>
    <w:rsid w:val="00F87A6A"/>
    <w:rsid w:val="00F87AC9"/>
    <w:rsid w:val="00F87B43"/>
    <w:rsid w:val="00F87C2D"/>
    <w:rsid w:val="00F87E7C"/>
    <w:rsid w:val="00F90116"/>
    <w:rsid w:val="00F902E8"/>
    <w:rsid w:val="00F904BB"/>
    <w:rsid w:val="00F90530"/>
    <w:rsid w:val="00F90553"/>
    <w:rsid w:val="00F90748"/>
    <w:rsid w:val="00F907DF"/>
    <w:rsid w:val="00F90A06"/>
    <w:rsid w:val="00F9169C"/>
    <w:rsid w:val="00F91A5B"/>
    <w:rsid w:val="00F91C88"/>
    <w:rsid w:val="00F91FCB"/>
    <w:rsid w:val="00F91FFE"/>
    <w:rsid w:val="00F9202E"/>
    <w:rsid w:val="00F9218D"/>
    <w:rsid w:val="00F9227C"/>
    <w:rsid w:val="00F92579"/>
    <w:rsid w:val="00F925F7"/>
    <w:rsid w:val="00F9261C"/>
    <w:rsid w:val="00F92AE4"/>
    <w:rsid w:val="00F92B0A"/>
    <w:rsid w:val="00F92B25"/>
    <w:rsid w:val="00F92CF8"/>
    <w:rsid w:val="00F92E44"/>
    <w:rsid w:val="00F92F02"/>
    <w:rsid w:val="00F92FFD"/>
    <w:rsid w:val="00F9315E"/>
    <w:rsid w:val="00F932EB"/>
    <w:rsid w:val="00F936F8"/>
    <w:rsid w:val="00F93812"/>
    <w:rsid w:val="00F938FF"/>
    <w:rsid w:val="00F939B0"/>
    <w:rsid w:val="00F93E12"/>
    <w:rsid w:val="00F93ECB"/>
    <w:rsid w:val="00F9404E"/>
    <w:rsid w:val="00F94153"/>
    <w:rsid w:val="00F94228"/>
    <w:rsid w:val="00F9434D"/>
    <w:rsid w:val="00F9454F"/>
    <w:rsid w:val="00F947C0"/>
    <w:rsid w:val="00F9489B"/>
    <w:rsid w:val="00F9499C"/>
    <w:rsid w:val="00F94B40"/>
    <w:rsid w:val="00F94C9F"/>
    <w:rsid w:val="00F94D4B"/>
    <w:rsid w:val="00F9503D"/>
    <w:rsid w:val="00F95299"/>
    <w:rsid w:val="00F952C4"/>
    <w:rsid w:val="00F954CD"/>
    <w:rsid w:val="00F95762"/>
    <w:rsid w:val="00F9578D"/>
    <w:rsid w:val="00F95DE3"/>
    <w:rsid w:val="00F95FAA"/>
    <w:rsid w:val="00F960BF"/>
    <w:rsid w:val="00F961A5"/>
    <w:rsid w:val="00F965FF"/>
    <w:rsid w:val="00F966DD"/>
    <w:rsid w:val="00F96B9B"/>
    <w:rsid w:val="00F96C3E"/>
    <w:rsid w:val="00F97026"/>
    <w:rsid w:val="00F9736C"/>
    <w:rsid w:val="00F97854"/>
    <w:rsid w:val="00F978C4"/>
    <w:rsid w:val="00F97960"/>
    <w:rsid w:val="00F979CD"/>
    <w:rsid w:val="00F979E9"/>
    <w:rsid w:val="00F979F9"/>
    <w:rsid w:val="00F97A6C"/>
    <w:rsid w:val="00F97B43"/>
    <w:rsid w:val="00F97BEB"/>
    <w:rsid w:val="00F97E84"/>
    <w:rsid w:val="00F97F0F"/>
    <w:rsid w:val="00FA00B7"/>
    <w:rsid w:val="00FA0174"/>
    <w:rsid w:val="00FA020F"/>
    <w:rsid w:val="00FA0600"/>
    <w:rsid w:val="00FA0652"/>
    <w:rsid w:val="00FA06E2"/>
    <w:rsid w:val="00FA076C"/>
    <w:rsid w:val="00FA089A"/>
    <w:rsid w:val="00FA08CA"/>
    <w:rsid w:val="00FA12B1"/>
    <w:rsid w:val="00FA13E4"/>
    <w:rsid w:val="00FA14C7"/>
    <w:rsid w:val="00FA1517"/>
    <w:rsid w:val="00FA1829"/>
    <w:rsid w:val="00FA1980"/>
    <w:rsid w:val="00FA1993"/>
    <w:rsid w:val="00FA19C6"/>
    <w:rsid w:val="00FA1D9C"/>
    <w:rsid w:val="00FA1E75"/>
    <w:rsid w:val="00FA2334"/>
    <w:rsid w:val="00FA2346"/>
    <w:rsid w:val="00FA235D"/>
    <w:rsid w:val="00FA2691"/>
    <w:rsid w:val="00FA26AB"/>
    <w:rsid w:val="00FA2C4D"/>
    <w:rsid w:val="00FA2C7D"/>
    <w:rsid w:val="00FA2E68"/>
    <w:rsid w:val="00FA369E"/>
    <w:rsid w:val="00FA3E61"/>
    <w:rsid w:val="00FA430C"/>
    <w:rsid w:val="00FA478C"/>
    <w:rsid w:val="00FA49B3"/>
    <w:rsid w:val="00FA4BB1"/>
    <w:rsid w:val="00FA4EBE"/>
    <w:rsid w:val="00FA5014"/>
    <w:rsid w:val="00FA5077"/>
    <w:rsid w:val="00FA536E"/>
    <w:rsid w:val="00FA56CA"/>
    <w:rsid w:val="00FA5A21"/>
    <w:rsid w:val="00FA5A96"/>
    <w:rsid w:val="00FA5BDA"/>
    <w:rsid w:val="00FA5E68"/>
    <w:rsid w:val="00FA5EE6"/>
    <w:rsid w:val="00FA61C3"/>
    <w:rsid w:val="00FA61E4"/>
    <w:rsid w:val="00FA61FF"/>
    <w:rsid w:val="00FA62EA"/>
    <w:rsid w:val="00FA65EA"/>
    <w:rsid w:val="00FA66D2"/>
    <w:rsid w:val="00FA68A8"/>
    <w:rsid w:val="00FA6B00"/>
    <w:rsid w:val="00FA6C89"/>
    <w:rsid w:val="00FA714D"/>
    <w:rsid w:val="00FA73D8"/>
    <w:rsid w:val="00FA7766"/>
    <w:rsid w:val="00FA792C"/>
    <w:rsid w:val="00FA7B35"/>
    <w:rsid w:val="00FA7CDD"/>
    <w:rsid w:val="00FA7D24"/>
    <w:rsid w:val="00FA7D8C"/>
    <w:rsid w:val="00FA7EE3"/>
    <w:rsid w:val="00FB0785"/>
    <w:rsid w:val="00FB09F7"/>
    <w:rsid w:val="00FB0B9F"/>
    <w:rsid w:val="00FB0BD1"/>
    <w:rsid w:val="00FB0D71"/>
    <w:rsid w:val="00FB0EC4"/>
    <w:rsid w:val="00FB0ED7"/>
    <w:rsid w:val="00FB115A"/>
    <w:rsid w:val="00FB12BF"/>
    <w:rsid w:val="00FB1360"/>
    <w:rsid w:val="00FB138E"/>
    <w:rsid w:val="00FB144E"/>
    <w:rsid w:val="00FB163D"/>
    <w:rsid w:val="00FB17C4"/>
    <w:rsid w:val="00FB195E"/>
    <w:rsid w:val="00FB1AC8"/>
    <w:rsid w:val="00FB1D30"/>
    <w:rsid w:val="00FB1E85"/>
    <w:rsid w:val="00FB2320"/>
    <w:rsid w:val="00FB29D9"/>
    <w:rsid w:val="00FB2B1E"/>
    <w:rsid w:val="00FB2BBF"/>
    <w:rsid w:val="00FB2CBD"/>
    <w:rsid w:val="00FB2E5E"/>
    <w:rsid w:val="00FB31CF"/>
    <w:rsid w:val="00FB31D2"/>
    <w:rsid w:val="00FB327E"/>
    <w:rsid w:val="00FB3322"/>
    <w:rsid w:val="00FB3446"/>
    <w:rsid w:val="00FB35DF"/>
    <w:rsid w:val="00FB360E"/>
    <w:rsid w:val="00FB379A"/>
    <w:rsid w:val="00FB387B"/>
    <w:rsid w:val="00FB3B91"/>
    <w:rsid w:val="00FB3CEA"/>
    <w:rsid w:val="00FB4297"/>
    <w:rsid w:val="00FB4412"/>
    <w:rsid w:val="00FB44F5"/>
    <w:rsid w:val="00FB4643"/>
    <w:rsid w:val="00FB48E0"/>
    <w:rsid w:val="00FB4C55"/>
    <w:rsid w:val="00FB4D3D"/>
    <w:rsid w:val="00FB4D52"/>
    <w:rsid w:val="00FB51F4"/>
    <w:rsid w:val="00FB54CD"/>
    <w:rsid w:val="00FB5846"/>
    <w:rsid w:val="00FB58EE"/>
    <w:rsid w:val="00FB5A7F"/>
    <w:rsid w:val="00FB5BA5"/>
    <w:rsid w:val="00FB5BDF"/>
    <w:rsid w:val="00FB5CC5"/>
    <w:rsid w:val="00FB600C"/>
    <w:rsid w:val="00FB60A2"/>
    <w:rsid w:val="00FB616D"/>
    <w:rsid w:val="00FB63AA"/>
    <w:rsid w:val="00FB6572"/>
    <w:rsid w:val="00FB65FC"/>
    <w:rsid w:val="00FB66E5"/>
    <w:rsid w:val="00FB6766"/>
    <w:rsid w:val="00FB6773"/>
    <w:rsid w:val="00FB699D"/>
    <w:rsid w:val="00FB6BA0"/>
    <w:rsid w:val="00FB6C65"/>
    <w:rsid w:val="00FB6DAA"/>
    <w:rsid w:val="00FB757A"/>
    <w:rsid w:val="00FB7FF0"/>
    <w:rsid w:val="00FC0017"/>
    <w:rsid w:val="00FC0125"/>
    <w:rsid w:val="00FC01A0"/>
    <w:rsid w:val="00FC01CE"/>
    <w:rsid w:val="00FC04EF"/>
    <w:rsid w:val="00FC0598"/>
    <w:rsid w:val="00FC073E"/>
    <w:rsid w:val="00FC0A1D"/>
    <w:rsid w:val="00FC0BD1"/>
    <w:rsid w:val="00FC0F0A"/>
    <w:rsid w:val="00FC0F7A"/>
    <w:rsid w:val="00FC1067"/>
    <w:rsid w:val="00FC14B0"/>
    <w:rsid w:val="00FC1559"/>
    <w:rsid w:val="00FC15A0"/>
    <w:rsid w:val="00FC18F4"/>
    <w:rsid w:val="00FC1EE9"/>
    <w:rsid w:val="00FC2028"/>
    <w:rsid w:val="00FC2046"/>
    <w:rsid w:val="00FC224F"/>
    <w:rsid w:val="00FC27EC"/>
    <w:rsid w:val="00FC2CD7"/>
    <w:rsid w:val="00FC2E68"/>
    <w:rsid w:val="00FC30CB"/>
    <w:rsid w:val="00FC3157"/>
    <w:rsid w:val="00FC31D9"/>
    <w:rsid w:val="00FC3237"/>
    <w:rsid w:val="00FC32D9"/>
    <w:rsid w:val="00FC3450"/>
    <w:rsid w:val="00FC34E9"/>
    <w:rsid w:val="00FC3669"/>
    <w:rsid w:val="00FC36B9"/>
    <w:rsid w:val="00FC38A2"/>
    <w:rsid w:val="00FC3E28"/>
    <w:rsid w:val="00FC3E5E"/>
    <w:rsid w:val="00FC3F99"/>
    <w:rsid w:val="00FC4188"/>
    <w:rsid w:val="00FC41B7"/>
    <w:rsid w:val="00FC4700"/>
    <w:rsid w:val="00FC4754"/>
    <w:rsid w:val="00FC4847"/>
    <w:rsid w:val="00FC4ABF"/>
    <w:rsid w:val="00FC4C7C"/>
    <w:rsid w:val="00FC4D02"/>
    <w:rsid w:val="00FC5193"/>
    <w:rsid w:val="00FC52B0"/>
    <w:rsid w:val="00FC5478"/>
    <w:rsid w:val="00FC5558"/>
    <w:rsid w:val="00FC5626"/>
    <w:rsid w:val="00FC56A5"/>
    <w:rsid w:val="00FC585F"/>
    <w:rsid w:val="00FC5B3B"/>
    <w:rsid w:val="00FC61BE"/>
    <w:rsid w:val="00FC65D0"/>
    <w:rsid w:val="00FC6B66"/>
    <w:rsid w:val="00FC6BDB"/>
    <w:rsid w:val="00FC6C4D"/>
    <w:rsid w:val="00FC71D0"/>
    <w:rsid w:val="00FC7215"/>
    <w:rsid w:val="00FC747A"/>
    <w:rsid w:val="00FC7894"/>
    <w:rsid w:val="00FC7963"/>
    <w:rsid w:val="00FC7BB2"/>
    <w:rsid w:val="00FC7F55"/>
    <w:rsid w:val="00FD0068"/>
    <w:rsid w:val="00FD017C"/>
    <w:rsid w:val="00FD02EA"/>
    <w:rsid w:val="00FD0584"/>
    <w:rsid w:val="00FD0596"/>
    <w:rsid w:val="00FD0D5F"/>
    <w:rsid w:val="00FD1127"/>
    <w:rsid w:val="00FD1B98"/>
    <w:rsid w:val="00FD1C78"/>
    <w:rsid w:val="00FD1C88"/>
    <w:rsid w:val="00FD1CB0"/>
    <w:rsid w:val="00FD2330"/>
    <w:rsid w:val="00FD342E"/>
    <w:rsid w:val="00FD3451"/>
    <w:rsid w:val="00FD37CC"/>
    <w:rsid w:val="00FD3804"/>
    <w:rsid w:val="00FD3C23"/>
    <w:rsid w:val="00FD3CED"/>
    <w:rsid w:val="00FD4038"/>
    <w:rsid w:val="00FD429F"/>
    <w:rsid w:val="00FD4864"/>
    <w:rsid w:val="00FD4C12"/>
    <w:rsid w:val="00FD5118"/>
    <w:rsid w:val="00FD53FA"/>
    <w:rsid w:val="00FD561F"/>
    <w:rsid w:val="00FD5679"/>
    <w:rsid w:val="00FD5879"/>
    <w:rsid w:val="00FD5976"/>
    <w:rsid w:val="00FD59B6"/>
    <w:rsid w:val="00FD5A17"/>
    <w:rsid w:val="00FD5A1C"/>
    <w:rsid w:val="00FD5C44"/>
    <w:rsid w:val="00FD602B"/>
    <w:rsid w:val="00FD64CD"/>
    <w:rsid w:val="00FD653D"/>
    <w:rsid w:val="00FD67A6"/>
    <w:rsid w:val="00FD67D6"/>
    <w:rsid w:val="00FD6B78"/>
    <w:rsid w:val="00FD6B7E"/>
    <w:rsid w:val="00FD70FC"/>
    <w:rsid w:val="00FD71CE"/>
    <w:rsid w:val="00FD780B"/>
    <w:rsid w:val="00FD7AC8"/>
    <w:rsid w:val="00FD7F1E"/>
    <w:rsid w:val="00FD7F5F"/>
    <w:rsid w:val="00FE0279"/>
    <w:rsid w:val="00FE09E7"/>
    <w:rsid w:val="00FE0AB1"/>
    <w:rsid w:val="00FE0AD7"/>
    <w:rsid w:val="00FE0CA3"/>
    <w:rsid w:val="00FE0D94"/>
    <w:rsid w:val="00FE113F"/>
    <w:rsid w:val="00FE134B"/>
    <w:rsid w:val="00FE1366"/>
    <w:rsid w:val="00FE15E1"/>
    <w:rsid w:val="00FE16A1"/>
    <w:rsid w:val="00FE1795"/>
    <w:rsid w:val="00FE1852"/>
    <w:rsid w:val="00FE1A2C"/>
    <w:rsid w:val="00FE1DE7"/>
    <w:rsid w:val="00FE1FA7"/>
    <w:rsid w:val="00FE2057"/>
    <w:rsid w:val="00FE21E4"/>
    <w:rsid w:val="00FE2576"/>
    <w:rsid w:val="00FE27FB"/>
    <w:rsid w:val="00FE2C39"/>
    <w:rsid w:val="00FE2DAD"/>
    <w:rsid w:val="00FE2E34"/>
    <w:rsid w:val="00FE2EC4"/>
    <w:rsid w:val="00FE2FE0"/>
    <w:rsid w:val="00FE3112"/>
    <w:rsid w:val="00FE3271"/>
    <w:rsid w:val="00FE33B8"/>
    <w:rsid w:val="00FE340B"/>
    <w:rsid w:val="00FE34D5"/>
    <w:rsid w:val="00FE3692"/>
    <w:rsid w:val="00FE3AB5"/>
    <w:rsid w:val="00FE3AD1"/>
    <w:rsid w:val="00FE3C14"/>
    <w:rsid w:val="00FE3D19"/>
    <w:rsid w:val="00FE408D"/>
    <w:rsid w:val="00FE40EB"/>
    <w:rsid w:val="00FE42F6"/>
    <w:rsid w:val="00FE433C"/>
    <w:rsid w:val="00FE4376"/>
    <w:rsid w:val="00FE4730"/>
    <w:rsid w:val="00FE4747"/>
    <w:rsid w:val="00FE4931"/>
    <w:rsid w:val="00FE4B1C"/>
    <w:rsid w:val="00FE4C83"/>
    <w:rsid w:val="00FE4CF0"/>
    <w:rsid w:val="00FE4D62"/>
    <w:rsid w:val="00FE512C"/>
    <w:rsid w:val="00FE5137"/>
    <w:rsid w:val="00FE514C"/>
    <w:rsid w:val="00FE54BD"/>
    <w:rsid w:val="00FE551D"/>
    <w:rsid w:val="00FE57AF"/>
    <w:rsid w:val="00FE59BB"/>
    <w:rsid w:val="00FE5B14"/>
    <w:rsid w:val="00FE5CA3"/>
    <w:rsid w:val="00FE5E42"/>
    <w:rsid w:val="00FE5EDA"/>
    <w:rsid w:val="00FE646A"/>
    <w:rsid w:val="00FE6487"/>
    <w:rsid w:val="00FE67C8"/>
    <w:rsid w:val="00FE67D5"/>
    <w:rsid w:val="00FE6815"/>
    <w:rsid w:val="00FE68AF"/>
    <w:rsid w:val="00FE68FE"/>
    <w:rsid w:val="00FE6AF7"/>
    <w:rsid w:val="00FE6B5C"/>
    <w:rsid w:val="00FE6E6F"/>
    <w:rsid w:val="00FE6F92"/>
    <w:rsid w:val="00FE71F8"/>
    <w:rsid w:val="00FE7402"/>
    <w:rsid w:val="00FE7606"/>
    <w:rsid w:val="00FE7BEE"/>
    <w:rsid w:val="00FE7BFE"/>
    <w:rsid w:val="00FE7C02"/>
    <w:rsid w:val="00FF01C2"/>
    <w:rsid w:val="00FF01C9"/>
    <w:rsid w:val="00FF01FF"/>
    <w:rsid w:val="00FF02A5"/>
    <w:rsid w:val="00FF080F"/>
    <w:rsid w:val="00FF0CB2"/>
    <w:rsid w:val="00FF10F3"/>
    <w:rsid w:val="00FF1A4D"/>
    <w:rsid w:val="00FF1BFD"/>
    <w:rsid w:val="00FF1D8C"/>
    <w:rsid w:val="00FF1E84"/>
    <w:rsid w:val="00FF1EE2"/>
    <w:rsid w:val="00FF2200"/>
    <w:rsid w:val="00FF224E"/>
    <w:rsid w:val="00FF22C4"/>
    <w:rsid w:val="00FF2331"/>
    <w:rsid w:val="00FF2387"/>
    <w:rsid w:val="00FF247D"/>
    <w:rsid w:val="00FF248A"/>
    <w:rsid w:val="00FF27BF"/>
    <w:rsid w:val="00FF29C6"/>
    <w:rsid w:val="00FF2BEE"/>
    <w:rsid w:val="00FF2E32"/>
    <w:rsid w:val="00FF2EA4"/>
    <w:rsid w:val="00FF31C9"/>
    <w:rsid w:val="00FF3243"/>
    <w:rsid w:val="00FF33CB"/>
    <w:rsid w:val="00FF3537"/>
    <w:rsid w:val="00FF354B"/>
    <w:rsid w:val="00FF35D7"/>
    <w:rsid w:val="00FF35FC"/>
    <w:rsid w:val="00FF3650"/>
    <w:rsid w:val="00FF36CF"/>
    <w:rsid w:val="00FF392A"/>
    <w:rsid w:val="00FF4050"/>
    <w:rsid w:val="00FF4051"/>
    <w:rsid w:val="00FF43E5"/>
    <w:rsid w:val="00FF4B93"/>
    <w:rsid w:val="00FF4BDF"/>
    <w:rsid w:val="00FF4F8E"/>
    <w:rsid w:val="00FF51C9"/>
    <w:rsid w:val="00FF5334"/>
    <w:rsid w:val="00FF5737"/>
    <w:rsid w:val="00FF5C5C"/>
    <w:rsid w:val="00FF5D2C"/>
    <w:rsid w:val="00FF5FB0"/>
    <w:rsid w:val="00FF61CD"/>
    <w:rsid w:val="00FF6369"/>
    <w:rsid w:val="00FF6372"/>
    <w:rsid w:val="00FF651F"/>
    <w:rsid w:val="00FF6551"/>
    <w:rsid w:val="00FF6EAE"/>
    <w:rsid w:val="00FF6EB1"/>
    <w:rsid w:val="00FF7354"/>
    <w:rsid w:val="00FF7765"/>
    <w:rsid w:val="00FF7873"/>
    <w:rsid w:val="00FF792F"/>
    <w:rsid w:val="00FF7B19"/>
    <w:rsid w:val="00FF7EBD"/>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D9533"/>
  <w15:chartTrackingRefBased/>
  <w15:docId w15:val="{6D256249-5369-4E94-87A6-1DD01BD6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B0"/>
    <w:pPr>
      <w:spacing w:line="280" w:lineRule="exact"/>
      <w:jc w:val="both"/>
    </w:pPr>
    <w:rPr>
      <w:rFonts w:ascii="Garamond" w:hAnsi="Garamond"/>
      <w:sz w:val="22"/>
      <w:szCs w:val="24"/>
    </w:rPr>
  </w:style>
  <w:style w:type="paragraph" w:styleId="Heading1">
    <w:name w:val="heading 1"/>
    <w:basedOn w:val="Normal"/>
    <w:next w:val="Normal"/>
    <w:link w:val="Heading1Char"/>
    <w:uiPriority w:val="9"/>
    <w:qFormat/>
    <w:rsid w:val="0046202D"/>
    <w:pPr>
      <w:keepNext/>
      <w:spacing w:before="240" w:after="60"/>
      <w:jc w:val="left"/>
      <w:outlineLvl w:val="0"/>
    </w:pPr>
    <w:rPr>
      <w:b/>
      <w:bCs/>
      <w:kern w:val="28"/>
      <w:sz w:val="36"/>
      <w:szCs w:val="28"/>
      <w:lang w:val="x-none" w:eastAsia="x-none"/>
    </w:rPr>
  </w:style>
  <w:style w:type="paragraph" w:styleId="Heading2">
    <w:name w:val="heading 2"/>
    <w:basedOn w:val="Normal"/>
    <w:next w:val="Normal"/>
    <w:link w:val="Heading2Char"/>
    <w:uiPriority w:val="9"/>
    <w:qFormat/>
    <w:rsid w:val="00636577"/>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360" w:after="120" w:line="240" w:lineRule="auto"/>
      <w:jc w:val="left"/>
      <w:outlineLvl w:val="1"/>
    </w:pPr>
    <w:rPr>
      <w:b/>
      <w:bCs/>
      <w:sz w:val="28"/>
      <w:szCs w:val="20"/>
      <w:lang w:val="x-none" w:eastAsia="x-none"/>
    </w:rPr>
  </w:style>
  <w:style w:type="paragraph" w:styleId="Heading3">
    <w:name w:val="heading 3"/>
    <w:basedOn w:val="Normal"/>
    <w:next w:val="Normal"/>
    <w:link w:val="Heading3Char"/>
    <w:uiPriority w:val="9"/>
    <w:unhideWhenUsed/>
    <w:qFormat/>
    <w:rsid w:val="0046202D"/>
    <w:pPr>
      <w:keepNext/>
      <w:keepLines/>
      <w:spacing w:before="360" w:after="120"/>
      <w:jc w:val="left"/>
      <w:outlineLvl w:val="2"/>
    </w:pPr>
    <w:rPr>
      <w:b/>
      <w:bCs/>
      <w:i/>
      <w:sz w:val="28"/>
      <w:lang w:val="x-none" w:eastAsia="x-none"/>
    </w:rPr>
  </w:style>
  <w:style w:type="paragraph" w:styleId="Heading4">
    <w:name w:val="heading 4"/>
    <w:basedOn w:val="Normal"/>
    <w:next w:val="Normal"/>
    <w:link w:val="Heading4Char"/>
    <w:uiPriority w:val="9"/>
    <w:qFormat/>
    <w:rsid w:val="002A73A4"/>
    <w:pPr>
      <w:spacing w:before="320" w:after="60" w:line="240" w:lineRule="auto"/>
      <w:jc w:val="left"/>
      <w:outlineLvl w:val="3"/>
    </w:pPr>
    <w:rPr>
      <w:b/>
      <w:szCs w:val="20"/>
      <w:lang w:val="x-none" w:eastAsia="x-none"/>
    </w:rPr>
  </w:style>
  <w:style w:type="paragraph" w:styleId="Heading5">
    <w:name w:val="heading 5"/>
    <w:basedOn w:val="Normal"/>
    <w:next w:val="Normal"/>
    <w:link w:val="Heading5Char"/>
    <w:uiPriority w:val="9"/>
    <w:qFormat/>
    <w:rsid w:val="002670B2"/>
    <w:pPr>
      <w:spacing w:line="240" w:lineRule="auto"/>
      <w:jc w:val="left"/>
      <w:outlineLvl w:val="4"/>
    </w:pPr>
    <w:rPr>
      <w:rFonts w:ascii="Arial" w:hAnsi="Arial"/>
      <w:szCs w:val="20"/>
      <w:lang w:val="x-none" w:eastAsia="x-none"/>
    </w:rPr>
  </w:style>
  <w:style w:type="paragraph" w:styleId="Heading6">
    <w:name w:val="heading 6"/>
    <w:basedOn w:val="Normal"/>
    <w:next w:val="Normal"/>
    <w:link w:val="Heading6Char"/>
    <w:uiPriority w:val="9"/>
    <w:qFormat/>
    <w:rsid w:val="002670B2"/>
    <w:pPr>
      <w:spacing w:line="240" w:lineRule="auto"/>
      <w:jc w:val="left"/>
      <w:outlineLvl w:val="5"/>
    </w:pPr>
    <w:rPr>
      <w:rFonts w:ascii="Arial" w:hAnsi="Arial"/>
      <w:szCs w:val="20"/>
      <w:lang w:val="x-none" w:eastAsia="x-none"/>
    </w:rPr>
  </w:style>
  <w:style w:type="paragraph" w:styleId="Heading7">
    <w:name w:val="heading 7"/>
    <w:basedOn w:val="Normal"/>
    <w:next w:val="Normal"/>
    <w:link w:val="Heading7Char"/>
    <w:uiPriority w:val="9"/>
    <w:qFormat/>
    <w:rsid w:val="002670B2"/>
    <w:pPr>
      <w:spacing w:line="240" w:lineRule="auto"/>
      <w:jc w:val="left"/>
      <w:outlineLvl w:val="6"/>
    </w:pPr>
    <w:rPr>
      <w:rFonts w:ascii="Arial" w:hAnsi="Arial"/>
      <w:szCs w:val="20"/>
      <w:lang w:val="x-none" w:eastAsia="x-none"/>
    </w:rPr>
  </w:style>
  <w:style w:type="paragraph" w:styleId="Heading8">
    <w:name w:val="heading 8"/>
    <w:basedOn w:val="Normal"/>
    <w:next w:val="Normal"/>
    <w:link w:val="Heading8Char"/>
    <w:uiPriority w:val="9"/>
    <w:qFormat/>
    <w:rsid w:val="002670B2"/>
    <w:pPr>
      <w:spacing w:line="240" w:lineRule="auto"/>
      <w:jc w:val="left"/>
      <w:outlineLvl w:val="7"/>
    </w:pPr>
    <w:rPr>
      <w:rFonts w:ascii="Arial" w:hAnsi="Arial"/>
      <w:szCs w:val="20"/>
      <w:lang w:val="x-none" w:eastAsia="x-none"/>
    </w:rPr>
  </w:style>
  <w:style w:type="paragraph" w:styleId="Heading9">
    <w:name w:val="heading 9"/>
    <w:basedOn w:val="Normal"/>
    <w:next w:val="Normal"/>
    <w:link w:val="Heading9Char"/>
    <w:uiPriority w:val="9"/>
    <w:qFormat/>
    <w:rsid w:val="002670B2"/>
    <w:pPr>
      <w:tabs>
        <w:tab w:val="left" w:pos="-720"/>
      </w:tabs>
      <w:suppressAutoHyphens/>
      <w:spacing w:line="240" w:lineRule="auto"/>
      <w:jc w:val="left"/>
      <w:outlineLvl w:val="8"/>
    </w:pPr>
    <w:rPr>
      <w:rFonts w:ascii="Arial" w:hAnsi="Arial"/>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04E5"/>
    <w:rPr>
      <w:color w:val="0000FF"/>
      <w:u w:val="single"/>
    </w:rPr>
  </w:style>
  <w:style w:type="paragraph" w:customStyle="1" w:styleId="LegalLevel1">
    <w:name w:val=".Legal Level 1"/>
    <w:basedOn w:val="Normal"/>
    <w:rsid w:val="00AC2A28"/>
    <w:pPr>
      <w:numPr>
        <w:numId w:val="1"/>
      </w:numPr>
      <w:spacing w:before="120" w:after="120"/>
    </w:pPr>
    <w:rPr>
      <w:rFonts w:ascii="Arial" w:hAnsi="Arial" w:cs="Arial"/>
      <w:color w:val="000000"/>
      <w:sz w:val="18"/>
      <w:szCs w:val="18"/>
    </w:rPr>
  </w:style>
  <w:style w:type="paragraph" w:customStyle="1" w:styleId="LegalLevel2">
    <w:name w:val=".Legal Level 2"/>
    <w:basedOn w:val="Normal"/>
    <w:rsid w:val="00533192"/>
    <w:pPr>
      <w:numPr>
        <w:ilvl w:val="1"/>
        <w:numId w:val="1"/>
      </w:numPr>
      <w:tabs>
        <w:tab w:val="num" w:pos="1939"/>
      </w:tabs>
      <w:spacing w:before="120" w:after="120"/>
      <w:ind w:left="1944"/>
    </w:pPr>
    <w:rPr>
      <w:rFonts w:ascii="Arial" w:hAnsi="Arial" w:cs="Arial"/>
      <w:color w:val="000000"/>
      <w:sz w:val="18"/>
      <w:szCs w:val="18"/>
    </w:rPr>
  </w:style>
  <w:style w:type="paragraph" w:customStyle="1" w:styleId="LegalLevel3">
    <w:name w:val=".Legal Level 3"/>
    <w:basedOn w:val="Normal"/>
    <w:rsid w:val="00AC2A28"/>
    <w:pPr>
      <w:numPr>
        <w:ilvl w:val="2"/>
        <w:numId w:val="1"/>
      </w:numPr>
      <w:tabs>
        <w:tab w:val="num" w:pos="1939"/>
      </w:tabs>
      <w:spacing w:before="120"/>
      <w:ind w:left="1939" w:hanging="720"/>
    </w:pPr>
    <w:rPr>
      <w:rFonts w:ascii="Arial" w:hAnsi="Arial" w:cs="Arial"/>
      <w:color w:val="000000"/>
      <w:sz w:val="18"/>
      <w:szCs w:val="18"/>
    </w:rPr>
  </w:style>
  <w:style w:type="paragraph" w:customStyle="1" w:styleId="LegalLevel4">
    <w:name w:val=".Legal Level 4"/>
    <w:basedOn w:val="Normal"/>
    <w:rsid w:val="00AC2A28"/>
    <w:pPr>
      <w:numPr>
        <w:ilvl w:val="3"/>
        <w:numId w:val="1"/>
      </w:numPr>
      <w:tabs>
        <w:tab w:val="num" w:pos="1939"/>
      </w:tabs>
      <w:spacing w:before="120" w:after="120"/>
      <w:ind w:left="1939" w:hanging="720"/>
    </w:pPr>
    <w:rPr>
      <w:rFonts w:ascii="Arial" w:hAnsi="Arial" w:cs="Arial"/>
      <w:sz w:val="18"/>
      <w:szCs w:val="18"/>
    </w:rPr>
  </w:style>
  <w:style w:type="character" w:customStyle="1" w:styleId="Heading1Char">
    <w:name w:val="Heading 1 Char"/>
    <w:link w:val="Heading1"/>
    <w:uiPriority w:val="9"/>
    <w:rsid w:val="0046202D"/>
    <w:rPr>
      <w:rFonts w:ascii="Garamond" w:hAnsi="Garamond"/>
      <w:b/>
      <w:bCs/>
      <w:kern w:val="28"/>
      <w:sz w:val="36"/>
      <w:szCs w:val="28"/>
      <w:lang w:val="x-none" w:eastAsia="x-none"/>
    </w:rPr>
  </w:style>
  <w:style w:type="character" w:customStyle="1" w:styleId="Heading2Char">
    <w:name w:val="Heading 2 Char"/>
    <w:link w:val="Heading2"/>
    <w:uiPriority w:val="9"/>
    <w:rsid w:val="00636577"/>
    <w:rPr>
      <w:rFonts w:ascii="Garamond" w:hAnsi="Garamond"/>
      <w:b/>
      <w:bCs/>
      <w:sz w:val="28"/>
      <w:lang w:val="x-none" w:eastAsia="x-none"/>
    </w:rPr>
  </w:style>
  <w:style w:type="paragraph" w:customStyle="1" w:styleId="LegalRecitals">
    <w:name w:val=".Legal Recitals"/>
    <w:basedOn w:val="Normal"/>
    <w:rsid w:val="008F743B"/>
    <w:pPr>
      <w:suppressAutoHyphens/>
      <w:spacing w:after="120"/>
      <w:ind w:firstLine="720"/>
      <w:jc w:val="center"/>
    </w:pPr>
    <w:rPr>
      <w:rFonts w:ascii="Arial" w:hAnsi="Arial" w:cs="Arial"/>
      <w:b/>
      <w:color w:val="000000"/>
      <w:sz w:val="20"/>
      <w:szCs w:val="18"/>
    </w:rPr>
  </w:style>
  <w:style w:type="paragraph" w:styleId="Header">
    <w:name w:val="header"/>
    <w:basedOn w:val="Normal"/>
    <w:link w:val="HeaderChar"/>
    <w:uiPriority w:val="99"/>
    <w:rsid w:val="0004269B"/>
    <w:pPr>
      <w:tabs>
        <w:tab w:val="center" w:pos="4320"/>
        <w:tab w:val="right" w:pos="8640"/>
      </w:tabs>
    </w:pPr>
    <w:rPr>
      <w:rFonts w:ascii="Arial" w:hAnsi="Arial"/>
      <w:sz w:val="20"/>
      <w:szCs w:val="20"/>
      <w:lang w:val="x-none" w:eastAsia="x-none"/>
    </w:rPr>
  </w:style>
  <w:style w:type="character" w:customStyle="1" w:styleId="HeaderChar">
    <w:name w:val="Header Char"/>
    <w:link w:val="Header"/>
    <w:uiPriority w:val="99"/>
    <w:rsid w:val="0004269B"/>
    <w:rPr>
      <w:rFonts w:ascii="Arial" w:hAnsi="Arial" w:cs="Arial"/>
      <w:szCs w:val="20"/>
    </w:rPr>
  </w:style>
  <w:style w:type="paragraph" w:styleId="BodyText2">
    <w:name w:val="Body Text 2"/>
    <w:basedOn w:val="Normal"/>
    <w:next w:val="Normal"/>
    <w:link w:val="BodyText2Char"/>
    <w:uiPriority w:val="99"/>
    <w:rsid w:val="0004269B"/>
    <w:rPr>
      <w:rFonts w:ascii="Arial" w:hAnsi="Arial"/>
      <w:sz w:val="20"/>
      <w:szCs w:val="20"/>
      <w:lang w:val="x-none" w:eastAsia="x-none"/>
    </w:rPr>
  </w:style>
  <w:style w:type="character" w:customStyle="1" w:styleId="BodyText2Char">
    <w:name w:val="Body Text 2 Char"/>
    <w:link w:val="BodyText2"/>
    <w:uiPriority w:val="99"/>
    <w:rsid w:val="0004269B"/>
    <w:rPr>
      <w:rFonts w:ascii="Arial" w:hAnsi="Arial" w:cs="Arial"/>
      <w:szCs w:val="20"/>
    </w:rPr>
  </w:style>
  <w:style w:type="character" w:customStyle="1" w:styleId="LegalLevel1Char">
    <w:name w:val=".Legal Level 1 Char"/>
    <w:uiPriority w:val="99"/>
    <w:rsid w:val="0004269B"/>
    <w:rPr>
      <w:rFonts w:ascii="Arial" w:hAnsi="Arial" w:cs="Arial"/>
      <w:color w:val="000000"/>
      <w:sz w:val="18"/>
      <w:szCs w:val="18"/>
      <w:lang w:val="en-US" w:eastAsia="en-US"/>
    </w:rPr>
  </w:style>
  <w:style w:type="paragraph" w:customStyle="1" w:styleId="ParagraphX">
    <w:name w:val="Paragraph (X)"/>
    <w:basedOn w:val="Normal"/>
    <w:rsid w:val="00C4331C"/>
    <w:pPr>
      <w:numPr>
        <w:numId w:val="2"/>
      </w:numPr>
      <w:spacing w:after="60"/>
      <w:ind w:left="720" w:right="60" w:firstLine="0"/>
    </w:pPr>
    <w:rPr>
      <w:kern w:val="22"/>
      <w:szCs w:val="22"/>
    </w:rPr>
  </w:style>
  <w:style w:type="paragraph" w:customStyle="1" w:styleId="TOC4">
    <w:name w:val="TOC4"/>
    <w:basedOn w:val="Normal"/>
    <w:rsid w:val="00C4331C"/>
    <w:pPr>
      <w:widowControl w:val="0"/>
      <w:spacing w:after="120"/>
      <w:ind w:left="360"/>
      <w:jc w:val="left"/>
    </w:pPr>
    <w:rPr>
      <w:sz w:val="18"/>
      <w:szCs w:val="22"/>
    </w:rPr>
  </w:style>
  <w:style w:type="paragraph" w:styleId="TOC1">
    <w:name w:val="toc 1"/>
    <w:basedOn w:val="Normal"/>
    <w:next w:val="Normal"/>
    <w:uiPriority w:val="39"/>
    <w:qFormat/>
    <w:rsid w:val="00DC6F29"/>
    <w:pPr>
      <w:spacing w:before="360"/>
      <w:jc w:val="left"/>
    </w:pPr>
    <w:rPr>
      <w:b/>
      <w:bCs/>
      <w:caps/>
    </w:rPr>
  </w:style>
  <w:style w:type="paragraph" w:styleId="TOC2">
    <w:name w:val="toc 2"/>
    <w:basedOn w:val="Normal"/>
    <w:next w:val="Normal"/>
    <w:uiPriority w:val="39"/>
    <w:qFormat/>
    <w:rsid w:val="00DC6F29"/>
    <w:pPr>
      <w:spacing w:before="240"/>
      <w:jc w:val="left"/>
    </w:pPr>
    <w:rPr>
      <w:rFonts w:cs="Calibri"/>
      <w:b/>
      <w:bCs/>
      <w:sz w:val="20"/>
      <w:szCs w:val="20"/>
    </w:rPr>
  </w:style>
  <w:style w:type="paragraph" w:styleId="TOC3">
    <w:name w:val="toc 3"/>
    <w:basedOn w:val="Normal"/>
    <w:next w:val="Normal"/>
    <w:uiPriority w:val="39"/>
    <w:qFormat/>
    <w:rsid w:val="00DC6F29"/>
    <w:pPr>
      <w:ind w:left="240"/>
      <w:jc w:val="left"/>
    </w:pPr>
    <w:rPr>
      <w:rFonts w:cs="Calibri"/>
      <w:sz w:val="20"/>
      <w:szCs w:val="20"/>
    </w:rPr>
  </w:style>
  <w:style w:type="paragraph" w:styleId="Footer">
    <w:name w:val="footer"/>
    <w:basedOn w:val="Normal"/>
    <w:link w:val="FooterChar"/>
    <w:uiPriority w:val="99"/>
    <w:rsid w:val="00C4331C"/>
    <w:pPr>
      <w:pBdr>
        <w:top w:val="single" w:sz="4" w:space="1" w:color="auto"/>
      </w:pBdr>
      <w:tabs>
        <w:tab w:val="center" w:pos="5040"/>
        <w:tab w:val="left" w:pos="8820"/>
      </w:tabs>
      <w:jc w:val="center"/>
    </w:pPr>
    <w:rPr>
      <w:kern w:val="18"/>
      <w:sz w:val="16"/>
      <w:szCs w:val="20"/>
      <w:lang w:val="x-none" w:eastAsia="x-none"/>
    </w:rPr>
  </w:style>
  <w:style w:type="character" w:customStyle="1" w:styleId="FooterChar">
    <w:name w:val="Footer Char"/>
    <w:link w:val="Footer"/>
    <w:uiPriority w:val="99"/>
    <w:rsid w:val="00C4331C"/>
    <w:rPr>
      <w:rFonts w:ascii="Garamond" w:hAnsi="Garamond" w:cs="Times New Roman"/>
      <w:kern w:val="18"/>
      <w:sz w:val="16"/>
    </w:rPr>
  </w:style>
  <w:style w:type="character" w:styleId="PageNumber">
    <w:name w:val="page number"/>
    <w:uiPriority w:val="99"/>
    <w:rsid w:val="00C4331C"/>
    <w:rPr>
      <w:rFonts w:ascii="Times New Roman" w:hAnsi="Times New Roman"/>
      <w:b/>
      <w:sz w:val="20"/>
    </w:rPr>
  </w:style>
  <w:style w:type="paragraph" w:customStyle="1" w:styleId="Preface1">
    <w:name w:val="Preface 1"/>
    <w:basedOn w:val="Normal"/>
    <w:next w:val="Normal"/>
    <w:rsid w:val="00C4331C"/>
    <w:pPr>
      <w:keepNext/>
      <w:pageBreakBefore/>
      <w:numPr>
        <w:ilvl w:val="2"/>
        <w:numId w:val="7"/>
      </w:numPr>
      <w:tabs>
        <w:tab w:val="right" w:pos="-2900"/>
      </w:tabs>
      <w:spacing w:before="320"/>
      <w:jc w:val="left"/>
      <w:outlineLvl w:val="0"/>
    </w:pPr>
    <w:rPr>
      <w:b/>
      <w:sz w:val="28"/>
      <w:szCs w:val="22"/>
    </w:rPr>
  </w:style>
  <w:style w:type="character" w:customStyle="1" w:styleId="Heading3Char">
    <w:name w:val="Heading 3 Char"/>
    <w:link w:val="Heading3"/>
    <w:uiPriority w:val="9"/>
    <w:rsid w:val="0046202D"/>
    <w:rPr>
      <w:rFonts w:ascii="Garamond" w:hAnsi="Garamond"/>
      <w:b/>
      <w:bCs/>
      <w:i/>
      <w:sz w:val="28"/>
      <w:szCs w:val="24"/>
      <w:lang w:val="x-none" w:eastAsia="x-none"/>
    </w:rPr>
  </w:style>
  <w:style w:type="paragraph" w:customStyle="1" w:styleId="GlossaryStyle">
    <w:name w:val="Glossary Style"/>
    <w:basedOn w:val="Normal"/>
    <w:link w:val="GlossaryStyleChar"/>
    <w:qFormat/>
    <w:rsid w:val="00311CF9"/>
    <w:pPr>
      <w:spacing w:before="240"/>
    </w:pPr>
    <w:rPr>
      <w:lang w:val="x-none" w:eastAsia="x-none"/>
    </w:rPr>
  </w:style>
  <w:style w:type="character" w:styleId="CommentReference">
    <w:name w:val="annotation reference"/>
    <w:uiPriority w:val="99"/>
    <w:semiHidden/>
    <w:unhideWhenUsed/>
    <w:rsid w:val="001734F9"/>
    <w:rPr>
      <w:sz w:val="16"/>
      <w:szCs w:val="16"/>
    </w:rPr>
  </w:style>
  <w:style w:type="character" w:customStyle="1" w:styleId="GlossaryStyleChar">
    <w:name w:val="Glossary Style Char"/>
    <w:link w:val="GlossaryStyle"/>
    <w:rsid w:val="00311CF9"/>
    <w:rPr>
      <w:rFonts w:ascii="Garamond" w:hAnsi="Garamond" w:cs="Times New Roman"/>
      <w:sz w:val="24"/>
      <w:szCs w:val="24"/>
    </w:rPr>
  </w:style>
  <w:style w:type="paragraph" w:styleId="CommentText">
    <w:name w:val="annotation text"/>
    <w:basedOn w:val="Normal"/>
    <w:link w:val="CommentTextChar"/>
    <w:uiPriority w:val="99"/>
    <w:semiHidden/>
    <w:unhideWhenUsed/>
    <w:rsid w:val="001734F9"/>
    <w:pPr>
      <w:spacing w:line="240" w:lineRule="auto"/>
    </w:pPr>
    <w:rPr>
      <w:sz w:val="20"/>
      <w:szCs w:val="20"/>
      <w:lang w:val="x-none" w:eastAsia="x-none"/>
    </w:rPr>
  </w:style>
  <w:style w:type="character" w:customStyle="1" w:styleId="CommentTextChar">
    <w:name w:val="Comment Text Char"/>
    <w:link w:val="CommentText"/>
    <w:uiPriority w:val="99"/>
    <w:semiHidden/>
    <w:rsid w:val="001734F9"/>
    <w:rPr>
      <w:rFonts w:ascii="Garamond" w:hAnsi="Garamond" w:cs="Times New Roman"/>
      <w:szCs w:val="20"/>
    </w:rPr>
  </w:style>
  <w:style w:type="paragraph" w:styleId="CommentSubject">
    <w:name w:val="annotation subject"/>
    <w:basedOn w:val="CommentText"/>
    <w:next w:val="CommentText"/>
    <w:link w:val="CommentSubjectChar"/>
    <w:uiPriority w:val="99"/>
    <w:unhideWhenUsed/>
    <w:rsid w:val="001734F9"/>
    <w:rPr>
      <w:b/>
      <w:bCs/>
    </w:rPr>
  </w:style>
  <w:style w:type="character" w:customStyle="1" w:styleId="CommentSubjectChar">
    <w:name w:val="Comment Subject Char"/>
    <w:link w:val="CommentSubject"/>
    <w:uiPriority w:val="99"/>
    <w:rsid w:val="001734F9"/>
    <w:rPr>
      <w:rFonts w:ascii="Garamond" w:hAnsi="Garamond" w:cs="Times New Roman"/>
      <w:b/>
      <w:bCs/>
      <w:szCs w:val="20"/>
    </w:rPr>
  </w:style>
  <w:style w:type="paragraph" w:styleId="BalloonText">
    <w:name w:val="Balloon Text"/>
    <w:basedOn w:val="Normal"/>
    <w:link w:val="BalloonTextChar"/>
    <w:uiPriority w:val="99"/>
    <w:unhideWhenUsed/>
    <w:rsid w:val="001734F9"/>
    <w:pPr>
      <w:spacing w:line="240" w:lineRule="auto"/>
    </w:pPr>
    <w:rPr>
      <w:rFonts w:ascii="Tahoma" w:hAnsi="Tahoma"/>
      <w:sz w:val="16"/>
      <w:szCs w:val="16"/>
      <w:lang w:val="x-none" w:eastAsia="x-none"/>
    </w:rPr>
  </w:style>
  <w:style w:type="character" w:customStyle="1" w:styleId="BalloonTextChar">
    <w:name w:val="Balloon Text Char"/>
    <w:link w:val="BalloonText"/>
    <w:uiPriority w:val="99"/>
    <w:rsid w:val="001734F9"/>
    <w:rPr>
      <w:rFonts w:ascii="Tahoma" w:hAnsi="Tahoma" w:cs="Tahoma"/>
      <w:sz w:val="16"/>
      <w:szCs w:val="16"/>
    </w:rPr>
  </w:style>
  <w:style w:type="paragraph" w:styleId="ListParagraph">
    <w:name w:val="List Paragraph"/>
    <w:basedOn w:val="Normal"/>
    <w:uiPriority w:val="34"/>
    <w:qFormat/>
    <w:rsid w:val="00DA2217"/>
    <w:pPr>
      <w:ind w:left="720"/>
      <w:contextualSpacing/>
    </w:pPr>
  </w:style>
  <w:style w:type="paragraph" w:styleId="FootnoteText">
    <w:name w:val="footnote text"/>
    <w:basedOn w:val="Normal"/>
    <w:link w:val="FootnoteTextChar"/>
    <w:uiPriority w:val="99"/>
    <w:semiHidden/>
    <w:unhideWhenUsed/>
    <w:rsid w:val="00114680"/>
    <w:pPr>
      <w:spacing w:line="240" w:lineRule="auto"/>
    </w:pPr>
    <w:rPr>
      <w:sz w:val="20"/>
      <w:szCs w:val="20"/>
      <w:lang w:val="x-none" w:eastAsia="x-none"/>
    </w:rPr>
  </w:style>
  <w:style w:type="character" w:customStyle="1" w:styleId="FootnoteTextChar">
    <w:name w:val="Footnote Text Char"/>
    <w:link w:val="FootnoteText"/>
    <w:uiPriority w:val="99"/>
    <w:semiHidden/>
    <w:rsid w:val="00114680"/>
    <w:rPr>
      <w:rFonts w:ascii="Garamond" w:hAnsi="Garamond" w:cs="Times New Roman"/>
      <w:szCs w:val="20"/>
    </w:rPr>
  </w:style>
  <w:style w:type="character" w:styleId="FootnoteReference">
    <w:name w:val="footnote reference"/>
    <w:uiPriority w:val="99"/>
    <w:semiHidden/>
    <w:unhideWhenUsed/>
    <w:rsid w:val="00114680"/>
    <w:rPr>
      <w:vertAlign w:val="superscript"/>
    </w:rPr>
  </w:style>
  <w:style w:type="paragraph" w:styleId="EndnoteText">
    <w:name w:val="endnote text"/>
    <w:basedOn w:val="Normal"/>
    <w:link w:val="EndnoteTextChar"/>
    <w:uiPriority w:val="99"/>
    <w:semiHidden/>
    <w:unhideWhenUsed/>
    <w:rsid w:val="007B739A"/>
    <w:pPr>
      <w:spacing w:line="240" w:lineRule="auto"/>
    </w:pPr>
    <w:rPr>
      <w:sz w:val="20"/>
      <w:szCs w:val="20"/>
      <w:lang w:val="x-none" w:eastAsia="x-none"/>
    </w:rPr>
  </w:style>
  <w:style w:type="character" w:customStyle="1" w:styleId="EndnoteTextChar">
    <w:name w:val="Endnote Text Char"/>
    <w:link w:val="EndnoteText"/>
    <w:uiPriority w:val="99"/>
    <w:semiHidden/>
    <w:rsid w:val="007B739A"/>
    <w:rPr>
      <w:rFonts w:ascii="Garamond" w:hAnsi="Garamond" w:cs="Times New Roman"/>
      <w:szCs w:val="20"/>
    </w:rPr>
  </w:style>
  <w:style w:type="character" w:styleId="EndnoteReference">
    <w:name w:val="endnote reference"/>
    <w:uiPriority w:val="99"/>
    <w:semiHidden/>
    <w:unhideWhenUsed/>
    <w:rsid w:val="007B739A"/>
    <w:rPr>
      <w:vertAlign w:val="superscript"/>
    </w:rPr>
  </w:style>
  <w:style w:type="character" w:styleId="FollowedHyperlink">
    <w:name w:val="FollowedHyperlink"/>
    <w:uiPriority w:val="99"/>
    <w:semiHidden/>
    <w:unhideWhenUsed/>
    <w:rsid w:val="00B46119"/>
    <w:rPr>
      <w:color w:val="800080"/>
      <w:u w:val="single"/>
    </w:rPr>
  </w:style>
  <w:style w:type="paragraph" w:styleId="Index1">
    <w:name w:val="index 1"/>
    <w:basedOn w:val="Normal"/>
    <w:next w:val="Normal"/>
    <w:autoRedefine/>
    <w:uiPriority w:val="99"/>
    <w:unhideWhenUsed/>
    <w:rsid w:val="0064620B"/>
    <w:pPr>
      <w:ind w:left="240" w:hanging="240"/>
      <w:jc w:val="left"/>
    </w:pPr>
    <w:rPr>
      <w:rFonts w:cs="Calibri"/>
      <w:sz w:val="18"/>
      <w:szCs w:val="18"/>
    </w:rPr>
  </w:style>
  <w:style w:type="paragraph" w:styleId="Index2">
    <w:name w:val="index 2"/>
    <w:basedOn w:val="Normal"/>
    <w:next w:val="Normal"/>
    <w:autoRedefine/>
    <w:uiPriority w:val="99"/>
    <w:unhideWhenUsed/>
    <w:rsid w:val="0001638E"/>
    <w:pPr>
      <w:ind w:left="480" w:hanging="240"/>
      <w:jc w:val="left"/>
    </w:pPr>
    <w:rPr>
      <w:rFonts w:ascii="Calibri" w:hAnsi="Calibri" w:cs="Calibri"/>
      <w:sz w:val="18"/>
      <w:szCs w:val="18"/>
    </w:rPr>
  </w:style>
  <w:style w:type="paragraph" w:styleId="Index3">
    <w:name w:val="index 3"/>
    <w:basedOn w:val="Normal"/>
    <w:next w:val="Normal"/>
    <w:autoRedefine/>
    <w:uiPriority w:val="99"/>
    <w:unhideWhenUsed/>
    <w:rsid w:val="0001638E"/>
    <w:pPr>
      <w:ind w:left="720" w:hanging="240"/>
      <w:jc w:val="left"/>
    </w:pPr>
    <w:rPr>
      <w:rFonts w:ascii="Calibri" w:hAnsi="Calibri" w:cs="Calibri"/>
      <w:sz w:val="18"/>
      <w:szCs w:val="18"/>
    </w:rPr>
  </w:style>
  <w:style w:type="paragraph" w:styleId="Index4">
    <w:name w:val="index 4"/>
    <w:basedOn w:val="Normal"/>
    <w:next w:val="Normal"/>
    <w:autoRedefine/>
    <w:uiPriority w:val="99"/>
    <w:unhideWhenUsed/>
    <w:rsid w:val="0001638E"/>
    <w:pPr>
      <w:ind w:left="960" w:hanging="240"/>
      <w:jc w:val="left"/>
    </w:pPr>
    <w:rPr>
      <w:rFonts w:ascii="Calibri" w:hAnsi="Calibri" w:cs="Calibri"/>
      <w:sz w:val="18"/>
      <w:szCs w:val="18"/>
    </w:rPr>
  </w:style>
  <w:style w:type="paragraph" w:styleId="Index5">
    <w:name w:val="index 5"/>
    <w:basedOn w:val="Normal"/>
    <w:next w:val="Normal"/>
    <w:autoRedefine/>
    <w:uiPriority w:val="99"/>
    <w:unhideWhenUsed/>
    <w:rsid w:val="0001638E"/>
    <w:pPr>
      <w:ind w:left="1200" w:hanging="240"/>
      <w:jc w:val="left"/>
    </w:pPr>
    <w:rPr>
      <w:rFonts w:ascii="Calibri" w:hAnsi="Calibri" w:cs="Calibri"/>
      <w:sz w:val="18"/>
      <w:szCs w:val="18"/>
    </w:rPr>
  </w:style>
  <w:style w:type="paragraph" w:styleId="Index6">
    <w:name w:val="index 6"/>
    <w:basedOn w:val="Normal"/>
    <w:next w:val="Normal"/>
    <w:autoRedefine/>
    <w:uiPriority w:val="99"/>
    <w:unhideWhenUsed/>
    <w:rsid w:val="0001638E"/>
    <w:pPr>
      <w:ind w:left="1440" w:hanging="240"/>
      <w:jc w:val="left"/>
    </w:pPr>
    <w:rPr>
      <w:rFonts w:ascii="Calibri" w:hAnsi="Calibri" w:cs="Calibri"/>
      <w:sz w:val="18"/>
      <w:szCs w:val="18"/>
    </w:rPr>
  </w:style>
  <w:style w:type="paragraph" w:styleId="Index7">
    <w:name w:val="index 7"/>
    <w:basedOn w:val="Normal"/>
    <w:next w:val="Normal"/>
    <w:autoRedefine/>
    <w:uiPriority w:val="99"/>
    <w:unhideWhenUsed/>
    <w:rsid w:val="0001638E"/>
    <w:pPr>
      <w:ind w:left="1680" w:hanging="240"/>
      <w:jc w:val="left"/>
    </w:pPr>
    <w:rPr>
      <w:rFonts w:ascii="Calibri" w:hAnsi="Calibri" w:cs="Calibri"/>
      <w:sz w:val="18"/>
      <w:szCs w:val="18"/>
    </w:rPr>
  </w:style>
  <w:style w:type="paragraph" w:styleId="Index8">
    <w:name w:val="index 8"/>
    <w:basedOn w:val="Normal"/>
    <w:next w:val="Normal"/>
    <w:autoRedefine/>
    <w:uiPriority w:val="99"/>
    <w:unhideWhenUsed/>
    <w:rsid w:val="0001638E"/>
    <w:pPr>
      <w:ind w:left="1920" w:hanging="240"/>
      <w:jc w:val="left"/>
    </w:pPr>
    <w:rPr>
      <w:rFonts w:ascii="Calibri" w:hAnsi="Calibri" w:cs="Calibri"/>
      <w:sz w:val="18"/>
      <w:szCs w:val="18"/>
    </w:rPr>
  </w:style>
  <w:style w:type="paragraph" w:styleId="Index9">
    <w:name w:val="index 9"/>
    <w:basedOn w:val="Normal"/>
    <w:next w:val="Normal"/>
    <w:autoRedefine/>
    <w:uiPriority w:val="99"/>
    <w:unhideWhenUsed/>
    <w:rsid w:val="0001638E"/>
    <w:pPr>
      <w:ind w:left="2160" w:hanging="240"/>
      <w:jc w:val="left"/>
    </w:pPr>
    <w:rPr>
      <w:rFonts w:ascii="Calibri" w:hAnsi="Calibri" w:cs="Calibri"/>
      <w:sz w:val="18"/>
      <w:szCs w:val="18"/>
    </w:rPr>
  </w:style>
  <w:style w:type="paragraph" w:styleId="IndexHeading">
    <w:name w:val="index heading"/>
    <w:basedOn w:val="Normal"/>
    <w:next w:val="Index1"/>
    <w:uiPriority w:val="99"/>
    <w:unhideWhenUsed/>
    <w:rsid w:val="0001638E"/>
    <w:pPr>
      <w:spacing w:before="240" w:after="120"/>
      <w:jc w:val="center"/>
    </w:pPr>
    <w:rPr>
      <w:rFonts w:ascii="Calibri" w:hAnsi="Calibri" w:cs="Calibri"/>
      <w:b/>
      <w:bCs/>
      <w:sz w:val="26"/>
      <w:szCs w:val="26"/>
    </w:rPr>
  </w:style>
  <w:style w:type="character" w:customStyle="1" w:styleId="Heading4Char">
    <w:name w:val="Heading 4 Char"/>
    <w:link w:val="Heading4"/>
    <w:uiPriority w:val="9"/>
    <w:rsid w:val="002A73A4"/>
    <w:rPr>
      <w:rFonts w:ascii="Garamond" w:hAnsi="Garamond"/>
      <w:b/>
      <w:sz w:val="22"/>
      <w:lang w:val="x-none" w:eastAsia="x-none"/>
    </w:rPr>
  </w:style>
  <w:style w:type="character" w:customStyle="1" w:styleId="Heading5Char">
    <w:name w:val="Heading 5 Char"/>
    <w:link w:val="Heading5"/>
    <w:uiPriority w:val="9"/>
    <w:rsid w:val="002670B2"/>
    <w:rPr>
      <w:rFonts w:ascii="Arial" w:hAnsi="Arial"/>
      <w:sz w:val="22"/>
    </w:rPr>
  </w:style>
  <w:style w:type="character" w:customStyle="1" w:styleId="Heading6Char">
    <w:name w:val="Heading 6 Char"/>
    <w:link w:val="Heading6"/>
    <w:uiPriority w:val="9"/>
    <w:rsid w:val="002670B2"/>
    <w:rPr>
      <w:rFonts w:ascii="Arial" w:hAnsi="Arial"/>
      <w:sz w:val="22"/>
    </w:rPr>
  </w:style>
  <w:style w:type="character" w:customStyle="1" w:styleId="Heading7Char">
    <w:name w:val="Heading 7 Char"/>
    <w:link w:val="Heading7"/>
    <w:uiPriority w:val="9"/>
    <w:rsid w:val="002670B2"/>
    <w:rPr>
      <w:rFonts w:ascii="Arial" w:hAnsi="Arial"/>
      <w:sz w:val="22"/>
    </w:rPr>
  </w:style>
  <w:style w:type="character" w:customStyle="1" w:styleId="Heading8Char">
    <w:name w:val="Heading 8 Char"/>
    <w:link w:val="Heading8"/>
    <w:uiPriority w:val="9"/>
    <w:rsid w:val="002670B2"/>
    <w:rPr>
      <w:rFonts w:ascii="Arial" w:hAnsi="Arial"/>
      <w:sz w:val="22"/>
    </w:rPr>
  </w:style>
  <w:style w:type="character" w:customStyle="1" w:styleId="Heading9Char">
    <w:name w:val="Heading 9 Char"/>
    <w:link w:val="Heading9"/>
    <w:uiPriority w:val="9"/>
    <w:rsid w:val="002670B2"/>
    <w:rPr>
      <w:rFonts w:ascii="Arial" w:hAnsi="Arial"/>
      <w:i/>
      <w:sz w:val="18"/>
    </w:rPr>
  </w:style>
  <w:style w:type="paragraph" w:styleId="BodyText">
    <w:name w:val="Body Text"/>
    <w:basedOn w:val="Normal"/>
    <w:link w:val="BodyTextChar"/>
    <w:uiPriority w:val="99"/>
    <w:rsid w:val="002670B2"/>
    <w:pPr>
      <w:spacing w:line="240" w:lineRule="auto"/>
    </w:pPr>
    <w:rPr>
      <w:rFonts w:ascii="Arial" w:hAnsi="Arial"/>
      <w:szCs w:val="20"/>
      <w:lang w:val="x-none" w:eastAsia="x-none"/>
    </w:rPr>
  </w:style>
  <w:style w:type="character" w:customStyle="1" w:styleId="BodyTextChar">
    <w:name w:val="Body Text Char"/>
    <w:link w:val="BodyText"/>
    <w:uiPriority w:val="99"/>
    <w:rsid w:val="002670B2"/>
    <w:rPr>
      <w:rFonts w:ascii="Arial" w:hAnsi="Arial"/>
      <w:sz w:val="22"/>
    </w:rPr>
  </w:style>
  <w:style w:type="paragraph" w:styleId="Title">
    <w:name w:val="Title"/>
    <w:basedOn w:val="Normal"/>
    <w:link w:val="TitleChar"/>
    <w:uiPriority w:val="10"/>
    <w:qFormat/>
    <w:rsid w:val="002670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198" w:lineRule="atLeast"/>
      <w:jc w:val="center"/>
    </w:pPr>
    <w:rPr>
      <w:rFonts w:ascii="Arial" w:hAnsi="Arial"/>
      <w:b/>
      <w:szCs w:val="20"/>
      <w:lang w:val="x-none" w:eastAsia="x-none"/>
    </w:rPr>
  </w:style>
  <w:style w:type="character" w:customStyle="1" w:styleId="TitleChar">
    <w:name w:val="Title Char"/>
    <w:link w:val="Title"/>
    <w:uiPriority w:val="10"/>
    <w:rsid w:val="002670B2"/>
    <w:rPr>
      <w:rFonts w:ascii="Arial" w:hAnsi="Arial"/>
      <w:b/>
      <w:sz w:val="22"/>
    </w:rPr>
  </w:style>
  <w:style w:type="paragraph" w:customStyle="1" w:styleId="LegalHeader">
    <w:name w:val=".Legal Header"/>
    <w:basedOn w:val="Normal"/>
    <w:rsid w:val="00430CEB"/>
    <w:pPr>
      <w:spacing w:before="240" w:after="360" w:line="240" w:lineRule="auto"/>
      <w:jc w:val="center"/>
    </w:pPr>
    <w:rPr>
      <w:rFonts w:ascii="Arial" w:hAnsi="Arial"/>
      <w:b/>
      <w:caps/>
      <w:szCs w:val="20"/>
    </w:rPr>
  </w:style>
  <w:style w:type="paragraph" w:customStyle="1" w:styleId="LegalLevel2Char">
    <w:name w:val=".Legal Level 2 Char"/>
    <w:basedOn w:val="Normal"/>
    <w:link w:val="LegalLevel2CharChar"/>
    <w:rsid w:val="002670B2"/>
    <w:pPr>
      <w:tabs>
        <w:tab w:val="num" w:pos="1440"/>
      </w:tabs>
      <w:spacing w:before="120" w:after="120" w:line="240" w:lineRule="auto"/>
      <w:ind w:left="1440" w:hanging="720"/>
      <w:outlineLvl w:val="1"/>
    </w:pPr>
    <w:rPr>
      <w:rFonts w:ascii="Arial" w:hAnsi="Arial"/>
      <w:color w:val="000000"/>
      <w:sz w:val="18"/>
      <w:szCs w:val="18"/>
      <w:lang w:val="x-none" w:eastAsia="x-none"/>
    </w:rPr>
  </w:style>
  <w:style w:type="character" w:customStyle="1" w:styleId="LegalLevel2CharChar">
    <w:name w:val=".Legal Level 2 Char Char"/>
    <w:link w:val="LegalLevel2Char"/>
    <w:locked/>
    <w:rsid w:val="002670B2"/>
    <w:rPr>
      <w:rFonts w:ascii="Arial" w:hAnsi="Arial" w:cs="Arial"/>
      <w:color w:val="000000"/>
      <w:sz w:val="18"/>
      <w:szCs w:val="18"/>
    </w:rPr>
  </w:style>
  <w:style w:type="paragraph" w:customStyle="1" w:styleId="Number">
    <w:name w:val="Number"/>
    <w:basedOn w:val="Normal"/>
    <w:rsid w:val="002670B2"/>
    <w:pPr>
      <w:numPr>
        <w:numId w:val="5"/>
      </w:numPr>
      <w:spacing w:before="120" w:after="120" w:line="240" w:lineRule="auto"/>
      <w:jc w:val="left"/>
    </w:pPr>
    <w:rPr>
      <w:rFonts w:ascii="Arial" w:hAnsi="Arial"/>
      <w:sz w:val="18"/>
      <w:szCs w:val="20"/>
    </w:rPr>
  </w:style>
  <w:style w:type="table" w:styleId="TableGrid">
    <w:name w:val="Table Grid"/>
    <w:basedOn w:val="TableNormal"/>
    <w:uiPriority w:val="59"/>
    <w:rsid w:val="002670B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semiHidden/>
    <w:unhideWhenUsed/>
    <w:rsid w:val="002670B2"/>
    <w:pPr>
      <w:numPr>
        <w:numId w:val="3"/>
      </w:numPr>
    </w:pPr>
  </w:style>
  <w:style w:type="paragraph" w:styleId="TOC40">
    <w:name w:val="toc 4"/>
    <w:basedOn w:val="Normal"/>
    <w:next w:val="Normal"/>
    <w:autoRedefine/>
    <w:uiPriority w:val="39"/>
    <w:unhideWhenUsed/>
    <w:rsid w:val="00DC6F29"/>
    <w:pPr>
      <w:ind w:left="480"/>
      <w:jc w:val="left"/>
    </w:pPr>
    <w:rPr>
      <w:rFonts w:cs="Calibri"/>
      <w:sz w:val="20"/>
      <w:szCs w:val="20"/>
    </w:rPr>
  </w:style>
  <w:style w:type="paragraph" w:styleId="TOC5">
    <w:name w:val="toc 5"/>
    <w:basedOn w:val="Normal"/>
    <w:next w:val="Normal"/>
    <w:autoRedefine/>
    <w:uiPriority w:val="39"/>
    <w:unhideWhenUsed/>
    <w:rsid w:val="00DC6F29"/>
    <w:pPr>
      <w:ind w:left="720"/>
      <w:jc w:val="left"/>
    </w:pPr>
    <w:rPr>
      <w:rFonts w:cs="Calibri"/>
      <w:sz w:val="20"/>
      <w:szCs w:val="20"/>
    </w:rPr>
  </w:style>
  <w:style w:type="paragraph" w:styleId="TOC6">
    <w:name w:val="toc 6"/>
    <w:basedOn w:val="Normal"/>
    <w:next w:val="Normal"/>
    <w:autoRedefine/>
    <w:uiPriority w:val="39"/>
    <w:unhideWhenUsed/>
    <w:rsid w:val="00743E17"/>
    <w:pPr>
      <w:ind w:left="960"/>
      <w:jc w:val="left"/>
    </w:pPr>
    <w:rPr>
      <w:rFonts w:ascii="Calibri" w:hAnsi="Calibri" w:cs="Calibri"/>
      <w:sz w:val="20"/>
      <w:szCs w:val="20"/>
    </w:rPr>
  </w:style>
  <w:style w:type="paragraph" w:styleId="TOC7">
    <w:name w:val="toc 7"/>
    <w:basedOn w:val="Normal"/>
    <w:next w:val="Normal"/>
    <w:autoRedefine/>
    <w:uiPriority w:val="39"/>
    <w:unhideWhenUsed/>
    <w:rsid w:val="00743E17"/>
    <w:pPr>
      <w:ind w:left="1200"/>
      <w:jc w:val="left"/>
    </w:pPr>
    <w:rPr>
      <w:rFonts w:ascii="Calibri" w:hAnsi="Calibri" w:cs="Calibri"/>
      <w:sz w:val="20"/>
      <w:szCs w:val="20"/>
    </w:rPr>
  </w:style>
  <w:style w:type="paragraph" w:styleId="TOC8">
    <w:name w:val="toc 8"/>
    <w:basedOn w:val="Normal"/>
    <w:next w:val="Normal"/>
    <w:autoRedefine/>
    <w:uiPriority w:val="39"/>
    <w:unhideWhenUsed/>
    <w:rsid w:val="00743E17"/>
    <w:pPr>
      <w:ind w:left="1440"/>
      <w:jc w:val="left"/>
    </w:pPr>
    <w:rPr>
      <w:rFonts w:ascii="Calibri" w:hAnsi="Calibri" w:cs="Calibri"/>
      <w:sz w:val="20"/>
      <w:szCs w:val="20"/>
    </w:rPr>
  </w:style>
  <w:style w:type="paragraph" w:styleId="TOC9">
    <w:name w:val="toc 9"/>
    <w:basedOn w:val="Normal"/>
    <w:next w:val="Normal"/>
    <w:autoRedefine/>
    <w:uiPriority w:val="39"/>
    <w:unhideWhenUsed/>
    <w:rsid w:val="00743E17"/>
    <w:pPr>
      <w:ind w:left="1680"/>
      <w:jc w:val="left"/>
    </w:pPr>
    <w:rPr>
      <w:rFonts w:ascii="Calibri" w:hAnsi="Calibri" w:cs="Calibri"/>
      <w:sz w:val="20"/>
      <w:szCs w:val="20"/>
    </w:rPr>
  </w:style>
  <w:style w:type="character" w:styleId="UnresolvedMention">
    <w:name w:val="Unresolved Mention"/>
    <w:uiPriority w:val="99"/>
    <w:semiHidden/>
    <w:unhideWhenUsed/>
    <w:rsid w:val="00DC6F29"/>
    <w:rPr>
      <w:color w:val="605E5C"/>
      <w:shd w:val="clear" w:color="auto" w:fill="E1DFDD"/>
    </w:rPr>
  </w:style>
  <w:style w:type="paragraph" w:styleId="Revision">
    <w:name w:val="Revision"/>
    <w:hidden/>
    <w:uiPriority w:val="99"/>
    <w:semiHidden/>
    <w:rsid w:val="0084474A"/>
    <w:rPr>
      <w:rFonts w:ascii="Garamond" w:hAnsi="Garamon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1812">
      <w:bodyDiv w:val="1"/>
      <w:marLeft w:val="0"/>
      <w:marRight w:val="0"/>
      <w:marTop w:val="0"/>
      <w:marBottom w:val="0"/>
      <w:divBdr>
        <w:top w:val="none" w:sz="0" w:space="0" w:color="auto"/>
        <w:left w:val="none" w:sz="0" w:space="0" w:color="auto"/>
        <w:bottom w:val="none" w:sz="0" w:space="0" w:color="auto"/>
        <w:right w:val="none" w:sz="0" w:space="0" w:color="auto"/>
      </w:divBdr>
    </w:div>
    <w:div w:id="112722662">
      <w:bodyDiv w:val="1"/>
      <w:marLeft w:val="0"/>
      <w:marRight w:val="0"/>
      <w:marTop w:val="0"/>
      <w:marBottom w:val="0"/>
      <w:divBdr>
        <w:top w:val="none" w:sz="0" w:space="0" w:color="auto"/>
        <w:left w:val="none" w:sz="0" w:space="0" w:color="auto"/>
        <w:bottom w:val="none" w:sz="0" w:space="0" w:color="auto"/>
        <w:right w:val="none" w:sz="0" w:space="0" w:color="auto"/>
      </w:divBdr>
    </w:div>
    <w:div w:id="418335848">
      <w:bodyDiv w:val="1"/>
      <w:marLeft w:val="0"/>
      <w:marRight w:val="0"/>
      <w:marTop w:val="0"/>
      <w:marBottom w:val="0"/>
      <w:divBdr>
        <w:top w:val="none" w:sz="0" w:space="0" w:color="auto"/>
        <w:left w:val="none" w:sz="0" w:space="0" w:color="auto"/>
        <w:bottom w:val="none" w:sz="0" w:space="0" w:color="auto"/>
        <w:right w:val="none" w:sz="0" w:space="0" w:color="auto"/>
      </w:divBdr>
    </w:div>
    <w:div w:id="459998762">
      <w:bodyDiv w:val="1"/>
      <w:marLeft w:val="0"/>
      <w:marRight w:val="0"/>
      <w:marTop w:val="0"/>
      <w:marBottom w:val="0"/>
      <w:divBdr>
        <w:top w:val="none" w:sz="0" w:space="0" w:color="auto"/>
        <w:left w:val="none" w:sz="0" w:space="0" w:color="auto"/>
        <w:bottom w:val="none" w:sz="0" w:space="0" w:color="auto"/>
        <w:right w:val="none" w:sz="0" w:space="0" w:color="auto"/>
      </w:divBdr>
      <w:divsChild>
        <w:div w:id="348799825">
          <w:marLeft w:val="0"/>
          <w:marRight w:val="0"/>
          <w:marTop w:val="0"/>
          <w:marBottom w:val="0"/>
          <w:divBdr>
            <w:top w:val="none" w:sz="0" w:space="0" w:color="auto"/>
            <w:left w:val="none" w:sz="0" w:space="0" w:color="auto"/>
            <w:bottom w:val="none" w:sz="0" w:space="0" w:color="auto"/>
            <w:right w:val="none" w:sz="0" w:space="0" w:color="auto"/>
          </w:divBdr>
          <w:divsChild>
            <w:div w:id="1606576823">
              <w:marLeft w:val="0"/>
              <w:marRight w:val="0"/>
              <w:marTop w:val="0"/>
              <w:marBottom w:val="0"/>
              <w:divBdr>
                <w:top w:val="none" w:sz="0" w:space="0" w:color="auto"/>
                <w:left w:val="none" w:sz="0" w:space="0" w:color="auto"/>
                <w:bottom w:val="none" w:sz="0" w:space="0" w:color="auto"/>
                <w:right w:val="none" w:sz="0" w:space="0" w:color="auto"/>
              </w:divBdr>
              <w:divsChild>
                <w:div w:id="584267846">
                  <w:marLeft w:val="0"/>
                  <w:marRight w:val="0"/>
                  <w:marTop w:val="0"/>
                  <w:marBottom w:val="0"/>
                  <w:divBdr>
                    <w:top w:val="none" w:sz="0" w:space="0" w:color="auto"/>
                    <w:left w:val="none" w:sz="0" w:space="0" w:color="auto"/>
                    <w:bottom w:val="none" w:sz="0" w:space="0" w:color="auto"/>
                    <w:right w:val="none" w:sz="0" w:space="0" w:color="auto"/>
                  </w:divBdr>
                  <w:divsChild>
                    <w:div w:id="5124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41923">
      <w:bodyDiv w:val="1"/>
      <w:marLeft w:val="0"/>
      <w:marRight w:val="0"/>
      <w:marTop w:val="0"/>
      <w:marBottom w:val="0"/>
      <w:divBdr>
        <w:top w:val="none" w:sz="0" w:space="0" w:color="auto"/>
        <w:left w:val="none" w:sz="0" w:space="0" w:color="auto"/>
        <w:bottom w:val="none" w:sz="0" w:space="0" w:color="auto"/>
        <w:right w:val="none" w:sz="0" w:space="0" w:color="auto"/>
      </w:divBdr>
    </w:div>
    <w:div w:id="594098104">
      <w:bodyDiv w:val="1"/>
      <w:marLeft w:val="0"/>
      <w:marRight w:val="0"/>
      <w:marTop w:val="0"/>
      <w:marBottom w:val="0"/>
      <w:divBdr>
        <w:top w:val="none" w:sz="0" w:space="0" w:color="auto"/>
        <w:left w:val="none" w:sz="0" w:space="0" w:color="auto"/>
        <w:bottom w:val="none" w:sz="0" w:space="0" w:color="auto"/>
        <w:right w:val="none" w:sz="0" w:space="0" w:color="auto"/>
      </w:divBdr>
    </w:div>
    <w:div w:id="654602288">
      <w:bodyDiv w:val="1"/>
      <w:marLeft w:val="0"/>
      <w:marRight w:val="0"/>
      <w:marTop w:val="0"/>
      <w:marBottom w:val="0"/>
      <w:divBdr>
        <w:top w:val="none" w:sz="0" w:space="0" w:color="auto"/>
        <w:left w:val="none" w:sz="0" w:space="0" w:color="auto"/>
        <w:bottom w:val="none" w:sz="0" w:space="0" w:color="auto"/>
        <w:right w:val="none" w:sz="0" w:space="0" w:color="auto"/>
      </w:divBdr>
    </w:div>
    <w:div w:id="1125462320">
      <w:bodyDiv w:val="1"/>
      <w:marLeft w:val="0"/>
      <w:marRight w:val="0"/>
      <w:marTop w:val="0"/>
      <w:marBottom w:val="0"/>
      <w:divBdr>
        <w:top w:val="none" w:sz="0" w:space="0" w:color="auto"/>
        <w:left w:val="none" w:sz="0" w:space="0" w:color="auto"/>
        <w:bottom w:val="none" w:sz="0" w:space="0" w:color="auto"/>
        <w:right w:val="none" w:sz="0" w:space="0" w:color="auto"/>
      </w:divBdr>
    </w:div>
    <w:div w:id="1199511776">
      <w:bodyDiv w:val="1"/>
      <w:marLeft w:val="0"/>
      <w:marRight w:val="0"/>
      <w:marTop w:val="0"/>
      <w:marBottom w:val="0"/>
      <w:divBdr>
        <w:top w:val="none" w:sz="0" w:space="0" w:color="auto"/>
        <w:left w:val="none" w:sz="0" w:space="0" w:color="auto"/>
        <w:bottom w:val="none" w:sz="0" w:space="0" w:color="auto"/>
        <w:right w:val="none" w:sz="0" w:space="0" w:color="auto"/>
      </w:divBdr>
    </w:div>
    <w:div w:id="1410275663">
      <w:bodyDiv w:val="1"/>
      <w:marLeft w:val="0"/>
      <w:marRight w:val="0"/>
      <w:marTop w:val="0"/>
      <w:marBottom w:val="0"/>
      <w:divBdr>
        <w:top w:val="none" w:sz="0" w:space="0" w:color="auto"/>
        <w:left w:val="none" w:sz="0" w:space="0" w:color="auto"/>
        <w:bottom w:val="none" w:sz="0" w:space="0" w:color="auto"/>
        <w:right w:val="none" w:sz="0" w:space="0" w:color="auto"/>
      </w:divBdr>
    </w:div>
    <w:div w:id="1686054309">
      <w:bodyDiv w:val="1"/>
      <w:marLeft w:val="0"/>
      <w:marRight w:val="0"/>
      <w:marTop w:val="0"/>
      <w:marBottom w:val="0"/>
      <w:divBdr>
        <w:top w:val="none" w:sz="0" w:space="0" w:color="auto"/>
        <w:left w:val="none" w:sz="0" w:space="0" w:color="auto"/>
        <w:bottom w:val="none" w:sz="0" w:space="0" w:color="auto"/>
        <w:right w:val="none" w:sz="0" w:space="0" w:color="auto"/>
      </w:divBdr>
    </w:div>
    <w:div w:id="1746609228">
      <w:bodyDiv w:val="1"/>
      <w:marLeft w:val="0"/>
      <w:marRight w:val="0"/>
      <w:marTop w:val="0"/>
      <w:marBottom w:val="0"/>
      <w:divBdr>
        <w:top w:val="none" w:sz="0" w:space="0" w:color="auto"/>
        <w:left w:val="none" w:sz="0" w:space="0" w:color="auto"/>
        <w:bottom w:val="none" w:sz="0" w:space="0" w:color="auto"/>
        <w:right w:val="none" w:sz="0" w:space="0" w:color="auto"/>
      </w:divBdr>
    </w:div>
    <w:div w:id="1785079645">
      <w:bodyDiv w:val="1"/>
      <w:marLeft w:val="0"/>
      <w:marRight w:val="0"/>
      <w:marTop w:val="0"/>
      <w:marBottom w:val="0"/>
      <w:divBdr>
        <w:top w:val="none" w:sz="0" w:space="0" w:color="auto"/>
        <w:left w:val="none" w:sz="0" w:space="0" w:color="auto"/>
        <w:bottom w:val="none" w:sz="0" w:space="0" w:color="auto"/>
        <w:right w:val="none" w:sz="0" w:space="0" w:color="auto"/>
      </w:divBdr>
    </w:div>
    <w:div w:id="1834952373">
      <w:bodyDiv w:val="1"/>
      <w:marLeft w:val="0"/>
      <w:marRight w:val="0"/>
      <w:marTop w:val="0"/>
      <w:marBottom w:val="0"/>
      <w:divBdr>
        <w:top w:val="none" w:sz="0" w:space="0" w:color="auto"/>
        <w:left w:val="none" w:sz="0" w:space="0" w:color="auto"/>
        <w:bottom w:val="none" w:sz="0" w:space="0" w:color="auto"/>
        <w:right w:val="none" w:sz="0" w:space="0" w:color="auto"/>
      </w:divBdr>
    </w:div>
    <w:div w:id="20101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8ADA3-3E9A-4694-9AB9-A32A118C6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4904</TotalTime>
  <Pages>92</Pages>
  <Words>48577</Words>
  <Characters>288550</Characters>
  <Application>Microsoft Office Word</Application>
  <DocSecurity>0</DocSecurity>
  <Lines>3394</Lines>
  <Paragraphs>737</Paragraphs>
  <ScaleCrop>false</ScaleCrop>
  <HeadingPairs>
    <vt:vector size="2" baseType="variant">
      <vt:variant>
        <vt:lpstr>Title</vt:lpstr>
      </vt:variant>
      <vt:variant>
        <vt:i4>1</vt:i4>
      </vt:variant>
    </vt:vector>
  </HeadingPairs>
  <TitlesOfParts>
    <vt:vector size="1" baseType="lpstr">
      <vt:lpstr>Contract Negotiation Handbook: Software as a Service</vt:lpstr>
    </vt:vector>
  </TitlesOfParts>
  <Company>Guth Ventures LLC</Company>
  <LinksUpToDate>false</LinksUpToDate>
  <CharactersWithSpaces>336390</CharactersWithSpaces>
  <SharedDoc>false</SharedDoc>
  <HLinks>
    <vt:vector size="702" baseType="variant">
      <vt:variant>
        <vt:i4>1114172</vt:i4>
      </vt:variant>
      <vt:variant>
        <vt:i4>701</vt:i4>
      </vt:variant>
      <vt:variant>
        <vt:i4>0</vt:i4>
      </vt:variant>
      <vt:variant>
        <vt:i4>5</vt:i4>
      </vt:variant>
      <vt:variant>
        <vt:lpwstr/>
      </vt:variant>
      <vt:variant>
        <vt:lpwstr>_Toc345084269</vt:lpwstr>
      </vt:variant>
      <vt:variant>
        <vt:i4>1114172</vt:i4>
      </vt:variant>
      <vt:variant>
        <vt:i4>695</vt:i4>
      </vt:variant>
      <vt:variant>
        <vt:i4>0</vt:i4>
      </vt:variant>
      <vt:variant>
        <vt:i4>5</vt:i4>
      </vt:variant>
      <vt:variant>
        <vt:lpwstr/>
      </vt:variant>
      <vt:variant>
        <vt:lpwstr>_Toc345084268</vt:lpwstr>
      </vt:variant>
      <vt:variant>
        <vt:i4>1114172</vt:i4>
      </vt:variant>
      <vt:variant>
        <vt:i4>689</vt:i4>
      </vt:variant>
      <vt:variant>
        <vt:i4>0</vt:i4>
      </vt:variant>
      <vt:variant>
        <vt:i4>5</vt:i4>
      </vt:variant>
      <vt:variant>
        <vt:lpwstr/>
      </vt:variant>
      <vt:variant>
        <vt:lpwstr>_Toc345084267</vt:lpwstr>
      </vt:variant>
      <vt:variant>
        <vt:i4>1114172</vt:i4>
      </vt:variant>
      <vt:variant>
        <vt:i4>683</vt:i4>
      </vt:variant>
      <vt:variant>
        <vt:i4>0</vt:i4>
      </vt:variant>
      <vt:variant>
        <vt:i4>5</vt:i4>
      </vt:variant>
      <vt:variant>
        <vt:lpwstr/>
      </vt:variant>
      <vt:variant>
        <vt:lpwstr>_Toc345084266</vt:lpwstr>
      </vt:variant>
      <vt:variant>
        <vt:i4>1114172</vt:i4>
      </vt:variant>
      <vt:variant>
        <vt:i4>677</vt:i4>
      </vt:variant>
      <vt:variant>
        <vt:i4>0</vt:i4>
      </vt:variant>
      <vt:variant>
        <vt:i4>5</vt:i4>
      </vt:variant>
      <vt:variant>
        <vt:lpwstr/>
      </vt:variant>
      <vt:variant>
        <vt:lpwstr>_Toc345084265</vt:lpwstr>
      </vt:variant>
      <vt:variant>
        <vt:i4>1114172</vt:i4>
      </vt:variant>
      <vt:variant>
        <vt:i4>671</vt:i4>
      </vt:variant>
      <vt:variant>
        <vt:i4>0</vt:i4>
      </vt:variant>
      <vt:variant>
        <vt:i4>5</vt:i4>
      </vt:variant>
      <vt:variant>
        <vt:lpwstr/>
      </vt:variant>
      <vt:variant>
        <vt:lpwstr>_Toc345084264</vt:lpwstr>
      </vt:variant>
      <vt:variant>
        <vt:i4>1114172</vt:i4>
      </vt:variant>
      <vt:variant>
        <vt:i4>665</vt:i4>
      </vt:variant>
      <vt:variant>
        <vt:i4>0</vt:i4>
      </vt:variant>
      <vt:variant>
        <vt:i4>5</vt:i4>
      </vt:variant>
      <vt:variant>
        <vt:lpwstr/>
      </vt:variant>
      <vt:variant>
        <vt:lpwstr>_Toc345084263</vt:lpwstr>
      </vt:variant>
      <vt:variant>
        <vt:i4>1114172</vt:i4>
      </vt:variant>
      <vt:variant>
        <vt:i4>659</vt:i4>
      </vt:variant>
      <vt:variant>
        <vt:i4>0</vt:i4>
      </vt:variant>
      <vt:variant>
        <vt:i4>5</vt:i4>
      </vt:variant>
      <vt:variant>
        <vt:lpwstr/>
      </vt:variant>
      <vt:variant>
        <vt:lpwstr>_Toc345084262</vt:lpwstr>
      </vt:variant>
      <vt:variant>
        <vt:i4>1114172</vt:i4>
      </vt:variant>
      <vt:variant>
        <vt:i4>653</vt:i4>
      </vt:variant>
      <vt:variant>
        <vt:i4>0</vt:i4>
      </vt:variant>
      <vt:variant>
        <vt:i4>5</vt:i4>
      </vt:variant>
      <vt:variant>
        <vt:lpwstr/>
      </vt:variant>
      <vt:variant>
        <vt:lpwstr>_Toc345084261</vt:lpwstr>
      </vt:variant>
      <vt:variant>
        <vt:i4>1114172</vt:i4>
      </vt:variant>
      <vt:variant>
        <vt:i4>647</vt:i4>
      </vt:variant>
      <vt:variant>
        <vt:i4>0</vt:i4>
      </vt:variant>
      <vt:variant>
        <vt:i4>5</vt:i4>
      </vt:variant>
      <vt:variant>
        <vt:lpwstr/>
      </vt:variant>
      <vt:variant>
        <vt:lpwstr>_Toc345084260</vt:lpwstr>
      </vt:variant>
      <vt:variant>
        <vt:i4>1179708</vt:i4>
      </vt:variant>
      <vt:variant>
        <vt:i4>641</vt:i4>
      </vt:variant>
      <vt:variant>
        <vt:i4>0</vt:i4>
      </vt:variant>
      <vt:variant>
        <vt:i4>5</vt:i4>
      </vt:variant>
      <vt:variant>
        <vt:lpwstr/>
      </vt:variant>
      <vt:variant>
        <vt:lpwstr>_Toc345084259</vt:lpwstr>
      </vt:variant>
      <vt:variant>
        <vt:i4>1179708</vt:i4>
      </vt:variant>
      <vt:variant>
        <vt:i4>635</vt:i4>
      </vt:variant>
      <vt:variant>
        <vt:i4>0</vt:i4>
      </vt:variant>
      <vt:variant>
        <vt:i4>5</vt:i4>
      </vt:variant>
      <vt:variant>
        <vt:lpwstr/>
      </vt:variant>
      <vt:variant>
        <vt:lpwstr>_Toc345084258</vt:lpwstr>
      </vt:variant>
      <vt:variant>
        <vt:i4>1179708</vt:i4>
      </vt:variant>
      <vt:variant>
        <vt:i4>629</vt:i4>
      </vt:variant>
      <vt:variant>
        <vt:i4>0</vt:i4>
      </vt:variant>
      <vt:variant>
        <vt:i4>5</vt:i4>
      </vt:variant>
      <vt:variant>
        <vt:lpwstr/>
      </vt:variant>
      <vt:variant>
        <vt:lpwstr>_Toc345084257</vt:lpwstr>
      </vt:variant>
      <vt:variant>
        <vt:i4>1179708</vt:i4>
      </vt:variant>
      <vt:variant>
        <vt:i4>623</vt:i4>
      </vt:variant>
      <vt:variant>
        <vt:i4>0</vt:i4>
      </vt:variant>
      <vt:variant>
        <vt:i4>5</vt:i4>
      </vt:variant>
      <vt:variant>
        <vt:lpwstr/>
      </vt:variant>
      <vt:variant>
        <vt:lpwstr>_Toc345084256</vt:lpwstr>
      </vt:variant>
      <vt:variant>
        <vt:i4>1179708</vt:i4>
      </vt:variant>
      <vt:variant>
        <vt:i4>617</vt:i4>
      </vt:variant>
      <vt:variant>
        <vt:i4>0</vt:i4>
      </vt:variant>
      <vt:variant>
        <vt:i4>5</vt:i4>
      </vt:variant>
      <vt:variant>
        <vt:lpwstr/>
      </vt:variant>
      <vt:variant>
        <vt:lpwstr>_Toc345084255</vt:lpwstr>
      </vt:variant>
      <vt:variant>
        <vt:i4>1179708</vt:i4>
      </vt:variant>
      <vt:variant>
        <vt:i4>611</vt:i4>
      </vt:variant>
      <vt:variant>
        <vt:i4>0</vt:i4>
      </vt:variant>
      <vt:variant>
        <vt:i4>5</vt:i4>
      </vt:variant>
      <vt:variant>
        <vt:lpwstr/>
      </vt:variant>
      <vt:variant>
        <vt:lpwstr>_Toc345084254</vt:lpwstr>
      </vt:variant>
      <vt:variant>
        <vt:i4>1179708</vt:i4>
      </vt:variant>
      <vt:variant>
        <vt:i4>605</vt:i4>
      </vt:variant>
      <vt:variant>
        <vt:i4>0</vt:i4>
      </vt:variant>
      <vt:variant>
        <vt:i4>5</vt:i4>
      </vt:variant>
      <vt:variant>
        <vt:lpwstr/>
      </vt:variant>
      <vt:variant>
        <vt:lpwstr>_Toc345084253</vt:lpwstr>
      </vt:variant>
      <vt:variant>
        <vt:i4>1179708</vt:i4>
      </vt:variant>
      <vt:variant>
        <vt:i4>599</vt:i4>
      </vt:variant>
      <vt:variant>
        <vt:i4>0</vt:i4>
      </vt:variant>
      <vt:variant>
        <vt:i4>5</vt:i4>
      </vt:variant>
      <vt:variant>
        <vt:lpwstr/>
      </vt:variant>
      <vt:variant>
        <vt:lpwstr>_Toc345084252</vt:lpwstr>
      </vt:variant>
      <vt:variant>
        <vt:i4>1179708</vt:i4>
      </vt:variant>
      <vt:variant>
        <vt:i4>593</vt:i4>
      </vt:variant>
      <vt:variant>
        <vt:i4>0</vt:i4>
      </vt:variant>
      <vt:variant>
        <vt:i4>5</vt:i4>
      </vt:variant>
      <vt:variant>
        <vt:lpwstr/>
      </vt:variant>
      <vt:variant>
        <vt:lpwstr>_Toc345084251</vt:lpwstr>
      </vt:variant>
      <vt:variant>
        <vt:i4>1179708</vt:i4>
      </vt:variant>
      <vt:variant>
        <vt:i4>587</vt:i4>
      </vt:variant>
      <vt:variant>
        <vt:i4>0</vt:i4>
      </vt:variant>
      <vt:variant>
        <vt:i4>5</vt:i4>
      </vt:variant>
      <vt:variant>
        <vt:lpwstr/>
      </vt:variant>
      <vt:variant>
        <vt:lpwstr>_Toc345084250</vt:lpwstr>
      </vt:variant>
      <vt:variant>
        <vt:i4>1245244</vt:i4>
      </vt:variant>
      <vt:variant>
        <vt:i4>581</vt:i4>
      </vt:variant>
      <vt:variant>
        <vt:i4>0</vt:i4>
      </vt:variant>
      <vt:variant>
        <vt:i4>5</vt:i4>
      </vt:variant>
      <vt:variant>
        <vt:lpwstr/>
      </vt:variant>
      <vt:variant>
        <vt:lpwstr>_Toc345084249</vt:lpwstr>
      </vt:variant>
      <vt:variant>
        <vt:i4>1245244</vt:i4>
      </vt:variant>
      <vt:variant>
        <vt:i4>575</vt:i4>
      </vt:variant>
      <vt:variant>
        <vt:i4>0</vt:i4>
      </vt:variant>
      <vt:variant>
        <vt:i4>5</vt:i4>
      </vt:variant>
      <vt:variant>
        <vt:lpwstr/>
      </vt:variant>
      <vt:variant>
        <vt:lpwstr>_Toc345084248</vt:lpwstr>
      </vt:variant>
      <vt:variant>
        <vt:i4>1245244</vt:i4>
      </vt:variant>
      <vt:variant>
        <vt:i4>569</vt:i4>
      </vt:variant>
      <vt:variant>
        <vt:i4>0</vt:i4>
      </vt:variant>
      <vt:variant>
        <vt:i4>5</vt:i4>
      </vt:variant>
      <vt:variant>
        <vt:lpwstr/>
      </vt:variant>
      <vt:variant>
        <vt:lpwstr>_Toc345084247</vt:lpwstr>
      </vt:variant>
      <vt:variant>
        <vt:i4>1245244</vt:i4>
      </vt:variant>
      <vt:variant>
        <vt:i4>563</vt:i4>
      </vt:variant>
      <vt:variant>
        <vt:i4>0</vt:i4>
      </vt:variant>
      <vt:variant>
        <vt:i4>5</vt:i4>
      </vt:variant>
      <vt:variant>
        <vt:lpwstr/>
      </vt:variant>
      <vt:variant>
        <vt:lpwstr>_Toc345084246</vt:lpwstr>
      </vt:variant>
      <vt:variant>
        <vt:i4>1245244</vt:i4>
      </vt:variant>
      <vt:variant>
        <vt:i4>557</vt:i4>
      </vt:variant>
      <vt:variant>
        <vt:i4>0</vt:i4>
      </vt:variant>
      <vt:variant>
        <vt:i4>5</vt:i4>
      </vt:variant>
      <vt:variant>
        <vt:lpwstr/>
      </vt:variant>
      <vt:variant>
        <vt:lpwstr>_Toc345084245</vt:lpwstr>
      </vt:variant>
      <vt:variant>
        <vt:i4>1245244</vt:i4>
      </vt:variant>
      <vt:variant>
        <vt:i4>551</vt:i4>
      </vt:variant>
      <vt:variant>
        <vt:i4>0</vt:i4>
      </vt:variant>
      <vt:variant>
        <vt:i4>5</vt:i4>
      </vt:variant>
      <vt:variant>
        <vt:lpwstr/>
      </vt:variant>
      <vt:variant>
        <vt:lpwstr>_Toc345084244</vt:lpwstr>
      </vt:variant>
      <vt:variant>
        <vt:i4>1245244</vt:i4>
      </vt:variant>
      <vt:variant>
        <vt:i4>545</vt:i4>
      </vt:variant>
      <vt:variant>
        <vt:i4>0</vt:i4>
      </vt:variant>
      <vt:variant>
        <vt:i4>5</vt:i4>
      </vt:variant>
      <vt:variant>
        <vt:lpwstr/>
      </vt:variant>
      <vt:variant>
        <vt:lpwstr>_Toc345084243</vt:lpwstr>
      </vt:variant>
      <vt:variant>
        <vt:i4>1245244</vt:i4>
      </vt:variant>
      <vt:variant>
        <vt:i4>539</vt:i4>
      </vt:variant>
      <vt:variant>
        <vt:i4>0</vt:i4>
      </vt:variant>
      <vt:variant>
        <vt:i4>5</vt:i4>
      </vt:variant>
      <vt:variant>
        <vt:lpwstr/>
      </vt:variant>
      <vt:variant>
        <vt:lpwstr>_Toc345084242</vt:lpwstr>
      </vt:variant>
      <vt:variant>
        <vt:i4>1245244</vt:i4>
      </vt:variant>
      <vt:variant>
        <vt:i4>533</vt:i4>
      </vt:variant>
      <vt:variant>
        <vt:i4>0</vt:i4>
      </vt:variant>
      <vt:variant>
        <vt:i4>5</vt:i4>
      </vt:variant>
      <vt:variant>
        <vt:lpwstr/>
      </vt:variant>
      <vt:variant>
        <vt:lpwstr>_Toc345084241</vt:lpwstr>
      </vt:variant>
      <vt:variant>
        <vt:i4>1245244</vt:i4>
      </vt:variant>
      <vt:variant>
        <vt:i4>527</vt:i4>
      </vt:variant>
      <vt:variant>
        <vt:i4>0</vt:i4>
      </vt:variant>
      <vt:variant>
        <vt:i4>5</vt:i4>
      </vt:variant>
      <vt:variant>
        <vt:lpwstr/>
      </vt:variant>
      <vt:variant>
        <vt:lpwstr>_Toc345084240</vt:lpwstr>
      </vt:variant>
      <vt:variant>
        <vt:i4>1310780</vt:i4>
      </vt:variant>
      <vt:variant>
        <vt:i4>521</vt:i4>
      </vt:variant>
      <vt:variant>
        <vt:i4>0</vt:i4>
      </vt:variant>
      <vt:variant>
        <vt:i4>5</vt:i4>
      </vt:variant>
      <vt:variant>
        <vt:lpwstr/>
      </vt:variant>
      <vt:variant>
        <vt:lpwstr>_Toc345084239</vt:lpwstr>
      </vt:variant>
      <vt:variant>
        <vt:i4>1310780</vt:i4>
      </vt:variant>
      <vt:variant>
        <vt:i4>515</vt:i4>
      </vt:variant>
      <vt:variant>
        <vt:i4>0</vt:i4>
      </vt:variant>
      <vt:variant>
        <vt:i4>5</vt:i4>
      </vt:variant>
      <vt:variant>
        <vt:lpwstr/>
      </vt:variant>
      <vt:variant>
        <vt:lpwstr>_Toc345084238</vt:lpwstr>
      </vt:variant>
      <vt:variant>
        <vt:i4>1310780</vt:i4>
      </vt:variant>
      <vt:variant>
        <vt:i4>509</vt:i4>
      </vt:variant>
      <vt:variant>
        <vt:i4>0</vt:i4>
      </vt:variant>
      <vt:variant>
        <vt:i4>5</vt:i4>
      </vt:variant>
      <vt:variant>
        <vt:lpwstr/>
      </vt:variant>
      <vt:variant>
        <vt:lpwstr>_Toc345084237</vt:lpwstr>
      </vt:variant>
      <vt:variant>
        <vt:i4>1310780</vt:i4>
      </vt:variant>
      <vt:variant>
        <vt:i4>503</vt:i4>
      </vt:variant>
      <vt:variant>
        <vt:i4>0</vt:i4>
      </vt:variant>
      <vt:variant>
        <vt:i4>5</vt:i4>
      </vt:variant>
      <vt:variant>
        <vt:lpwstr/>
      </vt:variant>
      <vt:variant>
        <vt:lpwstr>_Toc345084236</vt:lpwstr>
      </vt:variant>
      <vt:variant>
        <vt:i4>1310780</vt:i4>
      </vt:variant>
      <vt:variant>
        <vt:i4>497</vt:i4>
      </vt:variant>
      <vt:variant>
        <vt:i4>0</vt:i4>
      </vt:variant>
      <vt:variant>
        <vt:i4>5</vt:i4>
      </vt:variant>
      <vt:variant>
        <vt:lpwstr/>
      </vt:variant>
      <vt:variant>
        <vt:lpwstr>_Toc345084235</vt:lpwstr>
      </vt:variant>
      <vt:variant>
        <vt:i4>1310780</vt:i4>
      </vt:variant>
      <vt:variant>
        <vt:i4>491</vt:i4>
      </vt:variant>
      <vt:variant>
        <vt:i4>0</vt:i4>
      </vt:variant>
      <vt:variant>
        <vt:i4>5</vt:i4>
      </vt:variant>
      <vt:variant>
        <vt:lpwstr/>
      </vt:variant>
      <vt:variant>
        <vt:lpwstr>_Toc345084234</vt:lpwstr>
      </vt:variant>
      <vt:variant>
        <vt:i4>1310780</vt:i4>
      </vt:variant>
      <vt:variant>
        <vt:i4>485</vt:i4>
      </vt:variant>
      <vt:variant>
        <vt:i4>0</vt:i4>
      </vt:variant>
      <vt:variant>
        <vt:i4>5</vt:i4>
      </vt:variant>
      <vt:variant>
        <vt:lpwstr/>
      </vt:variant>
      <vt:variant>
        <vt:lpwstr>_Toc345084233</vt:lpwstr>
      </vt:variant>
      <vt:variant>
        <vt:i4>1310780</vt:i4>
      </vt:variant>
      <vt:variant>
        <vt:i4>479</vt:i4>
      </vt:variant>
      <vt:variant>
        <vt:i4>0</vt:i4>
      </vt:variant>
      <vt:variant>
        <vt:i4>5</vt:i4>
      </vt:variant>
      <vt:variant>
        <vt:lpwstr/>
      </vt:variant>
      <vt:variant>
        <vt:lpwstr>_Toc345084232</vt:lpwstr>
      </vt:variant>
      <vt:variant>
        <vt:i4>1310780</vt:i4>
      </vt:variant>
      <vt:variant>
        <vt:i4>473</vt:i4>
      </vt:variant>
      <vt:variant>
        <vt:i4>0</vt:i4>
      </vt:variant>
      <vt:variant>
        <vt:i4>5</vt:i4>
      </vt:variant>
      <vt:variant>
        <vt:lpwstr/>
      </vt:variant>
      <vt:variant>
        <vt:lpwstr>_Toc345084231</vt:lpwstr>
      </vt:variant>
      <vt:variant>
        <vt:i4>1310780</vt:i4>
      </vt:variant>
      <vt:variant>
        <vt:i4>467</vt:i4>
      </vt:variant>
      <vt:variant>
        <vt:i4>0</vt:i4>
      </vt:variant>
      <vt:variant>
        <vt:i4>5</vt:i4>
      </vt:variant>
      <vt:variant>
        <vt:lpwstr/>
      </vt:variant>
      <vt:variant>
        <vt:lpwstr>_Toc345084230</vt:lpwstr>
      </vt:variant>
      <vt:variant>
        <vt:i4>1376316</vt:i4>
      </vt:variant>
      <vt:variant>
        <vt:i4>461</vt:i4>
      </vt:variant>
      <vt:variant>
        <vt:i4>0</vt:i4>
      </vt:variant>
      <vt:variant>
        <vt:i4>5</vt:i4>
      </vt:variant>
      <vt:variant>
        <vt:lpwstr/>
      </vt:variant>
      <vt:variant>
        <vt:lpwstr>_Toc345084229</vt:lpwstr>
      </vt:variant>
      <vt:variant>
        <vt:i4>1376316</vt:i4>
      </vt:variant>
      <vt:variant>
        <vt:i4>455</vt:i4>
      </vt:variant>
      <vt:variant>
        <vt:i4>0</vt:i4>
      </vt:variant>
      <vt:variant>
        <vt:i4>5</vt:i4>
      </vt:variant>
      <vt:variant>
        <vt:lpwstr/>
      </vt:variant>
      <vt:variant>
        <vt:lpwstr>_Toc345084228</vt:lpwstr>
      </vt:variant>
      <vt:variant>
        <vt:i4>1376316</vt:i4>
      </vt:variant>
      <vt:variant>
        <vt:i4>449</vt:i4>
      </vt:variant>
      <vt:variant>
        <vt:i4>0</vt:i4>
      </vt:variant>
      <vt:variant>
        <vt:i4>5</vt:i4>
      </vt:variant>
      <vt:variant>
        <vt:lpwstr/>
      </vt:variant>
      <vt:variant>
        <vt:lpwstr>_Toc345084227</vt:lpwstr>
      </vt:variant>
      <vt:variant>
        <vt:i4>1376316</vt:i4>
      </vt:variant>
      <vt:variant>
        <vt:i4>443</vt:i4>
      </vt:variant>
      <vt:variant>
        <vt:i4>0</vt:i4>
      </vt:variant>
      <vt:variant>
        <vt:i4>5</vt:i4>
      </vt:variant>
      <vt:variant>
        <vt:lpwstr/>
      </vt:variant>
      <vt:variant>
        <vt:lpwstr>_Toc345084226</vt:lpwstr>
      </vt:variant>
      <vt:variant>
        <vt:i4>1376316</vt:i4>
      </vt:variant>
      <vt:variant>
        <vt:i4>437</vt:i4>
      </vt:variant>
      <vt:variant>
        <vt:i4>0</vt:i4>
      </vt:variant>
      <vt:variant>
        <vt:i4>5</vt:i4>
      </vt:variant>
      <vt:variant>
        <vt:lpwstr/>
      </vt:variant>
      <vt:variant>
        <vt:lpwstr>_Toc345084225</vt:lpwstr>
      </vt:variant>
      <vt:variant>
        <vt:i4>1376316</vt:i4>
      </vt:variant>
      <vt:variant>
        <vt:i4>431</vt:i4>
      </vt:variant>
      <vt:variant>
        <vt:i4>0</vt:i4>
      </vt:variant>
      <vt:variant>
        <vt:i4>5</vt:i4>
      </vt:variant>
      <vt:variant>
        <vt:lpwstr/>
      </vt:variant>
      <vt:variant>
        <vt:lpwstr>_Toc345084224</vt:lpwstr>
      </vt:variant>
      <vt:variant>
        <vt:i4>1376316</vt:i4>
      </vt:variant>
      <vt:variant>
        <vt:i4>425</vt:i4>
      </vt:variant>
      <vt:variant>
        <vt:i4>0</vt:i4>
      </vt:variant>
      <vt:variant>
        <vt:i4>5</vt:i4>
      </vt:variant>
      <vt:variant>
        <vt:lpwstr/>
      </vt:variant>
      <vt:variant>
        <vt:lpwstr>_Toc345084223</vt:lpwstr>
      </vt:variant>
      <vt:variant>
        <vt:i4>1376316</vt:i4>
      </vt:variant>
      <vt:variant>
        <vt:i4>419</vt:i4>
      </vt:variant>
      <vt:variant>
        <vt:i4>0</vt:i4>
      </vt:variant>
      <vt:variant>
        <vt:i4>5</vt:i4>
      </vt:variant>
      <vt:variant>
        <vt:lpwstr/>
      </vt:variant>
      <vt:variant>
        <vt:lpwstr>_Toc345084222</vt:lpwstr>
      </vt:variant>
      <vt:variant>
        <vt:i4>1376316</vt:i4>
      </vt:variant>
      <vt:variant>
        <vt:i4>413</vt:i4>
      </vt:variant>
      <vt:variant>
        <vt:i4>0</vt:i4>
      </vt:variant>
      <vt:variant>
        <vt:i4>5</vt:i4>
      </vt:variant>
      <vt:variant>
        <vt:lpwstr/>
      </vt:variant>
      <vt:variant>
        <vt:lpwstr>_Toc345084221</vt:lpwstr>
      </vt:variant>
      <vt:variant>
        <vt:i4>1376316</vt:i4>
      </vt:variant>
      <vt:variant>
        <vt:i4>407</vt:i4>
      </vt:variant>
      <vt:variant>
        <vt:i4>0</vt:i4>
      </vt:variant>
      <vt:variant>
        <vt:i4>5</vt:i4>
      </vt:variant>
      <vt:variant>
        <vt:lpwstr/>
      </vt:variant>
      <vt:variant>
        <vt:lpwstr>_Toc345084220</vt:lpwstr>
      </vt:variant>
      <vt:variant>
        <vt:i4>1441852</vt:i4>
      </vt:variant>
      <vt:variant>
        <vt:i4>401</vt:i4>
      </vt:variant>
      <vt:variant>
        <vt:i4>0</vt:i4>
      </vt:variant>
      <vt:variant>
        <vt:i4>5</vt:i4>
      </vt:variant>
      <vt:variant>
        <vt:lpwstr/>
      </vt:variant>
      <vt:variant>
        <vt:lpwstr>_Toc345084219</vt:lpwstr>
      </vt:variant>
      <vt:variant>
        <vt:i4>1441852</vt:i4>
      </vt:variant>
      <vt:variant>
        <vt:i4>395</vt:i4>
      </vt:variant>
      <vt:variant>
        <vt:i4>0</vt:i4>
      </vt:variant>
      <vt:variant>
        <vt:i4>5</vt:i4>
      </vt:variant>
      <vt:variant>
        <vt:lpwstr/>
      </vt:variant>
      <vt:variant>
        <vt:lpwstr>_Toc345084218</vt:lpwstr>
      </vt:variant>
      <vt:variant>
        <vt:i4>1441852</vt:i4>
      </vt:variant>
      <vt:variant>
        <vt:i4>389</vt:i4>
      </vt:variant>
      <vt:variant>
        <vt:i4>0</vt:i4>
      </vt:variant>
      <vt:variant>
        <vt:i4>5</vt:i4>
      </vt:variant>
      <vt:variant>
        <vt:lpwstr/>
      </vt:variant>
      <vt:variant>
        <vt:lpwstr>_Toc345084217</vt:lpwstr>
      </vt:variant>
      <vt:variant>
        <vt:i4>1441852</vt:i4>
      </vt:variant>
      <vt:variant>
        <vt:i4>383</vt:i4>
      </vt:variant>
      <vt:variant>
        <vt:i4>0</vt:i4>
      </vt:variant>
      <vt:variant>
        <vt:i4>5</vt:i4>
      </vt:variant>
      <vt:variant>
        <vt:lpwstr/>
      </vt:variant>
      <vt:variant>
        <vt:lpwstr>_Toc345084216</vt:lpwstr>
      </vt:variant>
      <vt:variant>
        <vt:i4>1441852</vt:i4>
      </vt:variant>
      <vt:variant>
        <vt:i4>377</vt:i4>
      </vt:variant>
      <vt:variant>
        <vt:i4>0</vt:i4>
      </vt:variant>
      <vt:variant>
        <vt:i4>5</vt:i4>
      </vt:variant>
      <vt:variant>
        <vt:lpwstr/>
      </vt:variant>
      <vt:variant>
        <vt:lpwstr>_Toc345084215</vt:lpwstr>
      </vt:variant>
      <vt:variant>
        <vt:i4>1441852</vt:i4>
      </vt:variant>
      <vt:variant>
        <vt:i4>371</vt:i4>
      </vt:variant>
      <vt:variant>
        <vt:i4>0</vt:i4>
      </vt:variant>
      <vt:variant>
        <vt:i4>5</vt:i4>
      </vt:variant>
      <vt:variant>
        <vt:lpwstr/>
      </vt:variant>
      <vt:variant>
        <vt:lpwstr>_Toc345084214</vt:lpwstr>
      </vt:variant>
      <vt:variant>
        <vt:i4>1441852</vt:i4>
      </vt:variant>
      <vt:variant>
        <vt:i4>365</vt:i4>
      </vt:variant>
      <vt:variant>
        <vt:i4>0</vt:i4>
      </vt:variant>
      <vt:variant>
        <vt:i4>5</vt:i4>
      </vt:variant>
      <vt:variant>
        <vt:lpwstr/>
      </vt:variant>
      <vt:variant>
        <vt:lpwstr>_Toc345084213</vt:lpwstr>
      </vt:variant>
      <vt:variant>
        <vt:i4>1441852</vt:i4>
      </vt:variant>
      <vt:variant>
        <vt:i4>359</vt:i4>
      </vt:variant>
      <vt:variant>
        <vt:i4>0</vt:i4>
      </vt:variant>
      <vt:variant>
        <vt:i4>5</vt:i4>
      </vt:variant>
      <vt:variant>
        <vt:lpwstr/>
      </vt:variant>
      <vt:variant>
        <vt:lpwstr>_Toc345084212</vt:lpwstr>
      </vt:variant>
      <vt:variant>
        <vt:i4>1441852</vt:i4>
      </vt:variant>
      <vt:variant>
        <vt:i4>353</vt:i4>
      </vt:variant>
      <vt:variant>
        <vt:i4>0</vt:i4>
      </vt:variant>
      <vt:variant>
        <vt:i4>5</vt:i4>
      </vt:variant>
      <vt:variant>
        <vt:lpwstr/>
      </vt:variant>
      <vt:variant>
        <vt:lpwstr>_Toc345084211</vt:lpwstr>
      </vt:variant>
      <vt:variant>
        <vt:i4>1441852</vt:i4>
      </vt:variant>
      <vt:variant>
        <vt:i4>347</vt:i4>
      </vt:variant>
      <vt:variant>
        <vt:i4>0</vt:i4>
      </vt:variant>
      <vt:variant>
        <vt:i4>5</vt:i4>
      </vt:variant>
      <vt:variant>
        <vt:lpwstr/>
      </vt:variant>
      <vt:variant>
        <vt:lpwstr>_Toc345084210</vt:lpwstr>
      </vt:variant>
      <vt:variant>
        <vt:i4>1507388</vt:i4>
      </vt:variant>
      <vt:variant>
        <vt:i4>341</vt:i4>
      </vt:variant>
      <vt:variant>
        <vt:i4>0</vt:i4>
      </vt:variant>
      <vt:variant>
        <vt:i4>5</vt:i4>
      </vt:variant>
      <vt:variant>
        <vt:lpwstr/>
      </vt:variant>
      <vt:variant>
        <vt:lpwstr>_Toc345084209</vt:lpwstr>
      </vt:variant>
      <vt:variant>
        <vt:i4>1507388</vt:i4>
      </vt:variant>
      <vt:variant>
        <vt:i4>335</vt:i4>
      </vt:variant>
      <vt:variant>
        <vt:i4>0</vt:i4>
      </vt:variant>
      <vt:variant>
        <vt:i4>5</vt:i4>
      </vt:variant>
      <vt:variant>
        <vt:lpwstr/>
      </vt:variant>
      <vt:variant>
        <vt:lpwstr>_Toc345084208</vt:lpwstr>
      </vt:variant>
      <vt:variant>
        <vt:i4>1507388</vt:i4>
      </vt:variant>
      <vt:variant>
        <vt:i4>329</vt:i4>
      </vt:variant>
      <vt:variant>
        <vt:i4>0</vt:i4>
      </vt:variant>
      <vt:variant>
        <vt:i4>5</vt:i4>
      </vt:variant>
      <vt:variant>
        <vt:lpwstr/>
      </vt:variant>
      <vt:variant>
        <vt:lpwstr>_Toc345084207</vt:lpwstr>
      </vt:variant>
      <vt:variant>
        <vt:i4>1507388</vt:i4>
      </vt:variant>
      <vt:variant>
        <vt:i4>323</vt:i4>
      </vt:variant>
      <vt:variant>
        <vt:i4>0</vt:i4>
      </vt:variant>
      <vt:variant>
        <vt:i4>5</vt:i4>
      </vt:variant>
      <vt:variant>
        <vt:lpwstr/>
      </vt:variant>
      <vt:variant>
        <vt:lpwstr>_Toc345084206</vt:lpwstr>
      </vt:variant>
      <vt:variant>
        <vt:i4>1507388</vt:i4>
      </vt:variant>
      <vt:variant>
        <vt:i4>317</vt:i4>
      </vt:variant>
      <vt:variant>
        <vt:i4>0</vt:i4>
      </vt:variant>
      <vt:variant>
        <vt:i4>5</vt:i4>
      </vt:variant>
      <vt:variant>
        <vt:lpwstr/>
      </vt:variant>
      <vt:variant>
        <vt:lpwstr>_Toc345084205</vt:lpwstr>
      </vt:variant>
      <vt:variant>
        <vt:i4>1507388</vt:i4>
      </vt:variant>
      <vt:variant>
        <vt:i4>311</vt:i4>
      </vt:variant>
      <vt:variant>
        <vt:i4>0</vt:i4>
      </vt:variant>
      <vt:variant>
        <vt:i4>5</vt:i4>
      </vt:variant>
      <vt:variant>
        <vt:lpwstr/>
      </vt:variant>
      <vt:variant>
        <vt:lpwstr>_Toc345084204</vt:lpwstr>
      </vt:variant>
      <vt:variant>
        <vt:i4>1507388</vt:i4>
      </vt:variant>
      <vt:variant>
        <vt:i4>305</vt:i4>
      </vt:variant>
      <vt:variant>
        <vt:i4>0</vt:i4>
      </vt:variant>
      <vt:variant>
        <vt:i4>5</vt:i4>
      </vt:variant>
      <vt:variant>
        <vt:lpwstr/>
      </vt:variant>
      <vt:variant>
        <vt:lpwstr>_Toc345084203</vt:lpwstr>
      </vt:variant>
      <vt:variant>
        <vt:i4>1507388</vt:i4>
      </vt:variant>
      <vt:variant>
        <vt:i4>299</vt:i4>
      </vt:variant>
      <vt:variant>
        <vt:i4>0</vt:i4>
      </vt:variant>
      <vt:variant>
        <vt:i4>5</vt:i4>
      </vt:variant>
      <vt:variant>
        <vt:lpwstr/>
      </vt:variant>
      <vt:variant>
        <vt:lpwstr>_Toc345084202</vt:lpwstr>
      </vt:variant>
      <vt:variant>
        <vt:i4>1507388</vt:i4>
      </vt:variant>
      <vt:variant>
        <vt:i4>293</vt:i4>
      </vt:variant>
      <vt:variant>
        <vt:i4>0</vt:i4>
      </vt:variant>
      <vt:variant>
        <vt:i4>5</vt:i4>
      </vt:variant>
      <vt:variant>
        <vt:lpwstr/>
      </vt:variant>
      <vt:variant>
        <vt:lpwstr>_Toc345084201</vt:lpwstr>
      </vt:variant>
      <vt:variant>
        <vt:i4>1507388</vt:i4>
      </vt:variant>
      <vt:variant>
        <vt:i4>287</vt:i4>
      </vt:variant>
      <vt:variant>
        <vt:i4>0</vt:i4>
      </vt:variant>
      <vt:variant>
        <vt:i4>5</vt:i4>
      </vt:variant>
      <vt:variant>
        <vt:lpwstr/>
      </vt:variant>
      <vt:variant>
        <vt:lpwstr>_Toc345084200</vt:lpwstr>
      </vt:variant>
      <vt:variant>
        <vt:i4>1966143</vt:i4>
      </vt:variant>
      <vt:variant>
        <vt:i4>281</vt:i4>
      </vt:variant>
      <vt:variant>
        <vt:i4>0</vt:i4>
      </vt:variant>
      <vt:variant>
        <vt:i4>5</vt:i4>
      </vt:variant>
      <vt:variant>
        <vt:lpwstr/>
      </vt:variant>
      <vt:variant>
        <vt:lpwstr>_Toc345084199</vt:lpwstr>
      </vt:variant>
      <vt:variant>
        <vt:i4>1966143</vt:i4>
      </vt:variant>
      <vt:variant>
        <vt:i4>275</vt:i4>
      </vt:variant>
      <vt:variant>
        <vt:i4>0</vt:i4>
      </vt:variant>
      <vt:variant>
        <vt:i4>5</vt:i4>
      </vt:variant>
      <vt:variant>
        <vt:lpwstr/>
      </vt:variant>
      <vt:variant>
        <vt:lpwstr>_Toc345084198</vt:lpwstr>
      </vt:variant>
      <vt:variant>
        <vt:i4>1966143</vt:i4>
      </vt:variant>
      <vt:variant>
        <vt:i4>269</vt:i4>
      </vt:variant>
      <vt:variant>
        <vt:i4>0</vt:i4>
      </vt:variant>
      <vt:variant>
        <vt:i4>5</vt:i4>
      </vt:variant>
      <vt:variant>
        <vt:lpwstr/>
      </vt:variant>
      <vt:variant>
        <vt:lpwstr>_Toc345084197</vt:lpwstr>
      </vt:variant>
      <vt:variant>
        <vt:i4>1966143</vt:i4>
      </vt:variant>
      <vt:variant>
        <vt:i4>263</vt:i4>
      </vt:variant>
      <vt:variant>
        <vt:i4>0</vt:i4>
      </vt:variant>
      <vt:variant>
        <vt:i4>5</vt:i4>
      </vt:variant>
      <vt:variant>
        <vt:lpwstr/>
      </vt:variant>
      <vt:variant>
        <vt:lpwstr>_Toc345084196</vt:lpwstr>
      </vt:variant>
      <vt:variant>
        <vt:i4>1966143</vt:i4>
      </vt:variant>
      <vt:variant>
        <vt:i4>257</vt:i4>
      </vt:variant>
      <vt:variant>
        <vt:i4>0</vt:i4>
      </vt:variant>
      <vt:variant>
        <vt:i4>5</vt:i4>
      </vt:variant>
      <vt:variant>
        <vt:lpwstr/>
      </vt:variant>
      <vt:variant>
        <vt:lpwstr>_Toc345084195</vt:lpwstr>
      </vt:variant>
      <vt:variant>
        <vt:i4>1966143</vt:i4>
      </vt:variant>
      <vt:variant>
        <vt:i4>251</vt:i4>
      </vt:variant>
      <vt:variant>
        <vt:i4>0</vt:i4>
      </vt:variant>
      <vt:variant>
        <vt:i4>5</vt:i4>
      </vt:variant>
      <vt:variant>
        <vt:lpwstr/>
      </vt:variant>
      <vt:variant>
        <vt:lpwstr>_Toc345084194</vt:lpwstr>
      </vt:variant>
      <vt:variant>
        <vt:i4>1966143</vt:i4>
      </vt:variant>
      <vt:variant>
        <vt:i4>245</vt:i4>
      </vt:variant>
      <vt:variant>
        <vt:i4>0</vt:i4>
      </vt:variant>
      <vt:variant>
        <vt:i4>5</vt:i4>
      </vt:variant>
      <vt:variant>
        <vt:lpwstr/>
      </vt:variant>
      <vt:variant>
        <vt:lpwstr>_Toc345084193</vt:lpwstr>
      </vt:variant>
      <vt:variant>
        <vt:i4>1966143</vt:i4>
      </vt:variant>
      <vt:variant>
        <vt:i4>239</vt:i4>
      </vt:variant>
      <vt:variant>
        <vt:i4>0</vt:i4>
      </vt:variant>
      <vt:variant>
        <vt:i4>5</vt:i4>
      </vt:variant>
      <vt:variant>
        <vt:lpwstr/>
      </vt:variant>
      <vt:variant>
        <vt:lpwstr>_Toc345084192</vt:lpwstr>
      </vt:variant>
      <vt:variant>
        <vt:i4>1966143</vt:i4>
      </vt:variant>
      <vt:variant>
        <vt:i4>233</vt:i4>
      </vt:variant>
      <vt:variant>
        <vt:i4>0</vt:i4>
      </vt:variant>
      <vt:variant>
        <vt:i4>5</vt:i4>
      </vt:variant>
      <vt:variant>
        <vt:lpwstr/>
      </vt:variant>
      <vt:variant>
        <vt:lpwstr>_Toc345084191</vt:lpwstr>
      </vt:variant>
      <vt:variant>
        <vt:i4>1966143</vt:i4>
      </vt:variant>
      <vt:variant>
        <vt:i4>227</vt:i4>
      </vt:variant>
      <vt:variant>
        <vt:i4>0</vt:i4>
      </vt:variant>
      <vt:variant>
        <vt:i4>5</vt:i4>
      </vt:variant>
      <vt:variant>
        <vt:lpwstr/>
      </vt:variant>
      <vt:variant>
        <vt:lpwstr>_Toc345084190</vt:lpwstr>
      </vt:variant>
      <vt:variant>
        <vt:i4>2031679</vt:i4>
      </vt:variant>
      <vt:variant>
        <vt:i4>221</vt:i4>
      </vt:variant>
      <vt:variant>
        <vt:i4>0</vt:i4>
      </vt:variant>
      <vt:variant>
        <vt:i4>5</vt:i4>
      </vt:variant>
      <vt:variant>
        <vt:lpwstr/>
      </vt:variant>
      <vt:variant>
        <vt:lpwstr>_Toc345084189</vt:lpwstr>
      </vt:variant>
      <vt:variant>
        <vt:i4>2031679</vt:i4>
      </vt:variant>
      <vt:variant>
        <vt:i4>215</vt:i4>
      </vt:variant>
      <vt:variant>
        <vt:i4>0</vt:i4>
      </vt:variant>
      <vt:variant>
        <vt:i4>5</vt:i4>
      </vt:variant>
      <vt:variant>
        <vt:lpwstr/>
      </vt:variant>
      <vt:variant>
        <vt:lpwstr>_Toc345084188</vt:lpwstr>
      </vt:variant>
      <vt:variant>
        <vt:i4>2031679</vt:i4>
      </vt:variant>
      <vt:variant>
        <vt:i4>209</vt:i4>
      </vt:variant>
      <vt:variant>
        <vt:i4>0</vt:i4>
      </vt:variant>
      <vt:variant>
        <vt:i4>5</vt:i4>
      </vt:variant>
      <vt:variant>
        <vt:lpwstr/>
      </vt:variant>
      <vt:variant>
        <vt:lpwstr>_Toc345084187</vt:lpwstr>
      </vt:variant>
      <vt:variant>
        <vt:i4>2031679</vt:i4>
      </vt:variant>
      <vt:variant>
        <vt:i4>203</vt:i4>
      </vt:variant>
      <vt:variant>
        <vt:i4>0</vt:i4>
      </vt:variant>
      <vt:variant>
        <vt:i4>5</vt:i4>
      </vt:variant>
      <vt:variant>
        <vt:lpwstr/>
      </vt:variant>
      <vt:variant>
        <vt:lpwstr>_Toc345084186</vt:lpwstr>
      </vt:variant>
      <vt:variant>
        <vt:i4>2031679</vt:i4>
      </vt:variant>
      <vt:variant>
        <vt:i4>197</vt:i4>
      </vt:variant>
      <vt:variant>
        <vt:i4>0</vt:i4>
      </vt:variant>
      <vt:variant>
        <vt:i4>5</vt:i4>
      </vt:variant>
      <vt:variant>
        <vt:lpwstr/>
      </vt:variant>
      <vt:variant>
        <vt:lpwstr>_Toc345084185</vt:lpwstr>
      </vt:variant>
      <vt:variant>
        <vt:i4>2031679</vt:i4>
      </vt:variant>
      <vt:variant>
        <vt:i4>191</vt:i4>
      </vt:variant>
      <vt:variant>
        <vt:i4>0</vt:i4>
      </vt:variant>
      <vt:variant>
        <vt:i4>5</vt:i4>
      </vt:variant>
      <vt:variant>
        <vt:lpwstr/>
      </vt:variant>
      <vt:variant>
        <vt:lpwstr>_Toc345084184</vt:lpwstr>
      </vt:variant>
      <vt:variant>
        <vt:i4>2031679</vt:i4>
      </vt:variant>
      <vt:variant>
        <vt:i4>185</vt:i4>
      </vt:variant>
      <vt:variant>
        <vt:i4>0</vt:i4>
      </vt:variant>
      <vt:variant>
        <vt:i4>5</vt:i4>
      </vt:variant>
      <vt:variant>
        <vt:lpwstr/>
      </vt:variant>
      <vt:variant>
        <vt:lpwstr>_Toc345084183</vt:lpwstr>
      </vt:variant>
      <vt:variant>
        <vt:i4>2031679</vt:i4>
      </vt:variant>
      <vt:variant>
        <vt:i4>179</vt:i4>
      </vt:variant>
      <vt:variant>
        <vt:i4>0</vt:i4>
      </vt:variant>
      <vt:variant>
        <vt:i4>5</vt:i4>
      </vt:variant>
      <vt:variant>
        <vt:lpwstr/>
      </vt:variant>
      <vt:variant>
        <vt:lpwstr>_Toc345084182</vt:lpwstr>
      </vt:variant>
      <vt:variant>
        <vt:i4>2031679</vt:i4>
      </vt:variant>
      <vt:variant>
        <vt:i4>173</vt:i4>
      </vt:variant>
      <vt:variant>
        <vt:i4>0</vt:i4>
      </vt:variant>
      <vt:variant>
        <vt:i4>5</vt:i4>
      </vt:variant>
      <vt:variant>
        <vt:lpwstr/>
      </vt:variant>
      <vt:variant>
        <vt:lpwstr>_Toc345084181</vt:lpwstr>
      </vt:variant>
      <vt:variant>
        <vt:i4>2031679</vt:i4>
      </vt:variant>
      <vt:variant>
        <vt:i4>167</vt:i4>
      </vt:variant>
      <vt:variant>
        <vt:i4>0</vt:i4>
      </vt:variant>
      <vt:variant>
        <vt:i4>5</vt:i4>
      </vt:variant>
      <vt:variant>
        <vt:lpwstr/>
      </vt:variant>
      <vt:variant>
        <vt:lpwstr>_Toc345084180</vt:lpwstr>
      </vt:variant>
      <vt:variant>
        <vt:i4>1048639</vt:i4>
      </vt:variant>
      <vt:variant>
        <vt:i4>161</vt:i4>
      </vt:variant>
      <vt:variant>
        <vt:i4>0</vt:i4>
      </vt:variant>
      <vt:variant>
        <vt:i4>5</vt:i4>
      </vt:variant>
      <vt:variant>
        <vt:lpwstr/>
      </vt:variant>
      <vt:variant>
        <vt:lpwstr>_Toc345084179</vt:lpwstr>
      </vt:variant>
      <vt:variant>
        <vt:i4>1048639</vt:i4>
      </vt:variant>
      <vt:variant>
        <vt:i4>155</vt:i4>
      </vt:variant>
      <vt:variant>
        <vt:i4>0</vt:i4>
      </vt:variant>
      <vt:variant>
        <vt:i4>5</vt:i4>
      </vt:variant>
      <vt:variant>
        <vt:lpwstr/>
      </vt:variant>
      <vt:variant>
        <vt:lpwstr>_Toc345084178</vt:lpwstr>
      </vt:variant>
      <vt:variant>
        <vt:i4>1048639</vt:i4>
      </vt:variant>
      <vt:variant>
        <vt:i4>149</vt:i4>
      </vt:variant>
      <vt:variant>
        <vt:i4>0</vt:i4>
      </vt:variant>
      <vt:variant>
        <vt:i4>5</vt:i4>
      </vt:variant>
      <vt:variant>
        <vt:lpwstr/>
      </vt:variant>
      <vt:variant>
        <vt:lpwstr>_Toc345084177</vt:lpwstr>
      </vt:variant>
      <vt:variant>
        <vt:i4>1048639</vt:i4>
      </vt:variant>
      <vt:variant>
        <vt:i4>143</vt:i4>
      </vt:variant>
      <vt:variant>
        <vt:i4>0</vt:i4>
      </vt:variant>
      <vt:variant>
        <vt:i4>5</vt:i4>
      </vt:variant>
      <vt:variant>
        <vt:lpwstr/>
      </vt:variant>
      <vt:variant>
        <vt:lpwstr>_Toc345084176</vt:lpwstr>
      </vt:variant>
      <vt:variant>
        <vt:i4>1048639</vt:i4>
      </vt:variant>
      <vt:variant>
        <vt:i4>137</vt:i4>
      </vt:variant>
      <vt:variant>
        <vt:i4>0</vt:i4>
      </vt:variant>
      <vt:variant>
        <vt:i4>5</vt:i4>
      </vt:variant>
      <vt:variant>
        <vt:lpwstr/>
      </vt:variant>
      <vt:variant>
        <vt:lpwstr>_Toc345084175</vt:lpwstr>
      </vt:variant>
      <vt:variant>
        <vt:i4>1048639</vt:i4>
      </vt:variant>
      <vt:variant>
        <vt:i4>131</vt:i4>
      </vt:variant>
      <vt:variant>
        <vt:i4>0</vt:i4>
      </vt:variant>
      <vt:variant>
        <vt:i4>5</vt:i4>
      </vt:variant>
      <vt:variant>
        <vt:lpwstr/>
      </vt:variant>
      <vt:variant>
        <vt:lpwstr>_Toc345084174</vt:lpwstr>
      </vt:variant>
      <vt:variant>
        <vt:i4>1048639</vt:i4>
      </vt:variant>
      <vt:variant>
        <vt:i4>125</vt:i4>
      </vt:variant>
      <vt:variant>
        <vt:i4>0</vt:i4>
      </vt:variant>
      <vt:variant>
        <vt:i4>5</vt:i4>
      </vt:variant>
      <vt:variant>
        <vt:lpwstr/>
      </vt:variant>
      <vt:variant>
        <vt:lpwstr>_Toc345084173</vt:lpwstr>
      </vt:variant>
      <vt:variant>
        <vt:i4>1048639</vt:i4>
      </vt:variant>
      <vt:variant>
        <vt:i4>119</vt:i4>
      </vt:variant>
      <vt:variant>
        <vt:i4>0</vt:i4>
      </vt:variant>
      <vt:variant>
        <vt:i4>5</vt:i4>
      </vt:variant>
      <vt:variant>
        <vt:lpwstr/>
      </vt:variant>
      <vt:variant>
        <vt:lpwstr>_Toc345084172</vt:lpwstr>
      </vt:variant>
      <vt:variant>
        <vt:i4>1048639</vt:i4>
      </vt:variant>
      <vt:variant>
        <vt:i4>113</vt:i4>
      </vt:variant>
      <vt:variant>
        <vt:i4>0</vt:i4>
      </vt:variant>
      <vt:variant>
        <vt:i4>5</vt:i4>
      </vt:variant>
      <vt:variant>
        <vt:lpwstr/>
      </vt:variant>
      <vt:variant>
        <vt:lpwstr>_Toc345084171</vt:lpwstr>
      </vt:variant>
      <vt:variant>
        <vt:i4>1048639</vt:i4>
      </vt:variant>
      <vt:variant>
        <vt:i4>107</vt:i4>
      </vt:variant>
      <vt:variant>
        <vt:i4>0</vt:i4>
      </vt:variant>
      <vt:variant>
        <vt:i4>5</vt:i4>
      </vt:variant>
      <vt:variant>
        <vt:lpwstr/>
      </vt:variant>
      <vt:variant>
        <vt:lpwstr>_Toc345084170</vt:lpwstr>
      </vt:variant>
      <vt:variant>
        <vt:i4>1114175</vt:i4>
      </vt:variant>
      <vt:variant>
        <vt:i4>101</vt:i4>
      </vt:variant>
      <vt:variant>
        <vt:i4>0</vt:i4>
      </vt:variant>
      <vt:variant>
        <vt:i4>5</vt:i4>
      </vt:variant>
      <vt:variant>
        <vt:lpwstr/>
      </vt:variant>
      <vt:variant>
        <vt:lpwstr>_Toc345084169</vt:lpwstr>
      </vt:variant>
      <vt:variant>
        <vt:i4>1114175</vt:i4>
      </vt:variant>
      <vt:variant>
        <vt:i4>95</vt:i4>
      </vt:variant>
      <vt:variant>
        <vt:i4>0</vt:i4>
      </vt:variant>
      <vt:variant>
        <vt:i4>5</vt:i4>
      </vt:variant>
      <vt:variant>
        <vt:lpwstr/>
      </vt:variant>
      <vt:variant>
        <vt:lpwstr>_Toc345084168</vt:lpwstr>
      </vt:variant>
      <vt:variant>
        <vt:i4>1114175</vt:i4>
      </vt:variant>
      <vt:variant>
        <vt:i4>89</vt:i4>
      </vt:variant>
      <vt:variant>
        <vt:i4>0</vt:i4>
      </vt:variant>
      <vt:variant>
        <vt:i4>5</vt:i4>
      </vt:variant>
      <vt:variant>
        <vt:lpwstr/>
      </vt:variant>
      <vt:variant>
        <vt:lpwstr>_Toc345084167</vt:lpwstr>
      </vt:variant>
      <vt:variant>
        <vt:i4>1114175</vt:i4>
      </vt:variant>
      <vt:variant>
        <vt:i4>83</vt:i4>
      </vt:variant>
      <vt:variant>
        <vt:i4>0</vt:i4>
      </vt:variant>
      <vt:variant>
        <vt:i4>5</vt:i4>
      </vt:variant>
      <vt:variant>
        <vt:lpwstr/>
      </vt:variant>
      <vt:variant>
        <vt:lpwstr>_Toc345084166</vt:lpwstr>
      </vt:variant>
      <vt:variant>
        <vt:i4>1114175</vt:i4>
      </vt:variant>
      <vt:variant>
        <vt:i4>77</vt:i4>
      </vt:variant>
      <vt:variant>
        <vt:i4>0</vt:i4>
      </vt:variant>
      <vt:variant>
        <vt:i4>5</vt:i4>
      </vt:variant>
      <vt:variant>
        <vt:lpwstr/>
      </vt:variant>
      <vt:variant>
        <vt:lpwstr>_Toc345084165</vt:lpwstr>
      </vt:variant>
      <vt:variant>
        <vt:i4>1114175</vt:i4>
      </vt:variant>
      <vt:variant>
        <vt:i4>71</vt:i4>
      </vt:variant>
      <vt:variant>
        <vt:i4>0</vt:i4>
      </vt:variant>
      <vt:variant>
        <vt:i4>5</vt:i4>
      </vt:variant>
      <vt:variant>
        <vt:lpwstr/>
      </vt:variant>
      <vt:variant>
        <vt:lpwstr>_Toc345084164</vt:lpwstr>
      </vt:variant>
      <vt:variant>
        <vt:i4>1114175</vt:i4>
      </vt:variant>
      <vt:variant>
        <vt:i4>65</vt:i4>
      </vt:variant>
      <vt:variant>
        <vt:i4>0</vt:i4>
      </vt:variant>
      <vt:variant>
        <vt:i4>5</vt:i4>
      </vt:variant>
      <vt:variant>
        <vt:lpwstr/>
      </vt:variant>
      <vt:variant>
        <vt:lpwstr>_Toc345084163</vt:lpwstr>
      </vt:variant>
      <vt:variant>
        <vt:i4>1114175</vt:i4>
      </vt:variant>
      <vt:variant>
        <vt:i4>59</vt:i4>
      </vt:variant>
      <vt:variant>
        <vt:i4>0</vt:i4>
      </vt:variant>
      <vt:variant>
        <vt:i4>5</vt:i4>
      </vt:variant>
      <vt:variant>
        <vt:lpwstr/>
      </vt:variant>
      <vt:variant>
        <vt:lpwstr>_Toc345084162</vt:lpwstr>
      </vt:variant>
      <vt:variant>
        <vt:i4>1114175</vt:i4>
      </vt:variant>
      <vt:variant>
        <vt:i4>53</vt:i4>
      </vt:variant>
      <vt:variant>
        <vt:i4>0</vt:i4>
      </vt:variant>
      <vt:variant>
        <vt:i4>5</vt:i4>
      </vt:variant>
      <vt:variant>
        <vt:lpwstr/>
      </vt:variant>
      <vt:variant>
        <vt:lpwstr>_Toc345084161</vt:lpwstr>
      </vt:variant>
      <vt:variant>
        <vt:i4>1114175</vt:i4>
      </vt:variant>
      <vt:variant>
        <vt:i4>47</vt:i4>
      </vt:variant>
      <vt:variant>
        <vt:i4>0</vt:i4>
      </vt:variant>
      <vt:variant>
        <vt:i4>5</vt:i4>
      </vt:variant>
      <vt:variant>
        <vt:lpwstr/>
      </vt:variant>
      <vt:variant>
        <vt:lpwstr>_Toc345084160</vt:lpwstr>
      </vt:variant>
      <vt:variant>
        <vt:i4>1179711</vt:i4>
      </vt:variant>
      <vt:variant>
        <vt:i4>38</vt:i4>
      </vt:variant>
      <vt:variant>
        <vt:i4>0</vt:i4>
      </vt:variant>
      <vt:variant>
        <vt:i4>5</vt:i4>
      </vt:variant>
      <vt:variant>
        <vt:lpwstr/>
      </vt:variant>
      <vt:variant>
        <vt:lpwstr>_Toc345084152</vt:lpwstr>
      </vt:variant>
      <vt:variant>
        <vt:i4>1179711</vt:i4>
      </vt:variant>
      <vt:variant>
        <vt:i4>32</vt:i4>
      </vt:variant>
      <vt:variant>
        <vt:i4>0</vt:i4>
      </vt:variant>
      <vt:variant>
        <vt:i4>5</vt:i4>
      </vt:variant>
      <vt:variant>
        <vt:lpwstr/>
      </vt:variant>
      <vt:variant>
        <vt:lpwstr>_Toc345084151</vt:lpwstr>
      </vt:variant>
      <vt:variant>
        <vt:i4>1179711</vt:i4>
      </vt:variant>
      <vt:variant>
        <vt:i4>26</vt:i4>
      </vt:variant>
      <vt:variant>
        <vt:i4>0</vt:i4>
      </vt:variant>
      <vt:variant>
        <vt:i4>5</vt:i4>
      </vt:variant>
      <vt:variant>
        <vt:lpwstr/>
      </vt:variant>
      <vt:variant>
        <vt:lpwstr>_Toc345084150</vt:lpwstr>
      </vt:variant>
      <vt:variant>
        <vt:i4>1245247</vt:i4>
      </vt:variant>
      <vt:variant>
        <vt:i4>20</vt:i4>
      </vt:variant>
      <vt:variant>
        <vt:i4>0</vt:i4>
      </vt:variant>
      <vt:variant>
        <vt:i4>5</vt:i4>
      </vt:variant>
      <vt:variant>
        <vt:lpwstr/>
      </vt:variant>
      <vt:variant>
        <vt:lpwstr>_Toc345084149</vt:lpwstr>
      </vt:variant>
      <vt:variant>
        <vt:i4>1245247</vt:i4>
      </vt:variant>
      <vt:variant>
        <vt:i4>14</vt:i4>
      </vt:variant>
      <vt:variant>
        <vt:i4>0</vt:i4>
      </vt:variant>
      <vt:variant>
        <vt:i4>5</vt:i4>
      </vt:variant>
      <vt:variant>
        <vt:lpwstr/>
      </vt:variant>
      <vt:variant>
        <vt:lpwstr>_Toc345084148</vt:lpwstr>
      </vt:variant>
      <vt:variant>
        <vt:i4>1245247</vt:i4>
      </vt:variant>
      <vt:variant>
        <vt:i4>8</vt:i4>
      </vt:variant>
      <vt:variant>
        <vt:i4>0</vt:i4>
      </vt:variant>
      <vt:variant>
        <vt:i4>5</vt:i4>
      </vt:variant>
      <vt:variant>
        <vt:lpwstr/>
      </vt:variant>
      <vt:variant>
        <vt:lpwstr>_Toc345084147</vt:lpwstr>
      </vt:variant>
      <vt:variant>
        <vt:i4>1245247</vt:i4>
      </vt:variant>
      <vt:variant>
        <vt:i4>2</vt:i4>
      </vt:variant>
      <vt:variant>
        <vt:i4>0</vt:i4>
      </vt:variant>
      <vt:variant>
        <vt:i4>5</vt:i4>
      </vt:variant>
      <vt:variant>
        <vt:lpwstr/>
      </vt:variant>
      <vt:variant>
        <vt:lpwstr>_Toc345084146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Negotiation Handbook: Software as a Service</dc:title>
  <dc:subject/>
  <dc:creator>Stephen Guth</dc:creator>
  <cp:keywords/>
  <cp:lastModifiedBy>Stephen Guth</cp:lastModifiedBy>
  <cp:revision>974</cp:revision>
  <cp:lastPrinted>2026-03-09T20:41:00Z</cp:lastPrinted>
  <dcterms:created xsi:type="dcterms:W3CDTF">2026-06-16T14:49:00Z</dcterms:created>
  <dcterms:modified xsi:type="dcterms:W3CDTF">2026-07-18T16:43:00Z</dcterms:modified>
</cp:coreProperties>
</file>