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FE7B3E">
              <w:t>48</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FT-XXX</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995450"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FE7B3E" w:rsidP="00833FB3">
            <w:pPr>
              <w:jc w:val="center"/>
            </w:pPr>
            <w:r>
              <w:t>Christopher Borden</w:t>
            </w:r>
          </w:p>
        </w:tc>
        <w:tc>
          <w:tcPr>
            <w:tcW w:w="2111" w:type="dxa"/>
            <w:tcBorders>
              <w:top w:val="nil"/>
              <w:bottom w:val="nil"/>
            </w:tcBorders>
          </w:tcPr>
          <w:p w:rsidR="00833FB3" w:rsidRDefault="00833FB3" w:rsidP="00C831C3">
            <w:pPr>
              <w:jc w:val="center"/>
            </w:pPr>
          </w:p>
        </w:tc>
        <w:tc>
          <w:tcPr>
            <w:tcW w:w="4711" w:type="dxa"/>
            <w:gridSpan w:val="2"/>
          </w:tcPr>
          <w:p w:rsidR="00833FB3" w:rsidRDefault="00FE7B3E" w:rsidP="00833FB3">
            <w:pPr>
              <w:jc w:val="center"/>
            </w:pPr>
            <w:r>
              <w:t>Sarah Lucinda Blizzard</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FE7B3E" w:rsidP="00784402">
            <w:r>
              <w:t>1765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FE7B3E" w:rsidP="00784402">
            <w:r>
              <w:t>1770</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FE7B3E" w:rsidP="00784402">
            <w:r>
              <w:t>1840</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FE7B3E" w:rsidP="00784402">
            <w:r>
              <w:t>1849</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C12AEB">
            <w:pPr>
              <w:rPr>
                <w:b/>
              </w:rPr>
            </w:pPr>
            <w:r>
              <w:rPr>
                <w:b/>
              </w:rPr>
              <w:t>Source</w:t>
            </w:r>
          </w:p>
        </w:tc>
        <w:tc>
          <w:tcPr>
            <w:tcW w:w="3289" w:type="dxa"/>
          </w:tcPr>
          <w:p w:rsidR="004C64C3" w:rsidRDefault="00C12AEB">
            <w:hyperlink r:id="rId5" w:history="1">
              <w:proofErr w:type="spellStart"/>
              <w:r w:rsidRPr="00C12AEB">
                <w:rPr>
                  <w:rStyle w:val="Hyperlink"/>
                </w:rPr>
                <w:t>FindaGrave</w:t>
              </w:r>
              <w:proofErr w:type="spellEnd"/>
            </w:hyperlink>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C12AEB">
            <w:pPr>
              <w:rPr>
                <w:b/>
              </w:rPr>
            </w:pPr>
            <w:r>
              <w:rPr>
                <w:b/>
              </w:rPr>
              <w:t>Source</w:t>
            </w:r>
          </w:p>
        </w:tc>
        <w:tc>
          <w:tcPr>
            <w:tcW w:w="3181" w:type="dxa"/>
          </w:tcPr>
          <w:p w:rsidR="004C64C3" w:rsidRDefault="00C12AEB">
            <w:hyperlink r:id="rId6" w:history="1">
              <w:proofErr w:type="spellStart"/>
              <w:r w:rsidRPr="00C12AEB">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FE7B3E">
              <w:t>48</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A9097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r>
            <w:tr w:rsidR="000D22B2" w:rsidTr="00A90976">
              <w:tc>
                <w:tcPr>
                  <w:tcW w:w="1015"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right w:val="double" w:sz="4" w:space="0" w:color="auto"/>
                  </w:tcBorders>
                </w:tcPr>
                <w:p w:rsidR="000D22B2" w:rsidRDefault="000D22B2" w:rsidP="00A90976">
                  <w:pPr>
                    <w:rPr>
                      <w:rFonts w:eastAsia="Times New Roman" w:cs="Arial"/>
                    </w:rPr>
                  </w:pPr>
                </w:p>
              </w:tc>
              <w:tc>
                <w:tcPr>
                  <w:tcW w:w="1014" w:type="dxa"/>
                  <w:tcBorders>
                    <w:top w:val="double" w:sz="4" w:space="0" w:color="auto"/>
                    <w:left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bottom w:val="double" w:sz="4" w:space="0" w:color="auto"/>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7"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8"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AA059B">
            <w:hyperlink r:id="rId9"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32356E"/>
    <w:rsid w:val="00437A91"/>
    <w:rsid w:val="004C64C3"/>
    <w:rsid w:val="004D48B5"/>
    <w:rsid w:val="004D7841"/>
    <w:rsid w:val="00502CCC"/>
    <w:rsid w:val="0052134B"/>
    <w:rsid w:val="00672A78"/>
    <w:rsid w:val="00784402"/>
    <w:rsid w:val="007B6EE7"/>
    <w:rsid w:val="00825162"/>
    <w:rsid w:val="00833FB3"/>
    <w:rsid w:val="00974B47"/>
    <w:rsid w:val="00995450"/>
    <w:rsid w:val="00A335BA"/>
    <w:rsid w:val="00A87099"/>
    <w:rsid w:val="00A9311A"/>
    <w:rsid w:val="00AA059B"/>
    <w:rsid w:val="00AC791E"/>
    <w:rsid w:val="00B34213"/>
    <w:rsid w:val="00BB0D0E"/>
    <w:rsid w:val="00C12AEB"/>
    <w:rsid w:val="00C831C3"/>
    <w:rsid w:val="00C92B12"/>
    <w:rsid w:val="00D83237"/>
    <w:rsid w:val="00DD4281"/>
    <w:rsid w:val="00E15263"/>
    <w:rsid w:val="00EF4863"/>
    <w:rsid w:val="00F96C41"/>
    <w:rsid w:val="00FE329E"/>
    <w:rsid w:val="00FE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prologue/1996/spring/1890-census-1.html" TargetMode="External"/><Relationship Id="rId3" Type="http://schemas.openxmlformats.org/officeDocument/2006/relationships/settings" Target="settings.xml"/><Relationship Id="rId7" Type="http://schemas.openxmlformats.org/officeDocument/2006/relationships/hyperlink" Target="https://www.census.gov/history/img/Commerce-19th-Pen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55204724/sarah-lucinda-borden" TargetMode="External"/><Relationship Id="rId11" Type="http://schemas.openxmlformats.org/officeDocument/2006/relationships/theme" Target="theme/theme1.xml"/><Relationship Id="rId5" Type="http://schemas.openxmlformats.org/officeDocument/2006/relationships/hyperlink" Target="https://www.findagrave.com/memorial/55204606/christopher-bord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sus.gov/history/www/genealogy/decennial_census_records/availability_of_1890_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2022-12-18T00:27:00Z</dcterms:created>
  <dcterms:modified xsi:type="dcterms:W3CDTF">2022-12-18T00:29:00Z</dcterms:modified>
</cp:coreProperties>
</file>