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0A" w:rsidRDefault="00E2244F">
      <w:pPr>
        <w:spacing w:after="122" w:line="259" w:lineRule="auto"/>
        <w:ind w:left="0" w:firstLine="0"/>
      </w:pPr>
      <w:r>
        <w:rPr>
          <w:b/>
          <w:sz w:val="44"/>
        </w:rPr>
        <w:t xml:space="preserve">Silver Birch School </w:t>
      </w:r>
    </w:p>
    <w:p w:rsidR="00B0270A" w:rsidRDefault="00E2244F">
      <w:pPr>
        <w:spacing w:after="0" w:line="259" w:lineRule="auto"/>
        <w:ind w:left="124" w:firstLine="0"/>
        <w:jc w:val="center"/>
      </w:pPr>
      <w:r>
        <w:rPr>
          <w:b/>
          <w:sz w:val="32"/>
        </w:rPr>
        <w:t xml:space="preserve"> </w:t>
      </w:r>
    </w:p>
    <w:p w:rsidR="00B0270A" w:rsidRDefault="00E2244F">
      <w:pPr>
        <w:spacing w:after="0" w:line="239" w:lineRule="auto"/>
        <w:ind w:left="0" w:firstLine="0"/>
        <w:rPr>
          <w:sz w:val="32"/>
        </w:rPr>
      </w:pPr>
      <w:r>
        <w:rPr>
          <w:b/>
          <w:sz w:val="32"/>
        </w:rPr>
        <w:t>Educational visits policy</w:t>
      </w:r>
      <w:r>
        <w:rPr>
          <w:sz w:val="32"/>
        </w:rPr>
        <w:t xml:space="preserve"> </w:t>
      </w:r>
    </w:p>
    <w:p w:rsidR="00E2244F" w:rsidRDefault="00E2244F">
      <w:pPr>
        <w:spacing w:after="0" w:line="239" w:lineRule="auto"/>
        <w:ind w:left="0" w:firstLine="0"/>
      </w:pPr>
    </w:p>
    <w:p w:rsidR="00E2244F" w:rsidRDefault="00E2244F" w:rsidP="00E2244F">
      <w:pPr>
        <w:spacing w:after="0" w:line="256" w:lineRule="auto"/>
        <w:ind w:left="0" w:firstLine="0"/>
        <w:rPr>
          <w:b/>
          <w:sz w:val="22"/>
        </w:rPr>
      </w:pPr>
      <w:r>
        <w:rPr>
          <w:sz w:val="22"/>
        </w:rPr>
        <w:t xml:space="preserve"> </w:t>
      </w:r>
    </w:p>
    <w:p w:rsidR="00E2244F" w:rsidRDefault="00E2244F" w:rsidP="00E2244F">
      <w:pPr>
        <w:spacing w:after="0" w:line="256" w:lineRule="auto"/>
        <w:ind w:left="0" w:firstLine="0"/>
        <w:rPr>
          <w:sz w:val="22"/>
        </w:rPr>
      </w:pPr>
      <w:r>
        <w:rPr>
          <w:b/>
          <w:sz w:val="22"/>
        </w:rPr>
        <w:t>Issued:</w:t>
      </w:r>
      <w:r>
        <w:rPr>
          <w:sz w:val="22"/>
        </w:rPr>
        <w:t xml:space="preserve"> 31/08/13</w:t>
      </w:r>
    </w:p>
    <w:p w:rsidR="00E2244F" w:rsidRDefault="00E2244F" w:rsidP="00E2244F">
      <w:pPr>
        <w:spacing w:after="0" w:line="256" w:lineRule="auto"/>
        <w:ind w:left="0" w:firstLine="0"/>
        <w:rPr>
          <w:sz w:val="22"/>
        </w:rPr>
      </w:pPr>
    </w:p>
    <w:p w:rsidR="00E2244F" w:rsidRDefault="00E2244F" w:rsidP="00E2244F">
      <w:pPr>
        <w:spacing w:after="0" w:line="256" w:lineRule="auto"/>
        <w:ind w:left="0" w:firstLine="0"/>
        <w:rPr>
          <w:sz w:val="22"/>
        </w:rPr>
      </w:pPr>
      <w:r>
        <w:rPr>
          <w:b/>
          <w:sz w:val="22"/>
        </w:rPr>
        <w:t>Reviewed:</w:t>
      </w:r>
      <w:r>
        <w:rPr>
          <w:sz w:val="22"/>
        </w:rPr>
        <w:t xml:space="preserve"> 19/08/18</w:t>
      </w:r>
    </w:p>
    <w:p w:rsidR="00E2244F" w:rsidRDefault="00E2244F" w:rsidP="00E2244F">
      <w:pPr>
        <w:spacing w:after="0" w:line="256" w:lineRule="auto"/>
        <w:ind w:left="0" w:firstLine="0"/>
        <w:rPr>
          <w:sz w:val="22"/>
        </w:rPr>
      </w:pPr>
      <w:r>
        <w:rPr>
          <w:sz w:val="22"/>
        </w:rPr>
        <w:t xml:space="preserve"> </w:t>
      </w:r>
    </w:p>
    <w:p w:rsidR="00E2244F" w:rsidRDefault="00E2244F" w:rsidP="00E2244F">
      <w:pPr>
        <w:spacing w:after="49" w:line="256" w:lineRule="auto"/>
        <w:ind w:left="-5"/>
        <w:rPr>
          <w:sz w:val="22"/>
        </w:rPr>
      </w:pPr>
      <w:r>
        <w:rPr>
          <w:b/>
          <w:sz w:val="22"/>
        </w:rPr>
        <w:t xml:space="preserve">     </w:t>
      </w:r>
      <w:r>
        <w:rPr>
          <w:b/>
          <w:sz w:val="22"/>
        </w:rPr>
        <w:t xml:space="preserve">Next review date: </w:t>
      </w:r>
      <w:r>
        <w:rPr>
          <w:sz w:val="22"/>
        </w:rPr>
        <w:t>August 2019</w:t>
      </w:r>
    </w:p>
    <w:p w:rsidR="00B0270A" w:rsidRDefault="00B0270A" w:rsidP="00E2244F">
      <w:pPr>
        <w:spacing w:after="219" w:line="259" w:lineRule="auto"/>
        <w:ind w:left="0" w:firstLine="0"/>
      </w:pPr>
    </w:p>
    <w:p w:rsidR="00B0270A" w:rsidRPr="00E2244F" w:rsidRDefault="00E2244F">
      <w:pPr>
        <w:pStyle w:val="Heading1"/>
        <w:spacing w:after="363"/>
        <w:ind w:left="-5"/>
        <w:rPr>
          <w:sz w:val="22"/>
        </w:rPr>
      </w:pPr>
      <w:r w:rsidRPr="00E2244F">
        <w:rPr>
          <w:sz w:val="22"/>
        </w:rPr>
        <w:t xml:space="preserve">Overview </w:t>
      </w:r>
    </w:p>
    <w:p w:rsidR="00B0270A" w:rsidRPr="00E2244F" w:rsidRDefault="00E2244F">
      <w:pPr>
        <w:spacing w:after="0" w:line="385" w:lineRule="auto"/>
        <w:ind w:left="0" w:firstLine="0"/>
        <w:rPr>
          <w:sz w:val="22"/>
        </w:rPr>
      </w:pPr>
      <w:r w:rsidRPr="00E2244F">
        <w:rPr>
          <w:sz w:val="22"/>
        </w:rPr>
        <w:t>Safely managed educational visits with a clear purpose are an indispensable part of a broad and balanced curriculum. They are an opportunity to extend the learning of all students, including an enrichment of their understanding of themselves, others and th</w:t>
      </w:r>
      <w:r w:rsidRPr="00E2244F">
        <w:rPr>
          <w:sz w:val="22"/>
        </w:rPr>
        <w:t xml:space="preserve">e world around them. They can be a catalyst for improved personal performance, promote a lifetime interest and in some cases lead to professional fulfilment. Educational visits are to be encouraged. </w:t>
      </w:r>
    </w:p>
    <w:p w:rsidR="00B0270A" w:rsidRPr="00E2244F" w:rsidRDefault="00E2244F">
      <w:pPr>
        <w:spacing w:after="0" w:line="385" w:lineRule="auto"/>
        <w:ind w:left="0" w:firstLine="0"/>
        <w:rPr>
          <w:sz w:val="22"/>
        </w:rPr>
      </w:pPr>
      <w:r w:rsidRPr="00E2244F">
        <w:rPr>
          <w:sz w:val="22"/>
        </w:rPr>
        <w:t>This school recognises its duty of care and statutory re</w:t>
      </w:r>
      <w:r w:rsidRPr="00E2244F">
        <w:rPr>
          <w:sz w:val="22"/>
        </w:rPr>
        <w:t xml:space="preserve">sponsibilities for the health, safety and welfare of students, staff, volunteers, providers and members of the public in connection with educational visits for </w:t>
      </w:r>
    </w:p>
    <w:p w:rsidR="00B0270A" w:rsidRPr="00E2244F" w:rsidRDefault="00E2244F">
      <w:pPr>
        <w:spacing w:after="7"/>
        <w:ind w:left="0" w:firstLine="0"/>
        <w:rPr>
          <w:sz w:val="22"/>
        </w:rPr>
      </w:pPr>
      <w:proofErr w:type="gramStart"/>
      <w:r w:rsidRPr="00E2244F">
        <w:rPr>
          <w:sz w:val="22"/>
        </w:rPr>
        <w:t>which</w:t>
      </w:r>
      <w:proofErr w:type="gramEnd"/>
      <w:r w:rsidRPr="00E2244F">
        <w:rPr>
          <w:sz w:val="22"/>
        </w:rPr>
        <w:t xml:space="preserve"> it is accountable.  </w:t>
      </w:r>
    </w:p>
    <w:p w:rsidR="00B0270A" w:rsidRPr="00E2244F" w:rsidRDefault="00E2244F">
      <w:pPr>
        <w:spacing w:after="354" w:line="259" w:lineRule="auto"/>
        <w:ind w:left="0" w:firstLine="0"/>
        <w:rPr>
          <w:sz w:val="22"/>
        </w:rPr>
      </w:pPr>
      <w:r w:rsidRPr="00E2244F">
        <w:rPr>
          <w:sz w:val="22"/>
        </w:rPr>
        <w:t xml:space="preserve"> </w:t>
      </w:r>
    </w:p>
    <w:p w:rsidR="00B0270A" w:rsidRPr="00E2244F" w:rsidRDefault="00E2244F">
      <w:pPr>
        <w:pStyle w:val="Heading1"/>
        <w:ind w:left="-5"/>
        <w:rPr>
          <w:sz w:val="22"/>
        </w:rPr>
      </w:pPr>
      <w:r w:rsidRPr="00E2244F">
        <w:rPr>
          <w:sz w:val="22"/>
        </w:rPr>
        <w:t xml:space="preserve">Purpose </w:t>
      </w:r>
    </w:p>
    <w:tbl>
      <w:tblPr>
        <w:tblStyle w:val="TableGrid"/>
        <w:tblW w:w="9086" w:type="dxa"/>
        <w:tblInd w:w="0" w:type="dxa"/>
        <w:tblCellMar>
          <w:top w:w="26" w:type="dxa"/>
          <w:left w:w="0" w:type="dxa"/>
          <w:bottom w:w="0" w:type="dxa"/>
          <w:right w:w="0" w:type="dxa"/>
        </w:tblCellMar>
        <w:tblLook w:val="04A0" w:firstRow="1" w:lastRow="0" w:firstColumn="1" w:lastColumn="0" w:noHBand="0" w:noVBand="1"/>
      </w:tblPr>
      <w:tblGrid>
        <w:gridCol w:w="2537"/>
        <w:gridCol w:w="6549"/>
      </w:tblGrid>
      <w:tr w:rsidR="00B0270A" w:rsidRPr="00E2244F">
        <w:trPr>
          <w:trHeight w:val="433"/>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To ensure that every student </w:t>
            </w:r>
            <w:r w:rsidRPr="00E2244F">
              <w:rPr>
                <w:sz w:val="22"/>
              </w:rPr>
              <w:t xml:space="preserve">has the opportunity to benefit from educational visits  </w:t>
            </w:r>
          </w:p>
        </w:tc>
      </w:tr>
      <w:tr w:rsidR="00B0270A" w:rsidRPr="00E2244F">
        <w:trPr>
          <w:trHeight w:val="444"/>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To ensure that all visits are safe, purposeful and appropriate to meet the educational needs of students taking part  </w:t>
            </w:r>
          </w:p>
        </w:tc>
      </w:tr>
      <w:tr w:rsidR="00B0270A" w:rsidRPr="00E2244F">
        <w:trPr>
          <w:trHeight w:val="650"/>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To enable the school to identify appropriate functions, responsibilities</w:t>
            </w:r>
            <w:r w:rsidRPr="00E2244F">
              <w:rPr>
                <w:sz w:val="22"/>
              </w:rPr>
              <w:t xml:space="preserve">, training, support and monitoring for governors, staff, volunteer assistants, students and providers involved in educational visits  </w:t>
            </w:r>
          </w:p>
        </w:tc>
      </w:tr>
      <w:tr w:rsidR="00B0270A" w:rsidRPr="00E2244F">
        <w:trPr>
          <w:trHeight w:val="2417"/>
        </w:trPr>
        <w:tc>
          <w:tcPr>
            <w:tcW w:w="2537" w:type="dxa"/>
            <w:tcBorders>
              <w:top w:val="nil"/>
              <w:left w:val="nil"/>
              <w:bottom w:val="nil"/>
              <w:right w:val="nil"/>
            </w:tcBorders>
          </w:tcPr>
          <w:p w:rsidR="00B0270A" w:rsidRPr="00E2244F" w:rsidRDefault="00E2244F">
            <w:pPr>
              <w:spacing w:after="457" w:line="259" w:lineRule="auto"/>
              <w:ind w:left="0" w:right="268" w:firstLine="0"/>
              <w:jc w:val="right"/>
              <w:rPr>
                <w:sz w:val="22"/>
              </w:rPr>
            </w:pPr>
            <w:r w:rsidRPr="00E2244F">
              <w:rPr>
                <w:rFonts w:eastAsia="Segoe UI Symbol" w:cs="Segoe UI Symbol"/>
                <w:sz w:val="22"/>
              </w:rPr>
              <w:lastRenderedPageBreak/>
              <w:t></w:t>
            </w:r>
            <w:r w:rsidRPr="00E2244F">
              <w:rPr>
                <w:rFonts w:eastAsia="Arial" w:cs="Arial"/>
                <w:sz w:val="22"/>
              </w:rPr>
              <w:t xml:space="preserve"> </w:t>
            </w:r>
          </w:p>
          <w:p w:rsidR="00B0270A" w:rsidRPr="00E2244F" w:rsidRDefault="00E2244F">
            <w:pPr>
              <w:spacing w:after="327" w:line="259" w:lineRule="auto"/>
              <w:ind w:left="0" w:firstLine="0"/>
              <w:rPr>
                <w:sz w:val="22"/>
              </w:rPr>
            </w:pPr>
            <w:r w:rsidRPr="00E2244F">
              <w:rPr>
                <w:rFonts w:eastAsia="Times New Roman" w:cs="Times New Roman"/>
                <w:b/>
                <w:sz w:val="22"/>
              </w:rPr>
              <w:t xml:space="preserve"> </w:t>
            </w:r>
          </w:p>
          <w:p w:rsidR="00B0270A" w:rsidRPr="00E2244F" w:rsidRDefault="00E2244F">
            <w:pPr>
              <w:spacing w:after="355" w:line="259" w:lineRule="auto"/>
              <w:ind w:left="0" w:firstLine="0"/>
              <w:rPr>
                <w:sz w:val="22"/>
              </w:rPr>
            </w:pPr>
            <w:r w:rsidRPr="00E2244F">
              <w:rPr>
                <w:b/>
                <w:sz w:val="22"/>
              </w:rPr>
              <w:t>Key principles</w:t>
            </w:r>
            <w:r w:rsidRPr="00E2244F">
              <w:rPr>
                <w:rFonts w:eastAsia="Times New Roman" w:cs="Times New Roman"/>
                <w:sz w:val="22"/>
              </w:rPr>
              <w:t xml:space="preserve"> </w:t>
            </w:r>
          </w:p>
          <w:p w:rsidR="00B0270A" w:rsidRPr="00E2244F" w:rsidRDefault="00E2244F">
            <w:pPr>
              <w:spacing w:after="0" w:line="259" w:lineRule="auto"/>
              <w:ind w:left="0" w:firstLine="0"/>
              <w:rPr>
                <w:sz w:val="22"/>
              </w:rPr>
            </w:pPr>
            <w:r w:rsidRPr="00E2244F">
              <w:rPr>
                <w:b/>
                <w:sz w:val="22"/>
              </w:rPr>
              <w:t xml:space="preserve">Staff </w:t>
            </w:r>
          </w:p>
        </w:tc>
        <w:tc>
          <w:tcPr>
            <w:tcW w:w="6549" w:type="dxa"/>
            <w:tcBorders>
              <w:top w:val="nil"/>
              <w:left w:val="nil"/>
              <w:bottom w:val="nil"/>
              <w:right w:val="nil"/>
            </w:tcBorders>
          </w:tcPr>
          <w:p w:rsidR="00B0270A" w:rsidRPr="00E2244F" w:rsidRDefault="00E2244F">
            <w:pPr>
              <w:spacing w:after="0" w:line="259" w:lineRule="auto"/>
              <w:ind w:left="0" w:right="33" w:firstLine="0"/>
              <w:rPr>
                <w:sz w:val="22"/>
              </w:rPr>
            </w:pPr>
            <w:r w:rsidRPr="00E2244F">
              <w:rPr>
                <w:sz w:val="22"/>
              </w:rPr>
              <w:t xml:space="preserve">To ensure that whenever appropriate, further advice is sought from the LEA and from other technically competent sources. </w:t>
            </w:r>
          </w:p>
        </w:tc>
      </w:tr>
      <w:tr w:rsidR="00B0270A" w:rsidRPr="00E2244F">
        <w:trPr>
          <w:trHeight w:val="996"/>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vAlign w:val="bottom"/>
          </w:tcPr>
          <w:p w:rsidR="00B0270A" w:rsidRPr="00E2244F" w:rsidRDefault="00E2244F">
            <w:pPr>
              <w:spacing w:after="0" w:line="259" w:lineRule="auto"/>
              <w:ind w:left="0" w:right="25" w:firstLine="0"/>
              <w:rPr>
                <w:sz w:val="22"/>
              </w:rPr>
            </w:pPr>
            <w:r w:rsidRPr="00E2244F">
              <w:rPr>
                <w:sz w:val="22"/>
              </w:rPr>
              <w:t xml:space="preserve">All visits will have a clear, recorded educational purpose and will be planned sufficiently well in advance in accordance with good practice and effective planning procedures detailed in the DCC 'Policy of Safety and Guidance - Outdoor Education' 2003  </w:t>
            </w:r>
          </w:p>
        </w:tc>
      </w:tr>
      <w:tr w:rsidR="00B0270A" w:rsidRPr="00E2244F">
        <w:trPr>
          <w:trHeight w:val="444"/>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The governing body will include in its role the support of school Policy and procedures for educational visits including the reporting of visits  </w:t>
            </w:r>
          </w:p>
        </w:tc>
      </w:tr>
      <w:tr w:rsidR="00B0270A" w:rsidRPr="00E2244F">
        <w:trPr>
          <w:trHeight w:val="240"/>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The Principal will be responsible for the approval of all visits </w:t>
            </w:r>
          </w:p>
        </w:tc>
      </w:tr>
      <w:tr w:rsidR="00B0270A" w:rsidRPr="00E2244F">
        <w:trPr>
          <w:trHeight w:val="431"/>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jc w:val="both"/>
              <w:rPr>
                <w:sz w:val="22"/>
              </w:rPr>
            </w:pPr>
            <w:r w:rsidRPr="00E2244F">
              <w:rPr>
                <w:sz w:val="22"/>
              </w:rPr>
              <w:t xml:space="preserve">There will be a named and approved Group Leader (and where appropriate, deputy) on all educational visits. This group leader will be specifically </w:t>
            </w:r>
          </w:p>
        </w:tc>
      </w:tr>
    </w:tbl>
    <w:p w:rsidR="00B0270A" w:rsidRPr="00E2244F" w:rsidRDefault="00E2244F">
      <w:pPr>
        <w:ind w:left="2537" w:firstLine="0"/>
        <w:rPr>
          <w:sz w:val="22"/>
        </w:rPr>
      </w:pPr>
      <w:proofErr w:type="gramStart"/>
      <w:r w:rsidRPr="00E2244F">
        <w:rPr>
          <w:sz w:val="22"/>
        </w:rPr>
        <w:t>competent</w:t>
      </w:r>
      <w:proofErr w:type="gramEnd"/>
      <w:r w:rsidRPr="00E2244F">
        <w:rPr>
          <w:sz w:val="22"/>
        </w:rPr>
        <w:t xml:space="preserve"> for the role as detailed in the 'Policy of safety and Guidance Outdoor</w:t>
      </w:r>
      <w:r w:rsidRPr="00E2244F">
        <w:rPr>
          <w:sz w:val="22"/>
        </w:rPr>
        <w:t xml:space="preserve"> Education' 2003.  </w:t>
      </w:r>
    </w:p>
    <w:p w:rsidR="00B0270A" w:rsidRPr="00E2244F" w:rsidRDefault="00E2244F">
      <w:pPr>
        <w:numPr>
          <w:ilvl w:val="0"/>
          <w:numId w:val="1"/>
        </w:numPr>
        <w:ind w:hanging="360"/>
        <w:rPr>
          <w:sz w:val="22"/>
        </w:rPr>
      </w:pPr>
      <w:r w:rsidRPr="00E2244F">
        <w:rPr>
          <w:sz w:val="22"/>
        </w:rPr>
        <w:t>Working with the Principal as necessary, the Group Leader will be responsible for all aspects of the planning, risk assessment and organisation of the visit. The Group Leader will assume full responsibility during the visit, including ongoing risk assessme</w:t>
      </w:r>
      <w:r w:rsidRPr="00E2244F">
        <w:rPr>
          <w:sz w:val="22"/>
        </w:rPr>
        <w:t xml:space="preserve">nt  </w:t>
      </w:r>
    </w:p>
    <w:p w:rsidR="00B0270A" w:rsidRPr="00E2244F" w:rsidRDefault="00E2244F">
      <w:pPr>
        <w:numPr>
          <w:ilvl w:val="0"/>
          <w:numId w:val="1"/>
        </w:numPr>
        <w:ind w:hanging="360"/>
        <w:rPr>
          <w:sz w:val="22"/>
        </w:rPr>
      </w:pPr>
      <w:r w:rsidRPr="00E2244F">
        <w:rPr>
          <w:sz w:val="22"/>
        </w:rPr>
        <w:t xml:space="preserve">The Group Leader will ensure when purchasing goods and services that appropriate checks are made and that insurance and financial procedures have been followed  </w:t>
      </w:r>
    </w:p>
    <w:p w:rsidR="00B0270A" w:rsidRPr="00E2244F" w:rsidRDefault="00E2244F" w:rsidP="00E2244F">
      <w:pPr>
        <w:numPr>
          <w:ilvl w:val="0"/>
          <w:numId w:val="1"/>
        </w:numPr>
        <w:spacing w:after="320"/>
        <w:ind w:hanging="360"/>
        <w:rPr>
          <w:sz w:val="22"/>
        </w:rPr>
      </w:pPr>
      <w:r w:rsidRPr="00E2244F">
        <w:rPr>
          <w:sz w:val="22"/>
        </w:rPr>
        <w:t>Details of any residential visits at home or abroad or day visits involving activities of</w:t>
      </w:r>
      <w:r w:rsidRPr="00E2244F">
        <w:rPr>
          <w:sz w:val="22"/>
        </w:rPr>
        <w:t xml:space="preserve"> a hazardous nature will be submitted to the LEA for endorsement well in advance of the departure date. </w:t>
      </w:r>
      <w:bookmarkStart w:id="0" w:name="_GoBack"/>
      <w:bookmarkEnd w:id="0"/>
    </w:p>
    <w:p w:rsidR="00B0270A" w:rsidRPr="00E2244F" w:rsidRDefault="00E2244F">
      <w:pPr>
        <w:pStyle w:val="Heading1"/>
        <w:spacing w:after="418"/>
        <w:ind w:left="-5"/>
        <w:rPr>
          <w:sz w:val="22"/>
        </w:rPr>
      </w:pPr>
      <w:r w:rsidRPr="00E2244F">
        <w:rPr>
          <w:sz w:val="22"/>
        </w:rPr>
        <w:t>Parents and carers</w:t>
      </w:r>
      <w:r w:rsidRPr="00E2244F">
        <w:rPr>
          <w:rFonts w:eastAsia="Times New Roman" w:cs="Times New Roman"/>
          <w:b w:val="0"/>
          <w:sz w:val="22"/>
        </w:rPr>
        <w:t xml:space="preserve"> </w:t>
      </w:r>
    </w:p>
    <w:p w:rsidR="00B0270A" w:rsidRPr="00E2244F" w:rsidRDefault="00E2244F" w:rsidP="00E2244F">
      <w:pPr>
        <w:numPr>
          <w:ilvl w:val="0"/>
          <w:numId w:val="2"/>
        </w:numPr>
        <w:spacing w:after="0" w:line="399" w:lineRule="auto"/>
        <w:ind w:hanging="360"/>
        <w:rPr>
          <w:sz w:val="22"/>
        </w:rPr>
      </w:pPr>
      <w:r w:rsidRPr="00E2244F">
        <w:rPr>
          <w:sz w:val="22"/>
        </w:rPr>
        <w:t>Informed parental consent is required for all educational visits by young people up to the age of eighteen years unless a specifi</w:t>
      </w:r>
      <w:r>
        <w:rPr>
          <w:sz w:val="22"/>
        </w:rPr>
        <w:t xml:space="preserve">c recorded decision </w:t>
      </w:r>
      <w:r w:rsidRPr="00E2244F">
        <w:rPr>
          <w:sz w:val="22"/>
        </w:rPr>
        <w:t xml:space="preserve">to the contrary has been made by the Principal.  </w:t>
      </w:r>
    </w:p>
    <w:p w:rsidR="00B0270A" w:rsidRPr="00E2244F" w:rsidRDefault="00E2244F">
      <w:pPr>
        <w:numPr>
          <w:ilvl w:val="0"/>
          <w:numId w:val="2"/>
        </w:numPr>
        <w:ind w:hanging="360"/>
        <w:rPr>
          <w:sz w:val="22"/>
        </w:rPr>
      </w:pPr>
      <w:r w:rsidRPr="00E2244F">
        <w:rPr>
          <w:sz w:val="22"/>
        </w:rPr>
        <w:lastRenderedPageBreak/>
        <w:t xml:space="preserve">The school will provide parents and carers with information about policy and procedures relating to the safe management of educational visits  </w:t>
      </w:r>
    </w:p>
    <w:p w:rsidR="00B0270A" w:rsidRPr="00E2244F" w:rsidRDefault="00E2244F">
      <w:pPr>
        <w:numPr>
          <w:ilvl w:val="0"/>
          <w:numId w:val="2"/>
        </w:numPr>
        <w:ind w:hanging="360"/>
        <w:rPr>
          <w:sz w:val="22"/>
        </w:rPr>
      </w:pPr>
      <w:r w:rsidRPr="00E2244F">
        <w:rPr>
          <w:sz w:val="22"/>
        </w:rPr>
        <w:t>Parents and carers will be given sufficie</w:t>
      </w:r>
      <w:r w:rsidRPr="00E2244F">
        <w:rPr>
          <w:sz w:val="22"/>
        </w:rPr>
        <w:t xml:space="preserve">nt written and supplementary information about educational visits to enable them to make informed decisions and give written consent together with medical and emergency contact details  </w:t>
      </w:r>
    </w:p>
    <w:p w:rsidR="00B0270A" w:rsidRPr="00E2244F" w:rsidRDefault="00E2244F">
      <w:pPr>
        <w:numPr>
          <w:ilvl w:val="0"/>
          <w:numId w:val="2"/>
        </w:numPr>
        <w:ind w:hanging="360"/>
        <w:rPr>
          <w:sz w:val="22"/>
        </w:rPr>
      </w:pPr>
      <w:r w:rsidRPr="00E2244F">
        <w:rPr>
          <w:sz w:val="22"/>
        </w:rPr>
        <w:t xml:space="preserve">Whenever appropriate for high risk, residential and foreign visits a </w:t>
      </w:r>
      <w:r w:rsidRPr="00E2244F">
        <w:rPr>
          <w:sz w:val="22"/>
        </w:rPr>
        <w:t xml:space="preserve">briefing meeting with parents/guardians will be arranged  </w:t>
      </w:r>
    </w:p>
    <w:p w:rsidR="00B0270A" w:rsidRPr="00E2244F" w:rsidRDefault="00E2244F">
      <w:pPr>
        <w:numPr>
          <w:ilvl w:val="0"/>
          <w:numId w:val="2"/>
        </w:numPr>
        <w:spacing w:after="324"/>
        <w:ind w:hanging="360"/>
        <w:rPr>
          <w:sz w:val="22"/>
        </w:rPr>
      </w:pPr>
      <w:r w:rsidRPr="00E2244F">
        <w:rPr>
          <w:sz w:val="22"/>
        </w:rPr>
        <w:t xml:space="preserve">Expectations with regard to behaviour and codes of conduct will be explained to parents/guardians. This information will include the necessity of meeting additional costs and making collection arrangements in certain circumstances. </w:t>
      </w:r>
    </w:p>
    <w:p w:rsidR="00B0270A" w:rsidRPr="00E2244F" w:rsidRDefault="00E2244F">
      <w:pPr>
        <w:spacing w:after="327" w:line="259" w:lineRule="auto"/>
        <w:ind w:left="0" w:firstLine="0"/>
        <w:rPr>
          <w:sz w:val="22"/>
        </w:rPr>
      </w:pPr>
      <w:r w:rsidRPr="00E2244F">
        <w:rPr>
          <w:rFonts w:eastAsia="Times New Roman" w:cs="Times New Roman"/>
          <w:b/>
          <w:sz w:val="22"/>
        </w:rPr>
        <w:t xml:space="preserve"> </w:t>
      </w:r>
    </w:p>
    <w:p w:rsidR="00B0270A" w:rsidRPr="00E2244F" w:rsidRDefault="00E2244F">
      <w:pPr>
        <w:pStyle w:val="Heading1"/>
        <w:spacing w:after="313"/>
        <w:ind w:left="-5"/>
        <w:rPr>
          <w:sz w:val="22"/>
        </w:rPr>
      </w:pPr>
      <w:r w:rsidRPr="00E2244F">
        <w:rPr>
          <w:sz w:val="22"/>
        </w:rPr>
        <w:t>Students</w:t>
      </w:r>
      <w:r w:rsidRPr="00E2244F">
        <w:rPr>
          <w:rFonts w:eastAsia="Times New Roman" w:cs="Times New Roman"/>
          <w:b w:val="0"/>
          <w:sz w:val="22"/>
        </w:rPr>
        <w:t xml:space="preserve"> </w:t>
      </w:r>
    </w:p>
    <w:p w:rsidR="00B0270A" w:rsidRPr="00E2244F" w:rsidRDefault="00E2244F">
      <w:pPr>
        <w:numPr>
          <w:ilvl w:val="0"/>
          <w:numId w:val="3"/>
        </w:numPr>
        <w:ind w:hanging="360"/>
        <w:rPr>
          <w:sz w:val="22"/>
        </w:rPr>
      </w:pPr>
      <w:r w:rsidRPr="00E2244F">
        <w:rPr>
          <w:sz w:val="22"/>
        </w:rPr>
        <w:t>Wherever po</w:t>
      </w:r>
      <w:r w:rsidRPr="00E2244F">
        <w:rPr>
          <w:sz w:val="22"/>
        </w:rPr>
        <w:t xml:space="preserve">ssible, students should be involved with the planning of an educational visit, establishing codes of conduct, assessing and managing risk and evaluating their own learning, development, attitudes and behaviour  </w:t>
      </w:r>
    </w:p>
    <w:p w:rsidR="00B0270A" w:rsidRPr="00E2244F" w:rsidRDefault="00E2244F">
      <w:pPr>
        <w:numPr>
          <w:ilvl w:val="0"/>
          <w:numId w:val="3"/>
        </w:numPr>
        <w:spacing w:after="320"/>
        <w:ind w:hanging="360"/>
        <w:rPr>
          <w:sz w:val="22"/>
        </w:rPr>
      </w:pPr>
      <w:r w:rsidRPr="00E2244F">
        <w:rPr>
          <w:sz w:val="22"/>
        </w:rPr>
        <w:t xml:space="preserve">Students should be adequately briefed about </w:t>
      </w:r>
      <w:r w:rsidRPr="00E2244F">
        <w:rPr>
          <w:sz w:val="22"/>
        </w:rPr>
        <w:t xml:space="preserve">aims, expectations and codes of conduct for all educational visits. Ongoing briefings are an important element of learning and safety. </w:t>
      </w:r>
    </w:p>
    <w:p w:rsidR="00B0270A" w:rsidRPr="00E2244F" w:rsidRDefault="00E2244F">
      <w:pPr>
        <w:spacing w:after="0" w:line="259" w:lineRule="auto"/>
        <w:ind w:left="0" w:firstLine="0"/>
        <w:rPr>
          <w:sz w:val="22"/>
        </w:rPr>
      </w:pPr>
      <w:r w:rsidRPr="00E2244F">
        <w:rPr>
          <w:rFonts w:eastAsia="Times New Roman" w:cs="Times New Roman"/>
          <w:b/>
          <w:sz w:val="22"/>
        </w:rPr>
        <w:t xml:space="preserve"> </w:t>
      </w:r>
    </w:p>
    <w:sectPr w:rsidR="00B0270A" w:rsidRPr="00E2244F">
      <w:pgSz w:w="11908" w:h="16836"/>
      <w:pgMar w:top="1477" w:right="1455" w:bottom="17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AD9"/>
    <w:multiLevelType w:val="hybridMultilevel"/>
    <w:tmpl w:val="CDFCF26C"/>
    <w:lvl w:ilvl="0" w:tplc="E0AA9184">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6DAA8">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2EADFA">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021F9E">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64382">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587162">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A26A50">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EDE88">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2C8D1A">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9B4B01"/>
    <w:multiLevelType w:val="hybridMultilevel"/>
    <w:tmpl w:val="638EBBB6"/>
    <w:lvl w:ilvl="0" w:tplc="CA220CD6">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26AEE">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A02E7C">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22B236">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C4905C">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22B2E6">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CE0CFA">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64B2A">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E0D572">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920711"/>
    <w:multiLevelType w:val="hybridMultilevel"/>
    <w:tmpl w:val="76B21D08"/>
    <w:lvl w:ilvl="0" w:tplc="32507326">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AAE9B4">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96BA94">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1CE236">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2764C">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EEC55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A4D8D0">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DAF60E">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D03BF8">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0A"/>
    <w:rsid w:val="00B0270A"/>
    <w:rsid w:val="00E2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42C74-274D-458F-909E-446D88B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249" w:lineRule="auto"/>
      <w:ind w:left="370" w:hanging="370"/>
    </w:pPr>
    <w:rPr>
      <w:rFonts w:ascii="Verdana" w:eastAsia="Verdana" w:hAnsi="Verdana" w:cs="Verdana"/>
      <w:color w:val="000000"/>
      <w:sz w:val="17"/>
    </w:rPr>
  </w:style>
  <w:style w:type="paragraph" w:styleId="Heading1">
    <w:name w:val="heading 1"/>
    <w:next w:val="Normal"/>
    <w:link w:val="Heading1Char"/>
    <w:uiPriority w:val="9"/>
    <w:unhideWhenUsed/>
    <w:qFormat/>
    <w:pPr>
      <w:keepNext/>
      <w:keepLines/>
      <w:spacing w:after="29" w:line="265" w:lineRule="auto"/>
      <w:ind w:left="10" w:hanging="10"/>
      <w:outlineLvl w:val="0"/>
    </w:pPr>
    <w:rPr>
      <w:rFonts w:ascii="Verdana" w:eastAsia="Verdana" w:hAnsi="Verdana" w:cs="Verdana"/>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6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y</cp:lastModifiedBy>
  <cp:revision>2</cp:revision>
  <dcterms:created xsi:type="dcterms:W3CDTF">2019-01-22T13:18:00Z</dcterms:created>
  <dcterms:modified xsi:type="dcterms:W3CDTF">2019-01-22T13:18:00Z</dcterms:modified>
</cp:coreProperties>
</file>