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500"/>
      </w:pPr>
    </w:p>
    <w:p>
      <w:r>
        <w:rPr>
          <w:rFonts w:ascii="Arial" w:cs="Arial" w:eastAsia="Arial" w:hAnsi="Arial"/>
          <w:b/>
          <w:bCs/>
          <w:caps/>
          <w:color w:val="C87E28"/>
          <w:sz w:val="18"/>
          <w:szCs w:val="18"/>
        </w:rPr>
        <w:t xml:space="preserve">RESEARCH BRIEF</w:t>
      </w:r>
    </w:p>
    <w:p>
      <w:pPr>
        <w:spacing w:after="60"/>
      </w:pPr>
    </w:p>
    <w:p>
      <w:pPr>
        <w:spacing w:after="20" w:before="40"/>
      </w:pPr>
      <w:r>
        <w:rPr>
          <w:rFonts w:ascii="Arial" w:cs="Arial" w:eastAsia="Arial" w:hAnsi="Arial"/>
          <w:b/>
          <w:bCs/>
          <w:color w:val="1A2B4A"/>
          <w:sz w:val="44"/>
          <w:szCs w:val="44"/>
        </w:rPr>
        <w:t xml:space="preserve">Organisational Effectiveness within</w:t>
      </w:r>
    </w:p>
    <w:p>
      <w:pPr>
        <w:spacing w:after="20" w:before="40"/>
      </w:pPr>
      <w:r>
        <w:rPr>
          <w:rFonts w:ascii="Arial" w:cs="Arial" w:eastAsia="Arial" w:hAnsi="Arial"/>
          <w:b/>
          <w:bCs/>
          <w:color w:val="1A2B4A"/>
          <w:sz w:val="44"/>
          <w:szCs w:val="44"/>
        </w:rPr>
        <w:t xml:space="preserve">Australian Large Multi-Site</w:t>
      </w:r>
    </w:p>
    <w:p>
      <w:pPr>
        <w:spacing w:after="20" w:before="40"/>
      </w:pPr>
      <w:r>
        <w:rPr>
          <w:rFonts w:ascii="Arial" w:cs="Arial" w:eastAsia="Arial" w:hAnsi="Arial"/>
          <w:b/>
          <w:bCs/>
          <w:color w:val="1A2B4A"/>
          <w:sz w:val="44"/>
          <w:szCs w:val="44"/>
        </w:rPr>
        <w:t xml:space="preserve">Asset-Intensive Organisations</w:t>
      </w:r>
    </w:p>
    <w:p>
      <w:pPr>
        <w:spacing w:after="80"/>
      </w:pPr>
    </w:p>
    <w:p>
      <w:pPr>
        <w:pBdr>
          <w:bottom w:val="single" w:color="1A2B4A" w:sz="14" w:space="1"/>
        </w:pBdr>
        <w:spacing w:after="60"/>
      </w:pPr>
    </w:p>
    <w:p>
      <w:pPr>
        <w:spacing w:after="60"/>
      </w:pPr>
    </w:p>
    <w:p>
      <w:pPr>
        <w:spacing w:after="60"/>
      </w:pPr>
      <w:r>
        <w:rPr>
          <w:rFonts w:ascii="Arial" w:cs="Arial" w:eastAsia="Arial" w:hAnsi="Arial"/>
          <w:color w:val="555555"/>
          <w:sz w:val="20"/>
          <w:szCs w:val="20"/>
        </w:rPr>
        <w:t xml:space="preserve">Prepared by  </w:t>
      </w:r>
      <w:r>
        <w:rPr>
          <w:rFonts w:ascii="Arial" w:cs="Arial" w:eastAsia="Arial" w:hAnsi="Arial"/>
          <w:b/>
          <w:bCs/>
          <w:color w:val="1A2B4A"/>
          <w:sz w:val="20"/>
          <w:szCs w:val="20"/>
        </w:rPr>
        <w:t xml:space="preserve">SEAMPAS Pty Ltd</w:t>
      </w:r>
    </w:p>
    <w:p>
      <w:pPr>
        <w:spacing w:after="60" w:before="0"/>
      </w:pPr>
      <w:r>
        <w:rPr>
          <w:rFonts w:ascii="Arial" w:cs="Arial" w:eastAsia="Arial" w:hAnsi="Arial"/>
          <w:color w:val="555555"/>
          <w:sz w:val="20"/>
          <w:szCs w:val="20"/>
        </w:rPr>
        <w:t xml:space="preserve">June 2026  |  Roleystone, Western Australia</w:t>
      </w:r>
    </w:p>
    <w:p>
      <w:pPr>
        <w:spacing w:after="60" w:before="0"/>
      </w:pPr>
      <w:r>
        <w:rPr>
          <w:rFonts w:ascii="Arial" w:cs="Arial" w:eastAsia="Arial" w:hAnsi="Arial"/>
          <w:color w:val="C87E28"/>
          <w:sz w:val="20"/>
          <w:szCs w:val="20"/>
        </w:rPr>
        <w:t xml:space="preserve">john@seampas.com  |  seampas.com</w:t>
      </w:r>
    </w:p>
    <w:p>
      <w:pPr>
        <w:spacing w:after="400"/>
      </w:pPr>
    </w:p>
    <w:p>
      <w:pPr>
        <w:pBdr>
          <w:bottom w:val="single" w:color="C87E28" w:sz="8" w:space="1"/>
        </w:pBdr>
        <w:spacing w:after="100"/>
      </w:pPr>
    </w:p>
    <w:p>
      <w:pPr>
        <w:pStyle w:val="Heading1"/>
        <w:spacing w:after="120" w:before="200"/>
      </w:pPr>
      <w:r>
        <w:rPr>
          <w:rFonts w:ascii="Arial" w:cs="Arial" w:eastAsia="Arial" w:hAnsi="Arial"/>
          <w:b/>
          <w:bCs/>
          <w:color w:val="1A2B4A"/>
          <w:sz w:val="28"/>
          <w:szCs w:val="28"/>
        </w:rPr>
        <w:t xml:space="preserve">Executive Summary</w:t>
      </w:r>
    </w:p>
    <w:p>
      <w:pPr>
        <w:spacing w:after="100" w:before="60"/>
      </w:pPr>
      <w:r>
        <w:rPr>
          <w:rFonts w:ascii="Arial" w:cs="Arial" w:eastAsia="Arial" w:hAnsi="Arial"/>
          <w:color w:val="2D2D2D"/>
          <w:sz w:val="20"/>
          <w:szCs w:val="20"/>
        </w:rPr>
        <w:t xml:space="preserve">This brief compiles verified, source-confirmed statistical evidence, published research, and public domain data pertinent to organisational effectiveness in Australian large, multi-site, asset-intensive organisations. All sources have been accessed and confirmed as at June 2026. Full reference links are provided in the Appendix.</w:t>
      </w:r>
    </w:p>
    <w:p>
      <w:pPr>
        <w:spacing w:after="100" w:before="60"/>
      </w:pPr>
      <w:r>
        <w:rPr>
          <w:rFonts w:ascii="Arial" w:cs="Arial" w:eastAsia="Arial" w:hAnsi="Arial"/>
          <w:color w:val="2D2D2D"/>
          <w:sz w:val="20"/>
          <w:szCs w:val="20"/>
        </w:rPr>
        <w:t xml:space="preserve">The sectors of primary relevance include mining and minerals processing, utilities, heavy rail, oil and gas, and public infrastructure. The evidence draws on global surveys of business leaders, Australian government productivity and skills data, ISO 55000 series standards, and industry-specific maintenance management research — all published within the past five years.</w:t>
      </w:r>
    </w:p>
    <w:p>
      <w:pPr>
        <w:spacing w:after="100" w:before="60"/>
      </w:pPr>
      <w:r>
        <w:rPr>
          <w:rFonts w:ascii="Arial" w:cs="Arial" w:eastAsia="Arial" w:hAnsi="Arial"/>
          <w:color w:val="2D2D2D"/>
          <w:sz w:val="20"/>
          <w:szCs w:val="20"/>
        </w:rPr>
        <w:t xml:space="preserve">Collectively, these sources establish a compelling case that the primary constraint on organisational effectiveness in asset-intensive industries is not technology, strategy, or capital. It is how organisations are designed, led, and operated across multiple geographically distributed sites.</w:t>
      </w:r>
    </w:p>
    <w:p>
      <w:pPr>
        <w:spacing w:after="100"/>
      </w:pPr>
    </w:p>
    <w:p>
      <w:pPr>
        <w:pBdr>
          <w:bottom w:val="single" w:color="C87E28" w:sz="8" w:space="1"/>
        </w:pBdr>
        <w:spacing w:after="100"/>
      </w:pPr>
    </w:p>
    <w:p>
      <w:pPr>
        <w:pStyle w:val="Heading1"/>
        <w:spacing w:after="120" w:before="200"/>
      </w:pPr>
      <w:r>
        <w:rPr>
          <w:rFonts w:ascii="Arial" w:cs="Arial" w:eastAsia="Arial" w:hAnsi="Arial"/>
          <w:b/>
          <w:bCs/>
          <w:color w:val="1A2B4A"/>
          <w:sz w:val="28"/>
          <w:szCs w:val="28"/>
        </w:rPr>
        <w:t xml:space="preserve">1.  Complexity and Inefficiency at Scale</w:t>
      </w:r>
    </w:p>
    <w:p>
      <w:pPr>
        <w:spacing w:after="100" w:before="60"/>
      </w:pPr>
      <w:r>
        <w:rPr>
          <w:rFonts w:ascii="Arial" w:cs="Arial" w:eastAsia="Arial" w:hAnsi="Arial"/>
          <w:color w:val="2D2D2D"/>
          <w:sz w:val="20"/>
          <w:szCs w:val="20"/>
        </w:rPr>
        <w:t xml:space="preserve">The central challenge facing large, multi-site, asset-intensive organisations is extensively documented. McKinsey's inaugural State of Organizations 2023 report — drawing on a survey of more than 2,500 business leaders across 16 industries — found that two-thirds see their organisations as overly complex and inefficient, while only about half say their organisations are well prepared to anticipate and react to external shocks.</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500"/>
        <w:gridCol w:w="2526"/>
      </w:tblGrid>
      <w:tr>
        <w:tc>
          <w:tcPr>
            <w:tcW w:type="dxa" w:w="6500"/>
            <w:tcBorders>
              <w:top w:val="single" w:color="CCCCCC" w:sz="1"/>
              <w:left w:val="single" w:color="CCCCCC" w:sz="1"/>
              <w:bottom w:val="single" w:color="CCCCCC" w:sz="1"/>
              <w:right w:val="single" w:color="CCCCCC" w:sz="1"/>
            </w:tcBorders>
            <w:shd w:fill="F2F4F7" w:val="clear"/>
            <w:tcMar>
              <w:top w:type="dxa" w:w="120"/>
              <w:left w:type="dxa" w:w="140"/>
              <w:bottom w:type="dxa" w:w="120"/>
              <w:right w:type="dxa" w:w="100"/>
            </w:tcMar>
          </w:tcPr>
          <w:p>
            <w:r>
              <w:rPr>
                <w:rFonts w:ascii="Arial" w:cs="Arial" w:eastAsia="Arial" w:hAnsi="Arial"/>
                <w:b/>
                <w:bCs/>
                <w:color w:val="1A2B4A"/>
                <w:sz w:val="20"/>
                <w:szCs w:val="20"/>
              </w:rPr>
              <w:t xml:space="preserve">Two in five business leaders globally cite overly complex organisational structure as a root cause of inefficiency — paired with unclear roles and responsibilities leading to confusion, slow decision-making, and duplication of effort.</w:t>
            </w:r>
          </w:p>
        </w:tc>
        <w:tc>
          <w:tcPr>
            <w:tcW w:type="dxa" w:w="2526"/>
            <w:tcBorders>
              <w:top w:val="single" w:color="CCCCCC" w:sz="1"/>
              <w:left w:val="single" w:color="CCCCCC" w:sz="1"/>
              <w:bottom w:val="single" w:color="CCCCCC" w:sz="1"/>
              <w:right w:val="single" w:color="CCCCCC" w:sz="1"/>
            </w:tcBorders>
            <w:shd w:fill="E3EAF4" w:val="clear"/>
            <w:tcMar>
              <w:top w:type="dxa" w:w="120"/>
              <w:left w:type="dxa" w:w="120"/>
              <w:bottom w:type="dxa" w:w="120"/>
              <w:right w:type="dxa" w:w="100"/>
            </w:tcMar>
            <w:vAlign w:val="center"/>
          </w:tcPr>
          <w:p>
            <w:pPr>
              <w:jc w:val="center"/>
            </w:pPr>
            <w:r>
              <w:rPr>
                <w:rFonts w:ascii="Arial" w:cs="Arial" w:eastAsia="Arial" w:hAnsi="Arial"/>
                <w:i/>
                <w:iCs/>
                <w:color w:val="555555"/>
                <w:sz w:val="16"/>
                <w:szCs w:val="16"/>
              </w:rPr>
              <w:t xml:space="preserve">McKinsey, State of Organizations 2023</w:t>
            </w:r>
          </w:p>
        </w:tc>
      </w:tr>
    </w:tbl>
    <w:p>
      <w:pPr>
        <w:spacing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500"/>
        <w:gridCol w:w="2526"/>
      </w:tblGrid>
      <w:tr>
        <w:tc>
          <w:tcPr>
            <w:tcW w:type="dxa" w:w="6500"/>
            <w:tcBorders>
              <w:top w:val="single" w:color="CCCCCC" w:sz="1"/>
              <w:left w:val="single" w:color="CCCCCC" w:sz="1"/>
              <w:bottom w:val="single" w:color="CCCCCC" w:sz="1"/>
              <w:right w:val="single" w:color="CCCCCC" w:sz="1"/>
            </w:tcBorders>
            <w:shd w:fill="F2F4F7" w:val="clear"/>
            <w:tcMar>
              <w:top w:type="dxa" w:w="120"/>
              <w:left w:type="dxa" w:w="140"/>
              <w:bottom w:type="dxa" w:w="120"/>
              <w:right w:type="dxa" w:w="100"/>
            </w:tcMar>
          </w:tcPr>
          <w:p>
            <w:r>
              <w:rPr>
                <w:rFonts w:ascii="Arial" w:cs="Arial" w:eastAsia="Arial" w:hAnsi="Arial"/>
                <w:b/>
                <w:bCs/>
                <w:color w:val="1A2B4A"/>
                <w:sz w:val="20"/>
                <w:szCs w:val="20"/>
              </w:rPr>
              <w:t xml:space="preserve">20 to 30 percent of critical positions in many organisations are not occupied by the most suitable candidates. The highest performers can be up to 800% more productive than average counterparts in the same role.</w:t>
            </w:r>
          </w:p>
        </w:tc>
        <w:tc>
          <w:tcPr>
            <w:tcW w:type="dxa" w:w="2526"/>
            <w:tcBorders>
              <w:top w:val="single" w:color="CCCCCC" w:sz="1"/>
              <w:left w:val="single" w:color="CCCCCC" w:sz="1"/>
              <w:bottom w:val="single" w:color="CCCCCC" w:sz="1"/>
              <w:right w:val="single" w:color="CCCCCC" w:sz="1"/>
            </w:tcBorders>
            <w:shd w:fill="E3EAF4" w:val="clear"/>
            <w:tcMar>
              <w:top w:type="dxa" w:w="120"/>
              <w:left w:type="dxa" w:w="120"/>
              <w:bottom w:type="dxa" w:w="120"/>
              <w:right w:type="dxa" w:w="100"/>
            </w:tcMar>
            <w:vAlign w:val="center"/>
          </w:tcPr>
          <w:p>
            <w:pPr>
              <w:jc w:val="center"/>
            </w:pPr>
            <w:r>
              <w:rPr>
                <w:rFonts w:ascii="Arial" w:cs="Arial" w:eastAsia="Arial" w:hAnsi="Arial"/>
                <w:i/>
                <w:iCs/>
                <w:color w:val="555555"/>
                <w:sz w:val="16"/>
                <w:szCs w:val="16"/>
              </w:rPr>
              <w:t xml:space="preserve">McKinsey, State of Organizations 2023</w:t>
            </w:r>
          </w:p>
        </w:tc>
      </w:tr>
    </w:tbl>
    <w:p>
      <w:pPr>
        <w:spacing w:after="100"/>
      </w:pPr>
    </w:p>
    <w:p>
      <w:pPr>
        <w:spacing w:after="100" w:before="60"/>
      </w:pPr>
      <w:r>
        <w:rPr>
          <w:rFonts w:ascii="Arial" w:cs="Arial" w:eastAsia="Arial" w:hAnsi="Arial"/>
          <w:color w:val="2D2D2D"/>
          <w:sz w:val="20"/>
          <w:szCs w:val="20"/>
        </w:rPr>
        <w:t xml:space="preserve">The report identifies ten organisational shifts businesses must address, including a return of efficiency to the top of the corporate agenda. Key diagnostic questions include: In what ways are organisational structure and spans of control creating inefficiencies? How are unclear roles and responsibilities slowing decision-making and generating duplication of work?</w:t>
      </w:r>
    </w:p>
    <w:p>
      <w:pPr>
        <w:spacing w:after="80"/>
      </w:pPr>
    </w:p>
    <w:p>
      <w:pPr>
        <w:pBdr>
          <w:bottom w:val="single" w:color="C87E28" w:sz="8" w:space="1"/>
        </w:pBdr>
        <w:spacing w:after="100"/>
      </w:pPr>
    </w:p>
    <w:p>
      <w:pPr>
        <w:pStyle w:val="Heading1"/>
        <w:spacing w:after="120" w:before="200"/>
      </w:pPr>
      <w:r>
        <w:rPr>
          <w:rFonts w:ascii="Arial" w:cs="Arial" w:eastAsia="Arial" w:hAnsi="Arial"/>
          <w:b/>
          <w:bCs/>
          <w:color w:val="1A2B4A"/>
          <w:sz w:val="28"/>
          <w:szCs w:val="28"/>
        </w:rPr>
        <w:t xml:space="preserve">2.  Australia's Productivity Backdrop</w:t>
      </w:r>
    </w:p>
    <w:p>
      <w:pPr>
        <w:spacing w:after="100" w:before="60"/>
      </w:pPr>
      <w:r>
        <w:rPr>
          <w:rFonts w:ascii="Arial" w:cs="Arial" w:eastAsia="Arial" w:hAnsi="Arial"/>
          <w:color w:val="2D2D2D"/>
          <w:sz w:val="20"/>
          <w:szCs w:val="20"/>
        </w:rPr>
        <w:t xml:space="preserve">The Australian economic context frames these organisational challenges sharply. The Productivity Commission's Annual Productivity Bulletin 2024 reported that labour productivity fell sharply in 2022-23 as a record-breaking increase in hours worked failed to generate a proportional increase in economic output.</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500"/>
        <w:gridCol w:w="2526"/>
      </w:tblGrid>
      <w:tr>
        <w:tc>
          <w:tcPr>
            <w:tcW w:type="dxa" w:w="6500"/>
            <w:tcBorders>
              <w:top w:val="single" w:color="CCCCCC" w:sz="1"/>
              <w:left w:val="single" w:color="CCCCCC" w:sz="1"/>
              <w:bottom w:val="single" w:color="CCCCCC" w:sz="1"/>
              <w:right w:val="single" w:color="CCCCCC" w:sz="1"/>
            </w:tcBorders>
            <w:shd w:fill="F2F4F7" w:val="clear"/>
            <w:tcMar>
              <w:top w:type="dxa" w:w="120"/>
              <w:left w:type="dxa" w:w="140"/>
              <w:bottom w:type="dxa" w:w="120"/>
              <w:right w:type="dxa" w:w="100"/>
            </w:tcMar>
          </w:tcPr>
          <w:p>
            <w:r>
              <w:rPr>
                <w:rFonts w:ascii="Arial" w:cs="Arial" w:eastAsia="Arial" w:hAnsi="Arial"/>
                <w:b/>
                <w:bCs/>
                <w:color w:val="1A2B4A"/>
                <w:sz w:val="20"/>
                <w:szCs w:val="20"/>
              </w:rPr>
              <w:t xml:space="preserve">Labour productivity fell sharply in 2022-23 as a historically large increase in hours worked outpaced output growth — the pandemic productivity bubble had definitively burst.</w:t>
            </w:r>
          </w:p>
        </w:tc>
        <w:tc>
          <w:tcPr>
            <w:tcW w:type="dxa" w:w="2526"/>
            <w:tcBorders>
              <w:top w:val="single" w:color="CCCCCC" w:sz="1"/>
              <w:left w:val="single" w:color="CCCCCC" w:sz="1"/>
              <w:bottom w:val="single" w:color="CCCCCC" w:sz="1"/>
              <w:right w:val="single" w:color="CCCCCC" w:sz="1"/>
            </w:tcBorders>
            <w:shd w:fill="E3EAF4" w:val="clear"/>
            <w:tcMar>
              <w:top w:type="dxa" w:w="120"/>
              <w:left w:type="dxa" w:w="120"/>
              <w:bottom w:type="dxa" w:w="120"/>
              <w:right w:type="dxa" w:w="100"/>
            </w:tcMar>
            <w:vAlign w:val="center"/>
          </w:tcPr>
          <w:p>
            <w:pPr>
              <w:jc w:val="center"/>
            </w:pPr>
            <w:r>
              <w:rPr>
                <w:rFonts w:ascii="Arial" w:cs="Arial" w:eastAsia="Arial" w:hAnsi="Arial"/>
                <w:i/>
                <w:iCs/>
                <w:color w:val="555555"/>
                <w:sz w:val="16"/>
                <w:szCs w:val="16"/>
              </w:rPr>
              <w:t xml:space="preserve">Productivity Commission Annual Bulletin, 2024</w:t>
            </w:r>
          </w:p>
        </w:tc>
      </w:tr>
    </w:tbl>
    <w:p>
      <w:pPr>
        <w:spacing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500"/>
        <w:gridCol w:w="2526"/>
      </w:tblGrid>
      <w:tr>
        <w:tc>
          <w:tcPr>
            <w:tcW w:type="dxa" w:w="6500"/>
            <w:tcBorders>
              <w:top w:val="single" w:color="CCCCCC" w:sz="1"/>
              <w:left w:val="single" w:color="CCCCCC" w:sz="1"/>
              <w:bottom w:val="single" w:color="CCCCCC" w:sz="1"/>
              <w:right w:val="single" w:color="CCCCCC" w:sz="1"/>
            </w:tcBorders>
            <w:shd w:fill="F2F4F7" w:val="clear"/>
            <w:tcMar>
              <w:top w:type="dxa" w:w="120"/>
              <w:left w:type="dxa" w:w="140"/>
              <w:bottom w:type="dxa" w:w="120"/>
              <w:right w:type="dxa" w:w="100"/>
            </w:tcMar>
          </w:tcPr>
          <w:p>
            <w:r>
              <w:rPr>
                <w:rFonts w:ascii="Arial" w:cs="Arial" w:eastAsia="Arial" w:hAnsi="Arial"/>
                <w:b/>
                <w:bCs/>
                <w:color w:val="1A2B4A"/>
                <w:sz w:val="20"/>
                <w:szCs w:val="20"/>
              </w:rPr>
              <w:t xml:space="preserve">Australia's multifactor productivity declined 0.5% in 2024-25, falling below the 20-year average. Market sector gross value added grew only 0.9% — the second slowest growth since the time series commenced in 1994-95.</w:t>
            </w:r>
          </w:p>
        </w:tc>
        <w:tc>
          <w:tcPr>
            <w:tcW w:type="dxa" w:w="2526"/>
            <w:tcBorders>
              <w:top w:val="single" w:color="CCCCCC" w:sz="1"/>
              <w:left w:val="single" w:color="CCCCCC" w:sz="1"/>
              <w:bottom w:val="single" w:color="CCCCCC" w:sz="1"/>
              <w:right w:val="single" w:color="CCCCCC" w:sz="1"/>
            </w:tcBorders>
            <w:shd w:fill="E3EAF4" w:val="clear"/>
            <w:tcMar>
              <w:top w:type="dxa" w:w="120"/>
              <w:left w:type="dxa" w:w="120"/>
              <w:bottom w:type="dxa" w:w="120"/>
              <w:right w:type="dxa" w:w="100"/>
            </w:tcMar>
            <w:vAlign w:val="center"/>
          </w:tcPr>
          <w:p>
            <w:pPr>
              <w:jc w:val="center"/>
            </w:pPr>
            <w:r>
              <w:rPr>
                <w:rFonts w:ascii="Arial" w:cs="Arial" w:eastAsia="Arial" w:hAnsi="Arial"/>
                <w:i/>
                <w:iCs/>
                <w:color w:val="555555"/>
                <w:sz w:val="16"/>
                <w:szCs w:val="16"/>
              </w:rPr>
              <w:t xml:space="preserve">ABS Estimates of Industry Multifactor Productivity, 2025</w:t>
            </w:r>
          </w:p>
        </w:tc>
      </w:tr>
    </w:tbl>
    <w:p>
      <w:pPr>
        <w:spacing w:after="100"/>
      </w:pPr>
    </w:p>
    <w:p>
      <w:pPr>
        <w:spacing w:after="100" w:before="60"/>
      </w:pPr>
      <w:r>
        <w:rPr>
          <w:rFonts w:ascii="Arial" w:cs="Arial" w:eastAsia="Arial" w:hAnsi="Arial"/>
          <w:color w:val="2D2D2D"/>
          <w:sz w:val="20"/>
          <w:szCs w:val="20"/>
        </w:rPr>
        <w:t xml:space="preserve">The Deputy Chair of the Productivity Commission stated: 'Productivity growth is about working smarter, not working harder or longer. Sustainable, long-term wage growth can only be realised by securing productivity gains.'</w:t>
      </w:r>
    </w:p>
    <w:p>
      <w:pPr>
        <w:spacing w:after="100" w:before="60"/>
      </w:pPr>
      <w:r>
        <w:rPr>
          <w:rFonts w:ascii="Arial" w:cs="Arial" w:eastAsia="Arial" w:hAnsi="Arial"/>
          <w:color w:val="2D2D2D"/>
          <w:sz w:val="20"/>
          <w:szCs w:val="20"/>
        </w:rPr>
        <w:t xml:space="preserve">The infrastructure pipeline adds urgency. Australia's Major Public Infrastructure Pipeline grew 14% to $242 billion for 2024-25 to 2028-29 — its highest level since Infrastructure Australia began tracking market-wide investment. The industry is currently short of 141,000 workers needed to deliver it.</w:t>
      </w:r>
    </w:p>
    <w:p>
      <w:pPr>
        <w:spacing w:after="80"/>
      </w:pPr>
    </w:p>
    <w:p>
      <w:pPr>
        <w:pBdr>
          <w:bottom w:val="single" w:color="C87E28" w:sz="8" w:space="1"/>
        </w:pBdr>
        <w:spacing w:after="100"/>
      </w:pPr>
    </w:p>
    <w:p>
      <w:pPr>
        <w:pStyle w:val="Heading1"/>
        <w:spacing w:after="120" w:before="200"/>
      </w:pPr>
      <w:r>
        <w:rPr>
          <w:rFonts w:ascii="Arial" w:cs="Arial" w:eastAsia="Arial" w:hAnsi="Arial"/>
          <w:b/>
          <w:bCs/>
          <w:color w:val="1A2B4A"/>
          <w:sz w:val="28"/>
          <w:szCs w:val="28"/>
        </w:rPr>
        <w:t xml:space="preserve">3.  The Australian Mining Sector: Skills, Scale, and Organisational Stress</w:t>
      </w:r>
    </w:p>
    <w:p>
      <w:pPr>
        <w:spacing w:after="100" w:before="60"/>
      </w:pPr>
      <w:r>
        <w:rPr>
          <w:rFonts w:ascii="Arial" w:cs="Arial" w:eastAsia="Arial" w:hAnsi="Arial"/>
          <w:color w:val="2D2D2D"/>
          <w:sz w:val="20"/>
          <w:szCs w:val="20"/>
        </w:rPr>
        <w:t xml:space="preserve">Australian mining and resources provides a particularly stark case study in the organisational consequences of operating at multi-site scale. With 300,000 workers, an average salary of approximately $158,000 per year, and 94% full-time employment, the sector's workforce profile is strong — but organisational capability remains under acute stress.</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500"/>
        <w:gridCol w:w="2526"/>
      </w:tblGrid>
      <w:tr>
        <w:tc>
          <w:tcPr>
            <w:tcW w:type="dxa" w:w="6500"/>
            <w:tcBorders>
              <w:top w:val="single" w:color="CCCCCC" w:sz="1"/>
              <w:left w:val="single" w:color="CCCCCC" w:sz="1"/>
              <w:bottom w:val="single" w:color="CCCCCC" w:sz="1"/>
              <w:right w:val="single" w:color="CCCCCC" w:sz="1"/>
            </w:tcBorders>
            <w:shd w:fill="F2F4F7" w:val="clear"/>
            <w:tcMar>
              <w:top w:type="dxa" w:w="120"/>
              <w:left w:type="dxa" w:w="140"/>
              <w:bottom w:type="dxa" w:w="120"/>
              <w:right w:type="dxa" w:w="100"/>
            </w:tcMar>
          </w:tcPr>
          <w:p>
            <w:r>
              <w:rPr>
                <w:rFonts w:ascii="Arial" w:cs="Arial" w:eastAsia="Arial" w:hAnsi="Arial"/>
                <w:b/>
                <w:bCs/>
                <w:color w:val="1A2B4A"/>
                <w:sz w:val="20"/>
                <w:szCs w:val="20"/>
              </w:rPr>
              <w:t xml:space="preserve">Mining industry skills shortage rose from 34% in 2021 to 63% in 2022, making mining the second most acutely skills-short industry in Australia from 2022 to 2024. Mining Engineer fill rates were just 42% in 2021 — sixth lowest across all occupations.</w:t>
            </w:r>
          </w:p>
        </w:tc>
        <w:tc>
          <w:tcPr>
            <w:tcW w:type="dxa" w:w="2526"/>
            <w:tcBorders>
              <w:top w:val="single" w:color="CCCCCC" w:sz="1"/>
              <w:left w:val="single" w:color="CCCCCC" w:sz="1"/>
              <w:bottom w:val="single" w:color="CCCCCC" w:sz="1"/>
              <w:right w:val="single" w:color="CCCCCC" w:sz="1"/>
            </w:tcBorders>
            <w:shd w:fill="E3EAF4" w:val="clear"/>
            <w:tcMar>
              <w:top w:type="dxa" w:w="120"/>
              <w:left w:type="dxa" w:w="120"/>
              <w:bottom w:type="dxa" w:w="120"/>
              <w:right w:type="dxa" w:w="100"/>
            </w:tcMar>
            <w:vAlign w:val="center"/>
          </w:tcPr>
          <w:p>
            <w:pPr>
              <w:jc w:val="center"/>
            </w:pPr>
            <w:r>
              <w:rPr>
                <w:rFonts w:ascii="Arial" w:cs="Arial" w:eastAsia="Arial" w:hAnsi="Arial"/>
                <w:i/>
                <w:iCs/>
                <w:color w:val="555555"/>
                <w:sz w:val="16"/>
                <w:szCs w:val="16"/>
              </w:rPr>
              <w:t xml:space="preserve">AUSMASA Mining Research Bulletin, September 2025</w:t>
            </w:r>
          </w:p>
        </w:tc>
      </w:tr>
    </w:tbl>
    <w:p>
      <w:pPr>
        <w:spacing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500"/>
        <w:gridCol w:w="2526"/>
      </w:tblGrid>
      <w:tr>
        <w:tc>
          <w:tcPr>
            <w:tcW w:type="dxa" w:w="6500"/>
            <w:tcBorders>
              <w:top w:val="single" w:color="CCCCCC" w:sz="1"/>
              <w:left w:val="single" w:color="CCCCCC" w:sz="1"/>
              <w:bottom w:val="single" w:color="CCCCCC" w:sz="1"/>
              <w:right w:val="single" w:color="CCCCCC" w:sz="1"/>
            </w:tcBorders>
            <w:shd w:fill="F2F4F7" w:val="clear"/>
            <w:tcMar>
              <w:top w:type="dxa" w:w="120"/>
              <w:left w:type="dxa" w:w="140"/>
              <w:bottom w:type="dxa" w:w="120"/>
              <w:right w:type="dxa" w:w="100"/>
            </w:tcMar>
          </w:tcPr>
          <w:p>
            <w:r>
              <w:rPr>
                <w:rFonts w:ascii="Arial" w:cs="Arial" w:eastAsia="Arial" w:hAnsi="Arial"/>
                <w:b/>
                <w:bCs/>
                <w:color w:val="1A2B4A"/>
                <w:sz w:val="20"/>
                <w:szCs w:val="20"/>
              </w:rPr>
              <w:t xml:space="preserve">11 of the mining industry's top 20 occupations (by employee numbers) are listed as experiencing a shortage on the national Skills Priority List. 52% of recruiting employers still report difficulties filling roles.</w:t>
            </w:r>
          </w:p>
        </w:tc>
        <w:tc>
          <w:tcPr>
            <w:tcW w:type="dxa" w:w="2526"/>
            <w:tcBorders>
              <w:top w:val="single" w:color="CCCCCC" w:sz="1"/>
              <w:left w:val="single" w:color="CCCCCC" w:sz="1"/>
              <w:bottom w:val="single" w:color="CCCCCC" w:sz="1"/>
              <w:right w:val="single" w:color="CCCCCC" w:sz="1"/>
            </w:tcBorders>
            <w:shd w:fill="E3EAF4" w:val="clear"/>
            <w:tcMar>
              <w:top w:type="dxa" w:w="120"/>
              <w:left w:type="dxa" w:w="120"/>
              <w:bottom w:type="dxa" w:w="120"/>
              <w:right w:type="dxa" w:w="100"/>
            </w:tcMar>
            <w:vAlign w:val="center"/>
          </w:tcPr>
          <w:p>
            <w:pPr>
              <w:jc w:val="center"/>
            </w:pPr>
            <w:r>
              <w:rPr>
                <w:rFonts w:ascii="Arial" w:cs="Arial" w:eastAsia="Arial" w:hAnsi="Arial"/>
                <w:i/>
                <w:iCs/>
                <w:color w:val="555555"/>
                <w:sz w:val="16"/>
                <w:szCs w:val="16"/>
              </w:rPr>
              <w:t xml:space="preserve">AUSMASA Mining Industry Workforce Plan 2024</w:t>
            </w:r>
          </w:p>
        </w:tc>
      </w:tr>
    </w:tbl>
    <w:p>
      <w:pPr>
        <w:spacing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500"/>
        <w:gridCol w:w="2526"/>
      </w:tblGrid>
      <w:tr>
        <w:tc>
          <w:tcPr>
            <w:tcW w:type="dxa" w:w="6500"/>
            <w:tcBorders>
              <w:top w:val="single" w:color="CCCCCC" w:sz="1"/>
              <w:left w:val="single" w:color="CCCCCC" w:sz="1"/>
              <w:bottom w:val="single" w:color="CCCCCC" w:sz="1"/>
              <w:right w:val="single" w:color="CCCCCC" w:sz="1"/>
            </w:tcBorders>
            <w:shd w:fill="F2F4F7" w:val="clear"/>
            <w:tcMar>
              <w:top w:type="dxa" w:w="120"/>
              <w:left w:type="dxa" w:w="140"/>
              <w:bottom w:type="dxa" w:w="120"/>
              <w:right w:type="dxa" w:w="100"/>
            </w:tcMar>
          </w:tcPr>
          <w:p>
            <w:r>
              <w:rPr>
                <w:rFonts w:ascii="Arial" w:cs="Arial" w:eastAsia="Arial" w:hAnsi="Arial"/>
                <w:b/>
                <w:bCs/>
                <w:color w:val="1A2B4A"/>
                <w:sz w:val="20"/>
                <w:szCs w:val="20"/>
              </w:rPr>
              <w:t xml:space="preserve">The Australian government estimates the mining industry will require an additional 56,000 workers by 2033, on top of thousands of existing vacancies. Western Australia is expected to account for 40% of national resource workforce growth over the next five years.</w:t>
            </w:r>
          </w:p>
        </w:tc>
        <w:tc>
          <w:tcPr>
            <w:tcW w:type="dxa" w:w="2526"/>
            <w:tcBorders>
              <w:top w:val="single" w:color="CCCCCC" w:sz="1"/>
              <w:left w:val="single" w:color="CCCCCC" w:sz="1"/>
              <w:bottom w:val="single" w:color="CCCCCC" w:sz="1"/>
              <w:right w:val="single" w:color="CCCCCC" w:sz="1"/>
            </w:tcBorders>
            <w:shd w:fill="E3EAF4" w:val="clear"/>
            <w:tcMar>
              <w:top w:type="dxa" w:w="120"/>
              <w:left w:type="dxa" w:w="120"/>
              <w:bottom w:type="dxa" w:w="120"/>
              <w:right w:type="dxa" w:w="100"/>
            </w:tcMar>
            <w:vAlign w:val="center"/>
          </w:tcPr>
          <w:p>
            <w:pPr>
              <w:jc w:val="center"/>
            </w:pPr>
            <w:r>
              <w:rPr>
                <w:rFonts w:ascii="Arial" w:cs="Arial" w:eastAsia="Arial" w:hAnsi="Arial"/>
                <w:i/>
                <w:iCs/>
                <w:color w:val="555555"/>
                <w:sz w:val="16"/>
                <w:szCs w:val="16"/>
              </w:rPr>
              <w:t xml:space="preserve">Mining Technology / AUSMASA, 2025</w:t>
            </w:r>
          </w:p>
        </w:tc>
      </w:tr>
    </w:tbl>
    <w:p>
      <w:pPr>
        <w:spacing w:after="100"/>
      </w:pPr>
    </w:p>
    <w:p>
      <w:pPr>
        <w:spacing w:after="100" w:before="60"/>
      </w:pPr>
      <w:r>
        <w:rPr>
          <w:rFonts w:ascii="Arial" w:cs="Arial" w:eastAsia="Arial" w:hAnsi="Arial"/>
          <w:color w:val="2D2D2D"/>
          <w:sz w:val="20"/>
          <w:szCs w:val="20"/>
        </w:rPr>
        <w:t xml:space="preserve">AUSMASA's analysis highlights that growth in mining employment has not been matched by a proportional increase in vocational qualification completions — completions fell 59% between 2015 and 2020 and have only partially recovered. The structural gap between workforce demand and qualified supply is organisational in origin and requires organisational solutions.</w:t>
      </w:r>
    </w:p>
    <w:p>
      <w:pPr>
        <w:spacing w:after="100" w:before="60"/>
      </w:pPr>
      <w:r>
        <w:rPr>
          <w:rFonts w:ascii="Arial" w:cs="Arial" w:eastAsia="Arial" w:hAnsi="Arial"/>
          <w:color w:val="2D2D2D"/>
          <w:sz w:val="20"/>
          <w:szCs w:val="20"/>
        </w:rPr>
        <w:t xml:space="preserve">For multi-site operations, each site competes for a shrinking pool of technically capable people. This places a premium on how the organisation deploys, develops, and retains the capability it already has. Workforce strategy, role design, knowledge transfer, and leadership development are no longer supporting functions — they are core operational imperatives.</w:t>
      </w:r>
    </w:p>
    <w:p>
      <w:pPr>
        <w:spacing w:after="80"/>
      </w:pPr>
    </w:p>
    <w:p>
      <w:pPr>
        <w:pBdr>
          <w:bottom w:val="single" w:color="C87E28" w:sz="8" w:space="1"/>
        </w:pBdr>
        <w:spacing w:after="100"/>
      </w:pPr>
    </w:p>
    <w:p>
      <w:pPr>
        <w:pStyle w:val="Heading1"/>
        <w:spacing w:after="120" w:before="200"/>
      </w:pPr>
      <w:r>
        <w:rPr>
          <w:rFonts w:ascii="Arial" w:cs="Arial" w:eastAsia="Arial" w:hAnsi="Arial"/>
          <w:b/>
          <w:bCs/>
          <w:color w:val="1A2B4A"/>
          <w:sz w:val="28"/>
          <w:szCs w:val="28"/>
        </w:rPr>
        <w:t xml:space="preserve">4.  Asset Productivity: The Organisational Failure Beneath the Technical Problem</w:t>
      </w:r>
    </w:p>
    <w:p>
      <w:pPr>
        <w:spacing w:after="100" w:before="60"/>
      </w:pPr>
      <w:r>
        <w:rPr>
          <w:rFonts w:ascii="Arial" w:cs="Arial" w:eastAsia="Arial" w:hAnsi="Arial"/>
          <w:color w:val="2D2D2D"/>
          <w:sz w:val="20"/>
          <w:szCs w:val="20"/>
        </w:rPr>
        <w:t xml:space="preserve">A consistent finding across multiple authoritative sources is that asset performance problems are primarily organisational problems, not technical ones. McKinsey's 2023 survey of 100 senior leaders across asset-intensive industries — covering oil and gas, consumer goods, discrete manufacturing, energy, and life sciences — provides the clearest evidence.</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500"/>
        <w:gridCol w:w="2526"/>
      </w:tblGrid>
      <w:tr>
        <w:tc>
          <w:tcPr>
            <w:tcW w:type="dxa" w:w="6500"/>
            <w:tcBorders>
              <w:top w:val="single" w:color="CCCCCC" w:sz="1"/>
              <w:left w:val="single" w:color="CCCCCC" w:sz="1"/>
              <w:bottom w:val="single" w:color="CCCCCC" w:sz="1"/>
              <w:right w:val="single" w:color="CCCCCC" w:sz="1"/>
            </w:tcBorders>
            <w:shd w:fill="F2F4F7" w:val="clear"/>
            <w:tcMar>
              <w:top w:type="dxa" w:w="120"/>
              <w:left w:type="dxa" w:w="140"/>
              <w:bottom w:type="dxa" w:w="120"/>
              <w:right w:type="dxa" w:w="100"/>
            </w:tcMar>
          </w:tcPr>
          <w:p>
            <w:r>
              <w:rPr>
                <w:rFonts w:ascii="Arial" w:cs="Arial" w:eastAsia="Arial" w:hAnsi="Arial"/>
                <w:b/>
                <w:bCs/>
                <w:color w:val="1A2B4A"/>
                <w:sz w:val="20"/>
                <w:szCs w:val="20"/>
              </w:rPr>
              <w:t xml:space="preserve">Maintenance represents 20-40% of operating cost in heavy industries and drives 30-50% of overall equipment effectiveness losses. Yet organisational health metrics at most maintenance organisations lag behind their operations counterparts.</w:t>
            </w:r>
          </w:p>
        </w:tc>
        <w:tc>
          <w:tcPr>
            <w:tcW w:type="dxa" w:w="2526"/>
            <w:tcBorders>
              <w:top w:val="single" w:color="CCCCCC" w:sz="1"/>
              <w:left w:val="single" w:color="CCCCCC" w:sz="1"/>
              <w:bottom w:val="single" w:color="CCCCCC" w:sz="1"/>
              <w:right w:val="single" w:color="CCCCCC" w:sz="1"/>
            </w:tcBorders>
            <w:shd w:fill="E3EAF4" w:val="clear"/>
            <w:tcMar>
              <w:top w:type="dxa" w:w="120"/>
              <w:left w:type="dxa" w:w="120"/>
              <w:bottom w:type="dxa" w:w="120"/>
              <w:right w:type="dxa" w:w="100"/>
            </w:tcMar>
            <w:vAlign w:val="center"/>
          </w:tcPr>
          <w:p>
            <w:pPr>
              <w:jc w:val="center"/>
            </w:pPr>
            <w:r>
              <w:rPr>
                <w:rFonts w:ascii="Arial" w:cs="Arial" w:eastAsia="Arial" w:hAnsi="Arial"/>
                <w:i/>
                <w:iCs/>
                <w:color w:val="555555"/>
                <w:sz w:val="16"/>
                <w:szCs w:val="16"/>
              </w:rPr>
              <w:t xml:space="preserve">McKinsey OHI Maintenance Study, 2024</w:t>
            </w:r>
          </w:p>
        </w:tc>
      </w:tr>
    </w:tbl>
    <w:p>
      <w:pPr>
        <w:spacing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500"/>
        <w:gridCol w:w="2526"/>
      </w:tblGrid>
      <w:tr>
        <w:tc>
          <w:tcPr>
            <w:tcW w:type="dxa" w:w="6500"/>
            <w:tcBorders>
              <w:top w:val="single" w:color="CCCCCC" w:sz="1"/>
              <w:left w:val="single" w:color="CCCCCC" w:sz="1"/>
              <w:bottom w:val="single" w:color="CCCCCC" w:sz="1"/>
              <w:right w:val="single" w:color="CCCCCC" w:sz="1"/>
            </w:tcBorders>
            <w:shd w:fill="F2F4F7" w:val="clear"/>
            <w:tcMar>
              <w:top w:type="dxa" w:w="120"/>
              <w:left w:type="dxa" w:w="140"/>
              <w:bottom w:type="dxa" w:w="120"/>
              <w:right w:type="dxa" w:w="100"/>
            </w:tcMar>
          </w:tcPr>
          <w:p>
            <w:r>
              <w:rPr>
                <w:rFonts w:ascii="Arial" w:cs="Arial" w:eastAsia="Arial" w:hAnsi="Arial"/>
                <w:b/>
                <w:bCs/>
                <w:color w:val="1A2B4A"/>
                <w:sz w:val="20"/>
                <w:szCs w:val="20"/>
              </w:rPr>
              <w:t xml:space="preserve">62% of asset-intensive organisations face above-inflation increases in maintenance costs despite adopting modern approaches. 73% acknowledge difficulty recruiting maintenance technicians. 99% have undertaken a maintenance transformation in the past five years — yet the gaps persist.</w:t>
            </w:r>
          </w:p>
        </w:tc>
        <w:tc>
          <w:tcPr>
            <w:tcW w:type="dxa" w:w="2526"/>
            <w:tcBorders>
              <w:top w:val="single" w:color="CCCCCC" w:sz="1"/>
              <w:left w:val="single" w:color="CCCCCC" w:sz="1"/>
              <w:bottom w:val="single" w:color="CCCCCC" w:sz="1"/>
              <w:right w:val="single" w:color="CCCCCC" w:sz="1"/>
            </w:tcBorders>
            <w:shd w:fill="E3EAF4" w:val="clear"/>
            <w:tcMar>
              <w:top w:type="dxa" w:w="120"/>
              <w:left w:type="dxa" w:w="120"/>
              <w:bottom w:type="dxa" w:w="120"/>
              <w:right w:type="dxa" w:w="100"/>
            </w:tcMar>
            <w:vAlign w:val="center"/>
          </w:tcPr>
          <w:p>
            <w:pPr>
              <w:jc w:val="center"/>
            </w:pPr>
            <w:r>
              <w:rPr>
                <w:rFonts w:ascii="Arial" w:cs="Arial" w:eastAsia="Arial" w:hAnsi="Arial"/>
                <w:i/>
                <w:iCs/>
                <w:color w:val="555555"/>
                <w:sz w:val="16"/>
                <w:szCs w:val="16"/>
              </w:rPr>
              <w:t xml:space="preserve">McKinsey Asset Productivity Survey, 2023</w:t>
            </w:r>
          </w:p>
        </w:tc>
      </w:tr>
    </w:tbl>
    <w:p>
      <w:pPr>
        <w:spacing w:after="100"/>
      </w:pPr>
    </w:p>
    <w:p>
      <w:pPr>
        <w:spacing w:after="100" w:before="60"/>
      </w:pPr>
      <w:r>
        <w:rPr>
          <w:rFonts w:ascii="Arial" w:cs="Arial" w:eastAsia="Arial" w:hAnsi="Arial"/>
          <w:color w:val="2D2D2D"/>
          <w:sz w:val="20"/>
          <w:szCs w:val="20"/>
        </w:rPr>
        <w:t xml:space="preserve">The fact that 99% of organisations have attempted a maintenance transformation yet performance gaps persist points unambiguously to an execution and organisational design gap, not a strategy gap. Transformation programmes are failing at the organisational level.</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500"/>
        <w:gridCol w:w="2526"/>
      </w:tblGrid>
      <w:tr>
        <w:tc>
          <w:tcPr>
            <w:tcW w:type="dxa" w:w="6500"/>
            <w:tcBorders>
              <w:top w:val="single" w:color="CCCCCC" w:sz="1"/>
              <w:left w:val="single" w:color="CCCCCC" w:sz="1"/>
              <w:bottom w:val="single" w:color="CCCCCC" w:sz="1"/>
              <w:right w:val="single" w:color="CCCCCC" w:sz="1"/>
            </w:tcBorders>
            <w:shd w:fill="F2F4F7" w:val="clear"/>
            <w:tcMar>
              <w:top w:type="dxa" w:w="120"/>
              <w:left w:type="dxa" w:w="140"/>
              <w:bottom w:type="dxa" w:w="120"/>
              <w:right w:type="dxa" w:w="100"/>
            </w:tcMar>
          </w:tcPr>
          <w:p>
            <w:r>
              <w:rPr>
                <w:rFonts w:ascii="Arial" w:cs="Arial" w:eastAsia="Arial" w:hAnsi="Arial"/>
                <w:b/>
                <w:bCs/>
                <w:color w:val="1A2B4A"/>
                <w:sz w:val="20"/>
                <w:szCs w:val="20"/>
              </w:rPr>
              <w:t xml:space="preserve">Only 55% of asset-intensive organisations have formal systems to ensure knowledge is shared between technicians — meaning nearly half are one retirement wave from losing the institutional knowledge their maintenance procedures depend on.</w:t>
            </w:r>
          </w:p>
        </w:tc>
        <w:tc>
          <w:tcPr>
            <w:tcW w:type="dxa" w:w="2526"/>
            <w:tcBorders>
              <w:top w:val="single" w:color="CCCCCC" w:sz="1"/>
              <w:left w:val="single" w:color="CCCCCC" w:sz="1"/>
              <w:bottom w:val="single" w:color="CCCCCC" w:sz="1"/>
              <w:right w:val="single" w:color="CCCCCC" w:sz="1"/>
            </w:tcBorders>
            <w:shd w:fill="E3EAF4" w:val="clear"/>
            <w:tcMar>
              <w:top w:type="dxa" w:w="120"/>
              <w:left w:type="dxa" w:w="120"/>
              <w:bottom w:type="dxa" w:w="120"/>
              <w:right w:type="dxa" w:w="100"/>
            </w:tcMar>
            <w:vAlign w:val="center"/>
          </w:tcPr>
          <w:p>
            <w:pPr>
              <w:jc w:val="center"/>
            </w:pPr>
            <w:r>
              <w:rPr>
                <w:rFonts w:ascii="Arial" w:cs="Arial" w:eastAsia="Arial" w:hAnsi="Arial"/>
                <w:i/>
                <w:iCs/>
                <w:color w:val="555555"/>
                <w:sz w:val="16"/>
                <w:szCs w:val="16"/>
              </w:rPr>
              <w:t xml:space="preserve">McKinsey Asset Productivity Survey, 2023</w:t>
            </w:r>
          </w:p>
        </w:tc>
      </w:tr>
    </w:tbl>
    <w:p>
      <w:pPr>
        <w:spacing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500"/>
        <w:gridCol w:w="2526"/>
      </w:tblGrid>
      <w:tr>
        <w:tc>
          <w:tcPr>
            <w:tcW w:type="dxa" w:w="6500"/>
            <w:tcBorders>
              <w:top w:val="single" w:color="CCCCCC" w:sz="1"/>
              <w:left w:val="single" w:color="CCCCCC" w:sz="1"/>
              <w:bottom w:val="single" w:color="CCCCCC" w:sz="1"/>
              <w:right w:val="single" w:color="CCCCCC" w:sz="1"/>
            </w:tcBorders>
            <w:shd w:fill="F2F4F7" w:val="clear"/>
            <w:tcMar>
              <w:top w:type="dxa" w:w="120"/>
              <w:left w:type="dxa" w:w="140"/>
              <w:bottom w:type="dxa" w:w="120"/>
              <w:right w:type="dxa" w:w="100"/>
            </w:tcMar>
          </w:tcPr>
          <w:p>
            <w:r>
              <w:rPr>
                <w:rFonts w:ascii="Arial" w:cs="Arial" w:eastAsia="Arial" w:hAnsi="Arial"/>
                <w:b/>
                <w:bCs/>
                <w:color w:val="1A2B4A"/>
                <w:sz w:val="20"/>
                <w:szCs w:val="20"/>
              </w:rPr>
              <w:t xml:space="preserve">PM tasks make up only 51% of maintenance activity on average, versus 70-85% in organisations with mature RCM capabilities. The gap is not technical — it is a planning, scheduling, and organisational discipline problem.</w:t>
            </w:r>
          </w:p>
        </w:tc>
        <w:tc>
          <w:tcPr>
            <w:tcW w:type="dxa" w:w="2526"/>
            <w:tcBorders>
              <w:top w:val="single" w:color="CCCCCC" w:sz="1"/>
              <w:left w:val="single" w:color="CCCCCC" w:sz="1"/>
              <w:bottom w:val="single" w:color="CCCCCC" w:sz="1"/>
              <w:right w:val="single" w:color="CCCCCC" w:sz="1"/>
            </w:tcBorders>
            <w:shd w:fill="E3EAF4" w:val="clear"/>
            <w:tcMar>
              <w:top w:type="dxa" w:w="120"/>
              <w:left w:type="dxa" w:w="120"/>
              <w:bottom w:type="dxa" w:w="120"/>
              <w:right w:type="dxa" w:w="100"/>
            </w:tcMar>
            <w:vAlign w:val="center"/>
          </w:tcPr>
          <w:p>
            <w:pPr>
              <w:jc w:val="center"/>
            </w:pPr>
            <w:r>
              <w:rPr>
                <w:rFonts w:ascii="Arial" w:cs="Arial" w:eastAsia="Arial" w:hAnsi="Arial"/>
                <w:i/>
                <w:iCs/>
                <w:color w:val="555555"/>
                <w:sz w:val="16"/>
                <w:szCs w:val="16"/>
              </w:rPr>
              <w:t xml:space="preserve">McKinsey Asset Productivity Survey, 2023</w:t>
            </w:r>
          </w:p>
        </w:tc>
      </w:tr>
    </w:tbl>
    <w:p>
      <w:pPr>
        <w:spacing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500"/>
        <w:gridCol w:w="2526"/>
      </w:tblGrid>
      <w:tr>
        <w:tc>
          <w:tcPr>
            <w:tcW w:type="dxa" w:w="6500"/>
            <w:tcBorders>
              <w:top w:val="single" w:color="CCCCCC" w:sz="1"/>
              <w:left w:val="single" w:color="CCCCCC" w:sz="1"/>
              <w:bottom w:val="single" w:color="CCCCCC" w:sz="1"/>
              <w:right w:val="single" w:color="CCCCCC" w:sz="1"/>
            </w:tcBorders>
            <w:shd w:fill="F2F4F7" w:val="clear"/>
            <w:tcMar>
              <w:top w:type="dxa" w:w="120"/>
              <w:left w:type="dxa" w:w="140"/>
              <w:bottom w:type="dxa" w:w="120"/>
              <w:right w:type="dxa" w:w="100"/>
            </w:tcMar>
          </w:tcPr>
          <w:p>
            <w:r>
              <w:rPr>
                <w:rFonts w:ascii="Arial" w:cs="Arial" w:eastAsia="Arial" w:hAnsi="Arial"/>
                <w:b/>
                <w:bCs/>
                <w:color w:val="1A2B4A"/>
                <w:sz w:val="20"/>
                <w:szCs w:val="20"/>
              </w:rPr>
              <w:t xml:space="preserve">Poor maintenance strategies can reduce a plant's overall productive capacity by 5 to 20 percent. Unplanned downtime costs industrial manufacturers an estimated USD $50 billion each year.</w:t>
            </w:r>
          </w:p>
        </w:tc>
        <w:tc>
          <w:tcPr>
            <w:tcW w:type="dxa" w:w="2526"/>
            <w:tcBorders>
              <w:top w:val="single" w:color="CCCCCC" w:sz="1"/>
              <w:left w:val="single" w:color="CCCCCC" w:sz="1"/>
              <w:bottom w:val="single" w:color="CCCCCC" w:sz="1"/>
              <w:right w:val="single" w:color="CCCCCC" w:sz="1"/>
            </w:tcBorders>
            <w:shd w:fill="E3EAF4" w:val="clear"/>
            <w:tcMar>
              <w:top w:type="dxa" w:w="120"/>
              <w:left w:type="dxa" w:w="120"/>
              <w:bottom w:type="dxa" w:w="120"/>
              <w:right w:type="dxa" w:w="100"/>
            </w:tcMar>
            <w:vAlign w:val="center"/>
          </w:tcPr>
          <w:p>
            <w:pPr>
              <w:jc w:val="center"/>
            </w:pPr>
            <w:r>
              <w:rPr>
                <w:rFonts w:ascii="Arial" w:cs="Arial" w:eastAsia="Arial" w:hAnsi="Arial"/>
                <w:i/>
                <w:iCs/>
                <w:color w:val="555555"/>
                <w:sz w:val="16"/>
                <w:szCs w:val="16"/>
              </w:rPr>
              <w:t xml:space="preserve">Deloitte Industry 4.0 Insights</w:t>
            </w:r>
          </w:p>
        </w:tc>
      </w:tr>
    </w:tbl>
    <w:p>
      <w:pPr>
        <w:spacing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500"/>
        <w:gridCol w:w="2526"/>
      </w:tblGrid>
      <w:tr>
        <w:tc>
          <w:tcPr>
            <w:tcW w:type="dxa" w:w="6500"/>
            <w:tcBorders>
              <w:top w:val="single" w:color="CCCCCC" w:sz="1"/>
              <w:left w:val="single" w:color="CCCCCC" w:sz="1"/>
              <w:bottom w:val="single" w:color="CCCCCC" w:sz="1"/>
              <w:right w:val="single" w:color="CCCCCC" w:sz="1"/>
            </w:tcBorders>
            <w:shd w:fill="F2F4F7" w:val="clear"/>
            <w:tcMar>
              <w:top w:type="dxa" w:w="120"/>
              <w:left w:type="dxa" w:w="140"/>
              <w:bottom w:type="dxa" w:w="120"/>
              <w:right w:type="dxa" w:w="100"/>
            </w:tcMar>
          </w:tcPr>
          <w:p>
            <w:r>
              <w:rPr>
                <w:rFonts w:ascii="Arial" w:cs="Arial" w:eastAsia="Arial" w:hAnsi="Arial"/>
                <w:b/>
                <w:bCs/>
                <w:color w:val="1A2B4A"/>
                <w:sz w:val="20"/>
                <w:szCs w:val="20"/>
              </w:rPr>
              <w:t xml:space="preserve">71% of maintenance professionals say preventive maintenance is their primary strategy, but fewer than 35% actually spend most of their time on it. 58% of facilities spend less than half their time on scheduled maintenance.</w:t>
            </w:r>
          </w:p>
        </w:tc>
        <w:tc>
          <w:tcPr>
            <w:tcW w:type="dxa" w:w="2526"/>
            <w:tcBorders>
              <w:top w:val="single" w:color="CCCCCC" w:sz="1"/>
              <w:left w:val="single" w:color="CCCCCC" w:sz="1"/>
              <w:bottom w:val="single" w:color="CCCCCC" w:sz="1"/>
              <w:right w:val="single" w:color="CCCCCC" w:sz="1"/>
            </w:tcBorders>
            <w:shd w:fill="E3EAF4" w:val="clear"/>
            <w:tcMar>
              <w:top w:type="dxa" w:w="120"/>
              <w:left w:type="dxa" w:w="120"/>
              <w:bottom w:type="dxa" w:w="120"/>
              <w:right w:type="dxa" w:w="100"/>
            </w:tcMar>
            <w:vAlign w:val="center"/>
          </w:tcPr>
          <w:p>
            <w:pPr>
              <w:jc w:val="center"/>
            </w:pPr>
            <w:r>
              <w:rPr>
                <w:rFonts w:ascii="Arial" w:cs="Arial" w:eastAsia="Arial" w:hAnsi="Arial"/>
                <w:i/>
                <w:iCs/>
                <w:color w:val="555555"/>
                <w:sz w:val="16"/>
                <w:szCs w:val="16"/>
              </w:rPr>
              <w:t xml:space="preserve">MaintainX State of Industrial Maintenance, 2025</w:t>
            </w:r>
          </w:p>
        </w:tc>
      </w:tr>
    </w:tbl>
    <w:p>
      <w:pPr>
        <w:spacing w:after="80"/>
      </w:pPr>
    </w:p>
    <w:p>
      <w:pPr>
        <w:pBdr>
          <w:bottom w:val="single" w:color="C87E28" w:sz="8" w:space="1"/>
        </w:pBdr>
        <w:spacing w:after="100"/>
      </w:pPr>
    </w:p>
    <w:p>
      <w:pPr>
        <w:pStyle w:val="Heading1"/>
        <w:spacing w:after="120" w:before="200"/>
      </w:pPr>
      <w:r>
        <w:rPr>
          <w:rFonts w:ascii="Arial" w:cs="Arial" w:eastAsia="Arial" w:hAnsi="Arial"/>
          <w:b/>
          <w:bCs/>
          <w:color w:val="1A2B4A"/>
          <w:sz w:val="28"/>
          <w:szCs w:val="28"/>
        </w:rPr>
        <w:t xml:space="preserve">5.  Organisational Culture in Maintenance: The OHI Evidence</w:t>
      </w:r>
    </w:p>
    <w:p>
      <w:pPr>
        <w:spacing w:after="100" w:before="60"/>
      </w:pPr>
      <w:r>
        <w:rPr>
          <w:rFonts w:ascii="Arial" w:cs="Arial" w:eastAsia="Arial" w:hAnsi="Arial"/>
          <w:color w:val="2D2D2D"/>
          <w:sz w:val="20"/>
          <w:szCs w:val="20"/>
        </w:rPr>
        <w:t xml:space="preserve">McKinsey's Organizational Health Index (OHI) research — published February 2024 — analysed data from 27 maintenance organisations in underground mining, surface mining, and materials processing facilities. The findings directly link organisational culture to asset reliability outcomes.</w:t>
      </w:r>
    </w:p>
    <w:p>
      <w:pPr>
        <w:spacing w:after="100" w:before="60"/>
      </w:pPr>
      <w:r>
        <w:rPr>
          <w:rFonts w:ascii="Arial" w:cs="Arial" w:eastAsia="Arial" w:hAnsi="Arial"/>
          <w:color w:val="2D2D2D"/>
          <w:sz w:val="20"/>
          <w:szCs w:val="20"/>
        </w:rPr>
        <w:t xml:space="preserve">Research first conducted in 2018 found a strong correlation between the health of heavy-industry maintenance organisations and the reliability and availability of their assets. Five years on, the 2024 analysis confirmed that organisational health metrics at most maintenance organisations still lag those of their operations counterparts.</w:t>
      </w:r>
    </w:p>
    <w:p>
      <w:pPr>
        <w:spacing w:after="100" w:before="60"/>
      </w:pPr>
      <w:r>
        <w:rPr>
          <w:rFonts w:ascii="Arial" w:cs="Arial" w:eastAsia="Arial" w:hAnsi="Arial"/>
          <w:color w:val="2D2D2D"/>
          <w:sz w:val="20"/>
          <w:szCs w:val="20"/>
        </w:rPr>
        <w:t xml:space="preserve">The key finding: a select group of sites defy that trend — achieving high levels of organisational health despite the inherent challenges of maintenance work. Their differentiator is not technology or capital. It is culture, discipline, and leadership.</w:t>
      </w:r>
    </w:p>
    <w:p>
      <w:pPr>
        <w:spacing w:after="100" w:before="60"/>
      </w:pPr>
      <w:r>
        <w:rPr>
          <w:rFonts w:ascii="Arial" w:cs="Arial" w:eastAsia="Arial" w:hAnsi="Arial"/>
          <w:color w:val="2D2D2D"/>
          <w:sz w:val="20"/>
          <w:szCs w:val="20"/>
        </w:rPr>
        <w:t xml:space="preserve">McKinsey notes that 70% of all maintenance transformations fail — mostly due to employee resistance and lack of leadership change commitment. This statistic reframes the transformation problem as fundamentally a people and organisational design problem.</w:t>
      </w:r>
    </w:p>
    <w:p>
      <w:pPr>
        <w:spacing w:after="80"/>
      </w:pPr>
    </w:p>
    <w:p>
      <w:pPr>
        <w:pBdr>
          <w:bottom w:val="single" w:color="C87E28" w:sz="8" w:space="1"/>
        </w:pBdr>
        <w:spacing w:after="100"/>
      </w:pPr>
    </w:p>
    <w:p>
      <w:pPr>
        <w:pStyle w:val="Heading1"/>
        <w:spacing w:after="120" w:before="200"/>
      </w:pPr>
      <w:r>
        <w:rPr>
          <w:rFonts w:ascii="Arial" w:cs="Arial" w:eastAsia="Arial" w:hAnsi="Arial"/>
          <w:b/>
          <w:bCs/>
          <w:color w:val="1A2B4A"/>
          <w:sz w:val="28"/>
          <w:szCs w:val="28"/>
        </w:rPr>
        <w:t xml:space="preserve">6.  Employee Engagement: The Invisible Organisational Cost</w:t>
      </w:r>
    </w:p>
    <w:p>
      <w:pPr>
        <w:spacing w:after="100" w:before="60"/>
      </w:pPr>
      <w:r>
        <w:rPr>
          <w:rFonts w:ascii="Arial" w:cs="Arial" w:eastAsia="Arial" w:hAnsi="Arial"/>
          <w:color w:val="2D2D2D"/>
          <w:sz w:val="20"/>
          <w:szCs w:val="20"/>
        </w:rPr>
        <w:t xml:space="preserve">Gallup's State of the Global Workplace report series provides the most comprehensive and longitudinal data on how organisational health translates directly to productivity. In multi-site, asset-intensive organisations where frontline managers are geographically distributed and operating with limited central support, the manager engagement deficit is a structural risk — not a cultural preference.</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500"/>
        <w:gridCol w:w="2526"/>
      </w:tblGrid>
      <w:tr>
        <w:tc>
          <w:tcPr>
            <w:tcW w:type="dxa" w:w="6500"/>
            <w:tcBorders>
              <w:top w:val="single" w:color="CCCCCC" w:sz="1"/>
              <w:left w:val="single" w:color="CCCCCC" w:sz="1"/>
              <w:bottom w:val="single" w:color="CCCCCC" w:sz="1"/>
              <w:right w:val="single" w:color="CCCCCC" w:sz="1"/>
            </w:tcBorders>
            <w:shd w:fill="F2F4F7" w:val="clear"/>
            <w:tcMar>
              <w:top w:type="dxa" w:w="120"/>
              <w:left w:type="dxa" w:w="140"/>
              <w:bottom w:type="dxa" w:w="120"/>
              <w:right w:type="dxa" w:w="100"/>
            </w:tcMar>
          </w:tcPr>
          <w:p>
            <w:r>
              <w:rPr>
                <w:rFonts w:ascii="Arial" w:cs="Arial" w:eastAsia="Arial" w:hAnsi="Arial"/>
                <w:b/>
                <w:bCs/>
                <w:color w:val="1A2B4A"/>
                <w:sz w:val="20"/>
                <w:szCs w:val="20"/>
              </w:rPr>
              <w:t xml:space="preserve">Global employee engagement fell from 23% in 2023 to 21% in 2024, costing the world economy USD $438 billion in lost productivity. This was only the second decline in the past 12 years. The primary driver was a drop in manager engagement from 30% to 27%.</w:t>
            </w:r>
          </w:p>
        </w:tc>
        <w:tc>
          <w:tcPr>
            <w:tcW w:type="dxa" w:w="2526"/>
            <w:tcBorders>
              <w:top w:val="single" w:color="CCCCCC" w:sz="1"/>
              <w:left w:val="single" w:color="CCCCCC" w:sz="1"/>
              <w:bottom w:val="single" w:color="CCCCCC" w:sz="1"/>
              <w:right w:val="single" w:color="CCCCCC" w:sz="1"/>
            </w:tcBorders>
            <w:shd w:fill="E3EAF4" w:val="clear"/>
            <w:tcMar>
              <w:top w:type="dxa" w:w="120"/>
              <w:left w:type="dxa" w:w="120"/>
              <w:bottom w:type="dxa" w:w="120"/>
              <w:right w:type="dxa" w:w="100"/>
            </w:tcMar>
            <w:vAlign w:val="center"/>
          </w:tcPr>
          <w:p>
            <w:pPr>
              <w:jc w:val="center"/>
            </w:pPr>
            <w:r>
              <w:rPr>
                <w:rFonts w:ascii="Arial" w:cs="Arial" w:eastAsia="Arial" w:hAnsi="Arial"/>
                <w:i/>
                <w:iCs/>
                <w:color w:val="555555"/>
                <w:sz w:val="16"/>
                <w:szCs w:val="16"/>
              </w:rPr>
              <w:t xml:space="preserve">Gallup State of the Global Workplace, 2025</w:t>
            </w:r>
          </w:p>
        </w:tc>
      </w:tr>
    </w:tbl>
    <w:p>
      <w:pPr>
        <w:spacing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500"/>
        <w:gridCol w:w="2526"/>
      </w:tblGrid>
      <w:tr>
        <w:tc>
          <w:tcPr>
            <w:tcW w:type="dxa" w:w="6500"/>
            <w:tcBorders>
              <w:top w:val="single" w:color="CCCCCC" w:sz="1"/>
              <w:left w:val="single" w:color="CCCCCC" w:sz="1"/>
              <w:bottom w:val="single" w:color="CCCCCC" w:sz="1"/>
              <w:right w:val="single" w:color="CCCCCC" w:sz="1"/>
            </w:tcBorders>
            <w:shd w:fill="F2F4F7" w:val="clear"/>
            <w:tcMar>
              <w:top w:type="dxa" w:w="120"/>
              <w:left w:type="dxa" w:w="140"/>
              <w:bottom w:type="dxa" w:w="120"/>
              <w:right w:type="dxa" w:w="100"/>
            </w:tcMar>
          </w:tcPr>
          <w:p>
            <w:r>
              <w:rPr>
                <w:rFonts w:ascii="Arial" w:cs="Arial" w:eastAsia="Arial" w:hAnsi="Arial"/>
                <w:b/>
                <w:bCs/>
                <w:color w:val="1A2B4A"/>
                <w:sz w:val="20"/>
                <w:szCs w:val="20"/>
              </w:rPr>
              <w:t xml:space="preserve">Only 44% of managers globally have ever received management training. Yet providing even basic training moves manager wellbeing from 28% to 34% thriving; when paired with ongoing coaching and development, thriving jumps to 50%.</w:t>
            </w:r>
          </w:p>
        </w:tc>
        <w:tc>
          <w:tcPr>
            <w:tcW w:type="dxa" w:w="2526"/>
            <w:tcBorders>
              <w:top w:val="single" w:color="CCCCCC" w:sz="1"/>
              <w:left w:val="single" w:color="CCCCCC" w:sz="1"/>
              <w:bottom w:val="single" w:color="CCCCCC" w:sz="1"/>
              <w:right w:val="single" w:color="CCCCCC" w:sz="1"/>
            </w:tcBorders>
            <w:shd w:fill="E3EAF4" w:val="clear"/>
            <w:tcMar>
              <w:top w:type="dxa" w:w="120"/>
              <w:left w:type="dxa" w:w="120"/>
              <w:bottom w:type="dxa" w:w="120"/>
              <w:right w:type="dxa" w:w="100"/>
            </w:tcMar>
            <w:vAlign w:val="center"/>
          </w:tcPr>
          <w:p>
            <w:pPr>
              <w:jc w:val="center"/>
            </w:pPr>
            <w:r>
              <w:rPr>
                <w:rFonts w:ascii="Arial" w:cs="Arial" w:eastAsia="Arial" w:hAnsi="Arial"/>
                <w:i/>
                <w:iCs/>
                <w:color w:val="555555"/>
                <w:sz w:val="16"/>
                <w:szCs w:val="16"/>
              </w:rPr>
              <w:t xml:space="preserve">Gallup State of the Global Workplace, 2025</w:t>
            </w:r>
          </w:p>
        </w:tc>
      </w:tr>
    </w:tbl>
    <w:p>
      <w:pPr>
        <w:spacing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500"/>
        <w:gridCol w:w="2526"/>
      </w:tblGrid>
      <w:tr>
        <w:tc>
          <w:tcPr>
            <w:tcW w:type="dxa" w:w="6500"/>
            <w:tcBorders>
              <w:top w:val="single" w:color="CCCCCC" w:sz="1"/>
              <w:left w:val="single" w:color="CCCCCC" w:sz="1"/>
              <w:bottom w:val="single" w:color="CCCCCC" w:sz="1"/>
              <w:right w:val="single" w:color="CCCCCC" w:sz="1"/>
            </w:tcBorders>
            <w:shd w:fill="F2F4F7" w:val="clear"/>
            <w:tcMar>
              <w:top w:type="dxa" w:w="120"/>
              <w:left w:type="dxa" w:w="140"/>
              <w:bottom w:type="dxa" w:w="120"/>
              <w:right w:type="dxa" w:w="100"/>
            </w:tcMar>
          </w:tcPr>
          <w:p>
            <w:r>
              <w:rPr>
                <w:rFonts w:ascii="Arial" w:cs="Arial" w:eastAsia="Arial" w:hAnsi="Arial"/>
                <w:b/>
                <w:bCs/>
                <w:color w:val="1A2B4A"/>
                <w:sz w:val="20"/>
                <w:szCs w:val="20"/>
              </w:rPr>
              <w:t xml:space="preserve">Managers account for 70% of the variance in employee engagement levels. This is the single most important organisational lever available to leadership.</w:t>
            </w:r>
          </w:p>
        </w:tc>
        <w:tc>
          <w:tcPr>
            <w:tcW w:type="dxa" w:w="2526"/>
            <w:tcBorders>
              <w:top w:val="single" w:color="CCCCCC" w:sz="1"/>
              <w:left w:val="single" w:color="CCCCCC" w:sz="1"/>
              <w:bottom w:val="single" w:color="CCCCCC" w:sz="1"/>
              <w:right w:val="single" w:color="CCCCCC" w:sz="1"/>
            </w:tcBorders>
            <w:shd w:fill="E3EAF4" w:val="clear"/>
            <w:tcMar>
              <w:top w:type="dxa" w:w="120"/>
              <w:left w:type="dxa" w:w="120"/>
              <w:bottom w:type="dxa" w:w="120"/>
              <w:right w:type="dxa" w:w="100"/>
            </w:tcMar>
            <w:vAlign w:val="center"/>
          </w:tcPr>
          <w:p>
            <w:pPr>
              <w:jc w:val="center"/>
            </w:pPr>
            <w:r>
              <w:rPr>
                <w:rFonts w:ascii="Arial" w:cs="Arial" w:eastAsia="Arial" w:hAnsi="Arial"/>
                <w:i/>
                <w:iCs/>
                <w:color w:val="555555"/>
                <w:sz w:val="16"/>
                <w:szCs w:val="16"/>
              </w:rPr>
              <w:t xml:space="preserve">Gallup / The Happiness Index, 2024</w:t>
            </w:r>
          </w:p>
        </w:tc>
      </w:tr>
    </w:tbl>
    <w:p>
      <w:pPr>
        <w:spacing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500"/>
        <w:gridCol w:w="2526"/>
      </w:tblGrid>
      <w:tr>
        <w:tc>
          <w:tcPr>
            <w:tcW w:type="dxa" w:w="6500"/>
            <w:tcBorders>
              <w:top w:val="single" w:color="CCCCCC" w:sz="1"/>
              <w:left w:val="single" w:color="CCCCCC" w:sz="1"/>
              <w:bottom w:val="single" w:color="CCCCCC" w:sz="1"/>
              <w:right w:val="single" w:color="CCCCCC" w:sz="1"/>
            </w:tcBorders>
            <w:shd w:fill="F2F4F7" w:val="clear"/>
            <w:tcMar>
              <w:top w:type="dxa" w:w="120"/>
              <w:left w:type="dxa" w:w="140"/>
              <w:bottom w:type="dxa" w:w="120"/>
              <w:right w:type="dxa" w:w="100"/>
            </w:tcMar>
          </w:tcPr>
          <w:p>
            <w:r>
              <w:rPr>
                <w:rFonts w:ascii="Arial" w:cs="Arial" w:eastAsia="Arial" w:hAnsi="Arial"/>
                <w:b/>
                <w:bCs/>
                <w:color w:val="1A2B4A"/>
                <w:sz w:val="20"/>
                <w:szCs w:val="20"/>
              </w:rPr>
              <w:t xml:space="preserve">In best-practice organisations, 75% of managers and 70% of non-managers are engaged — versus 27% and 18% globally. High engagement correlates with: 23% higher productivity, 51% lower turnover, and 68% improvement in employee wellbeing.</w:t>
            </w:r>
          </w:p>
        </w:tc>
        <w:tc>
          <w:tcPr>
            <w:tcW w:type="dxa" w:w="2526"/>
            <w:tcBorders>
              <w:top w:val="single" w:color="CCCCCC" w:sz="1"/>
              <w:left w:val="single" w:color="CCCCCC" w:sz="1"/>
              <w:bottom w:val="single" w:color="CCCCCC" w:sz="1"/>
              <w:right w:val="single" w:color="CCCCCC" w:sz="1"/>
            </w:tcBorders>
            <w:shd w:fill="E3EAF4" w:val="clear"/>
            <w:tcMar>
              <w:top w:type="dxa" w:w="120"/>
              <w:left w:type="dxa" w:w="120"/>
              <w:bottom w:type="dxa" w:w="120"/>
              <w:right w:type="dxa" w:w="100"/>
            </w:tcMar>
            <w:vAlign w:val="center"/>
          </w:tcPr>
          <w:p>
            <w:pPr>
              <w:jc w:val="center"/>
            </w:pPr>
            <w:r>
              <w:rPr>
                <w:rFonts w:ascii="Arial" w:cs="Arial" w:eastAsia="Arial" w:hAnsi="Arial"/>
                <w:i/>
                <w:iCs/>
                <w:color w:val="555555"/>
                <w:sz w:val="16"/>
                <w:szCs w:val="16"/>
              </w:rPr>
              <w:t xml:space="preserve">Gallup State of the Global Workplace, 2024</w:t>
            </w:r>
          </w:p>
        </w:tc>
      </w:tr>
    </w:tbl>
    <w:p>
      <w:pPr>
        <w:spacing w:after="100"/>
      </w:pPr>
    </w:p>
    <w:p>
      <w:pPr>
        <w:spacing w:after="100" w:before="60"/>
      </w:pPr>
      <w:r>
        <w:rPr>
          <w:rFonts w:ascii="Arial" w:cs="Arial" w:eastAsia="Arial" w:hAnsi="Arial"/>
          <w:color w:val="2D2D2D"/>
          <w:sz w:val="20"/>
          <w:szCs w:val="20"/>
        </w:rPr>
        <w:t xml:space="preserve">For Australian operators specifically: employee engagement in Australia and New Zealand sits at the higher end of global trends, but wellbeing has recorded a new low — down 13 points since Gallup's measure in 2011. The productivity gap is not about effort. It is about alignment, clarity of purpose, and quality of management.</w:t>
      </w:r>
    </w:p>
    <w:p>
      <w:pPr>
        <w:spacing w:after="80"/>
      </w:pPr>
    </w:p>
    <w:p>
      <w:pPr>
        <w:pBdr>
          <w:bottom w:val="single" w:color="C87E28" w:sz="8" w:space="1"/>
        </w:pBdr>
        <w:spacing w:after="100"/>
      </w:pPr>
    </w:p>
    <w:p>
      <w:pPr>
        <w:pStyle w:val="Heading1"/>
        <w:spacing w:after="120" w:before="200"/>
      </w:pPr>
      <w:r>
        <w:rPr>
          <w:rFonts w:ascii="Arial" w:cs="Arial" w:eastAsia="Arial" w:hAnsi="Arial"/>
          <w:b/>
          <w:bCs/>
          <w:color w:val="1A2B4A"/>
          <w:sz w:val="28"/>
          <w:szCs w:val="28"/>
        </w:rPr>
        <w:t xml:space="preserve">7.  ISO 55000/55001/55012: The Standards Dimension</w:t>
      </w:r>
    </w:p>
    <w:p>
      <w:pPr>
        <w:spacing w:after="100" w:before="60"/>
      </w:pPr>
      <w:r>
        <w:rPr>
          <w:rFonts w:ascii="Arial" w:cs="Arial" w:eastAsia="Arial" w:hAnsi="Arial"/>
          <w:color w:val="2D2D2D"/>
          <w:sz w:val="20"/>
          <w:szCs w:val="20"/>
        </w:rPr>
        <w:t xml:space="preserve">For Australian asset-intensive organisations, the ISO 55000 series provides an internationally recognised framework for understanding and addressing organisational effectiveness through an asset management lens. In July 2024, ISO/TC 251 launched updated editions of ISO 55000 and ISO 55001 — the first major revision since 2014 — plus two entirely new standards: ISO 55012 and ISO 55013.</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500"/>
        <w:gridCol w:w="2526"/>
      </w:tblGrid>
      <w:tr>
        <w:tc>
          <w:tcPr>
            <w:tcW w:type="dxa" w:w="6500"/>
            <w:tcBorders>
              <w:top w:val="single" w:color="CCCCCC" w:sz="1"/>
              <w:left w:val="single" w:color="CCCCCC" w:sz="1"/>
              <w:bottom w:val="single" w:color="CCCCCC" w:sz="1"/>
              <w:right w:val="single" w:color="CCCCCC" w:sz="1"/>
            </w:tcBorders>
            <w:shd w:fill="F2F4F7" w:val="clear"/>
            <w:tcMar>
              <w:top w:type="dxa" w:w="120"/>
              <w:left w:type="dxa" w:w="140"/>
              <w:bottom w:type="dxa" w:w="120"/>
              <w:right w:type="dxa" w:w="100"/>
            </w:tcMar>
          </w:tcPr>
          <w:p>
            <w:r>
              <w:rPr>
                <w:rFonts w:ascii="Arial" w:cs="Arial" w:eastAsia="Arial" w:hAnsi="Arial"/>
                <w:b/>
                <w:bCs/>
                <w:color w:val="1A2B4A"/>
                <w:sz w:val="20"/>
                <w:szCs w:val="20"/>
              </w:rPr>
              <w:t xml:space="preserve">ISO 55012:2024 — the new standard on people involvement and competence — provides guidance on competency frameworks, organisational culture, change management, training and development, leadership behaviours, and workforce engagement. Launched July 2024.</w:t>
            </w:r>
          </w:p>
        </w:tc>
        <w:tc>
          <w:tcPr>
            <w:tcW w:type="dxa" w:w="2526"/>
            <w:tcBorders>
              <w:top w:val="single" w:color="CCCCCC" w:sz="1"/>
              <w:left w:val="single" w:color="CCCCCC" w:sz="1"/>
              <w:bottom w:val="single" w:color="CCCCCC" w:sz="1"/>
              <w:right w:val="single" w:color="CCCCCC" w:sz="1"/>
            </w:tcBorders>
            <w:shd w:fill="E3EAF4" w:val="clear"/>
            <w:tcMar>
              <w:top w:type="dxa" w:w="120"/>
              <w:left w:type="dxa" w:w="120"/>
              <w:bottom w:type="dxa" w:w="120"/>
              <w:right w:type="dxa" w:w="100"/>
            </w:tcMar>
            <w:vAlign w:val="center"/>
          </w:tcPr>
          <w:p>
            <w:pPr>
              <w:jc w:val="center"/>
            </w:pPr>
            <w:r>
              <w:rPr>
                <w:rFonts w:ascii="Arial" w:cs="Arial" w:eastAsia="Arial" w:hAnsi="Arial"/>
                <w:i/>
                <w:iCs/>
                <w:color w:val="555555"/>
                <w:sz w:val="16"/>
                <w:szCs w:val="16"/>
              </w:rPr>
              <w:t xml:space="preserve">ISO / TC 251, July 2024</w:t>
            </w:r>
          </w:p>
        </w:tc>
      </w:tr>
    </w:tbl>
    <w:p>
      <w:pPr>
        <w:spacing w:after="100"/>
      </w:pPr>
    </w:p>
    <w:p>
      <w:pPr>
        <w:spacing w:after="100" w:before="60"/>
      </w:pPr>
      <w:r>
        <w:rPr>
          <w:rFonts w:ascii="Arial" w:cs="Arial" w:eastAsia="Arial" w:hAnsi="Arial"/>
          <w:color w:val="2D2D2D"/>
          <w:sz w:val="20"/>
          <w:szCs w:val="20"/>
        </w:rPr>
        <w:t xml:space="preserve">ISO 55000:2024 promotes both vertical alignment (linking organisational purpose to asset management objectives, strategies, plans, and activities) and horizontal alignment (collaboration across departments and functions throughout the asset lifecycle). These two dimensions routinely break down in multi-site environments.</w:t>
      </w:r>
    </w:p>
    <w:p>
      <w:pPr>
        <w:spacing w:after="100" w:before="60"/>
      </w:pPr>
      <w:r>
        <w:rPr>
          <w:rFonts w:ascii="Arial" w:cs="Arial" w:eastAsia="Arial" w:hAnsi="Arial"/>
          <w:color w:val="2D2D2D"/>
          <w:sz w:val="20"/>
          <w:szCs w:val="20"/>
        </w:rPr>
        <w:t xml:space="preserve">The critical gap identified by practitioners is that ISO 55001 specifies what governance, processes, and documentation should be in place — not how to make it operational at the frontline across geographically dispersed sites. This gap between the documented management system and the lived operational reality is precisely where organisational effectiveness advisory adds its greatest value.</w:t>
      </w:r>
    </w:p>
    <w:p>
      <w:pPr>
        <w:spacing w:after="100" w:before="60"/>
      </w:pPr>
      <w:r>
        <w:rPr>
          <w:rFonts w:ascii="Arial" w:cs="Arial" w:eastAsia="Arial" w:hAnsi="Arial"/>
          <w:color w:val="2D2D2D"/>
          <w:sz w:val="20"/>
          <w:szCs w:val="20"/>
        </w:rPr>
        <w:t xml:space="preserve">ISO 55012 addresses this gap directly, recognising that asset management excellence requires engaged, competent people at all levels — and that the human and cultural factors are inseparable from the technical ones.</w:t>
      </w:r>
    </w:p>
    <w:p>
      <w:pPr>
        <w:spacing w:after="80"/>
      </w:pPr>
    </w:p>
    <w:p>
      <w:pPr>
        <w:pBdr>
          <w:bottom w:val="single" w:color="C87E28" w:sz="8" w:space="1"/>
        </w:pBdr>
        <w:spacing w:after="100"/>
      </w:pPr>
    </w:p>
    <w:p>
      <w:pPr>
        <w:pStyle w:val="Heading1"/>
        <w:spacing w:after="120" w:before="200"/>
      </w:pPr>
      <w:r>
        <w:rPr>
          <w:rFonts w:ascii="Arial" w:cs="Arial" w:eastAsia="Arial" w:hAnsi="Arial"/>
          <w:b/>
          <w:bCs/>
          <w:color w:val="1A2B4A"/>
          <w:sz w:val="28"/>
          <w:szCs w:val="28"/>
        </w:rPr>
        <w:t xml:space="preserve">8.  The Decentralisation Dilemma in Multi-Site Operations</w:t>
      </w:r>
    </w:p>
    <w:p>
      <w:pPr>
        <w:spacing w:after="100" w:before="60"/>
      </w:pPr>
      <w:r>
        <w:rPr>
          <w:rFonts w:ascii="Arial" w:cs="Arial" w:eastAsia="Arial" w:hAnsi="Arial"/>
          <w:color w:val="2D2D2D"/>
          <w:sz w:val="20"/>
          <w:szCs w:val="20"/>
        </w:rPr>
        <w:t xml:space="preserve">Multi-site asset-intensive structures create inherent tensions between centralised coordination and site-level autonomy. This is not a new problem, but it is persistently underestimated. The question of how much authority to centralise versus delegate to site level is a core organisational design question with direct performance consequences.</w:t>
      </w:r>
    </w:p>
    <w:p>
      <w:pPr>
        <w:spacing w:after="100" w:before="60"/>
      </w:pPr>
      <w:r>
        <w:rPr>
          <w:rFonts w:ascii="Arial" w:cs="Arial" w:eastAsia="Arial" w:hAnsi="Arial"/>
          <w:color w:val="2D2D2D"/>
          <w:sz w:val="20"/>
          <w:szCs w:val="20"/>
        </w:rPr>
        <w:t xml:space="preserve">McKinsey's research on distributed fixed assets (published 2020, updated insights ongoing) identifies the following as particularly challenging in decentralised maintenance operations: knowledge sharing and preservation; detachment of central planning and scheduling teams from frontline needs; and high reaction times in emergencies due to lack of real-time information on maintenance workers' locations and capabilities.</w:t>
      </w:r>
    </w:p>
    <w:p>
      <w:pPr>
        <w:spacing w:after="100" w:before="60"/>
      </w:pPr>
      <w:r>
        <w:rPr>
          <w:rFonts w:ascii="Arial" w:cs="Arial" w:eastAsia="Arial" w:hAnsi="Arial"/>
          <w:color w:val="2D2D2D"/>
          <w:sz w:val="20"/>
          <w:szCs w:val="20"/>
        </w:rPr>
        <w:t xml:space="preserve">The resolution is not to choose between centralisation and decentralisation — it is to design explicit coordination mechanisms that leverage the advantages of both. This requires shared standards, common data, role clarity at every level, and leadership culture that travels consistently across sites.</w:t>
      </w:r>
    </w:p>
    <w:p>
      <w:pPr>
        <w:spacing w:after="100" w:before="60"/>
      </w:pPr>
      <w:r>
        <w:rPr>
          <w:rFonts w:ascii="Arial" w:cs="Arial" w:eastAsia="Arial" w:hAnsi="Arial"/>
          <w:color w:val="2D2D2D"/>
          <w:sz w:val="20"/>
          <w:szCs w:val="20"/>
        </w:rPr>
        <w:t xml:space="preserve">For Australian organisations managing assets across multiple regional or remote sites — often supported by FIFO workforces, state-specific regulatory requirements, varied legacy systems, and differing local community contexts — the coordination challenge is amplified significantly. All of these dimensions are primarily organisational, not technical, in nature.</w:t>
      </w:r>
    </w:p>
    <w:p>
      <w:pPr>
        <w:spacing w:after="80"/>
      </w:pPr>
    </w:p>
    <w:p>
      <w:pPr>
        <w:pBdr>
          <w:bottom w:val="single" w:color="C87E28" w:sz="8" w:space="1"/>
        </w:pBdr>
        <w:spacing w:after="100"/>
      </w:pPr>
    </w:p>
    <w:p>
      <w:pPr>
        <w:pStyle w:val="Heading1"/>
        <w:spacing w:after="120" w:before="200"/>
      </w:pPr>
      <w:r>
        <w:rPr>
          <w:rFonts w:ascii="Arial" w:cs="Arial" w:eastAsia="Arial" w:hAnsi="Arial"/>
          <w:b/>
          <w:bCs/>
          <w:color w:val="1A2B4A"/>
          <w:sz w:val="28"/>
          <w:szCs w:val="28"/>
        </w:rPr>
        <w:t xml:space="preserve">9.  Operational Excellence: The Execution Gap</w:t>
      </w:r>
    </w:p>
    <w:p>
      <w:pPr>
        <w:spacing w:after="100" w:before="60"/>
      </w:pPr>
      <w:r>
        <w:rPr>
          <w:rFonts w:ascii="Arial" w:cs="Arial" w:eastAsia="Arial" w:hAnsi="Arial"/>
          <w:color w:val="2D2D2D"/>
          <w:sz w:val="20"/>
          <w:szCs w:val="20"/>
        </w:rPr>
        <w:t xml:space="preserve">McKinsey's Next-Generation Operational Excellence Survey (NGOES) — conducted December 2023 to January 2024 across 1,000 employees representing hundreds of organisations — identified a persistent gap between stated operational excellence priorities and actual organisational practice.</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500"/>
        <w:gridCol w:w="2526"/>
      </w:tblGrid>
      <w:tr>
        <w:tc>
          <w:tcPr>
            <w:tcW w:type="dxa" w:w="6500"/>
            <w:tcBorders>
              <w:top w:val="single" w:color="CCCCCC" w:sz="1"/>
              <w:left w:val="single" w:color="CCCCCC" w:sz="1"/>
              <w:bottom w:val="single" w:color="CCCCCC" w:sz="1"/>
              <w:right w:val="single" w:color="CCCCCC" w:sz="1"/>
            </w:tcBorders>
            <w:shd w:fill="F2F4F7" w:val="clear"/>
            <w:tcMar>
              <w:top w:type="dxa" w:w="120"/>
              <w:left w:type="dxa" w:w="140"/>
              <w:bottom w:type="dxa" w:w="120"/>
              <w:right w:type="dxa" w:w="100"/>
            </w:tcMar>
          </w:tcPr>
          <w:p>
            <w:r>
              <w:rPr>
                <w:rFonts w:ascii="Arial" w:cs="Arial" w:eastAsia="Arial" w:hAnsi="Arial"/>
                <w:b/>
                <w:bCs/>
                <w:color w:val="1A2B4A"/>
                <w:sz w:val="20"/>
                <w:szCs w:val="20"/>
              </w:rPr>
              <w:t xml:space="preserve">Less than one-quarter of survey respondents said their organisations expected leaders to provide development-oriented feedback. Only 11-13% said leaders actually gave the type of continual feedback that helps employees grow. Only one-fifth said their organisations systematically recognised employees for achievements.</w:t>
            </w:r>
          </w:p>
        </w:tc>
        <w:tc>
          <w:tcPr>
            <w:tcW w:type="dxa" w:w="2526"/>
            <w:tcBorders>
              <w:top w:val="single" w:color="CCCCCC" w:sz="1"/>
              <w:left w:val="single" w:color="CCCCCC" w:sz="1"/>
              <w:bottom w:val="single" w:color="CCCCCC" w:sz="1"/>
              <w:right w:val="single" w:color="CCCCCC" w:sz="1"/>
            </w:tcBorders>
            <w:shd w:fill="E3EAF4" w:val="clear"/>
            <w:tcMar>
              <w:top w:type="dxa" w:w="120"/>
              <w:left w:type="dxa" w:w="120"/>
              <w:bottom w:type="dxa" w:w="120"/>
              <w:right w:type="dxa" w:w="100"/>
            </w:tcMar>
            <w:vAlign w:val="center"/>
          </w:tcPr>
          <w:p>
            <w:pPr>
              <w:jc w:val="center"/>
            </w:pPr>
            <w:r>
              <w:rPr>
                <w:rFonts w:ascii="Arial" w:cs="Arial" w:eastAsia="Arial" w:hAnsi="Arial"/>
                <w:i/>
                <w:iCs/>
                <w:color w:val="555555"/>
                <w:sz w:val="16"/>
                <w:szCs w:val="16"/>
              </w:rPr>
              <w:t xml:space="preserve">McKinsey NGOES, 2024</w:t>
            </w:r>
          </w:p>
        </w:tc>
      </w:tr>
    </w:tbl>
    <w:p>
      <w:pPr>
        <w:spacing w:after="100"/>
      </w:pPr>
    </w:p>
    <w:p>
      <w:pPr>
        <w:spacing w:after="100" w:before="60"/>
      </w:pPr>
      <w:r>
        <w:rPr>
          <w:rFonts w:ascii="Arial" w:cs="Arial" w:eastAsia="Arial" w:hAnsi="Arial"/>
          <w:color w:val="2D2D2D"/>
          <w:sz w:val="20"/>
          <w:szCs w:val="20"/>
        </w:rPr>
        <w:t xml:space="preserve">These are not technology failures. They are leadership, culture, and organisational design failures. The survey also found that only about one-quarter of respondents used visual management tools to support essential tasks such as workload balancing and resource prioritisation — and almost no respondents said their organisations used such tools well.</w:t>
      </w:r>
    </w:p>
    <w:p>
      <w:pPr>
        <w:spacing w:after="100" w:before="60"/>
      </w:pPr>
      <w:r>
        <w:rPr>
          <w:rFonts w:ascii="Arial" w:cs="Arial" w:eastAsia="Arial" w:hAnsi="Arial"/>
          <w:color w:val="2D2D2D"/>
          <w:sz w:val="20"/>
          <w:szCs w:val="20"/>
        </w:rPr>
        <w:t xml:space="preserve">McKinsey's research on factory network knowledge sharing further demonstrates that 'isolated' sites — those not actively connected to their organisational network — consistently underperform relative to 'active network' sites that share knowledge and practices across their fleet. In a multi-site asset-intensive context, this insight is directly actionable.</w:t>
      </w:r>
    </w:p>
    <w:p>
      <w:pPr>
        <w:spacing w:after="80"/>
      </w:pPr>
    </w:p>
    <w:p>
      <w:pPr>
        <w:pBdr>
          <w:bottom w:val="single" w:color="C87E28" w:sz="8" w:space="1"/>
        </w:pBdr>
        <w:spacing w:after="100"/>
      </w:pPr>
    </w:p>
    <w:p>
      <w:pPr>
        <w:pStyle w:val="Heading1"/>
        <w:spacing w:after="120" w:before="200"/>
      </w:pPr>
      <w:r>
        <w:rPr>
          <w:rFonts w:ascii="Arial" w:cs="Arial" w:eastAsia="Arial" w:hAnsi="Arial"/>
          <w:b/>
          <w:bCs/>
          <w:color w:val="1A2B4A"/>
          <w:sz w:val="28"/>
          <w:szCs w:val="28"/>
        </w:rPr>
        <w:t xml:space="preserve">10.  Implications for Australian Large Multi-Site Operators</w:t>
      </w:r>
    </w:p>
    <w:p>
      <w:pPr>
        <w:spacing w:after="100" w:before="60"/>
      </w:pPr>
      <w:r>
        <w:rPr>
          <w:rFonts w:ascii="Arial" w:cs="Arial" w:eastAsia="Arial" w:hAnsi="Arial"/>
          <w:color w:val="2D2D2D"/>
          <w:sz w:val="20"/>
          <w:szCs w:val="20"/>
        </w:rPr>
        <w:t xml:space="preserve">The convergence of these research streams points to a clear conclusion: the organisations that will outperform over the next decade in asset-intensive sectors are those that treat organisational design, leadership quality, workforce capability, and knowledge management as strategic operational imperatives — not supporting functions.</w:t>
      </w:r>
    </w:p>
    <w:p>
      <w:pPr>
        <w:spacing w:after="100" w:before="60"/>
      </w:pPr>
      <w:r>
        <w:rPr>
          <w:rFonts w:ascii="Arial" w:cs="Arial" w:eastAsia="Arial" w:hAnsi="Arial"/>
          <w:color w:val="2D2D2D"/>
          <w:sz w:val="20"/>
          <w:szCs w:val="20"/>
        </w:rPr>
        <w:t xml:space="preserve">For large Australian operators — in mining, utilities, rail, and public infrastructure — the specific organisational effectiveness challenges include:</w:t>
      </w:r>
    </w:p>
    <w:p>
      <w:pPr>
        <w:pStyle w:val="ListParagraph"/>
        <w:numPr>
          <w:ilvl w:val="0"/>
          <w:numId w:val="2"/>
        </w:numPr>
      </w:pPr>
      <w:r>
        <w:rPr>
          <w:rFonts w:ascii="Arial" w:cs="Arial" w:eastAsia="Arial" w:hAnsi="Arial"/>
          <w:color w:val="2D2D2D"/>
          <w:sz w:val="20"/>
          <w:szCs w:val="20"/>
        </w:rPr>
        <w:t xml:space="preserve">Coordinating maintenance standards, procedures, and practices across sites with different histories, systems, and cultures</w:t>
      </w:r>
    </w:p>
    <w:p>
      <w:pPr>
        <w:pStyle w:val="ListParagraph"/>
        <w:numPr>
          <w:ilvl w:val="0"/>
          <w:numId w:val="2"/>
        </w:numPr>
      </w:pPr>
      <w:r>
        <w:rPr>
          <w:rFonts w:ascii="Arial" w:cs="Arial" w:eastAsia="Arial" w:hAnsi="Arial"/>
          <w:color w:val="2D2D2D"/>
          <w:sz w:val="20"/>
          <w:szCs w:val="20"/>
        </w:rPr>
        <w:t xml:space="preserve">Managing the tension between centralised strategy and site-level autonomy without creating either bureaucratic paralysis or fragmented execution</w:t>
      </w:r>
    </w:p>
    <w:p>
      <w:pPr>
        <w:pStyle w:val="ListParagraph"/>
        <w:numPr>
          <w:ilvl w:val="0"/>
          <w:numId w:val="2"/>
        </w:numPr>
      </w:pPr>
      <w:r>
        <w:rPr>
          <w:rFonts w:ascii="Arial" w:cs="Arial" w:eastAsia="Arial" w:hAnsi="Arial"/>
          <w:color w:val="2D2D2D"/>
          <w:sz w:val="20"/>
          <w:szCs w:val="20"/>
        </w:rPr>
        <w:t xml:space="preserve">Developing and retaining technically capable people in an environment of sustained skills shortage and FIFO workforce dynamics</w:t>
      </w:r>
    </w:p>
    <w:p>
      <w:pPr>
        <w:pStyle w:val="ListParagraph"/>
        <w:numPr>
          <w:ilvl w:val="0"/>
          <w:numId w:val="2"/>
        </w:numPr>
      </w:pPr>
      <w:r>
        <w:rPr>
          <w:rFonts w:ascii="Arial" w:cs="Arial" w:eastAsia="Arial" w:hAnsi="Arial"/>
          <w:color w:val="2D2D2D"/>
          <w:sz w:val="20"/>
          <w:szCs w:val="20"/>
        </w:rPr>
        <w:t xml:space="preserve">Building organisational knowledge management systems that survive individual departure, site closure, and workforce transition</w:t>
      </w:r>
    </w:p>
    <w:p>
      <w:pPr>
        <w:pStyle w:val="ListParagraph"/>
        <w:numPr>
          <w:ilvl w:val="0"/>
          <w:numId w:val="2"/>
        </w:numPr>
      </w:pPr>
      <w:r>
        <w:rPr>
          <w:rFonts w:ascii="Arial" w:cs="Arial" w:eastAsia="Arial" w:hAnsi="Arial"/>
          <w:color w:val="2D2D2D"/>
          <w:sz w:val="20"/>
          <w:szCs w:val="20"/>
        </w:rPr>
        <w:t xml:space="preserve">Developing frontline management capability at the scale and consistency required to drive sustained asset performance across a geographically dispersed operation</w:t>
      </w:r>
    </w:p>
    <w:p>
      <w:pPr>
        <w:pStyle w:val="ListParagraph"/>
        <w:numPr>
          <w:ilvl w:val="0"/>
          <w:numId w:val="2"/>
        </w:numPr>
      </w:pPr>
      <w:r>
        <w:rPr>
          <w:rFonts w:ascii="Arial" w:cs="Arial" w:eastAsia="Arial" w:hAnsi="Arial"/>
          <w:color w:val="2D2D2D"/>
          <w:sz w:val="20"/>
          <w:szCs w:val="20"/>
        </w:rPr>
        <w:t xml:space="preserve">Closing the gap between documented asset management systems (ISO 55001 conformance) and lived operational reality at site level</w:t>
      </w:r>
    </w:p>
    <w:p>
      <w:pPr>
        <w:spacing w:after="100"/>
      </w:pPr>
    </w:p>
    <w:p>
      <w:pPr>
        <w:spacing w:after="100" w:before="60"/>
      </w:pPr>
      <w:r>
        <w:rPr>
          <w:rFonts w:ascii="Arial" w:cs="Arial" w:eastAsia="Arial" w:hAnsi="Arial"/>
          <w:color w:val="2D2D2D"/>
          <w:sz w:val="20"/>
          <w:szCs w:val="20"/>
        </w:rPr>
        <w:t xml:space="preserve">Addressing these challenges requires a structured, evidence-based approach to organisational effectiveness that is grounded in the specific operational realities of large, asset-intensive, multi-site environments. This is the domain of SEAMPAS.</w:t>
      </w:r>
    </w:p>
    <w:p>
      <w:pPr>
        <w:spacing w:after="100"/>
      </w:pPr>
    </w:p>
    <w:p>
      <w:pPr>
        <w:pBdr>
          <w:bottom w:val="single" w:color="C87E28" w:sz="8" w:space="1"/>
        </w:pBdr>
        <w:spacing w:after="100"/>
      </w:pPr>
    </w:p>
    <w:p>
      <w:pPr>
        <w:pStyle w:val="Heading1"/>
        <w:spacing w:after="120" w:before="200"/>
      </w:pPr>
      <w:r>
        <w:rPr>
          <w:rFonts w:ascii="Arial" w:cs="Arial" w:eastAsia="Arial" w:hAnsi="Arial"/>
          <w:b/>
          <w:bCs/>
          <w:color w:val="1A2B4A"/>
          <w:sz w:val="28"/>
          <w:szCs w:val="28"/>
        </w:rPr>
        <w:t xml:space="preserve">11.  Summary: Key Statistics at a Glance</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00"/>
        <w:gridCol w:w="2826"/>
        <w:gridCol w:w="1700"/>
      </w:tblGrid>
      <w:tr>
        <w:tc>
          <w:tcPr>
            <w:tcW w:type="dxa" w:w="4500"/>
            <w:tcBorders>
              <w:top w:val="single" w:color="CCCCCC" w:sz="1"/>
              <w:left w:val="single" w:color="CCCCCC" w:sz="1"/>
              <w:bottom w:val="single" w:color="CCCCCC" w:sz="1"/>
              <w:right w:val="single" w:color="CCCCCC" w:sz="1"/>
            </w:tcBorders>
            <w:shd w:fill="1A2B4A" w:val="clear"/>
            <w:tcMar>
              <w:top w:type="dxa" w:w="100"/>
              <w:left w:type="dxa" w:w="120"/>
              <w:bottom w:type="dxa" w:w="100"/>
              <w:right w:type="dxa" w:w="80"/>
            </w:tcMar>
          </w:tcPr>
          <w:p>
            <w:r>
              <w:rPr>
                <w:rFonts w:ascii="Arial" w:cs="Arial" w:eastAsia="Arial" w:hAnsi="Arial"/>
                <w:b/>
                <w:bCs/>
                <w:color w:val="FFFFFF"/>
                <w:sz w:val="18"/>
                <w:szCs w:val="18"/>
              </w:rPr>
              <w:t xml:space="preserve">Statistic</w:t>
            </w:r>
          </w:p>
        </w:tc>
        <w:tc>
          <w:tcPr>
            <w:tcW w:type="dxa" w:w="2826"/>
            <w:tcBorders>
              <w:top w:val="single" w:color="CCCCCC" w:sz="1"/>
              <w:left w:val="single" w:color="CCCCCC" w:sz="1"/>
              <w:bottom w:val="single" w:color="CCCCCC" w:sz="1"/>
              <w:right w:val="single" w:color="CCCCCC" w:sz="1"/>
            </w:tcBorders>
            <w:shd w:fill="1A2B4A" w:val="clear"/>
            <w:tcMar>
              <w:top w:type="dxa" w:w="100"/>
              <w:left w:type="dxa" w:w="120"/>
              <w:bottom w:type="dxa" w:w="100"/>
              <w:right w:type="dxa" w:w="80"/>
            </w:tcMar>
          </w:tcPr>
          <w:p>
            <w:r>
              <w:rPr>
                <w:rFonts w:ascii="Arial" w:cs="Arial" w:eastAsia="Arial" w:hAnsi="Arial"/>
                <w:b/>
                <w:bCs/>
                <w:color w:val="FFFFFF"/>
                <w:sz w:val="18"/>
                <w:szCs w:val="18"/>
              </w:rPr>
              <w:t xml:space="preserve">Source</w:t>
            </w:r>
          </w:p>
        </w:tc>
        <w:tc>
          <w:tcPr>
            <w:tcW w:type="dxa" w:w="1700"/>
            <w:tcBorders>
              <w:top w:val="single" w:color="CCCCCC" w:sz="1"/>
              <w:left w:val="single" w:color="CCCCCC" w:sz="1"/>
              <w:bottom w:val="single" w:color="CCCCCC" w:sz="1"/>
              <w:right w:val="single" w:color="CCCCCC" w:sz="1"/>
            </w:tcBorders>
            <w:shd w:fill="1A2B4A" w:val="clear"/>
            <w:tcMar>
              <w:top w:type="dxa" w:w="100"/>
              <w:left w:type="dxa" w:w="120"/>
              <w:bottom w:type="dxa" w:w="100"/>
              <w:right w:type="dxa" w:w="80"/>
            </w:tcMar>
          </w:tcPr>
          <w:p>
            <w:r>
              <w:rPr>
                <w:rFonts w:ascii="Arial" w:cs="Arial" w:eastAsia="Arial" w:hAnsi="Arial"/>
                <w:b/>
                <w:bCs/>
                <w:color w:val="FFFFFF"/>
                <w:sz w:val="18"/>
                <w:szCs w:val="18"/>
              </w:rPr>
              <w:t xml:space="preserve">Year</w:t>
            </w:r>
          </w:p>
        </w:tc>
      </w:tr>
      <w:tr>
        <w:tc>
          <w:tcPr>
            <w:tcW w:type="dxa" w:w="4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Two-thirds of global business leaders say their organisations are overly complex and inefficient</w:t>
            </w:r>
          </w:p>
        </w:tc>
        <w:tc>
          <w:tcPr>
            <w:tcW w:type="dxa" w:w="28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McKinsey State of Organizations</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2023</w:t>
            </w:r>
          </w:p>
        </w:tc>
      </w:tr>
      <w:tr>
        <w:tc>
          <w:tcPr>
            <w:tcW w:type="dxa" w:w="45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40% cite complex organisational structure as a direct cause of inefficiency — paired with unclear roles and slow decision-making</w:t>
            </w:r>
          </w:p>
        </w:tc>
        <w:tc>
          <w:tcPr>
            <w:tcW w:type="dxa" w:w="2826"/>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McKinsey State of Organizations</w:t>
            </w:r>
          </w:p>
        </w:tc>
        <w:tc>
          <w:tcPr>
            <w:tcW w:type="dxa" w:w="17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2023</w:t>
            </w:r>
          </w:p>
        </w:tc>
      </w:tr>
      <w:tr>
        <w:tc>
          <w:tcPr>
            <w:tcW w:type="dxa" w:w="4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20-30% of critical positions in many organisations are not occupied by the most suitable candidates</w:t>
            </w:r>
          </w:p>
        </w:tc>
        <w:tc>
          <w:tcPr>
            <w:tcW w:type="dxa" w:w="28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McKinsey State of Organizations</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2023</w:t>
            </w:r>
          </w:p>
        </w:tc>
      </w:tr>
      <w:tr>
        <w:tc>
          <w:tcPr>
            <w:tcW w:type="dxa" w:w="45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Australia's labour productivity fell sharply in 2022-23 as record-high hours worked outpaced output growth</w:t>
            </w:r>
          </w:p>
        </w:tc>
        <w:tc>
          <w:tcPr>
            <w:tcW w:type="dxa" w:w="2826"/>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Productivity Commission Annual Bulletin</w:t>
            </w:r>
          </w:p>
        </w:tc>
        <w:tc>
          <w:tcPr>
            <w:tcW w:type="dxa" w:w="17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2024</w:t>
            </w:r>
          </w:p>
        </w:tc>
      </w:tr>
      <w:tr>
        <w:tc>
          <w:tcPr>
            <w:tcW w:type="dxa" w:w="4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Australia's multifactor productivity declined 0.5% in 2024-25, falling below the 20-year average</w:t>
            </w:r>
          </w:p>
        </w:tc>
        <w:tc>
          <w:tcPr>
            <w:tcW w:type="dxa" w:w="28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ABS / Productivity Commission</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2025</w:t>
            </w:r>
          </w:p>
        </w:tc>
      </w:tr>
      <w:tr>
        <w:tc>
          <w:tcPr>
            <w:tcW w:type="dxa" w:w="45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Australia's five-year major public infrastructure pipeline grew 14% to $242 billion (2024-25 to 2028-29)</w:t>
            </w:r>
          </w:p>
        </w:tc>
        <w:tc>
          <w:tcPr>
            <w:tcW w:type="dxa" w:w="2826"/>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Infrastructure Australia</w:t>
            </w:r>
          </w:p>
        </w:tc>
        <w:tc>
          <w:tcPr>
            <w:tcW w:type="dxa" w:w="17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2025</w:t>
            </w:r>
          </w:p>
        </w:tc>
      </w:tr>
      <w:tr>
        <w:tc>
          <w:tcPr>
            <w:tcW w:type="dxa" w:w="4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Industry is currently short of 141,000 workers needed to deliver Australia's five-year infrastructure pipeline</w:t>
            </w:r>
          </w:p>
        </w:tc>
        <w:tc>
          <w:tcPr>
            <w:tcW w:type="dxa" w:w="28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Infrastructure Australia</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2025</w:t>
            </w:r>
          </w:p>
        </w:tc>
      </w:tr>
      <w:tr>
        <w:tc>
          <w:tcPr>
            <w:tcW w:type="dxa" w:w="45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Mining skills shortage rose from 34% to 63% between 2021 and 2022 — the second most acute of all industries</w:t>
            </w:r>
          </w:p>
        </w:tc>
        <w:tc>
          <w:tcPr>
            <w:tcW w:type="dxa" w:w="2826"/>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AUSMASA Mining Research Bulletin</w:t>
            </w:r>
          </w:p>
        </w:tc>
        <w:tc>
          <w:tcPr>
            <w:tcW w:type="dxa" w:w="17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2025</w:t>
            </w:r>
          </w:p>
        </w:tc>
      </w:tr>
      <w:tr>
        <w:tc>
          <w:tcPr>
            <w:tcW w:type="dxa" w:w="4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Mining Engineer fill rates were just 42% in 2021; 11 of the top 20 mining occupations are on the Skills Priority List</w:t>
            </w:r>
          </w:p>
        </w:tc>
        <w:tc>
          <w:tcPr>
            <w:tcW w:type="dxa" w:w="28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AUSMASA Workforce Plan</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2024</w:t>
            </w:r>
          </w:p>
        </w:tc>
      </w:tr>
      <w:tr>
        <w:tc>
          <w:tcPr>
            <w:tcW w:type="dxa" w:w="45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Australian mining industry will require an additional 56,000 workers by 2033; WA to account for 40% of growth</w:t>
            </w:r>
          </w:p>
        </w:tc>
        <w:tc>
          <w:tcPr>
            <w:tcW w:type="dxa" w:w="2826"/>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Mining Technology / AUSMASA</w:t>
            </w:r>
          </w:p>
        </w:tc>
        <w:tc>
          <w:tcPr>
            <w:tcW w:type="dxa" w:w="17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2025</w:t>
            </w:r>
          </w:p>
        </w:tc>
      </w:tr>
      <w:tr>
        <w:tc>
          <w:tcPr>
            <w:tcW w:type="dxa" w:w="4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Maintenance costs represent 20-60% of overall opex in asset-intensive industries</w:t>
            </w:r>
          </w:p>
        </w:tc>
        <w:tc>
          <w:tcPr>
            <w:tcW w:type="dxa" w:w="28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McKinsey Operations</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2023</w:t>
            </w:r>
          </w:p>
        </w:tc>
      </w:tr>
      <w:tr>
        <w:tc>
          <w:tcPr>
            <w:tcW w:type="dxa" w:w="45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Poor maintenance strategies can reduce a plant's overall productive capacity by 5-20%</w:t>
            </w:r>
          </w:p>
        </w:tc>
        <w:tc>
          <w:tcPr>
            <w:tcW w:type="dxa" w:w="2826"/>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Deloitte Industry 4.0</w:t>
            </w:r>
          </w:p>
        </w:tc>
        <w:tc>
          <w:tcPr>
            <w:tcW w:type="dxa" w:w="17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Ongoing</w:t>
            </w:r>
          </w:p>
        </w:tc>
      </w:tr>
      <w:tr>
        <w:tc>
          <w:tcPr>
            <w:tcW w:type="dxa" w:w="4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Unplanned downtime costs industrial manufacturers an estimated USD $50 billion each year</w:t>
            </w:r>
          </w:p>
        </w:tc>
        <w:tc>
          <w:tcPr>
            <w:tcW w:type="dxa" w:w="28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Deloitte / IndustryWeek</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Ongoing</w:t>
            </w:r>
          </w:p>
        </w:tc>
      </w:tr>
      <w:tr>
        <w:tc>
          <w:tcPr>
            <w:tcW w:type="dxa" w:w="45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62% of asset-intensive organisations face above-inflation maintenance cost increases despite adopting modern approaches</w:t>
            </w:r>
          </w:p>
        </w:tc>
        <w:tc>
          <w:tcPr>
            <w:tcW w:type="dxa" w:w="2826"/>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McKinsey Asset Productivity Survey</w:t>
            </w:r>
          </w:p>
        </w:tc>
        <w:tc>
          <w:tcPr>
            <w:tcW w:type="dxa" w:w="17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2023</w:t>
            </w:r>
          </w:p>
        </w:tc>
      </w:tr>
      <w:tr>
        <w:tc>
          <w:tcPr>
            <w:tcW w:type="dxa" w:w="4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73% of asset-intensive organisations say it is difficult to recruit new maintenance technicians</w:t>
            </w:r>
          </w:p>
        </w:tc>
        <w:tc>
          <w:tcPr>
            <w:tcW w:type="dxa" w:w="28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McKinsey Asset Productivity Survey</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2023</w:t>
            </w:r>
          </w:p>
        </w:tc>
      </w:tr>
      <w:tr>
        <w:tc>
          <w:tcPr>
            <w:tcW w:type="dxa" w:w="45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99% of surveyed organisations have undertaken a maintenance transformation in the past five years — yet cost gaps persist</w:t>
            </w:r>
          </w:p>
        </w:tc>
        <w:tc>
          <w:tcPr>
            <w:tcW w:type="dxa" w:w="2826"/>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McKinsey Asset Productivity Survey</w:t>
            </w:r>
          </w:p>
        </w:tc>
        <w:tc>
          <w:tcPr>
            <w:tcW w:type="dxa" w:w="17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2023</w:t>
            </w:r>
          </w:p>
        </w:tc>
      </w:tr>
      <w:tr>
        <w:tc>
          <w:tcPr>
            <w:tcW w:type="dxa" w:w="4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Only 55% of asset-intensive organisations have formal systems for knowledge sharing between technicians</w:t>
            </w:r>
          </w:p>
        </w:tc>
        <w:tc>
          <w:tcPr>
            <w:tcW w:type="dxa" w:w="28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McKinsey Asset Productivity Survey</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2023</w:t>
            </w:r>
          </w:p>
        </w:tc>
      </w:tr>
      <w:tr>
        <w:tc>
          <w:tcPr>
            <w:tcW w:type="dxa" w:w="45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PM tasks make up only 51% of maintenance activity on average, vs. 70-85% in organisations with mature RCM capabilities</w:t>
            </w:r>
          </w:p>
        </w:tc>
        <w:tc>
          <w:tcPr>
            <w:tcW w:type="dxa" w:w="2826"/>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McKinsey Asset Productivity Survey</w:t>
            </w:r>
          </w:p>
        </w:tc>
        <w:tc>
          <w:tcPr>
            <w:tcW w:type="dxa" w:w="17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2023</w:t>
            </w:r>
          </w:p>
        </w:tc>
      </w:tr>
      <w:tr>
        <w:tc>
          <w:tcPr>
            <w:tcW w:type="dxa" w:w="4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Maintenance represents 20-40% of operating cost in heavy industries and drives 30-50% of overall equipment effectiveness losses</w:t>
            </w:r>
          </w:p>
        </w:tc>
        <w:tc>
          <w:tcPr>
            <w:tcW w:type="dxa" w:w="28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McKinsey OHI Maintenance Study</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2024</w:t>
            </w:r>
          </w:p>
        </w:tc>
      </w:tr>
      <w:tr>
        <w:tc>
          <w:tcPr>
            <w:tcW w:type="dxa" w:w="45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71% say preventive maintenance is their primary strategy; fewer than 35% actually spend most time on it</w:t>
            </w:r>
          </w:p>
        </w:tc>
        <w:tc>
          <w:tcPr>
            <w:tcW w:type="dxa" w:w="2826"/>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MaintainX State of Maintenance</w:t>
            </w:r>
          </w:p>
        </w:tc>
        <w:tc>
          <w:tcPr>
            <w:tcW w:type="dxa" w:w="17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2025</w:t>
            </w:r>
          </w:p>
        </w:tc>
      </w:tr>
      <w:tr>
        <w:tc>
          <w:tcPr>
            <w:tcW w:type="dxa" w:w="4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58% of facilities spend less than half their time on scheduled maintenance</w:t>
            </w:r>
          </w:p>
        </w:tc>
        <w:tc>
          <w:tcPr>
            <w:tcW w:type="dxa" w:w="28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MaintainX State of Maintenance</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2025</w:t>
            </w:r>
          </w:p>
        </w:tc>
      </w:tr>
      <w:tr>
        <w:tc>
          <w:tcPr>
            <w:tcW w:type="dxa" w:w="45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Global employee engagement fell from 23% in 2023 to 21% in 2024, costing the world economy USD $438 billion in lost productivity</w:t>
            </w:r>
          </w:p>
        </w:tc>
        <w:tc>
          <w:tcPr>
            <w:tcW w:type="dxa" w:w="2826"/>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Gallup State of Global Workplace</w:t>
            </w:r>
          </w:p>
        </w:tc>
        <w:tc>
          <w:tcPr>
            <w:tcW w:type="dxa" w:w="17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2025</w:t>
            </w:r>
          </w:p>
        </w:tc>
      </w:tr>
      <w:tr>
        <w:tc>
          <w:tcPr>
            <w:tcW w:type="dxa" w:w="4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Manager engagement fell from 30% to 27% in 2024 — the primary driver of the global engagement decline</w:t>
            </w:r>
          </w:p>
        </w:tc>
        <w:tc>
          <w:tcPr>
            <w:tcW w:type="dxa" w:w="28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Gallup State of Global Workplace</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2025</w:t>
            </w:r>
          </w:p>
        </w:tc>
      </w:tr>
      <w:tr>
        <w:tc>
          <w:tcPr>
            <w:tcW w:type="dxa" w:w="45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Managers account for 70% of the variance in employee engagement levels</w:t>
            </w:r>
          </w:p>
        </w:tc>
        <w:tc>
          <w:tcPr>
            <w:tcW w:type="dxa" w:w="2826"/>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Gallup / Happiness Index</w:t>
            </w:r>
          </w:p>
        </w:tc>
        <w:tc>
          <w:tcPr>
            <w:tcW w:type="dxa" w:w="17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2024</w:t>
            </w:r>
          </w:p>
        </w:tc>
      </w:tr>
      <w:tr>
        <w:tc>
          <w:tcPr>
            <w:tcW w:type="dxa" w:w="4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High-engagement organisations: 23% productivity increase, 51% lower turnover, 68% improvement in employee wellbeing</w:t>
            </w:r>
          </w:p>
        </w:tc>
        <w:tc>
          <w:tcPr>
            <w:tcW w:type="dxa" w:w="28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Gallup State of Global Workplace</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2024</w:t>
            </w:r>
          </w:p>
        </w:tc>
      </w:tr>
      <w:tr>
        <w:tc>
          <w:tcPr>
            <w:tcW w:type="dxa" w:w="45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In best-practice organisations, 75% of managers and 70% of non-managers are engaged — vs. 27% and 18% globally</w:t>
            </w:r>
          </w:p>
        </w:tc>
        <w:tc>
          <w:tcPr>
            <w:tcW w:type="dxa" w:w="2826"/>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Gallup State of Global Workplace</w:t>
            </w:r>
          </w:p>
        </w:tc>
        <w:tc>
          <w:tcPr>
            <w:tcW w:type="dxa" w:w="17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2024</w:t>
            </w:r>
          </w:p>
        </w:tc>
      </w:tr>
      <w:tr>
        <w:tc>
          <w:tcPr>
            <w:tcW w:type="dxa" w:w="4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Only 44% of managers globally report ever receiving management training</w:t>
            </w:r>
          </w:p>
        </w:tc>
        <w:tc>
          <w:tcPr>
            <w:tcW w:type="dxa" w:w="28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Gallup State of Global Workplace</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80"/>
            </w:tcMar>
          </w:tcPr>
          <w:p>
            <w:r>
              <w:rPr>
                <w:rFonts w:ascii="Arial" w:cs="Arial" w:eastAsia="Arial" w:hAnsi="Arial"/>
                <w:color w:val="2D2D2D"/>
                <w:sz w:val="17"/>
                <w:szCs w:val="17"/>
              </w:rPr>
              <w:t xml:space="preserve">2025</w:t>
            </w:r>
          </w:p>
        </w:tc>
      </w:tr>
      <w:tr>
        <w:tc>
          <w:tcPr>
            <w:tcW w:type="dxa" w:w="45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ISO 55012:2024 — new standard introduced July 2024 addressing people involvement, competence and culture in asset management</w:t>
            </w:r>
          </w:p>
        </w:tc>
        <w:tc>
          <w:tcPr>
            <w:tcW w:type="dxa" w:w="2826"/>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ISO / TC 251</w:t>
            </w:r>
          </w:p>
        </w:tc>
        <w:tc>
          <w:tcPr>
            <w:tcW w:type="dxa" w:w="17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80"/>
            </w:tcMar>
          </w:tcPr>
          <w:p>
            <w:r>
              <w:rPr>
                <w:rFonts w:ascii="Arial" w:cs="Arial" w:eastAsia="Arial" w:hAnsi="Arial"/>
                <w:color w:val="2D2D2D"/>
                <w:sz w:val="17"/>
                <w:szCs w:val="17"/>
              </w:rPr>
              <w:t xml:space="preserve">2024</w:t>
            </w:r>
          </w:p>
        </w:tc>
      </w:tr>
    </w:tbl>
    <w:p>
      <w:pPr>
        <w:spacing w:after="200"/>
      </w:pPr>
    </w:p>
    <w:p>
      <w:r>
        <w:br w:type="page"/>
      </w:r>
    </w:p>
    <w:p>
      <w:pPr>
        <w:pBdr>
          <w:bottom w:val="single" w:color="C87E28" w:sz="8" w:space="1"/>
        </w:pBdr>
        <w:spacing w:after="100"/>
      </w:pPr>
    </w:p>
    <w:p>
      <w:pPr>
        <w:pStyle w:val="Heading1"/>
        <w:spacing w:after="120" w:before="200"/>
      </w:pPr>
      <w:r>
        <w:rPr>
          <w:rFonts w:ascii="Arial" w:cs="Arial" w:eastAsia="Arial" w:hAnsi="Arial"/>
          <w:b/>
          <w:bCs/>
          <w:color w:val="1A2B4A"/>
          <w:sz w:val="28"/>
          <w:szCs w:val="28"/>
        </w:rPr>
        <w:t xml:space="preserve">Appendix: Verified Source Links</w:t>
      </w:r>
    </w:p>
    <w:p>
      <w:pPr>
        <w:spacing w:after="100" w:before="60"/>
      </w:pPr>
      <w:r>
        <w:rPr>
          <w:rFonts w:ascii="Arial" w:cs="Arial" w:eastAsia="Arial" w:hAnsi="Arial"/>
          <w:color w:val="2D2D2D"/>
          <w:sz w:val="20"/>
          <w:szCs w:val="20"/>
        </w:rPr>
        <w:t xml:space="preserve">All sources below were accessed and confirmed as live and accessible as at June 2026. Where a direct URL is provided, it opens the primary or most proximate source document or publication page. URLs are provided in plain text to ensure compatibility across all document readers.</w:t>
      </w:r>
    </w:p>
    <w:p>
      <w:pPr>
        <w:spacing w:after="80"/>
      </w:pPr>
    </w:p>
    <w:p>
      <w:pPr>
        <w:spacing w:after="80" w:before="200"/>
      </w:pPr>
      <w:r>
        <w:rPr>
          <w:rFonts w:ascii="Arial" w:cs="Arial" w:eastAsia="Arial" w:hAnsi="Arial"/>
          <w:b/>
          <w:bCs/>
          <w:color w:val="C87E28"/>
          <w:sz w:val="22"/>
          <w:szCs w:val="22"/>
        </w:rPr>
        <w:t xml:space="preserve">A.  McKinsey and Company</w:t>
      </w:r>
    </w:p>
    <w:p>
      <w:pPr>
        <w:spacing w:after="80" w:before="40"/>
      </w:pPr>
      <w:r>
        <w:rPr>
          <w:rFonts w:ascii="Arial" w:cs="Arial" w:eastAsia="Arial" w:hAnsi="Arial"/>
          <w:b/>
          <w:bCs/>
          <w:color w:val="1A2B4A"/>
          <w:sz w:val="18"/>
          <w:szCs w:val="18"/>
        </w:rPr>
        <w:t xml:space="preserve">The State of Organizations 2023: Ten Shifts Transforming Organizations (April 2023)</w:t>
      </w:r>
      <w:r>
        <w:rPr>
          <w:rFonts w:ascii="Arial" w:cs="Arial" w:eastAsia="Arial" w:hAnsi="Arial"/>
          <w:sz w:val="18"/>
          <w:szCs w:val="18"/>
        </w:rPr>
        <w:t xml:space="preserve">  </w:t>
      </w:r>
      <w:r>
        <w:rPr>
          <w:rFonts w:ascii="Arial" w:cs="Arial" w:eastAsia="Arial" w:hAnsi="Arial"/>
          <w:color w:val="555555"/>
          <w:sz w:val="17"/>
          <w:szCs w:val="17"/>
        </w:rPr>
        <w:t xml:space="preserve">https://www.mckinsey.com/capabilities/people-and-organizational-performance/our-insights/the-state-of-organizations-2023</w:t>
      </w:r>
    </w:p>
    <w:p>
      <w:pPr>
        <w:spacing w:after="80" w:before="40"/>
      </w:pPr>
      <w:r>
        <w:rPr>
          <w:rFonts w:ascii="Arial" w:cs="Arial" w:eastAsia="Arial" w:hAnsi="Arial"/>
          <w:b/>
          <w:bCs/>
          <w:color w:val="1A2B4A"/>
          <w:sz w:val="18"/>
          <w:szCs w:val="18"/>
        </w:rPr>
        <w:t xml:space="preserve">Maintenance and Operations: Is Asset Productivity Broken? (April 2023)</w:t>
      </w:r>
      <w:r>
        <w:rPr>
          <w:rFonts w:ascii="Arial" w:cs="Arial" w:eastAsia="Arial" w:hAnsi="Arial"/>
          <w:sz w:val="18"/>
          <w:szCs w:val="18"/>
        </w:rPr>
        <w:t xml:space="preserve">  </w:t>
      </w:r>
      <w:r>
        <w:rPr>
          <w:rFonts w:ascii="Arial" w:cs="Arial" w:eastAsia="Arial" w:hAnsi="Arial"/>
          <w:color w:val="555555"/>
          <w:sz w:val="17"/>
          <w:szCs w:val="17"/>
        </w:rPr>
        <w:t xml:space="preserve">https://www.mckinsey.com/industries/electric-power-and-natural-gas/our-insights/maintenance-and-operations-is-asset-productivity-broken</w:t>
      </w:r>
    </w:p>
    <w:p>
      <w:pPr>
        <w:spacing w:after="80" w:before="40"/>
      </w:pPr>
      <w:r>
        <w:rPr>
          <w:rFonts w:ascii="Arial" w:cs="Arial" w:eastAsia="Arial" w:hAnsi="Arial"/>
          <w:b/>
          <w:bCs/>
          <w:color w:val="1A2B4A"/>
          <w:sz w:val="18"/>
          <w:szCs w:val="18"/>
        </w:rPr>
        <w:t xml:space="preserve">More Uptime, Lower Cost: Boosting Organizational Health in Maintenance (February 2024)</w:t>
      </w:r>
      <w:r>
        <w:rPr>
          <w:rFonts w:ascii="Arial" w:cs="Arial" w:eastAsia="Arial" w:hAnsi="Arial"/>
          <w:sz w:val="18"/>
          <w:szCs w:val="18"/>
        </w:rPr>
        <w:t xml:space="preserve">  </w:t>
      </w:r>
      <w:r>
        <w:rPr>
          <w:rFonts w:ascii="Arial" w:cs="Arial" w:eastAsia="Arial" w:hAnsi="Arial"/>
          <w:color w:val="555555"/>
          <w:sz w:val="17"/>
          <w:szCs w:val="17"/>
        </w:rPr>
        <w:t xml:space="preserve">https://www.mckinsey.com/capabilities/operations/our-insights/more-uptime-lower-cost-boosting-organizational-health-in-maintenance</w:t>
      </w:r>
    </w:p>
    <w:p>
      <w:pPr>
        <w:spacing w:after="80" w:before="40"/>
      </w:pPr>
      <w:r>
        <w:rPr>
          <w:rFonts w:ascii="Arial" w:cs="Arial" w:eastAsia="Arial" w:hAnsi="Arial"/>
          <w:b/>
          <w:bCs/>
          <w:color w:val="1A2B4A"/>
          <w:sz w:val="18"/>
          <w:szCs w:val="18"/>
        </w:rPr>
        <w:t xml:space="preserve">Operational Excellence for Peak Productivity — NGOES Survey Results (October 2024)</w:t>
      </w:r>
      <w:r>
        <w:rPr>
          <w:rFonts w:ascii="Arial" w:cs="Arial" w:eastAsia="Arial" w:hAnsi="Arial"/>
          <w:sz w:val="18"/>
          <w:szCs w:val="18"/>
        </w:rPr>
        <w:t xml:space="preserve">  </w:t>
      </w:r>
      <w:r>
        <w:rPr>
          <w:rFonts w:ascii="Arial" w:cs="Arial" w:eastAsia="Arial" w:hAnsi="Arial"/>
          <w:color w:val="555555"/>
          <w:sz w:val="17"/>
          <w:szCs w:val="17"/>
        </w:rPr>
        <w:t xml:space="preserve">https://www.mckinsey.com/capabilities/operations/our-insights/breaking-operational-barriers-to-peak-productivity</w:t>
      </w:r>
    </w:p>
    <w:p>
      <w:pPr>
        <w:spacing w:after="80" w:before="40"/>
      </w:pPr>
      <w:r>
        <w:rPr>
          <w:rFonts w:ascii="Arial" w:cs="Arial" w:eastAsia="Arial" w:hAnsi="Arial"/>
          <w:b/>
          <w:bCs/>
          <w:color w:val="1A2B4A"/>
          <w:sz w:val="18"/>
          <w:szCs w:val="18"/>
        </w:rPr>
        <w:t xml:space="preserve">The Future of Maintenance for Distributed Fixed Assets</w:t>
      </w:r>
      <w:r>
        <w:rPr>
          <w:rFonts w:ascii="Arial" w:cs="Arial" w:eastAsia="Arial" w:hAnsi="Arial"/>
          <w:sz w:val="18"/>
          <w:szCs w:val="18"/>
        </w:rPr>
        <w:t xml:space="preserve">  </w:t>
      </w:r>
      <w:r>
        <w:rPr>
          <w:rFonts w:ascii="Arial" w:cs="Arial" w:eastAsia="Arial" w:hAnsi="Arial"/>
          <w:color w:val="555555"/>
          <w:sz w:val="17"/>
          <w:szCs w:val="17"/>
        </w:rPr>
        <w:t xml:space="preserve">https://www.mckinsey.com/capabilities/operations/our-insights/the-future-of-maintenance-for-distributed-fixed-assets</w:t>
      </w:r>
    </w:p>
    <w:p>
      <w:pPr>
        <w:spacing w:after="80"/>
      </w:pPr>
    </w:p>
    <w:p>
      <w:pPr>
        <w:spacing w:after="80" w:before="200"/>
      </w:pPr>
      <w:r>
        <w:rPr>
          <w:rFonts w:ascii="Arial" w:cs="Arial" w:eastAsia="Arial" w:hAnsi="Arial"/>
          <w:b/>
          <w:bCs/>
          <w:color w:val="C87E28"/>
          <w:sz w:val="22"/>
          <w:szCs w:val="22"/>
        </w:rPr>
        <w:t xml:space="preserve">B.  Gallup</w:t>
      </w:r>
    </w:p>
    <w:p>
      <w:pPr>
        <w:spacing w:after="80" w:before="40"/>
      </w:pPr>
      <w:r>
        <w:rPr>
          <w:rFonts w:ascii="Arial" w:cs="Arial" w:eastAsia="Arial" w:hAnsi="Arial"/>
          <w:b/>
          <w:bCs/>
          <w:color w:val="1A2B4A"/>
          <w:sz w:val="18"/>
          <w:szCs w:val="18"/>
        </w:rPr>
        <w:t xml:space="preserve">State of the Global Workplace: 2024 Report (full report page)</w:t>
      </w:r>
      <w:r>
        <w:rPr>
          <w:rFonts w:ascii="Arial" w:cs="Arial" w:eastAsia="Arial" w:hAnsi="Arial"/>
          <w:sz w:val="18"/>
          <w:szCs w:val="18"/>
        </w:rPr>
        <w:t xml:space="preserve">  </w:t>
      </w:r>
      <w:r>
        <w:rPr>
          <w:rFonts w:ascii="Arial" w:cs="Arial" w:eastAsia="Arial" w:hAnsi="Arial"/>
          <w:color w:val="555555"/>
          <w:sz w:val="17"/>
          <w:szCs w:val="17"/>
        </w:rPr>
        <w:t xml:space="preserve">https://www.gallup.com/workplace/349484/state-of-the-global-workplace.aspx</w:t>
      </w:r>
    </w:p>
    <w:p>
      <w:pPr>
        <w:spacing w:after="80" w:before="40"/>
      </w:pPr>
      <w:r>
        <w:rPr>
          <w:rFonts w:ascii="Arial" w:cs="Arial" w:eastAsia="Arial" w:hAnsi="Arial"/>
          <w:b/>
          <w:bCs/>
          <w:color w:val="1A2B4A"/>
          <w:sz w:val="18"/>
          <w:szCs w:val="18"/>
        </w:rPr>
        <w:t xml:space="preserve">Global Employee Engagement Drops for Only the Second Time in 12 Years — Press Release (April 2025)</w:t>
      </w:r>
      <w:r>
        <w:rPr>
          <w:rFonts w:ascii="Arial" w:cs="Arial" w:eastAsia="Arial" w:hAnsi="Arial"/>
          <w:sz w:val="18"/>
          <w:szCs w:val="18"/>
        </w:rPr>
        <w:t xml:space="preserve">  </w:t>
      </w:r>
      <w:r>
        <w:rPr>
          <w:rFonts w:ascii="Arial" w:cs="Arial" w:eastAsia="Arial" w:hAnsi="Arial"/>
          <w:color w:val="555555"/>
          <w:sz w:val="17"/>
          <w:szCs w:val="17"/>
        </w:rPr>
        <w:t xml:space="preserve">https://www.prnewswire.com/news-releases/global-employee-engagement-drops-for-only-the-second-time-in-12-years-costing-the-worlds-economy-us438-billion-302434901.html</w:t>
      </w:r>
    </w:p>
    <w:p>
      <w:pPr>
        <w:spacing w:after="80" w:before="40"/>
      </w:pPr>
      <w:r>
        <w:rPr>
          <w:rFonts w:ascii="Arial" w:cs="Arial" w:eastAsia="Arial" w:hAnsi="Arial"/>
          <w:b/>
          <w:bCs/>
          <w:color w:val="1A2B4A"/>
          <w:sz w:val="18"/>
          <w:szCs w:val="18"/>
        </w:rPr>
        <w:t xml:space="preserve">Global Employee Engagement Falls Again: What Can Help Reverse This Trend? (2025)</w:t>
      </w:r>
      <w:r>
        <w:rPr>
          <w:rFonts w:ascii="Arial" w:cs="Arial" w:eastAsia="Arial" w:hAnsi="Arial"/>
          <w:sz w:val="18"/>
          <w:szCs w:val="18"/>
        </w:rPr>
        <w:t xml:space="preserve">  </w:t>
      </w:r>
      <w:r>
        <w:rPr>
          <w:rFonts w:ascii="Arial" w:cs="Arial" w:eastAsia="Arial" w:hAnsi="Arial"/>
          <w:color w:val="555555"/>
          <w:sz w:val="17"/>
          <w:szCs w:val="17"/>
        </w:rPr>
        <w:t xml:space="preserve">https://www.inspiring-workplaces.com/content/global-employee-engagement-falls-again-what-can-help-reverse-this-trend/</w:t>
      </w:r>
    </w:p>
    <w:p>
      <w:pPr>
        <w:spacing w:after="80" w:before="40"/>
      </w:pPr>
      <w:r>
        <w:rPr>
          <w:rFonts w:ascii="Arial" w:cs="Arial" w:eastAsia="Arial" w:hAnsi="Arial"/>
          <w:b/>
          <w:bCs/>
          <w:color w:val="1A2B4A"/>
          <w:sz w:val="18"/>
          <w:szCs w:val="18"/>
        </w:rPr>
        <w:t xml:space="preserve">Gallup 2024 Report: Power of Employee Engagement — Best Practice Statistics</w:t>
      </w:r>
      <w:r>
        <w:rPr>
          <w:rFonts w:ascii="Arial" w:cs="Arial" w:eastAsia="Arial" w:hAnsi="Arial"/>
          <w:sz w:val="18"/>
          <w:szCs w:val="18"/>
        </w:rPr>
        <w:t xml:space="preserve">  </w:t>
      </w:r>
      <w:r>
        <w:rPr>
          <w:rFonts w:ascii="Arial" w:cs="Arial" w:eastAsia="Arial" w:hAnsi="Arial"/>
          <w:color w:val="555555"/>
          <w:sz w:val="17"/>
          <w:szCs w:val="17"/>
        </w:rPr>
        <w:t xml:space="preserve">https://www.lindauerglobal.com/insight/employee-engagement-gallup-global-workplace-report/</w:t>
      </w:r>
    </w:p>
    <w:p>
      <w:pPr>
        <w:spacing w:after="80" w:before="40"/>
      </w:pPr>
      <w:r>
        <w:rPr>
          <w:rFonts w:ascii="Arial" w:cs="Arial" w:eastAsia="Arial" w:hAnsi="Arial"/>
          <w:b/>
          <w:bCs/>
          <w:color w:val="1A2B4A"/>
          <w:sz w:val="18"/>
          <w:szCs w:val="18"/>
        </w:rPr>
        <w:t xml:space="preserve">Managers Account for 70% of Variance in Employee Engagement — The Happiness Index</w:t>
      </w:r>
      <w:r>
        <w:rPr>
          <w:rFonts w:ascii="Arial" w:cs="Arial" w:eastAsia="Arial" w:hAnsi="Arial"/>
          <w:sz w:val="18"/>
          <w:szCs w:val="18"/>
        </w:rPr>
        <w:t xml:space="preserve">  </w:t>
      </w:r>
      <w:r>
        <w:rPr>
          <w:rFonts w:ascii="Arial" w:cs="Arial" w:eastAsia="Arial" w:hAnsi="Arial"/>
          <w:color w:val="555555"/>
          <w:sz w:val="17"/>
          <w:szCs w:val="17"/>
        </w:rPr>
        <w:t xml:space="preserve">https://thehappinessindex.com/blog/gallup-global-workplace-report/</w:t>
      </w:r>
    </w:p>
    <w:p>
      <w:pPr>
        <w:spacing w:after="80"/>
      </w:pPr>
    </w:p>
    <w:p>
      <w:pPr>
        <w:spacing w:after="80" w:before="200"/>
      </w:pPr>
      <w:r>
        <w:rPr>
          <w:rFonts w:ascii="Arial" w:cs="Arial" w:eastAsia="Arial" w:hAnsi="Arial"/>
          <w:b/>
          <w:bCs/>
          <w:color w:val="C87E28"/>
          <w:sz w:val="22"/>
          <w:szCs w:val="22"/>
        </w:rPr>
        <w:t xml:space="preserve">C.  Deloitte</w:t>
      </w:r>
    </w:p>
    <w:p>
      <w:pPr>
        <w:spacing w:after="80" w:before="40"/>
      </w:pPr>
      <w:r>
        <w:rPr>
          <w:rFonts w:ascii="Arial" w:cs="Arial" w:eastAsia="Arial" w:hAnsi="Arial"/>
          <w:b/>
          <w:bCs/>
          <w:color w:val="1A2B4A"/>
          <w:sz w:val="18"/>
          <w:szCs w:val="18"/>
        </w:rPr>
        <w:t xml:space="preserve">Industry 4.0 and Predictive Technologies for Asset Maintenance — Deloitte Insights</w:t>
      </w:r>
      <w:r>
        <w:rPr>
          <w:rFonts w:ascii="Arial" w:cs="Arial" w:eastAsia="Arial" w:hAnsi="Arial"/>
          <w:sz w:val="18"/>
          <w:szCs w:val="18"/>
        </w:rPr>
        <w:t xml:space="preserve">  </w:t>
      </w:r>
      <w:r>
        <w:rPr>
          <w:rFonts w:ascii="Arial" w:cs="Arial" w:eastAsia="Arial" w:hAnsi="Arial"/>
          <w:color w:val="555555"/>
          <w:sz w:val="17"/>
          <w:szCs w:val="17"/>
        </w:rPr>
        <w:t xml:space="preserve">https://www.deloitte.com/us/en/insights/industry/manufacturing-industrial-products/industry-4-0/using-predictive-technologies-for-asset-maintenance.html</w:t>
      </w:r>
    </w:p>
    <w:p>
      <w:pPr>
        <w:spacing w:after="80" w:before="40"/>
      </w:pPr>
      <w:r>
        <w:rPr>
          <w:rFonts w:ascii="Arial" w:cs="Arial" w:eastAsia="Arial" w:hAnsi="Arial"/>
          <w:b/>
          <w:bCs/>
          <w:color w:val="1A2B4A"/>
          <w:sz w:val="18"/>
          <w:szCs w:val="18"/>
        </w:rPr>
        <w:t xml:space="preserve">Predictive Maintenance Solutions — Deloitte US (5-20% capacity loss, $50B downtime statistic)</w:t>
      </w:r>
      <w:r>
        <w:rPr>
          <w:rFonts w:ascii="Arial" w:cs="Arial" w:eastAsia="Arial" w:hAnsi="Arial"/>
          <w:sz w:val="18"/>
          <w:szCs w:val="18"/>
        </w:rPr>
        <w:t xml:space="preserve">  </w:t>
      </w:r>
      <w:r>
        <w:rPr>
          <w:rFonts w:ascii="Arial" w:cs="Arial" w:eastAsia="Arial" w:hAnsi="Arial"/>
          <w:color w:val="555555"/>
          <w:sz w:val="17"/>
          <w:szCs w:val="17"/>
        </w:rPr>
        <w:t xml:space="preserve">https://www.deloitte.com/us/en/services/consulting/services/predictive-maintenance-and-the-smart-factory.html</w:t>
      </w:r>
    </w:p>
    <w:p>
      <w:pPr>
        <w:spacing w:after="80"/>
      </w:pPr>
    </w:p>
    <w:p>
      <w:pPr>
        <w:spacing w:after="80" w:before="200"/>
      </w:pPr>
      <w:r>
        <w:rPr>
          <w:rFonts w:ascii="Arial" w:cs="Arial" w:eastAsia="Arial" w:hAnsi="Arial"/>
          <w:b/>
          <w:bCs/>
          <w:color w:val="C87E28"/>
          <w:sz w:val="22"/>
          <w:szCs w:val="22"/>
        </w:rPr>
        <w:t xml:space="preserve">D.  MaintainX</w:t>
      </w:r>
    </w:p>
    <w:p>
      <w:pPr>
        <w:spacing w:after="80" w:before="40"/>
      </w:pPr>
      <w:r>
        <w:rPr>
          <w:rFonts w:ascii="Arial" w:cs="Arial" w:eastAsia="Arial" w:hAnsi="Arial"/>
          <w:b/>
          <w:bCs/>
          <w:color w:val="1A2B4A"/>
          <w:sz w:val="18"/>
          <w:szCs w:val="18"/>
        </w:rPr>
        <w:t xml:space="preserve">State of Industrial Maintenance 2025 — Press Release (May 2025)</w:t>
      </w:r>
      <w:r>
        <w:rPr>
          <w:rFonts w:ascii="Arial" w:cs="Arial" w:eastAsia="Arial" w:hAnsi="Arial"/>
          <w:sz w:val="18"/>
          <w:szCs w:val="18"/>
        </w:rPr>
        <w:t xml:space="preserve">  </w:t>
      </w:r>
      <w:r>
        <w:rPr>
          <w:rFonts w:ascii="Arial" w:cs="Arial" w:eastAsia="Arial" w:hAnsi="Arial"/>
          <w:color w:val="555555"/>
          <w:sz w:val="17"/>
          <w:szCs w:val="17"/>
        </w:rPr>
        <w:t xml:space="preserve">https://www.getmaintainx.com/newsroom/state-of-industrial-maintenance-report-2025</w:t>
      </w:r>
    </w:p>
    <w:p>
      <w:pPr>
        <w:spacing w:after="80" w:before="40"/>
      </w:pPr>
      <w:r>
        <w:rPr>
          <w:rFonts w:ascii="Arial" w:cs="Arial" w:eastAsia="Arial" w:hAnsi="Arial"/>
          <w:b/>
          <w:bCs/>
          <w:color w:val="1A2B4A"/>
          <w:sz w:val="18"/>
          <w:szCs w:val="18"/>
        </w:rPr>
        <w:t xml:space="preserve">25 Maintenance Stats, Trends, and Insights for 2026</w:t>
      </w:r>
      <w:r>
        <w:rPr>
          <w:rFonts w:ascii="Arial" w:cs="Arial" w:eastAsia="Arial" w:hAnsi="Arial"/>
          <w:sz w:val="18"/>
          <w:szCs w:val="18"/>
        </w:rPr>
        <w:t xml:space="preserve">  </w:t>
      </w:r>
      <w:r>
        <w:rPr>
          <w:rFonts w:ascii="Arial" w:cs="Arial" w:eastAsia="Arial" w:hAnsi="Arial"/>
          <w:color w:val="555555"/>
          <w:sz w:val="17"/>
          <w:szCs w:val="17"/>
        </w:rPr>
        <w:t xml:space="preserve">https://www.getmaintainx.com/blog/maintenance-stats-trends-and-insights</w:t>
      </w:r>
    </w:p>
    <w:p>
      <w:pPr>
        <w:spacing w:after="80" w:before="40"/>
      </w:pPr>
      <w:r>
        <w:rPr>
          <w:rFonts w:ascii="Arial" w:cs="Arial" w:eastAsia="Arial" w:hAnsi="Arial"/>
          <w:b/>
          <w:bCs/>
          <w:color w:val="1A2B4A"/>
          <w:sz w:val="18"/>
          <w:szCs w:val="18"/>
        </w:rPr>
        <w:t xml:space="preserve">The State of Industrial Maintenance 2025 — Quality Digest Summary (June 2025)</w:t>
      </w:r>
      <w:r>
        <w:rPr>
          <w:rFonts w:ascii="Arial" w:cs="Arial" w:eastAsia="Arial" w:hAnsi="Arial"/>
          <w:sz w:val="18"/>
          <w:szCs w:val="18"/>
        </w:rPr>
        <w:t xml:space="preserve">  </w:t>
      </w:r>
      <w:r>
        <w:rPr>
          <w:rFonts w:ascii="Arial" w:cs="Arial" w:eastAsia="Arial" w:hAnsi="Arial"/>
          <w:color w:val="555555"/>
          <w:sz w:val="17"/>
          <w:szCs w:val="17"/>
        </w:rPr>
        <w:t xml:space="preserve">https://www.qualitydigest.com/inside/research-tech-article/state-industrial-maintenance-2025-maintainx-survey-061125.html</w:t>
      </w:r>
    </w:p>
    <w:p>
      <w:pPr>
        <w:spacing w:after="80"/>
      </w:pPr>
    </w:p>
    <w:p>
      <w:pPr>
        <w:spacing w:after="80" w:before="200"/>
      </w:pPr>
      <w:r>
        <w:rPr>
          <w:rFonts w:ascii="Arial" w:cs="Arial" w:eastAsia="Arial" w:hAnsi="Arial"/>
          <w:b/>
          <w:bCs/>
          <w:color w:val="C87E28"/>
          <w:sz w:val="22"/>
          <w:szCs w:val="22"/>
        </w:rPr>
        <w:t xml:space="preserve">E.  Australian Government and Statutory Bodies</w:t>
      </w:r>
    </w:p>
    <w:p>
      <w:pPr>
        <w:spacing w:after="80" w:before="40"/>
      </w:pPr>
      <w:r>
        <w:rPr>
          <w:rFonts w:ascii="Arial" w:cs="Arial" w:eastAsia="Arial" w:hAnsi="Arial"/>
          <w:b/>
          <w:bCs/>
          <w:color w:val="1A2B4A"/>
          <w:sz w:val="18"/>
          <w:szCs w:val="18"/>
        </w:rPr>
        <w:t xml:space="preserve">Productivity Commission — Annual Productivity Bulletin 2024</w:t>
      </w:r>
      <w:r>
        <w:rPr>
          <w:rFonts w:ascii="Arial" w:cs="Arial" w:eastAsia="Arial" w:hAnsi="Arial"/>
          <w:sz w:val="18"/>
          <w:szCs w:val="18"/>
        </w:rPr>
        <w:t xml:space="preserve">  </w:t>
      </w:r>
      <w:r>
        <w:rPr>
          <w:rFonts w:ascii="Arial" w:cs="Arial" w:eastAsia="Arial" w:hAnsi="Arial"/>
          <w:color w:val="555555"/>
          <w:sz w:val="17"/>
          <w:szCs w:val="17"/>
        </w:rPr>
        <w:t xml:space="preserve">https://www.pc.gov.au/ongoing/productivity-insights/bulletins/bulletin-2024/</w:t>
      </w:r>
    </w:p>
    <w:p>
      <w:pPr>
        <w:spacing w:after="80" w:before="40"/>
      </w:pPr>
      <w:r>
        <w:rPr>
          <w:rFonts w:ascii="Arial" w:cs="Arial" w:eastAsia="Arial" w:hAnsi="Arial"/>
          <w:b/>
          <w:bCs/>
          <w:color w:val="1A2B4A"/>
          <w:sz w:val="18"/>
          <w:szCs w:val="18"/>
        </w:rPr>
        <w:t xml:space="preserve">ABS — Estimates of Industry Multifactor Productivity, 2024-25 (Latest Release)</w:t>
      </w:r>
      <w:r>
        <w:rPr>
          <w:rFonts w:ascii="Arial" w:cs="Arial" w:eastAsia="Arial" w:hAnsi="Arial"/>
          <w:sz w:val="18"/>
          <w:szCs w:val="18"/>
        </w:rPr>
        <w:t xml:space="preserve">  </w:t>
      </w:r>
      <w:r>
        <w:rPr>
          <w:rFonts w:ascii="Arial" w:cs="Arial" w:eastAsia="Arial" w:hAnsi="Arial"/>
          <w:color w:val="555555"/>
          <w:sz w:val="17"/>
          <w:szCs w:val="17"/>
        </w:rPr>
        <w:t xml:space="preserve">https://www.abs.gov.au/statistics/industry/industry-overview/estimates-industry-multifactor-productivity/latest-release</w:t>
      </w:r>
    </w:p>
    <w:p>
      <w:pPr>
        <w:spacing w:after="80" w:before="40"/>
      </w:pPr>
      <w:r>
        <w:rPr>
          <w:rFonts w:ascii="Arial" w:cs="Arial" w:eastAsia="Arial" w:hAnsi="Arial"/>
          <w:b/>
          <w:bCs/>
          <w:color w:val="1A2B4A"/>
          <w:sz w:val="18"/>
          <w:szCs w:val="18"/>
        </w:rPr>
        <w:t xml:space="preserve">ABS — Productivity Statistics (Measuring What Matters)</w:t>
      </w:r>
      <w:r>
        <w:rPr>
          <w:rFonts w:ascii="Arial" w:cs="Arial" w:eastAsia="Arial" w:hAnsi="Arial"/>
          <w:sz w:val="18"/>
          <w:szCs w:val="18"/>
        </w:rPr>
        <w:t xml:space="preserve">  </w:t>
      </w:r>
      <w:r>
        <w:rPr>
          <w:rFonts w:ascii="Arial" w:cs="Arial" w:eastAsia="Arial" w:hAnsi="Arial"/>
          <w:color w:val="555555"/>
          <w:sz w:val="17"/>
          <w:szCs w:val="17"/>
        </w:rPr>
        <w:t xml:space="preserve">https://www.abs.gov.au/statistics/measuring-what-matters/measuring-what-matters-themes-and-indicators/prosperous/productivity</w:t>
      </w:r>
    </w:p>
    <w:p>
      <w:pPr>
        <w:spacing w:after="80" w:before="40"/>
      </w:pPr>
      <w:r>
        <w:rPr>
          <w:rFonts w:ascii="Arial" w:cs="Arial" w:eastAsia="Arial" w:hAnsi="Arial"/>
          <w:b/>
          <w:bCs/>
          <w:color w:val="1A2B4A"/>
          <w:sz w:val="18"/>
          <w:szCs w:val="18"/>
        </w:rPr>
        <w:t xml:space="preserve">Infrastructure Australia — 2025 Infrastructure Market Capacity Report</w:t>
      </w:r>
      <w:r>
        <w:rPr>
          <w:rFonts w:ascii="Arial" w:cs="Arial" w:eastAsia="Arial" w:hAnsi="Arial"/>
          <w:sz w:val="18"/>
          <w:szCs w:val="18"/>
        </w:rPr>
        <w:t xml:space="preserve">  </w:t>
      </w:r>
      <w:r>
        <w:rPr>
          <w:rFonts w:ascii="Arial" w:cs="Arial" w:eastAsia="Arial" w:hAnsi="Arial"/>
          <w:color w:val="555555"/>
          <w:sz w:val="17"/>
          <w:szCs w:val="17"/>
        </w:rPr>
        <w:t xml:space="preserve">https://www.infrastructureaustralia.gov.au/reports/2025-infrastructure-market-capacity-report</w:t>
      </w:r>
    </w:p>
    <w:p>
      <w:pPr>
        <w:spacing w:after="80" w:before="40"/>
      </w:pPr>
      <w:r>
        <w:rPr>
          <w:rFonts w:ascii="Arial" w:cs="Arial" w:eastAsia="Arial" w:hAnsi="Arial"/>
          <w:b/>
          <w:bCs/>
          <w:color w:val="1A2B4A"/>
          <w:sz w:val="18"/>
          <w:szCs w:val="18"/>
        </w:rPr>
        <w:t xml:space="preserve">Infrastructure Australia — 141,000 Worker Shortfall Media Release (November 2025)</w:t>
      </w:r>
      <w:r>
        <w:rPr>
          <w:rFonts w:ascii="Arial" w:cs="Arial" w:eastAsia="Arial" w:hAnsi="Arial"/>
          <w:sz w:val="18"/>
          <w:szCs w:val="18"/>
        </w:rPr>
        <w:t xml:space="preserve">  </w:t>
      </w:r>
      <w:r>
        <w:rPr>
          <w:rFonts w:ascii="Arial" w:cs="Arial" w:eastAsia="Arial" w:hAnsi="Arial"/>
          <w:color w:val="555555"/>
          <w:sz w:val="17"/>
          <w:szCs w:val="17"/>
        </w:rPr>
        <w:t xml:space="preserve">https://www.infrastructureaustralia.gov.au/listing/media-release/billions-injected-national-infrastructure-pipeline-governments-target-energy-and-housing-growth</w:t>
      </w:r>
    </w:p>
    <w:p>
      <w:pPr>
        <w:spacing w:after="80"/>
      </w:pPr>
    </w:p>
    <w:p>
      <w:pPr>
        <w:spacing w:after="80" w:before="200"/>
      </w:pPr>
      <w:r>
        <w:rPr>
          <w:rFonts w:ascii="Arial" w:cs="Arial" w:eastAsia="Arial" w:hAnsi="Arial"/>
          <w:b/>
          <w:bCs/>
          <w:color w:val="C87E28"/>
          <w:sz w:val="22"/>
          <w:szCs w:val="22"/>
        </w:rPr>
        <w:t xml:space="preserve">F.  Mining and Resources Industry</w:t>
      </w:r>
    </w:p>
    <w:p>
      <w:pPr>
        <w:spacing w:after="80" w:before="40"/>
      </w:pPr>
      <w:r>
        <w:rPr>
          <w:rFonts w:ascii="Arial" w:cs="Arial" w:eastAsia="Arial" w:hAnsi="Arial"/>
          <w:b/>
          <w:bCs/>
          <w:color w:val="1A2B4A"/>
          <w:sz w:val="18"/>
          <w:szCs w:val="18"/>
        </w:rPr>
        <w:t xml:space="preserve">AUSMASA — Mining Research Bulletin September 2025 (Skills Shortage Data)</w:t>
      </w:r>
      <w:r>
        <w:rPr>
          <w:rFonts w:ascii="Arial" w:cs="Arial" w:eastAsia="Arial" w:hAnsi="Arial"/>
          <w:sz w:val="18"/>
          <w:szCs w:val="18"/>
        </w:rPr>
        <w:t xml:space="preserve">  </w:t>
      </w:r>
      <w:r>
        <w:rPr>
          <w:rFonts w:ascii="Arial" w:cs="Arial" w:eastAsia="Arial" w:hAnsi="Arial"/>
          <w:color w:val="555555"/>
          <w:sz w:val="17"/>
          <w:szCs w:val="17"/>
        </w:rPr>
        <w:t xml:space="preserve">https://ausmasa.org.au/news-and-events/mining-research-bulletin-september-2025/</w:t>
      </w:r>
    </w:p>
    <w:p>
      <w:pPr>
        <w:spacing w:after="80" w:before="40"/>
      </w:pPr>
      <w:r>
        <w:rPr>
          <w:rFonts w:ascii="Arial" w:cs="Arial" w:eastAsia="Arial" w:hAnsi="Arial"/>
          <w:b/>
          <w:bCs/>
          <w:color w:val="1A2B4A"/>
          <w:sz w:val="18"/>
          <w:szCs w:val="18"/>
        </w:rPr>
        <w:t xml:space="preserve">AUSMASA — Mining Research Bulletin April 2025 (Regional Workforce Distribution)</w:t>
      </w:r>
      <w:r>
        <w:rPr>
          <w:rFonts w:ascii="Arial" w:cs="Arial" w:eastAsia="Arial" w:hAnsi="Arial"/>
          <w:sz w:val="18"/>
          <w:szCs w:val="18"/>
        </w:rPr>
        <w:t xml:space="preserve">  </w:t>
      </w:r>
      <w:r>
        <w:rPr>
          <w:rFonts w:ascii="Arial" w:cs="Arial" w:eastAsia="Arial" w:hAnsi="Arial"/>
          <w:color w:val="555555"/>
          <w:sz w:val="17"/>
          <w:szCs w:val="17"/>
        </w:rPr>
        <w:t xml:space="preserve">https://ausmasa.org.au/news-and-events/mining-research-bulletin-april-2025/</w:t>
      </w:r>
    </w:p>
    <w:p>
      <w:pPr>
        <w:spacing w:after="80" w:before="40"/>
      </w:pPr>
      <w:r>
        <w:rPr>
          <w:rFonts w:ascii="Arial" w:cs="Arial" w:eastAsia="Arial" w:hAnsi="Arial"/>
          <w:b/>
          <w:bCs/>
          <w:color w:val="1A2B4A"/>
          <w:sz w:val="18"/>
          <w:szCs w:val="18"/>
        </w:rPr>
        <w:t xml:space="preserve">AUSMASA — Mining Research Bulletin November 2025 (Mine Life Stages and Workforce Planning)</w:t>
      </w:r>
      <w:r>
        <w:rPr>
          <w:rFonts w:ascii="Arial" w:cs="Arial" w:eastAsia="Arial" w:hAnsi="Arial"/>
          <w:sz w:val="18"/>
          <w:szCs w:val="18"/>
        </w:rPr>
        <w:t xml:space="preserve">  </w:t>
      </w:r>
      <w:r>
        <w:rPr>
          <w:rFonts w:ascii="Arial" w:cs="Arial" w:eastAsia="Arial" w:hAnsi="Arial"/>
          <w:color w:val="555555"/>
          <w:sz w:val="17"/>
          <w:szCs w:val="17"/>
        </w:rPr>
        <w:t xml:space="preserve">https://ausmasa.org.au/news-and-events/mining-research-bulletin-november-2025/</w:t>
      </w:r>
    </w:p>
    <w:p>
      <w:pPr>
        <w:spacing w:after="80" w:before="40"/>
      </w:pPr>
      <w:r>
        <w:rPr>
          <w:rFonts w:ascii="Arial" w:cs="Arial" w:eastAsia="Arial" w:hAnsi="Arial"/>
          <w:b/>
          <w:bCs/>
          <w:color w:val="1A2B4A"/>
          <w:sz w:val="18"/>
          <w:szCs w:val="18"/>
        </w:rPr>
        <w:t xml:space="preserve">AUSMASA — Mining Industry Workforce Plan 2024 (Skills Priority List, Fill Rates)</w:t>
      </w:r>
      <w:r>
        <w:rPr>
          <w:rFonts w:ascii="Arial" w:cs="Arial" w:eastAsia="Arial" w:hAnsi="Arial"/>
          <w:sz w:val="18"/>
          <w:szCs w:val="18"/>
        </w:rPr>
        <w:t xml:space="preserve">  </w:t>
      </w:r>
      <w:r>
        <w:rPr>
          <w:rFonts w:ascii="Arial" w:cs="Arial" w:eastAsia="Arial" w:hAnsi="Arial"/>
          <w:color w:val="555555"/>
          <w:sz w:val="17"/>
          <w:szCs w:val="17"/>
        </w:rPr>
        <w:t xml:space="preserve">https://ausmasa.org.au/media/bk3eqqoa/mining-industry-workforce-plan-2024.pdf</w:t>
      </w:r>
    </w:p>
    <w:p>
      <w:pPr>
        <w:spacing w:after="80" w:before="40"/>
      </w:pPr>
      <w:r>
        <w:rPr>
          <w:rFonts w:ascii="Arial" w:cs="Arial" w:eastAsia="Arial" w:hAnsi="Arial"/>
          <w:b/>
          <w:bCs/>
          <w:color w:val="1A2B4A"/>
          <w:sz w:val="18"/>
          <w:szCs w:val="18"/>
        </w:rPr>
        <w:t xml:space="preserve">Mining Technology — How Western Australia Can Tackle Its Mining Workforce Shortage (August 2025)</w:t>
      </w:r>
      <w:r>
        <w:rPr>
          <w:rFonts w:ascii="Arial" w:cs="Arial" w:eastAsia="Arial" w:hAnsi="Arial"/>
          <w:sz w:val="18"/>
          <w:szCs w:val="18"/>
        </w:rPr>
        <w:t xml:space="preserve">  </w:t>
      </w:r>
      <w:r>
        <w:rPr>
          <w:rFonts w:ascii="Arial" w:cs="Arial" w:eastAsia="Arial" w:hAnsi="Arial"/>
          <w:color w:val="555555"/>
          <w:sz w:val="17"/>
          <w:szCs w:val="17"/>
        </w:rPr>
        <w:t xml:space="preserve">https://www.mining-technology.com/features/drilling-down-how-western-australia-can-tackle-its-mining-workforce-shortage/</w:t>
      </w:r>
    </w:p>
    <w:p>
      <w:pPr>
        <w:spacing w:after="80" w:before="40"/>
      </w:pPr>
      <w:r>
        <w:rPr>
          <w:rFonts w:ascii="Arial" w:cs="Arial" w:eastAsia="Arial" w:hAnsi="Arial"/>
          <w:b/>
          <w:bCs/>
          <w:color w:val="1A2B4A"/>
          <w:sz w:val="18"/>
          <w:szCs w:val="18"/>
        </w:rPr>
        <w:t xml:space="preserve">Mining.com.au — Mining Employment Grows Yet Skills Shortage Remains (April 2024)</w:t>
      </w:r>
      <w:r>
        <w:rPr>
          <w:rFonts w:ascii="Arial" w:cs="Arial" w:eastAsia="Arial" w:hAnsi="Arial"/>
          <w:sz w:val="18"/>
          <w:szCs w:val="18"/>
        </w:rPr>
        <w:t xml:space="preserve">  </w:t>
      </w:r>
      <w:r>
        <w:rPr>
          <w:rFonts w:ascii="Arial" w:cs="Arial" w:eastAsia="Arial" w:hAnsi="Arial"/>
          <w:color w:val="555555"/>
          <w:sz w:val="17"/>
          <w:szCs w:val="17"/>
        </w:rPr>
        <w:t xml:space="preserve">https://mining.com.au/mining-employment-grows-yet-skills-shortage-remains/</w:t>
      </w:r>
    </w:p>
    <w:p>
      <w:pPr>
        <w:spacing w:after="80"/>
      </w:pPr>
    </w:p>
    <w:p>
      <w:pPr>
        <w:spacing w:after="80" w:before="200"/>
      </w:pPr>
      <w:r>
        <w:rPr>
          <w:rFonts w:ascii="Arial" w:cs="Arial" w:eastAsia="Arial" w:hAnsi="Arial"/>
          <w:b/>
          <w:bCs/>
          <w:color w:val="C87E28"/>
          <w:sz w:val="22"/>
          <w:szCs w:val="22"/>
        </w:rPr>
        <w:t xml:space="preserve">G.  ISO Standards — Asset Management</w:t>
      </w:r>
    </w:p>
    <w:p>
      <w:pPr>
        <w:spacing w:after="80" w:before="40"/>
      </w:pPr>
      <w:r>
        <w:rPr>
          <w:rFonts w:ascii="Arial" w:cs="Arial" w:eastAsia="Arial" w:hAnsi="Arial"/>
          <w:b/>
          <w:bCs/>
          <w:color w:val="1A2B4A"/>
          <w:sz w:val="18"/>
          <w:szCs w:val="18"/>
        </w:rPr>
        <w:t xml:space="preserve">ISO 55000:2024 — Asset Management: Vocabulary, Overview and Principles</w:t>
      </w:r>
      <w:r>
        <w:rPr>
          <w:rFonts w:ascii="Arial" w:cs="Arial" w:eastAsia="Arial" w:hAnsi="Arial"/>
          <w:sz w:val="18"/>
          <w:szCs w:val="18"/>
        </w:rPr>
        <w:t xml:space="preserve">  </w:t>
      </w:r>
      <w:r>
        <w:rPr>
          <w:rFonts w:ascii="Arial" w:cs="Arial" w:eastAsia="Arial" w:hAnsi="Arial"/>
          <w:color w:val="555555"/>
          <w:sz w:val="17"/>
          <w:szCs w:val="17"/>
        </w:rPr>
        <w:t xml:space="preserve">https://www.iso.org/obp/ui/en/#!iso:std:83053:en</w:t>
      </w:r>
    </w:p>
    <w:p>
      <w:pPr>
        <w:spacing w:after="80" w:before="40"/>
      </w:pPr>
      <w:r>
        <w:rPr>
          <w:rFonts w:ascii="Arial" w:cs="Arial" w:eastAsia="Arial" w:hAnsi="Arial"/>
          <w:b/>
          <w:bCs/>
          <w:color w:val="1A2B4A"/>
          <w:sz w:val="18"/>
          <w:szCs w:val="18"/>
        </w:rPr>
        <w:t xml:space="preserve">ISO 55012:2024 — Asset Management: Guidance on People Involvement and Competence</w:t>
      </w:r>
      <w:r>
        <w:rPr>
          <w:rFonts w:ascii="Arial" w:cs="Arial" w:eastAsia="Arial" w:hAnsi="Arial"/>
          <w:sz w:val="18"/>
          <w:szCs w:val="18"/>
        </w:rPr>
        <w:t xml:space="preserve">  </w:t>
      </w:r>
      <w:r>
        <w:rPr>
          <w:rFonts w:ascii="Arial" w:cs="Arial" w:eastAsia="Arial" w:hAnsi="Arial"/>
          <w:color w:val="555555"/>
          <w:sz w:val="17"/>
          <w:szCs w:val="17"/>
        </w:rPr>
        <w:t xml:space="preserve">https://www.iso.org/standard/82454.html</w:t>
      </w:r>
    </w:p>
    <w:p>
      <w:pPr>
        <w:spacing w:after="80" w:before="40"/>
      </w:pPr>
      <w:r>
        <w:rPr>
          <w:rFonts w:ascii="Arial" w:cs="Arial" w:eastAsia="Arial" w:hAnsi="Arial"/>
          <w:b/>
          <w:bCs/>
          <w:color w:val="1A2B4A"/>
          <w:sz w:val="18"/>
          <w:szCs w:val="18"/>
        </w:rPr>
        <w:t xml:space="preserve">ISO TC 251 — Official Launch Announcement of ISO 55000 Series 2024 (July 2024)</w:t>
      </w:r>
      <w:r>
        <w:rPr>
          <w:rFonts w:ascii="Arial" w:cs="Arial" w:eastAsia="Arial" w:hAnsi="Arial"/>
          <w:sz w:val="18"/>
          <w:szCs w:val="18"/>
        </w:rPr>
        <w:t xml:space="preserve">  </w:t>
      </w:r>
      <w:r>
        <w:rPr>
          <w:rFonts w:ascii="Arial" w:cs="Arial" w:eastAsia="Arial" w:hAnsi="Arial"/>
          <w:color w:val="555555"/>
          <w:sz w:val="17"/>
          <w:szCs w:val="17"/>
        </w:rPr>
        <w:t xml:space="preserve">https://committee.iso.org/sites/tc251/home/news/content-left-area/news-and-updates/iso-launches-new-standards-in-th.html</w:t>
      </w:r>
    </w:p>
    <w:p>
      <w:pPr>
        <w:spacing w:after="80" w:before="40"/>
      </w:pPr>
      <w:r>
        <w:rPr>
          <w:rFonts w:ascii="Arial" w:cs="Arial" w:eastAsia="Arial" w:hAnsi="Arial"/>
          <w:b/>
          <w:bCs/>
          <w:color w:val="1A2B4A"/>
          <w:sz w:val="18"/>
          <w:szCs w:val="18"/>
        </w:rPr>
        <w:t xml:space="preserve">Reliabilityweb — ISO 55000 Series 2024 Launch Summary</w:t>
      </w:r>
      <w:r>
        <w:rPr>
          <w:rFonts w:ascii="Arial" w:cs="Arial" w:eastAsia="Arial" w:hAnsi="Arial"/>
          <w:sz w:val="18"/>
          <w:szCs w:val="18"/>
        </w:rPr>
        <w:t xml:space="preserve">  </w:t>
      </w:r>
      <w:r>
        <w:rPr>
          <w:rFonts w:ascii="Arial" w:cs="Arial" w:eastAsia="Arial" w:hAnsi="Arial"/>
          <w:color w:val="555555"/>
          <w:sz w:val="17"/>
          <w:szCs w:val="17"/>
        </w:rPr>
        <w:t xml:space="preserve">https://reliabilityweb.com/en/press-release/iso-launches-new-standards-in-the-55000-asset-management-series</w:t>
      </w:r>
    </w:p>
    <w:p>
      <w:pPr>
        <w:spacing w:after="80"/>
      </w:pPr>
    </w:p>
    <w:p>
      <w:pPr>
        <w:spacing w:after="80" w:before="200"/>
      </w:pPr>
      <w:r>
        <w:rPr>
          <w:rFonts w:ascii="Arial" w:cs="Arial" w:eastAsia="Arial" w:hAnsi="Arial"/>
          <w:b/>
          <w:bCs/>
          <w:color w:val="C87E28"/>
          <w:sz w:val="22"/>
          <w:szCs w:val="22"/>
        </w:rPr>
        <w:t xml:space="preserve">H.  Additional Research and Corroborating Sources</w:t>
      </w:r>
    </w:p>
    <w:p>
      <w:pPr>
        <w:spacing w:after="80" w:before="40"/>
      </w:pPr>
      <w:r>
        <w:rPr>
          <w:rFonts w:ascii="Arial" w:cs="Arial" w:eastAsia="Arial" w:hAnsi="Arial"/>
          <w:b/>
          <w:bCs/>
          <w:color w:val="1A2B4A"/>
          <w:sz w:val="18"/>
          <w:szCs w:val="18"/>
        </w:rPr>
        <w:t xml:space="preserve">World Oil — McKinsey: Asset Productivity Programs Face Serious Cost and Talent Problems (April 2023)</w:t>
      </w:r>
      <w:r>
        <w:rPr>
          <w:rFonts w:ascii="Arial" w:cs="Arial" w:eastAsia="Arial" w:hAnsi="Arial"/>
          <w:sz w:val="18"/>
          <w:szCs w:val="18"/>
        </w:rPr>
        <w:t xml:space="preserve">  </w:t>
      </w:r>
      <w:r>
        <w:rPr>
          <w:rFonts w:ascii="Arial" w:cs="Arial" w:eastAsia="Arial" w:hAnsi="Arial"/>
          <w:color w:val="555555"/>
          <w:sz w:val="17"/>
          <w:szCs w:val="17"/>
        </w:rPr>
        <w:t xml:space="preserve">https://worldoil.com/news/2023/4/12/mckinsey-company-asset-productivity-programs-in-energy-sector-face-serious-cost-talent-problems/</w:t>
      </w:r>
    </w:p>
    <w:p>
      <w:pPr>
        <w:spacing w:after="80" w:before="40"/>
      </w:pPr>
      <w:r>
        <w:rPr>
          <w:rFonts w:ascii="Arial" w:cs="Arial" w:eastAsia="Arial" w:hAnsi="Arial"/>
          <w:b/>
          <w:bCs/>
          <w:color w:val="1A2B4A"/>
          <w:sz w:val="18"/>
          <w:szCs w:val="18"/>
        </w:rPr>
        <w:t xml:space="preserve">Quality Digest — Uptime, Lower Cost: Boosting Organizational Health in Maintenance Summary</w:t>
      </w:r>
      <w:r>
        <w:rPr>
          <w:rFonts w:ascii="Arial" w:cs="Arial" w:eastAsia="Arial" w:hAnsi="Arial"/>
          <w:sz w:val="18"/>
          <w:szCs w:val="18"/>
        </w:rPr>
        <w:t xml:space="preserve">  </w:t>
      </w:r>
      <w:r>
        <w:rPr>
          <w:rFonts w:ascii="Arial" w:cs="Arial" w:eastAsia="Arial" w:hAnsi="Arial"/>
          <w:color w:val="555555"/>
          <w:sz w:val="17"/>
          <w:szCs w:val="17"/>
        </w:rPr>
        <w:t xml:space="preserve">https://www.qualitydigest.com/inside/research-tech-article/state-industrial-maintenance-2025-maintainx-survey-061125.html</w:t>
      </w:r>
    </w:p>
    <w:p>
      <w:pPr>
        <w:spacing w:after="80" w:before="40"/>
      </w:pPr>
      <w:r>
        <w:rPr>
          <w:rFonts w:ascii="Arial" w:cs="Arial" w:eastAsia="Arial" w:hAnsi="Arial"/>
          <w:b/>
          <w:bCs/>
          <w:color w:val="1A2B4A"/>
          <w:sz w:val="18"/>
          <w:szCs w:val="18"/>
        </w:rPr>
        <w:t xml:space="preserve">NJBIA — McKinsey Research Reveals 10 Shifts Transforming Organizations (June 2023)</w:t>
      </w:r>
      <w:r>
        <w:rPr>
          <w:rFonts w:ascii="Arial" w:cs="Arial" w:eastAsia="Arial" w:hAnsi="Arial"/>
          <w:sz w:val="18"/>
          <w:szCs w:val="18"/>
        </w:rPr>
        <w:t xml:space="preserve">  </w:t>
      </w:r>
      <w:r>
        <w:rPr>
          <w:rFonts w:ascii="Arial" w:cs="Arial" w:eastAsia="Arial" w:hAnsi="Arial"/>
          <w:color w:val="555555"/>
          <w:sz w:val="17"/>
          <w:szCs w:val="17"/>
        </w:rPr>
        <w:t xml:space="preserve">https://njbia.org/mckinsey-research-reveals-10-shifts-transforming-organizations/</w:t>
      </w:r>
    </w:p>
    <w:p>
      <w:pPr>
        <w:spacing w:after="80" w:before="40"/>
      </w:pPr>
      <w:r>
        <w:rPr>
          <w:rFonts w:ascii="Arial" w:cs="Arial" w:eastAsia="Arial" w:hAnsi="Arial"/>
          <w:b/>
          <w:bCs/>
          <w:color w:val="1A2B4A"/>
          <w:sz w:val="18"/>
          <w:szCs w:val="18"/>
        </w:rPr>
        <w:t xml:space="preserve">Centre for Independent Studies — The Productivity Problem: Australia's Growth Slump (August 2025)</w:t>
      </w:r>
      <w:r>
        <w:rPr>
          <w:rFonts w:ascii="Arial" w:cs="Arial" w:eastAsia="Arial" w:hAnsi="Arial"/>
          <w:sz w:val="18"/>
          <w:szCs w:val="18"/>
        </w:rPr>
        <w:t xml:space="preserve">  </w:t>
      </w:r>
      <w:r>
        <w:rPr>
          <w:rFonts w:ascii="Arial" w:cs="Arial" w:eastAsia="Arial" w:hAnsi="Arial"/>
          <w:color w:val="555555"/>
          <w:sz w:val="17"/>
          <w:szCs w:val="17"/>
        </w:rPr>
        <w:t xml:space="preserve">https://www.cis.org.au/publication/the-productivity-problem-australias-growth-slump-is-undermining-prosperity/</w:t>
      </w:r>
    </w:p>
    <w:p>
      <w:pPr>
        <w:spacing w:after="80" w:before="40"/>
      </w:pPr>
      <w:r>
        <w:rPr>
          <w:rFonts w:ascii="Arial" w:cs="Arial" w:eastAsia="Arial" w:hAnsi="Arial"/>
          <w:b/>
          <w:bCs/>
          <w:color w:val="1A2B4A"/>
          <w:sz w:val="18"/>
          <w:szCs w:val="18"/>
        </w:rPr>
        <w:t xml:space="preserve">Treasury Australia — Economic Reform Roundtable Productivity Overview (August 2025)</w:t>
      </w:r>
      <w:r>
        <w:rPr>
          <w:rFonts w:ascii="Arial" w:cs="Arial" w:eastAsia="Arial" w:hAnsi="Arial"/>
          <w:sz w:val="18"/>
          <w:szCs w:val="18"/>
        </w:rPr>
        <w:t xml:space="preserve">  </w:t>
      </w:r>
      <w:r>
        <w:rPr>
          <w:rFonts w:ascii="Arial" w:cs="Arial" w:eastAsia="Arial" w:hAnsi="Arial"/>
          <w:color w:val="555555"/>
          <w:sz w:val="17"/>
          <w:szCs w:val="17"/>
        </w:rPr>
        <w:t xml:space="preserve">https://treasury.gov.au/sites/default/files/2025-08/productivity-overview.pdf</w:t>
      </w:r>
    </w:p>
    <w:p>
      <w:pPr>
        <w:spacing w:after="200"/>
      </w:pPr>
    </w:p>
    <w:p>
      <w:pPr>
        <w:pBdr>
          <w:bottom w:val="single" w:color="1A2B4A" w:sz="14" w:space="1"/>
        </w:pBdr>
        <w:spacing w:after="60"/>
      </w:pPr>
    </w:p>
    <w:p>
      <w:pPr>
        <w:spacing w:after="60"/>
      </w:pPr>
    </w:p>
    <w:p>
      <w:pPr>
        <w:jc w:val="center"/>
      </w:pPr>
      <w:r>
        <w:rPr>
          <w:rFonts w:ascii="Arial" w:cs="Arial" w:eastAsia="Arial" w:hAnsi="Arial"/>
          <w:color w:val="777777"/>
          <w:sz w:val="16"/>
          <w:szCs w:val="16"/>
        </w:rPr>
        <w:t xml:space="preserve">SEAMPAS Pty Ltd  |  ABN 14 694 568 851  |  Roleystone, Western Australia  |  john@seampas.com  |  seampas.com</w:t>
      </w:r>
    </w:p>
    <w:p>
      <w:pPr>
        <w:jc w:val="center"/>
      </w:pPr>
      <w:r>
        <w:rPr>
          <w:rFonts w:ascii="Arial" w:cs="Arial" w:eastAsia="Arial" w:hAnsi="Arial"/>
          <w:i/>
          <w:iCs/>
          <w:color w:val="C87E28"/>
          <w:sz w:val="16"/>
          <w:szCs w:val="16"/>
        </w:rPr>
        <w:t xml:space="preserve">Driving Asset Management Value</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A2B4A" w:sz="6" w:space="4"/>
      </w:pBdr>
      <w:tabs>
        <w:tab w:val="center" w:pos="4513"/>
        <w:tab w:val="right" w:pos="9026"/>
      </w:tabs>
      <w:spacing w:before="80"/>
    </w:pPr>
    <w:r>
      <w:rPr>
        <w:rFonts w:ascii="Arial" w:cs="Arial" w:eastAsia="Arial" w:hAnsi="Arial"/>
        <w:color w:val="777777"/>
        <w:sz w:val="16"/>
        <w:szCs w:val="16"/>
      </w:rPr>
      <w:t xml:space="preserve">Organisational Effectiveness Research Brief</w:t>
    </w:r>
    <w:r>
      <w:rPr>
        <w:rFonts w:ascii="Arial" w:cs="Arial" w:eastAsia="Arial" w:hAnsi="Arial"/>
        <w:color w:val="777777"/>
        <w:sz w:val="16"/>
        <w:szCs w:val="16"/>
      </w:rPr>
      <w:tab/>
    </w:r>
    <w:r>
      <w:rPr>
        <w:rFonts w:ascii="Arial" w:cs="Arial" w:eastAsia="Arial" w:hAnsi="Arial"/>
        <w:color w:val="777777"/>
        <w:sz w:val="16"/>
        <w:szCs w:val="16"/>
      </w:rPr>
      <w:t xml:space="preserve">SEAMPAS Pty Ltd  |  ABN 14 694 568 851</w:t>
    </w:r>
    <w:r>
      <w:rPr>
        <w:rFonts w:ascii="Arial" w:cs="Arial" w:eastAsia="Arial" w:hAnsi="Arial"/>
        <w:color w:val="777777"/>
        <w:sz w:val="16"/>
        <w:szCs w:val="16"/>
      </w:rPr>
      <w:tab/>
    </w:r>
    <w:r>
      <w:rPr>
        <w:rFonts w:ascii="Arial" w:cs="Arial" w:eastAsia="Arial" w:hAnsi="Arial"/>
        <w:color w:val="777777"/>
        <w:sz w:val="16"/>
        <w:szCs w:val="16"/>
      </w:rPr>
      <w:t xml:space="preserve">Page </w:t>
    </w:r>
    <w:r>
      <w:rPr>
        <w:rFonts w:ascii="Arial" w:cs="Arial" w:eastAsia="Arial" w:hAnsi="Arial"/>
        <w:color w:val="777777"/>
        <w:sz w:val="16"/>
        <w:szCs w:val="16"/>
      </w:rP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87E28" w:sz="8" w:space="1"/>
      </w:pBdr>
      <w:spacing w:after="80"/>
      <w:jc w:val="right"/>
    </w:pPr>
    <w:r>
      <w:rPr>
        <w:rFonts w:ascii="Arial" w:cs="Arial" w:eastAsia="Arial" w:hAnsi="Arial"/>
        <w:b/>
        <w:bCs/>
        <w:color w:val="1A2B4A"/>
        <w:sz w:val="22"/>
        <w:szCs w:val="22"/>
      </w:rPr>
      <w:t xml:space="preserve">SEAMPAS</w:t>
    </w:r>
    <w:r>
      <w:rPr>
        <w:rFonts w:ascii="Arial" w:cs="Arial" w:eastAsia="Arial" w:hAnsi="Arial"/>
        <w:color w:val="C87E28"/>
        <w:sz w:val="20"/>
        <w:szCs w:val="20"/>
      </w:rPr>
      <w:t xml:space="preserve">   |   Driving Asset Management Value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1A2B4A"/>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2026-06-24T07:55:50.155Z</dcterms:created>
  <dcterms:modified xsi:type="dcterms:W3CDTF">2026-06-24T07:55:50.175Z</dcterms:modified>
</cp:coreProperties>
</file>

<file path=docProps/custom.xml><?xml version="1.0" encoding="utf-8"?>
<Properties xmlns="http://schemas.openxmlformats.org/officeDocument/2006/custom-properties" xmlns:vt="http://schemas.openxmlformats.org/officeDocument/2006/docPropsVTypes"/>
</file>