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1CEC" w14:textId="550AEA61" w:rsidR="002773EF" w:rsidRDefault="001B2E0F">
      <w:r>
        <w:t xml:space="preserve">Prestigious </w:t>
      </w:r>
      <w:proofErr w:type="spellStart"/>
      <w:r>
        <w:t>BigLaw</w:t>
      </w:r>
      <w:proofErr w:type="spellEnd"/>
      <w:r>
        <w:t xml:space="preserve"> firm is seeking several mid and senior level Associates for their growing Real Estate Practice.  Candidates must have experience in Lending, joint ventures and/or acquisitions.  Experience in peer firm strongly preferred.  </w:t>
      </w:r>
      <w:bookmarkStart w:id="0" w:name="_GoBack"/>
      <w:bookmarkEnd w:id="0"/>
      <w:r>
        <w:t xml:space="preserve">Salary is market based on year, plus bonus and full benefits.  </w:t>
      </w:r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0F"/>
    <w:rsid w:val="001B2E0F"/>
    <w:rsid w:val="002773EF"/>
    <w:rsid w:val="004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AEDB"/>
  <w15:chartTrackingRefBased/>
  <w15:docId w15:val="{74DB7A8F-7C5C-46E4-8FBF-C67D2060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</cp:revision>
  <dcterms:created xsi:type="dcterms:W3CDTF">2019-03-13T18:15:00Z</dcterms:created>
  <dcterms:modified xsi:type="dcterms:W3CDTF">2019-03-13T18:19:00Z</dcterms:modified>
</cp:coreProperties>
</file>