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E736" w14:textId="1DFB0F36" w:rsidR="000A2C70" w:rsidRPr="000A2C70" w:rsidRDefault="00B46BD7" w:rsidP="000A2C70">
      <w:p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0A2C70" w:rsidRPr="000A2C70">
        <w:rPr>
          <w:sz w:val="22"/>
          <w:szCs w:val="22"/>
        </w:rPr>
        <w:t xml:space="preserve">Top Manhattan personal injury law firm is seeking an experienced </w:t>
      </w:r>
      <w:r w:rsidR="000A2C70">
        <w:rPr>
          <w:sz w:val="22"/>
          <w:szCs w:val="22"/>
        </w:rPr>
        <w:t xml:space="preserve">Trial </w:t>
      </w:r>
      <w:r w:rsidR="000A2C70" w:rsidRPr="000A2C70">
        <w:rPr>
          <w:sz w:val="22"/>
          <w:szCs w:val="22"/>
        </w:rPr>
        <w:t>Attorney for their midtown office. They are seeking candidates with experience managing PI files from inception through resolution</w:t>
      </w:r>
      <w:r w:rsidR="000A2C70">
        <w:rPr>
          <w:sz w:val="22"/>
          <w:szCs w:val="22"/>
        </w:rPr>
        <w:t xml:space="preserve">, including those cases that head to trial. </w:t>
      </w:r>
      <w:r w:rsidR="000A2C70" w:rsidRPr="000A2C70">
        <w:rPr>
          <w:sz w:val="22"/>
          <w:szCs w:val="22"/>
        </w:rPr>
        <w:t>Experience with motor vehicle accidents, premises liability, construction accidents and/or labor law is ideal.</w:t>
      </w:r>
    </w:p>
    <w:p w14:paraId="08C1D50B" w14:textId="77777777" w:rsidR="000A2C70" w:rsidRPr="000A2C70" w:rsidRDefault="000A2C70" w:rsidP="000A2C70">
      <w:pPr>
        <w:spacing w:after="0" w:line="259" w:lineRule="auto"/>
        <w:rPr>
          <w:sz w:val="22"/>
          <w:szCs w:val="22"/>
        </w:rPr>
      </w:pPr>
      <w:r w:rsidRPr="000A2C70">
        <w:rPr>
          <w:sz w:val="22"/>
          <w:szCs w:val="22"/>
        </w:rPr>
        <w:t xml:space="preserve"> </w:t>
      </w:r>
    </w:p>
    <w:p w14:paraId="0F16B2FB" w14:textId="77777777" w:rsidR="000A2C70" w:rsidRPr="000A2C70" w:rsidRDefault="000A2C70" w:rsidP="000A2C70">
      <w:pPr>
        <w:spacing w:after="0" w:line="259" w:lineRule="auto"/>
        <w:rPr>
          <w:sz w:val="22"/>
          <w:szCs w:val="22"/>
        </w:rPr>
      </w:pPr>
      <w:r w:rsidRPr="000A2C70">
        <w:rPr>
          <w:sz w:val="22"/>
          <w:szCs w:val="22"/>
        </w:rPr>
        <w:t>The firm, which was founded approximately twenty-five years ago, has earned a reputation of excellence and a history of high value verdicts and settlements. They promote a culture that encourages collegiality, professionalism and respect.</w:t>
      </w:r>
    </w:p>
    <w:p w14:paraId="74DD128F" w14:textId="77777777" w:rsidR="000A2C70" w:rsidRPr="000A2C70" w:rsidRDefault="000A2C70" w:rsidP="000A2C70">
      <w:pPr>
        <w:spacing w:after="0" w:line="259" w:lineRule="auto"/>
        <w:rPr>
          <w:b/>
          <w:bCs/>
          <w:sz w:val="22"/>
          <w:szCs w:val="22"/>
        </w:rPr>
      </w:pPr>
    </w:p>
    <w:p w14:paraId="601DEDCF" w14:textId="77777777" w:rsidR="000A2C70" w:rsidRPr="000A2C70" w:rsidRDefault="000A2C70" w:rsidP="000A2C70">
      <w:pPr>
        <w:spacing w:after="0" w:line="259" w:lineRule="auto"/>
        <w:rPr>
          <w:b/>
          <w:bCs/>
          <w:sz w:val="22"/>
          <w:szCs w:val="22"/>
        </w:rPr>
      </w:pPr>
      <w:r w:rsidRPr="000A2C70">
        <w:rPr>
          <w:b/>
          <w:bCs/>
          <w:sz w:val="22"/>
          <w:szCs w:val="22"/>
        </w:rPr>
        <w:t>Qualifications</w:t>
      </w:r>
    </w:p>
    <w:p w14:paraId="773913C2" w14:textId="77777777" w:rsidR="000A2C70" w:rsidRPr="000A2C70" w:rsidRDefault="000A2C70" w:rsidP="000A2C70">
      <w:pPr>
        <w:numPr>
          <w:ilvl w:val="0"/>
          <w:numId w:val="1"/>
        </w:numPr>
        <w:spacing w:after="0" w:line="259" w:lineRule="auto"/>
        <w:contextualSpacing/>
        <w:rPr>
          <w:sz w:val="22"/>
          <w:szCs w:val="22"/>
        </w:rPr>
      </w:pPr>
      <w:r w:rsidRPr="000A2C70">
        <w:rPr>
          <w:sz w:val="22"/>
          <w:szCs w:val="22"/>
        </w:rPr>
        <w:t xml:space="preserve">Admission </w:t>
      </w:r>
      <w:proofErr w:type="gramStart"/>
      <w:r w:rsidRPr="000A2C70">
        <w:rPr>
          <w:sz w:val="22"/>
          <w:szCs w:val="22"/>
        </w:rPr>
        <w:t>in</w:t>
      </w:r>
      <w:proofErr w:type="gramEnd"/>
      <w:r w:rsidRPr="000A2C70">
        <w:rPr>
          <w:sz w:val="22"/>
          <w:szCs w:val="22"/>
        </w:rPr>
        <w:t xml:space="preserve"> good standing with the New York State Bar</w:t>
      </w:r>
    </w:p>
    <w:p w14:paraId="23E9BA46" w14:textId="77777777" w:rsidR="000A2C70" w:rsidRPr="000A2C70" w:rsidRDefault="000A2C70" w:rsidP="000A2C70">
      <w:pPr>
        <w:numPr>
          <w:ilvl w:val="0"/>
          <w:numId w:val="1"/>
        </w:numPr>
        <w:spacing w:after="0" w:line="259" w:lineRule="auto"/>
        <w:contextualSpacing/>
        <w:rPr>
          <w:sz w:val="22"/>
          <w:szCs w:val="22"/>
        </w:rPr>
      </w:pPr>
      <w:r w:rsidRPr="000A2C70">
        <w:rPr>
          <w:sz w:val="22"/>
          <w:szCs w:val="22"/>
        </w:rPr>
        <w:t>J.D. degree from an accredited institution</w:t>
      </w:r>
    </w:p>
    <w:p w14:paraId="589BCED1" w14:textId="77777777" w:rsidR="000A2C70" w:rsidRPr="000A2C70" w:rsidRDefault="000A2C70" w:rsidP="000A2C70">
      <w:pPr>
        <w:numPr>
          <w:ilvl w:val="0"/>
          <w:numId w:val="1"/>
        </w:numPr>
        <w:spacing w:after="0" w:line="259" w:lineRule="auto"/>
        <w:contextualSpacing/>
        <w:rPr>
          <w:sz w:val="22"/>
          <w:szCs w:val="22"/>
        </w:rPr>
      </w:pPr>
      <w:r w:rsidRPr="000A2C70">
        <w:rPr>
          <w:sz w:val="22"/>
          <w:szCs w:val="22"/>
        </w:rPr>
        <w:t>Ability to provide expert legal advice, conduct research, and negotiate with opposing parties</w:t>
      </w:r>
    </w:p>
    <w:p w14:paraId="6C5A1B63" w14:textId="77777777" w:rsidR="000A2C70" w:rsidRPr="000A2C70" w:rsidRDefault="000A2C70" w:rsidP="000A2C70">
      <w:pPr>
        <w:numPr>
          <w:ilvl w:val="0"/>
          <w:numId w:val="1"/>
        </w:numPr>
        <w:spacing w:after="0" w:line="259" w:lineRule="auto"/>
        <w:contextualSpacing/>
        <w:rPr>
          <w:sz w:val="22"/>
          <w:szCs w:val="22"/>
        </w:rPr>
      </w:pPr>
      <w:r w:rsidRPr="000A2C70">
        <w:rPr>
          <w:sz w:val="22"/>
          <w:szCs w:val="22"/>
        </w:rPr>
        <w:t>Represent clients in personal injury trials and court proceedings</w:t>
      </w:r>
    </w:p>
    <w:p w14:paraId="57D9A1A5" w14:textId="77777777" w:rsidR="000A2C70" w:rsidRPr="000A2C70" w:rsidRDefault="000A2C70" w:rsidP="000A2C70">
      <w:pPr>
        <w:numPr>
          <w:ilvl w:val="0"/>
          <w:numId w:val="1"/>
        </w:numPr>
        <w:spacing w:after="0" w:line="259" w:lineRule="auto"/>
        <w:contextualSpacing/>
        <w:rPr>
          <w:sz w:val="22"/>
          <w:szCs w:val="22"/>
        </w:rPr>
      </w:pPr>
      <w:r w:rsidRPr="000A2C70">
        <w:rPr>
          <w:sz w:val="22"/>
          <w:szCs w:val="22"/>
        </w:rPr>
        <w:t>Strong written and verbal communication skills</w:t>
      </w:r>
    </w:p>
    <w:p w14:paraId="531B1A5F" w14:textId="77777777" w:rsidR="000A2C70" w:rsidRPr="000A2C70" w:rsidRDefault="000A2C70" w:rsidP="000A2C70">
      <w:pPr>
        <w:numPr>
          <w:ilvl w:val="0"/>
          <w:numId w:val="1"/>
        </w:numPr>
        <w:spacing w:after="0" w:line="259" w:lineRule="auto"/>
        <w:contextualSpacing/>
        <w:rPr>
          <w:sz w:val="22"/>
          <w:szCs w:val="22"/>
        </w:rPr>
      </w:pPr>
      <w:r w:rsidRPr="000A2C70">
        <w:rPr>
          <w:sz w:val="22"/>
          <w:szCs w:val="22"/>
        </w:rPr>
        <w:t xml:space="preserve">Collaborate with clients, medical experts, and investigators </w:t>
      </w:r>
    </w:p>
    <w:p w14:paraId="51CF89C6" w14:textId="77777777" w:rsidR="000A2C70" w:rsidRPr="000A2C70" w:rsidRDefault="000A2C70" w:rsidP="000A2C70">
      <w:pPr>
        <w:numPr>
          <w:ilvl w:val="0"/>
          <w:numId w:val="1"/>
        </w:numPr>
        <w:spacing w:after="0" w:line="259" w:lineRule="auto"/>
        <w:contextualSpacing/>
        <w:rPr>
          <w:sz w:val="22"/>
          <w:szCs w:val="22"/>
        </w:rPr>
      </w:pPr>
      <w:r w:rsidRPr="000A2C70">
        <w:rPr>
          <w:sz w:val="22"/>
          <w:szCs w:val="22"/>
        </w:rPr>
        <w:t xml:space="preserve">Ability to negotiate settlements </w:t>
      </w:r>
    </w:p>
    <w:p w14:paraId="21E553EA" w14:textId="77777777" w:rsidR="000A2C70" w:rsidRPr="000A2C70" w:rsidRDefault="000A2C70" w:rsidP="000A2C70">
      <w:pPr>
        <w:numPr>
          <w:ilvl w:val="0"/>
          <w:numId w:val="1"/>
        </w:numPr>
        <w:spacing w:after="0" w:line="259" w:lineRule="auto"/>
        <w:contextualSpacing/>
        <w:rPr>
          <w:sz w:val="22"/>
          <w:szCs w:val="22"/>
        </w:rPr>
      </w:pPr>
      <w:r w:rsidRPr="000A2C70">
        <w:rPr>
          <w:sz w:val="22"/>
          <w:szCs w:val="22"/>
        </w:rPr>
        <w:t>Maintain accurate case records and documentation</w:t>
      </w:r>
    </w:p>
    <w:p w14:paraId="75D0E975" w14:textId="77777777" w:rsidR="000A2C70" w:rsidRPr="000A2C70" w:rsidRDefault="000A2C70" w:rsidP="000A2C70">
      <w:pPr>
        <w:spacing w:after="0" w:line="259" w:lineRule="auto"/>
        <w:rPr>
          <w:b/>
          <w:bCs/>
          <w:sz w:val="22"/>
          <w:szCs w:val="22"/>
        </w:rPr>
      </w:pPr>
    </w:p>
    <w:p w14:paraId="6A992935" w14:textId="77777777" w:rsidR="000A2C70" w:rsidRPr="000A2C70" w:rsidRDefault="000A2C70" w:rsidP="000A2C70">
      <w:pPr>
        <w:spacing w:after="0" w:line="259" w:lineRule="auto"/>
        <w:rPr>
          <w:sz w:val="22"/>
          <w:szCs w:val="22"/>
        </w:rPr>
      </w:pPr>
      <w:r w:rsidRPr="000A2C70">
        <w:rPr>
          <w:b/>
          <w:bCs/>
          <w:sz w:val="22"/>
          <w:szCs w:val="22"/>
        </w:rPr>
        <w:t>Salary/Benefits:</w:t>
      </w:r>
    </w:p>
    <w:p w14:paraId="10CED243" w14:textId="77777777" w:rsidR="000A2C70" w:rsidRPr="000A2C70" w:rsidRDefault="000A2C70" w:rsidP="000A2C70">
      <w:pPr>
        <w:numPr>
          <w:ilvl w:val="0"/>
          <w:numId w:val="2"/>
        </w:numPr>
        <w:spacing w:after="0" w:line="259" w:lineRule="auto"/>
        <w:contextualSpacing/>
        <w:rPr>
          <w:sz w:val="22"/>
          <w:szCs w:val="22"/>
        </w:rPr>
      </w:pPr>
      <w:r w:rsidRPr="000A2C70">
        <w:rPr>
          <w:sz w:val="22"/>
          <w:szCs w:val="22"/>
        </w:rPr>
        <w:t xml:space="preserve">Salary is negotiable – generally $200-325k/year </w:t>
      </w:r>
    </w:p>
    <w:p w14:paraId="69651F6A" w14:textId="77777777" w:rsidR="000A2C70" w:rsidRPr="000A2C70" w:rsidRDefault="000A2C70" w:rsidP="000A2C70">
      <w:pPr>
        <w:numPr>
          <w:ilvl w:val="0"/>
          <w:numId w:val="2"/>
        </w:numPr>
        <w:spacing w:after="0" w:line="259" w:lineRule="auto"/>
        <w:contextualSpacing/>
        <w:rPr>
          <w:sz w:val="22"/>
          <w:szCs w:val="22"/>
        </w:rPr>
      </w:pPr>
      <w:r w:rsidRPr="000A2C70">
        <w:rPr>
          <w:sz w:val="22"/>
          <w:szCs w:val="22"/>
        </w:rPr>
        <w:t xml:space="preserve">Bonus and Commission – 5% on settlements, 12% on verdicts </w:t>
      </w:r>
    </w:p>
    <w:p w14:paraId="677325DC" w14:textId="77777777" w:rsidR="000A2C70" w:rsidRPr="000A2C70" w:rsidRDefault="000A2C70" w:rsidP="000A2C70">
      <w:pPr>
        <w:numPr>
          <w:ilvl w:val="0"/>
          <w:numId w:val="2"/>
        </w:numPr>
        <w:spacing w:after="0" w:line="259" w:lineRule="auto"/>
        <w:contextualSpacing/>
        <w:rPr>
          <w:sz w:val="22"/>
          <w:szCs w:val="22"/>
        </w:rPr>
      </w:pPr>
      <w:r w:rsidRPr="000A2C70">
        <w:rPr>
          <w:sz w:val="22"/>
          <w:szCs w:val="22"/>
        </w:rPr>
        <w:t>PTO</w:t>
      </w:r>
    </w:p>
    <w:p w14:paraId="47804888" w14:textId="77777777" w:rsidR="000A2C70" w:rsidRPr="000A2C70" w:rsidRDefault="000A2C70" w:rsidP="000A2C70">
      <w:pPr>
        <w:numPr>
          <w:ilvl w:val="0"/>
          <w:numId w:val="2"/>
        </w:numPr>
        <w:spacing w:after="0" w:line="259" w:lineRule="auto"/>
        <w:contextualSpacing/>
        <w:rPr>
          <w:sz w:val="22"/>
          <w:szCs w:val="22"/>
        </w:rPr>
      </w:pPr>
      <w:r w:rsidRPr="000A2C70">
        <w:rPr>
          <w:sz w:val="22"/>
          <w:szCs w:val="22"/>
        </w:rPr>
        <w:t xml:space="preserve">Medical </w:t>
      </w:r>
    </w:p>
    <w:p w14:paraId="1F6B5A8E" w14:textId="77777777" w:rsidR="000A2C70" w:rsidRPr="000A2C70" w:rsidRDefault="000A2C70" w:rsidP="000A2C70">
      <w:pPr>
        <w:numPr>
          <w:ilvl w:val="0"/>
          <w:numId w:val="2"/>
        </w:numPr>
        <w:spacing w:after="0" w:line="259" w:lineRule="auto"/>
        <w:contextualSpacing/>
        <w:rPr>
          <w:sz w:val="22"/>
          <w:szCs w:val="22"/>
        </w:rPr>
      </w:pPr>
      <w:r w:rsidRPr="000A2C70">
        <w:rPr>
          <w:sz w:val="22"/>
          <w:szCs w:val="22"/>
        </w:rPr>
        <w:t xml:space="preserve">401k </w:t>
      </w:r>
    </w:p>
    <w:p w14:paraId="747DC88F" w14:textId="77777777" w:rsidR="000A2C70" w:rsidRPr="000A2C70" w:rsidRDefault="000A2C70" w:rsidP="000A2C70">
      <w:pPr>
        <w:spacing w:line="259" w:lineRule="auto"/>
        <w:rPr>
          <w:sz w:val="22"/>
          <w:szCs w:val="22"/>
        </w:rPr>
      </w:pPr>
    </w:p>
    <w:p w14:paraId="0E1D13C3" w14:textId="77777777" w:rsidR="000A2C70" w:rsidRDefault="000A2C70"/>
    <w:sectPr w:rsidR="000A2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16C8F"/>
    <w:multiLevelType w:val="hybridMultilevel"/>
    <w:tmpl w:val="0206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82894"/>
    <w:multiLevelType w:val="hybridMultilevel"/>
    <w:tmpl w:val="D26E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88563">
    <w:abstractNumId w:val="0"/>
  </w:num>
  <w:num w:numId="2" w16cid:durableId="35141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70"/>
    <w:rsid w:val="000A2C70"/>
    <w:rsid w:val="004240F9"/>
    <w:rsid w:val="00B46BD7"/>
    <w:rsid w:val="00F8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8B68"/>
  <w15:chartTrackingRefBased/>
  <w15:docId w15:val="{1846540C-4148-4C1F-9EAA-13D3731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2</cp:revision>
  <cp:lastPrinted>2025-02-23T17:07:00Z</cp:lastPrinted>
  <dcterms:created xsi:type="dcterms:W3CDTF">2025-02-13T00:18:00Z</dcterms:created>
  <dcterms:modified xsi:type="dcterms:W3CDTF">2025-02-23T17:08:00Z</dcterms:modified>
</cp:coreProperties>
</file>