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BC" w:rsidRDefault="002418BC" w:rsidP="002418BC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Elston, Dirk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EXTERNAL Re: VDS Coding Update - questions</w:t>
      </w:r>
    </w:p>
    <w:p w:rsidR="002418BC" w:rsidRDefault="002418BC" w:rsidP="002418BC"/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SEE ANSWERS BELOW EACH QUESTION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Brett Austin to Everyone:  08:06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 the genital wart example you gave, has it always been appropriate to bill the new wart diagnosis plus the destruction procedure? Or is this unique to the new standards?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The diagnosis counts towards complexity, but the decision to perform the procedure does not count towards risk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What f prescribed CSA or TAC wet wraps and the patient is still fairly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erythrodermic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followup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?  4 or 5? </w:t>
      </w:r>
    </w:p>
    <w:p w:rsidR="002418BC" w:rsidRDefault="002418BC" w:rsidP="002418BC">
      <w:pPr>
        <w:rPr>
          <w:rFonts w:ascii="Calibri" w:hAnsi="Calibri" w:cs="Calibri"/>
          <w:color w:val="000000"/>
        </w:rPr>
      </w:pP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Complexity is level 5, would also need level 5 data or risk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what level does biologics go under since you only check labs once maybe twice a year.  And when you do check initial labs would that take you to a level 5? since you are checking TB, CBC, CMP, and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Hep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panel?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Level 4 risk, even on days when you check labs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Chris Burnett to Everyone:  08:08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If an abnormal finding is seen on exam but the patient doesn’t mention it does that count towards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mdm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or do we need to elicit and document history even if history doesn’t change your plan?  i.e. an obvious melanoma that you are going to biopsy regardless of history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Diagnoses noted during exam count towards complexity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Gabriela Blanco to Everyone:  08:09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is a chronic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condiion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(e.g. eczema/acne), that is not flaring, but still not at goal of therapy and counseling on prescription meds, considered a 99214 or 99213?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SINGLE STABLE CONDITION IS LEVEL 3 COMPLEXITY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Brett Austin to Everyone:  08:10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 melanoma &amp; NMSC follow up patients, does evaluation of scars and lymph nodes for signs of recurrence count when the Z codes do not?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NOT LIKELY TO WITHSTAND AUDIT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Natalia Mendoza to Everyone:  08:10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Is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intertrigo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and folliculitis chronic conditions that flare or are considered acute?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COULD BE SEVERE FLARE DEPENDING ON PATIENT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Tinatin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Gotsiridze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MD to Everyone:  08:10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is history of mm or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scc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 minor problem or chronic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dz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CHRONIC DISEASE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Brenda Dintiman to Everyone:  08:11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we have gone too far away from the value of the exam.. anyone can treat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seb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derm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but can anyone diagnose a melanoma or a subtle bcc or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amelamtoc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melanoma.. this helps promote less trained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mid levels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. I am concerned. what is the AAD doing to help interpret this .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 AGREE.  AARP AND OTHER PATIENT GROUPS NEED TO WEIGH IN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Michelle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Tarbox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08:16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do you need to write Actinic Keratosis: problem of uncertain prognosis?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OK JUST TO ENTER DIAGNOSIS UNLESS IT IS ONE THAT MAY BE UNCLEAR TO A READER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Jerri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Alexiou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08:17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so recommending sunscreen SPF 30 or higher is low not moderate?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ALL OTC TOPICALS ARE LEVEL 3 RISK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Anne Spillane to Everyone:  08:17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for the occasional patient who declines definitive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tx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of their NMSC (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my few very elderly pts who have a BCC that they don't/won't have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tx'd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after biopsy), can these pts be counted as having a current diagnosis of NMSC when I see them for f/u surveillance exams? So no z-code? And then would these be a level 5 visit?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IT REMAINS A CURRENT DIAGNOSIS UNTIL TREATED.  SCC ON EAR OR LIP COULD BE LEVEL 5 COMPLEXITY, BUT STILL NEED DATA OR RISK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Brenda Dintiman to Everyone:  08:18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but isn’t a complete skin exam cognitive side?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YES BUT NOT COUNTED TOWARD MDM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Toni McCullough to Everyone:  08:20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Please comment on PDT billing. Can a nursing visit (99211) still be billed with the PDT code and the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Levulan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code? 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LEVULAN IS BILLED SEPARATELY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TO BE PHYSICIAN APPLIED THE PHYSICIAN MUST APPLY AND PUSH THE BUTTON TO TURN ON MACHINE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Pamela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Weinfeld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08:21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What about phototherapy?  If you see them every 2 months to monitor their progress, and possibly adjust phototherapy orders, do you consider phototherapy a "prescription" that needs monitoring?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MUST BE A DRUG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Marc Darst MD to Everyone:  08:21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If in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Wolverton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it says quarterly labs for biologic does that cover us for ordering quarterly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NOT IF LITERATURE DOES NOT SUPPORT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julia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nunley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08:22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do we need to state "uncertain prognosis" with diagnoses of AKs, warts ...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SEE ABOVE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Lawrence Blanchard to Everyone:  08:25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Do you have to use special terms/words to document social determinants of health or problems with uncertain prognosis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YES - WE HAVE A TEMPLATE THAT INCLUDES WHO DEFINITION OF SOCIAL DETERMINANTS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Me to iPhone K:  (Direct Message) 08:25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emilyrubenstein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08:27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discuss probiotics and gut health in atopic patient is that social determinant?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YES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Megan Brelsford to Everyone:  08:29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Are we no longer able to offer full body skin checks to all who want them if they have no history of skin cancer</w:t>
      </w:r>
      <w:r>
        <w:rPr>
          <w:rFonts w:ascii="Calibri" w:hAnsi="Calibri" w:cs="Calibri"/>
          <w:color w:val="000000"/>
          <w:sz w:val="22"/>
          <w:szCs w:val="22"/>
        </w:rPr>
        <w:t xml:space="preserve">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IT WAS NEVER A COVERED MEDICARE SERVICE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Brenda Dintiman to Everyone:  08:30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nurse practitioners are lobby for independent tomorrow in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virginia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.. does this coding make it easier for them to code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amd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profit!?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Megan Brelsford to Everyone:  08:30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If they come in and only have one issue and then ask for you to just do a full body check, then how do you code for it?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CODE BY MDM OR TIME.  EXAM COUNTS TOWARDS NEITHER 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Gabriela Blanco to Everyone:  08:32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With a new rash, can you still get to 99204 if do a punch biopsy-if also prescribing a medication (e.g. topical steroids)?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YES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Brett to Everyone:  08:34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new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with rash, give Rx and take a bx...is the entire visit gone 2nd to the biopsy?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NO, ONLY THE DECISION TO PERFORM BIOPSY DOESN'T GET COUNTED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Tinatin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Gotsiridze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MD to Everyone:  08:35 PM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so skin exam plus biopsy- is that level 4?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NEITHER DECISION TO PERFORM 0 OR 10 DAY GLOBAL NOR EXAM COUNT TOWARDS MDM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Kobe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Jeharajah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 so very much!!!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Megan Brelsford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 so much Dr. E!!!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Farhaad Riyaz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Thanks Dr. Elston!!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From Me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Thank you for attending tonight!  Please look for an email from me tomorrow with the recording link.  If you are not a member, you can sign up at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www.VAderm.org/membership</w:t>
        </w:r>
      </w:hyperlink>
      <w:r>
        <w:rPr>
          <w:rFonts w:ascii="Calibri" w:hAnsi="Calibri" w:cs="Calibri"/>
          <w:color w:val="000000"/>
          <w:sz w:val="22"/>
          <w:szCs w:val="22"/>
        </w:rPr>
        <w:t>.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Michelle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Tarbox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way to go Dr. Elston!!!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LWC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thank you Dr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elston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Brooke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Wehausen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Brenda Dintiman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thanks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Maria Hicks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Dr. Elston, you are the best! Thank you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emilyrubenstein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08:35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Michelle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Tarbox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08:36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That was awesome!!!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agagnon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08:36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Thank you VA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Jennifer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Tromberg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08:36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 that was wonderful!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Rolla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Jaber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MD to Everyone:  08:36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 all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 Pamela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Weinfeld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Everyone:  08:36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you!  I hope he does answer my phototherapy question by email.   : )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From Gabriela Blanco to Everyone:  08:37 PM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if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here for rash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fu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, and rash all resolved, but counseling about prescription meds if rash were to flare in the future, can you code a level 4, or would it be level 3/2?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THERE IS NO REMAINING PROBLEM, LIKELY LEVEL 2____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Thank you for the opportunity to ask Dr. Elston our coding questions. I had one question come up after the fact (which I did not put in the chat) that I was wondering if you could forward to him: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When performing a skin biopsy and sending it to an outside lab for processing, does that count as ordering a unique test and reviewing the result of a unique test if I hold the chart and code it after I review and discuss the results with the patient? Also, if the biopsy results prompt me to prescribe a medication for that patient, can that bump me up to a level 4 visit even if the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rx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is given the week after the biopsy was done (if I hold the chart for coding later)?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DOING THE BIOPSY DOES NOT COUNT AS ORDERING A TEST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IF HELD AND PRESCRIPTION APPROPRIATE, THEN RISK IS LEVEL 4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Thanks so much!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Michele Gonzalez, MD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Atlantic Dermatology Associates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Virginia Beach, VA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 so much for organizing the very helpful coding talk with Dr. Elston. He was so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gracious to agree to answer other questions in his own time. 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not too late, do you mind adding the following 2 questions to see if he can answer?: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1) Does a new diagnosis of “contact dermatitis“ or tinea follow under level 4 Complexity of Problem column, as “1 undiagnosed new problem with uncertain prognosis”?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PRIOR PRECEDENTS SAY YES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2) Does OTC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lamisil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cream (a previous prescription medication) count as a level 4 under “Risk” column?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GRAY ZONE BUT LIKELY WOULD BE COUNTED AS LEVEL 3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Much appreciated,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Gabriela 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0"/>
          <w:szCs w:val="20"/>
        </w:rPr>
        <w:t>Question for Dr. Elston: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What if you see a patient for a routine skin check and diagnose actinic </w:t>
      </w: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</w:rPr>
        <w:t>keratoses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. You opt to treat a few isolated AKs with cryotherapy, but prescribe </w:t>
      </w: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</w:rPr>
        <w:t>efudex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for field treatment of numerous AKs on the scalp. You discuss risk and benefits to </w:t>
      </w: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</w:rPr>
        <w:t>efudex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and send the prescription.  Do you get both moderate complexity/risk for the AK diagnosis + </w:t>
      </w: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</w:rPr>
        <w:t>efudex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and ALSO the procedure for cryotherapy?  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YES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0"/>
          <w:szCs w:val="20"/>
        </w:rPr>
        <w:t>Thank you again,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0"/>
          <w:szCs w:val="20"/>
        </w:rPr>
        <w:t>Amy Gagnon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Brett Krasner: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add the following question to Dr. Elston: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Thanks so very much for your time and a great talk. </w:t>
      </w:r>
    </w:p>
    <w:p w:rsidR="002418BC" w:rsidRDefault="002418BC" w:rsidP="002418BC">
      <w:pPr>
        <w:spacing w:after="16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You seemed to offer different advice on warts... 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1. In a simple wart, the patient is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dx'd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the lesion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tx'd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with LN2, only the procedure code is billed.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CORRECT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2. But if a wart is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dx'd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and LN2 AND also a Rx for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aldara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/5FU/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cidofovir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also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Rx'd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,...now it is a level 4 AND bill for the procedure?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CORRECT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3. If a genital wart/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condyloma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dx'd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and we discuss determinants of social factors (condoms, PAP smears, etc...) and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tx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with LN2... </w:t>
      </w:r>
    </w:p>
    <w:p w:rsidR="002418BC" w:rsidRDefault="002418BC" w:rsidP="002418BC">
      <w:pPr>
        <w:spacing w:after="240"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LEVEL 4 PLUS PROCEDURE IF APPROPRIATELY DOCUMENTED</w:t>
      </w:r>
    </w:p>
    <w:p w:rsidR="002418BC" w:rsidRDefault="002418BC" w:rsidP="002418BC">
      <w:pPr>
        <w:spacing w:after="160" w:line="252" w:lineRule="auto"/>
      </w:pPr>
    </w:p>
    <w:p w:rsidR="002418BC" w:rsidRDefault="002418BC" w:rsidP="002418BC">
      <w:pPr>
        <w:pStyle w:val="xmsonormal"/>
      </w:pPr>
    </w:p>
    <w:p w:rsidR="00C11040" w:rsidRDefault="00C11040">
      <w:bookmarkStart w:id="0" w:name="_GoBack"/>
      <w:bookmarkEnd w:id="0"/>
    </w:p>
    <w:sectPr w:rsidR="00C11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BC"/>
    <w:rsid w:val="002418BC"/>
    <w:rsid w:val="00C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B8C33-D85E-438E-817C-6600103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8BC"/>
    <w:rPr>
      <w:color w:val="0563C1"/>
      <w:u w:val="single"/>
    </w:rPr>
  </w:style>
  <w:style w:type="paragraph" w:customStyle="1" w:styleId="xmsonormal">
    <w:name w:val="x_msonormal"/>
    <w:basedOn w:val="Normal"/>
    <w:uiPriority w:val="99"/>
    <w:rsid w:val="002418B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derm.org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McConnell</dc:creator>
  <cp:keywords/>
  <dc:description/>
  <cp:lastModifiedBy>Susan McConnell</cp:lastModifiedBy>
  <cp:revision>1</cp:revision>
  <dcterms:created xsi:type="dcterms:W3CDTF">2021-02-18T17:01:00Z</dcterms:created>
  <dcterms:modified xsi:type="dcterms:W3CDTF">2021-02-18T17:01:00Z</dcterms:modified>
</cp:coreProperties>
</file>