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4606" w14:textId="436A3F67" w:rsidR="007B4899" w:rsidRDefault="007B4899" w:rsidP="007B4899">
      <w:pPr>
        <w:ind w:left="0"/>
        <w:jc w:val="center"/>
      </w:pPr>
      <w:r w:rsidRPr="007B4899">
        <w:t>R</w:t>
      </w:r>
      <w:r>
        <w:t xml:space="preserve">equest for </w:t>
      </w:r>
      <w:r w:rsidR="00480E1C">
        <w:t>Proposals</w:t>
      </w:r>
    </w:p>
    <w:p w14:paraId="79A80CE0" w14:textId="4EF7133E" w:rsidR="007B4899" w:rsidRDefault="00480E1C" w:rsidP="007B4899">
      <w:pPr>
        <w:ind w:left="0"/>
        <w:jc w:val="center"/>
      </w:pPr>
      <w:r>
        <w:t xml:space="preserve">Administrative and </w:t>
      </w:r>
      <w:r w:rsidR="007B4899">
        <w:t>Professional Services</w:t>
      </w:r>
    </w:p>
    <w:p w14:paraId="4F9A1671" w14:textId="62524452" w:rsidR="00480E1C" w:rsidRDefault="00480E1C" w:rsidP="00480E1C">
      <w:pPr>
        <w:ind w:left="0"/>
        <w:jc w:val="center"/>
      </w:pPr>
      <w:r>
        <w:t>for the Clean Water State Revolving Fund Program</w:t>
      </w:r>
    </w:p>
    <w:p w14:paraId="383FB990" w14:textId="0497C342" w:rsidR="007B4899" w:rsidRDefault="007B4899" w:rsidP="007B4899">
      <w:pPr>
        <w:ind w:left="0"/>
        <w:jc w:val="center"/>
      </w:pPr>
      <w:r w:rsidRPr="007B4899">
        <w:t>ADDENDUM #1</w:t>
      </w:r>
    </w:p>
    <w:p w14:paraId="509CB44B" w14:textId="5841F902" w:rsidR="007B4899" w:rsidRDefault="007B4899" w:rsidP="007B4899">
      <w:pPr>
        <w:ind w:left="0"/>
      </w:pPr>
      <w:r w:rsidRPr="007B4899">
        <w:t xml:space="preserve">Date of Addendum: </w:t>
      </w:r>
      <w:r w:rsidR="007301D4">
        <w:t xml:space="preserve">December </w:t>
      </w:r>
      <w:r w:rsidR="007301D4" w:rsidRPr="007B4899">
        <w:t>3</w:t>
      </w:r>
      <w:r w:rsidRPr="007B4899">
        <w:t xml:space="preserve">, 2025   </w:t>
      </w:r>
    </w:p>
    <w:p w14:paraId="516F26E6" w14:textId="61AD0A74" w:rsidR="007B4899" w:rsidRDefault="007B4899" w:rsidP="007B4899">
      <w:pPr>
        <w:ind w:left="0"/>
      </w:pPr>
      <w:r w:rsidRPr="007B4899">
        <w:t>NOTICE TO ALL POTENTIAL RESPONDENTS</w:t>
      </w:r>
      <w:r w:rsidR="00480E1C">
        <w:t>:</w:t>
      </w:r>
      <w:r w:rsidRPr="007B4899">
        <w:t xml:space="preserve"> The Request for </w:t>
      </w:r>
      <w:r w:rsidR="00480E1C">
        <w:t>Proposals</w:t>
      </w:r>
      <w:r w:rsidRPr="007B4899">
        <w:t xml:space="preserve"> (RF</w:t>
      </w:r>
      <w:r w:rsidR="00480E1C">
        <w:t>P</w:t>
      </w:r>
      <w:r w:rsidRPr="007B4899">
        <w:t>) is modified as set forth in this Addendum. The original RF</w:t>
      </w:r>
      <w:r w:rsidR="00480E1C">
        <w:t>P</w:t>
      </w:r>
      <w:r w:rsidRPr="007B4899">
        <w:t xml:space="preserve"> Documents and any previously issued addenda remain in full force and effect, except as modified by this Addendum, which is hereby made part of the RF</w:t>
      </w:r>
      <w:r w:rsidR="00480E1C">
        <w:t>P</w:t>
      </w:r>
      <w:r w:rsidRPr="007B4899">
        <w:t xml:space="preserve">. Respondent shall take this Addendum into consideration when preparing and submitting a Proposal.  </w:t>
      </w:r>
      <w:r w:rsidR="007301D4">
        <w:t>Respondent will please also refer to the website for any future addenda.</w:t>
      </w:r>
    </w:p>
    <w:p w14:paraId="5E374E3C" w14:textId="77777777" w:rsidR="007B4899" w:rsidRDefault="007B4899" w:rsidP="007B4899">
      <w:pPr>
        <w:ind w:left="0"/>
      </w:pPr>
      <w:r w:rsidRPr="007B4899">
        <w:t xml:space="preserve">PROPOSAL SUBMITTAL DEADLINE The Proposal submittal deadline remains the same and is not changed by this Addendum.  </w:t>
      </w:r>
    </w:p>
    <w:p w14:paraId="34C3610E" w14:textId="5FC78903" w:rsidR="007B4899" w:rsidRDefault="007B4899" w:rsidP="007B4899">
      <w:pPr>
        <w:pStyle w:val="ListParagraph"/>
        <w:numPr>
          <w:ilvl w:val="0"/>
          <w:numId w:val="1"/>
        </w:numPr>
      </w:pPr>
      <w:r w:rsidRPr="007B4899">
        <w:t>– RF</w:t>
      </w:r>
      <w:r w:rsidR="00480E1C">
        <w:t xml:space="preserve">P language shall be considered updated with </w:t>
      </w:r>
      <w:r w:rsidR="00480E1C" w:rsidRPr="00480E1C">
        <w:rPr>
          <w:b/>
          <w:bCs/>
          <w:color w:val="EE0000"/>
        </w:rPr>
        <w:t>bolded, red font.</w:t>
      </w:r>
    </w:p>
    <w:tbl>
      <w:tblPr>
        <w:tblStyle w:val="TableGrid"/>
        <w:tblW w:w="0" w:type="auto"/>
        <w:tblInd w:w="380" w:type="dxa"/>
        <w:tblLook w:val="04A0" w:firstRow="1" w:lastRow="0" w:firstColumn="1" w:lastColumn="0" w:noHBand="0" w:noVBand="1"/>
      </w:tblPr>
      <w:tblGrid>
        <w:gridCol w:w="4482"/>
        <w:gridCol w:w="4488"/>
      </w:tblGrid>
      <w:tr w:rsidR="00480E1C" w14:paraId="35A48110" w14:textId="77777777" w:rsidTr="00480E1C">
        <w:tc>
          <w:tcPr>
            <w:tcW w:w="4675" w:type="dxa"/>
          </w:tcPr>
          <w:p w14:paraId="692ABA2B" w14:textId="4D9DF6AA" w:rsidR="00480E1C" w:rsidRDefault="00480E1C" w:rsidP="00480E1C">
            <w:pPr>
              <w:pStyle w:val="ListParagraph"/>
              <w:ind w:left="0"/>
            </w:pPr>
            <w:r w:rsidRPr="007B4899">
              <w:rPr>
                <w:b/>
                <w:bCs/>
              </w:rPr>
              <w:t xml:space="preserve">Section </w:t>
            </w:r>
            <w:r w:rsidRPr="007B4899">
              <w:rPr>
                <w:b/>
                <w:bCs/>
              </w:rPr>
              <w:tab/>
            </w:r>
          </w:p>
        </w:tc>
        <w:tc>
          <w:tcPr>
            <w:tcW w:w="4675" w:type="dxa"/>
          </w:tcPr>
          <w:p w14:paraId="2734F4EA" w14:textId="5A37857B" w:rsidR="00480E1C" w:rsidRDefault="00480E1C" w:rsidP="00480E1C">
            <w:pPr>
              <w:pStyle w:val="ListParagraph"/>
              <w:ind w:left="0"/>
            </w:pPr>
            <w:r w:rsidRPr="007B4899">
              <w:rPr>
                <w:b/>
                <w:bCs/>
              </w:rPr>
              <w:t>Description of Change</w:t>
            </w:r>
          </w:p>
        </w:tc>
      </w:tr>
      <w:tr w:rsidR="00480E1C" w14:paraId="7BFEE887" w14:textId="77777777" w:rsidTr="00480E1C">
        <w:tc>
          <w:tcPr>
            <w:tcW w:w="4675" w:type="dxa"/>
          </w:tcPr>
          <w:p w14:paraId="02F8044E" w14:textId="503D7FA5" w:rsidR="00480E1C" w:rsidRDefault="00480E1C" w:rsidP="00480E1C">
            <w:pPr>
              <w:pStyle w:val="ListParagraph"/>
              <w:ind w:left="0"/>
            </w:pPr>
            <w:r>
              <w:t>Paragraph 2</w:t>
            </w:r>
          </w:p>
        </w:tc>
        <w:tc>
          <w:tcPr>
            <w:tcW w:w="4675" w:type="dxa"/>
          </w:tcPr>
          <w:p w14:paraId="7FC9CE5E" w14:textId="5E231849" w:rsidR="00480E1C" w:rsidRDefault="00480E1C" w:rsidP="00480E1C">
            <w:pPr>
              <w:pStyle w:val="ListParagraph"/>
              <w:ind w:left="0"/>
            </w:pPr>
            <w:r>
              <w:t xml:space="preserve">The WSC is applying for funding from the Texas Water Development Board (TWDB) </w:t>
            </w:r>
            <w:r w:rsidRPr="00480E1C">
              <w:rPr>
                <w:b/>
                <w:bCs/>
                <w:color w:val="EE0000"/>
              </w:rPr>
              <w:t xml:space="preserve">Clean Water State Revolving Fund (CWSRF) </w:t>
            </w:r>
            <w:r>
              <w:t>program.</w:t>
            </w:r>
          </w:p>
        </w:tc>
      </w:tr>
      <w:tr w:rsidR="00480E1C" w14:paraId="18F5A182" w14:textId="77777777" w:rsidTr="00480E1C">
        <w:tc>
          <w:tcPr>
            <w:tcW w:w="4675" w:type="dxa"/>
          </w:tcPr>
          <w:p w14:paraId="2D765E0D" w14:textId="0608E58A" w:rsidR="00480E1C" w:rsidRDefault="00480E1C" w:rsidP="00480E1C">
            <w:pPr>
              <w:ind w:left="0"/>
            </w:pPr>
            <w:r>
              <w:t>Scope 1 – Program Development Governance and Public Outreach</w:t>
            </w:r>
          </w:p>
          <w:p w14:paraId="7D2B87E3" w14:textId="3102EAD8" w:rsidR="00480E1C" w:rsidRDefault="00480E1C" w:rsidP="00480E1C">
            <w:pPr>
              <w:pStyle w:val="ListParagraph"/>
              <w:ind w:left="0"/>
            </w:pPr>
          </w:p>
        </w:tc>
        <w:tc>
          <w:tcPr>
            <w:tcW w:w="4675" w:type="dxa"/>
          </w:tcPr>
          <w:p w14:paraId="148DF40F" w14:textId="77777777" w:rsidR="00480E1C" w:rsidRDefault="00480E1C" w:rsidP="00480E1C">
            <w:pPr>
              <w:pStyle w:val="ListParagraph"/>
              <w:ind w:left="0"/>
            </w:pPr>
            <w:r>
              <w:t xml:space="preserve">Coordinate with municipal entities (such as water supply corporations, cities, and counties) and non-municipal entities (such as homeowner’s associations, private corporations, and others) to facilitate the </w:t>
            </w:r>
            <w:r w:rsidRPr="00480E1C">
              <w:rPr>
                <w:b/>
                <w:bCs/>
                <w:color w:val="EE0000"/>
              </w:rPr>
              <w:t>CWSRF</w:t>
            </w:r>
            <w:r w:rsidRPr="00480E1C">
              <w:rPr>
                <w:color w:val="EE0000"/>
              </w:rPr>
              <w:t xml:space="preserve"> </w:t>
            </w:r>
            <w:r>
              <w:t>program.</w:t>
            </w:r>
          </w:p>
          <w:p w14:paraId="0A09119E" w14:textId="22B68AE9" w:rsidR="00480E1C" w:rsidRDefault="00480E1C" w:rsidP="00480E1C">
            <w:pPr>
              <w:pStyle w:val="ListParagraph"/>
              <w:ind w:left="0"/>
            </w:pPr>
            <w:r>
              <w:t xml:space="preserve">Facilitate and attend public meetings in order to increase transparency and to provide information on the </w:t>
            </w:r>
            <w:r w:rsidRPr="00480E1C">
              <w:rPr>
                <w:b/>
                <w:bCs/>
                <w:color w:val="EE0000"/>
              </w:rPr>
              <w:t>CWSRF</w:t>
            </w:r>
            <w:r w:rsidRPr="00480E1C">
              <w:rPr>
                <w:color w:val="EE0000"/>
              </w:rPr>
              <w:t xml:space="preserve"> </w:t>
            </w:r>
            <w:r>
              <w:t>program to the community.</w:t>
            </w:r>
          </w:p>
        </w:tc>
      </w:tr>
      <w:tr w:rsidR="00480E1C" w14:paraId="798A1619" w14:textId="77777777" w:rsidTr="00480E1C">
        <w:tc>
          <w:tcPr>
            <w:tcW w:w="4675" w:type="dxa"/>
          </w:tcPr>
          <w:p w14:paraId="76ADC658" w14:textId="77777777" w:rsidR="00480E1C" w:rsidRDefault="006C76A4" w:rsidP="00480E1C">
            <w:pPr>
              <w:pStyle w:val="ListParagraph"/>
              <w:ind w:left="0"/>
            </w:pPr>
            <w:r>
              <w:t>Scope 2 – Compliance and Coordination</w:t>
            </w:r>
          </w:p>
          <w:p w14:paraId="2241BA2A" w14:textId="64FD8C8F" w:rsidR="006C76A4" w:rsidRDefault="006C76A4" w:rsidP="00480E1C">
            <w:pPr>
              <w:pStyle w:val="ListParagraph"/>
              <w:ind w:left="0"/>
            </w:pPr>
            <w:r>
              <w:t xml:space="preserve">Procurement of and </w:t>
            </w:r>
            <w:r w:rsidR="00217E4D">
              <w:t>Coordination</w:t>
            </w:r>
            <w:r>
              <w:t xml:space="preserve"> with Professional Service Providers</w:t>
            </w:r>
          </w:p>
        </w:tc>
        <w:tc>
          <w:tcPr>
            <w:tcW w:w="4675" w:type="dxa"/>
          </w:tcPr>
          <w:p w14:paraId="4E8FB11A" w14:textId="7FFC633A" w:rsidR="00480E1C" w:rsidRPr="006C76A4" w:rsidRDefault="006C76A4" w:rsidP="00480E1C">
            <w:pPr>
              <w:pStyle w:val="ListParagraph"/>
              <w:ind w:left="0"/>
            </w:pPr>
            <w:r w:rsidRPr="006C76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Assist the WSC in preparing additional documentation compliant with applicable local, state, and federal requirements related to a Request for Proposals (RFP) or </w:t>
            </w:r>
            <w:r w:rsidRPr="006C76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 xml:space="preserve">Request for Qualifications (RFQ) for other professionals necessary to the progress and development of the </w:t>
            </w:r>
            <w:r w:rsidRPr="00480E1C">
              <w:rPr>
                <w:b/>
                <w:bCs/>
                <w:color w:val="EE0000"/>
              </w:rPr>
              <w:t>CWSRF</w:t>
            </w:r>
            <w:r w:rsidRPr="00480E1C">
              <w:rPr>
                <w:color w:val="EE0000"/>
              </w:rPr>
              <w:t xml:space="preserve"> </w:t>
            </w:r>
            <w:r w:rsidRPr="006C76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program. </w:t>
            </w:r>
          </w:p>
        </w:tc>
      </w:tr>
    </w:tbl>
    <w:p w14:paraId="6EF056E6" w14:textId="154F69FB" w:rsidR="00480E1C" w:rsidRDefault="00480E1C" w:rsidP="00480E1C">
      <w:pPr>
        <w:ind w:left="0"/>
      </w:pPr>
      <w:r>
        <w:lastRenderedPageBreak/>
        <w:tab/>
      </w:r>
    </w:p>
    <w:p w14:paraId="54777C07" w14:textId="335222CC" w:rsidR="00EE4661" w:rsidRDefault="007B4899" w:rsidP="007B4899">
      <w:pPr>
        <w:ind w:left="0"/>
      </w:pPr>
      <w:r w:rsidRPr="007B4899">
        <w:t xml:space="preserve">      END OF ADDENDUM</w:t>
      </w:r>
    </w:p>
    <w:sectPr w:rsidR="00EE4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228"/>
    <w:multiLevelType w:val="multilevel"/>
    <w:tmpl w:val="191C8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769AB"/>
    <w:multiLevelType w:val="multilevel"/>
    <w:tmpl w:val="01BE43A2"/>
    <w:lvl w:ilvl="0">
      <w:start w:val="1"/>
      <w:numFmt w:val="decimal"/>
      <w:lvlText w:val="%1.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15836BF"/>
    <w:multiLevelType w:val="multilevel"/>
    <w:tmpl w:val="ED1A9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A6D14"/>
    <w:multiLevelType w:val="multilevel"/>
    <w:tmpl w:val="A874D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515E8"/>
    <w:multiLevelType w:val="multilevel"/>
    <w:tmpl w:val="21CA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22234"/>
    <w:multiLevelType w:val="multilevel"/>
    <w:tmpl w:val="C354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2312EE"/>
    <w:multiLevelType w:val="multilevel"/>
    <w:tmpl w:val="C628A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2180D"/>
    <w:multiLevelType w:val="multilevel"/>
    <w:tmpl w:val="BC9AF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117A3"/>
    <w:multiLevelType w:val="multilevel"/>
    <w:tmpl w:val="04E8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26634"/>
    <w:multiLevelType w:val="multilevel"/>
    <w:tmpl w:val="330CA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51204E"/>
    <w:multiLevelType w:val="multilevel"/>
    <w:tmpl w:val="0C3E25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DA2BB5"/>
    <w:multiLevelType w:val="multilevel"/>
    <w:tmpl w:val="E6C84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F565B8"/>
    <w:multiLevelType w:val="multilevel"/>
    <w:tmpl w:val="0ADCE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C7714C"/>
    <w:multiLevelType w:val="multilevel"/>
    <w:tmpl w:val="5C22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A55952"/>
    <w:multiLevelType w:val="multilevel"/>
    <w:tmpl w:val="E2EC3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390353">
    <w:abstractNumId w:val="1"/>
  </w:num>
  <w:num w:numId="2" w16cid:durableId="1121337307">
    <w:abstractNumId w:val="4"/>
  </w:num>
  <w:num w:numId="3" w16cid:durableId="2054502755">
    <w:abstractNumId w:val="0"/>
  </w:num>
  <w:num w:numId="4" w16cid:durableId="29763257">
    <w:abstractNumId w:val="6"/>
  </w:num>
  <w:num w:numId="5" w16cid:durableId="604729693">
    <w:abstractNumId w:val="5"/>
  </w:num>
  <w:num w:numId="6" w16cid:durableId="177934931">
    <w:abstractNumId w:val="3"/>
  </w:num>
  <w:num w:numId="7" w16cid:durableId="80685951">
    <w:abstractNumId w:val="2"/>
  </w:num>
  <w:num w:numId="8" w16cid:durableId="1594588797">
    <w:abstractNumId w:val="10"/>
  </w:num>
  <w:num w:numId="9" w16cid:durableId="1994093500">
    <w:abstractNumId w:val="7"/>
  </w:num>
  <w:num w:numId="10" w16cid:durableId="143327300">
    <w:abstractNumId w:val="8"/>
  </w:num>
  <w:num w:numId="11" w16cid:durableId="568465414">
    <w:abstractNumId w:val="9"/>
  </w:num>
  <w:num w:numId="12" w16cid:durableId="1930118014">
    <w:abstractNumId w:val="11"/>
  </w:num>
  <w:num w:numId="13" w16cid:durableId="2106269153">
    <w:abstractNumId w:val="13"/>
  </w:num>
  <w:num w:numId="14" w16cid:durableId="169881281">
    <w:abstractNumId w:val="14"/>
  </w:num>
  <w:num w:numId="15" w16cid:durableId="82647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99"/>
    <w:rsid w:val="001831A4"/>
    <w:rsid w:val="00217E4D"/>
    <w:rsid w:val="00480E1C"/>
    <w:rsid w:val="006C76A4"/>
    <w:rsid w:val="007301D4"/>
    <w:rsid w:val="007B4899"/>
    <w:rsid w:val="008040BA"/>
    <w:rsid w:val="009330A7"/>
    <w:rsid w:val="00B45BD3"/>
    <w:rsid w:val="00EB3FA1"/>
    <w:rsid w:val="00E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93BD"/>
  <w15:chartTrackingRefBased/>
  <w15:docId w15:val="{86558AFE-13C0-8944-82A7-CF1E676C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ind w:left="19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899"/>
    <w:pPr>
      <w:numPr>
        <w:ilvl w:val="1"/>
      </w:numPr>
      <w:ind w:left="198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89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B489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B4899"/>
  </w:style>
  <w:style w:type="character" w:customStyle="1" w:styleId="eop">
    <w:name w:val="eop"/>
    <w:basedOn w:val="DefaultParagraphFont"/>
    <w:rsid w:val="007B4899"/>
  </w:style>
  <w:style w:type="table" w:styleId="TableGrid">
    <w:name w:val="Table Grid"/>
    <w:basedOn w:val="TableNormal"/>
    <w:uiPriority w:val="39"/>
    <w:rsid w:val="00480E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ndhit">
    <w:name w:val="findhit"/>
    <w:basedOn w:val="DefaultParagraphFont"/>
    <w:rsid w:val="006C7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Clark</dc:creator>
  <cp:keywords/>
  <dc:description/>
  <cp:lastModifiedBy>y.m.</cp:lastModifiedBy>
  <cp:revision>2</cp:revision>
  <dcterms:created xsi:type="dcterms:W3CDTF">2025-12-03T16:28:00Z</dcterms:created>
  <dcterms:modified xsi:type="dcterms:W3CDTF">2025-12-03T16:28:00Z</dcterms:modified>
</cp:coreProperties>
</file>