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Default Extension="png" ContentType="image/png"/>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520"/>
        <w:rPr>
          <w:rFonts w:ascii="Times New Roman"/>
          <w:sz w:val="20"/>
        </w:rPr>
      </w:pPr>
      <w:r>
        <w:rPr>
          <w:rFonts w:ascii="Times New Roman"/>
          <w:sz w:val="20"/>
        </w:rPr>
        <w:drawing>
          <wp:inline distT="0" distB="0" distL="0" distR="0">
            <wp:extent cx="5556111" cy="3515867"/>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5556111" cy="3515867"/>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5"/>
        </w:rPr>
      </w:pPr>
    </w:p>
    <w:p>
      <w:pPr>
        <w:spacing w:line="480" w:lineRule="auto" w:before="28"/>
        <w:ind w:left="4029" w:right="3809" w:hanging="939"/>
        <w:jc w:val="left"/>
        <w:rPr>
          <w:b/>
          <w:i/>
          <w:sz w:val="36"/>
        </w:rPr>
      </w:pPr>
      <w:r>
        <w:rPr>
          <w:b/>
          <w:i/>
          <w:color w:val="231F20"/>
          <w:sz w:val="36"/>
        </w:rPr>
        <w:t>Articles of Incorporation </w:t>
      </w:r>
      <w:r>
        <w:rPr>
          <w:b/>
          <w:i/>
          <w:color w:val="231F20"/>
          <w:sz w:val="36"/>
        </w:rPr>
        <w:t>Declaration Bylaws of</w:t>
      </w:r>
    </w:p>
    <w:p>
      <w:pPr>
        <w:spacing w:before="1"/>
        <w:ind w:left="1444" w:right="0" w:firstLine="0"/>
        <w:jc w:val="left"/>
        <w:rPr>
          <w:b/>
          <w:i/>
          <w:sz w:val="36"/>
        </w:rPr>
      </w:pPr>
      <w:r>
        <w:rPr>
          <w:b/>
          <w:i/>
          <w:color w:val="231F20"/>
          <w:sz w:val="36"/>
        </w:rPr>
        <w:t>The Colony at Edina Condominium Association</w:t>
      </w:r>
    </w:p>
    <w:p>
      <w:pPr>
        <w:pStyle w:val="BodyText"/>
        <w:rPr>
          <w:b/>
          <w:i/>
          <w:sz w:val="36"/>
        </w:rPr>
      </w:pPr>
    </w:p>
    <w:p>
      <w:pPr>
        <w:pStyle w:val="BodyText"/>
        <w:spacing w:before="11"/>
        <w:rPr>
          <w:b/>
          <w:i/>
          <w:sz w:val="35"/>
        </w:rPr>
      </w:pPr>
    </w:p>
    <w:p>
      <w:pPr>
        <w:spacing w:before="0"/>
        <w:ind w:left="3476" w:right="4213" w:firstLine="0"/>
        <w:jc w:val="center"/>
        <w:rPr>
          <w:i/>
          <w:sz w:val="24"/>
        </w:rPr>
      </w:pPr>
      <w:r>
        <w:rPr>
          <w:i/>
          <w:color w:val="231F20"/>
          <w:sz w:val="24"/>
        </w:rPr>
        <w:t>6330 Barrie Road</w:t>
      </w:r>
    </w:p>
    <w:p>
      <w:pPr>
        <w:spacing w:before="148"/>
        <w:ind w:left="3476" w:right="4213" w:firstLine="0"/>
        <w:jc w:val="center"/>
        <w:rPr>
          <w:i/>
          <w:sz w:val="24"/>
        </w:rPr>
      </w:pPr>
      <w:r>
        <w:rPr>
          <w:i/>
          <w:color w:val="231F20"/>
          <w:sz w:val="24"/>
        </w:rPr>
        <w:t>Edina, Minnesota</w:t>
      </w:r>
      <w:r>
        <w:rPr>
          <w:i/>
          <w:color w:val="231F20"/>
          <w:spacing w:val="53"/>
          <w:sz w:val="24"/>
        </w:rPr>
        <w:t> </w:t>
      </w:r>
      <w:r>
        <w:rPr>
          <w:i/>
          <w:color w:val="231F20"/>
          <w:sz w:val="24"/>
        </w:rPr>
        <w:t>55435</w:t>
      </w:r>
    </w:p>
    <w:p>
      <w:pPr>
        <w:spacing w:before="147"/>
        <w:ind w:left="3477" w:right="4213" w:firstLine="0"/>
        <w:jc w:val="center"/>
        <w:rPr>
          <w:i/>
          <w:sz w:val="24"/>
        </w:rPr>
      </w:pPr>
      <w:r>
        <w:rPr>
          <w:i/>
          <w:color w:val="231F20"/>
          <w:sz w:val="24"/>
        </w:rPr>
        <w:t>952.920.6464</w:t>
      </w:r>
    </w:p>
    <w:p>
      <w:pPr>
        <w:spacing w:before="146"/>
        <w:ind w:left="3470" w:right="4213" w:firstLine="0"/>
        <w:jc w:val="center"/>
        <w:rPr>
          <w:i/>
          <w:sz w:val="24"/>
        </w:rPr>
      </w:pPr>
      <w:hyperlink r:id="rId7">
        <w:r>
          <w:rPr>
            <w:i/>
            <w:color w:val="231F20"/>
            <w:sz w:val="24"/>
          </w:rPr>
          <w:t>www.colonyedina.com</w:t>
        </w:r>
      </w:hyperlink>
    </w:p>
    <w:p>
      <w:pPr>
        <w:spacing w:after="0"/>
        <w:jc w:val="center"/>
        <w:rPr>
          <w:sz w:val="24"/>
        </w:rPr>
        <w:sectPr>
          <w:footerReference w:type="default" r:id="rId5"/>
          <w:type w:val="continuous"/>
          <w:pgSz w:w="12240" w:h="15840"/>
          <w:pgMar w:footer="526" w:top="1440" w:bottom="720" w:left="1220" w:right="480"/>
        </w:sectPr>
      </w:pPr>
    </w:p>
    <w:p>
      <w:pPr>
        <w:pStyle w:val="BodyText"/>
        <w:ind w:left="626"/>
        <w:rPr>
          <w:sz w:val="20"/>
        </w:rPr>
      </w:pPr>
      <w:r>
        <w:rPr>
          <w:sz w:val="20"/>
        </w:rPr>
        <w:drawing>
          <wp:inline distT="0" distB="0" distL="0" distR="0">
            <wp:extent cx="5427177" cy="8543925"/>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5427177" cy="8543925"/>
                    </a:xfrm>
                    <a:prstGeom prst="rect">
                      <a:avLst/>
                    </a:prstGeom>
                  </pic:spPr>
                </pic:pic>
              </a:graphicData>
            </a:graphic>
          </wp:inline>
        </w:drawing>
      </w:r>
      <w:r>
        <w:rPr>
          <w:sz w:val="20"/>
        </w:rPr>
      </w:r>
    </w:p>
    <w:p>
      <w:pPr>
        <w:spacing w:after="0"/>
        <w:rPr>
          <w:sz w:val="20"/>
        </w:rPr>
        <w:sectPr>
          <w:pgSz w:w="12240" w:h="15840"/>
          <w:pgMar w:header="0" w:footer="526" w:top="1440" w:bottom="720" w:left="1220" w:right="480"/>
        </w:sectPr>
      </w:pPr>
    </w:p>
    <w:p>
      <w:pPr>
        <w:pStyle w:val="BodyText"/>
        <w:spacing w:before="10"/>
        <w:rPr>
          <w:i/>
          <w:sz w:val="14"/>
        </w:rPr>
      </w:pPr>
    </w:p>
    <w:p>
      <w:pPr>
        <w:pStyle w:val="BodyText"/>
        <w:spacing w:line="480" w:lineRule="auto" w:before="52"/>
        <w:ind w:left="3477" w:right="4213"/>
        <w:jc w:val="center"/>
      </w:pPr>
      <w:r>
        <w:rPr>
          <w:color w:val="231F20"/>
        </w:rPr>
        <w:t>ARTICLE OF INCORPORATION OF</w:t>
      </w:r>
    </w:p>
    <w:p>
      <w:pPr>
        <w:pStyle w:val="BodyText"/>
        <w:spacing w:line="292" w:lineRule="exact"/>
        <w:ind w:left="2031" w:right="2769"/>
        <w:jc w:val="center"/>
      </w:pPr>
      <w:r>
        <w:rPr>
          <w:color w:val="231F20"/>
        </w:rPr>
        <w:t>THE COLONY AT EDINA CONDOMINIUM ASSOCIATION</w:t>
      </w:r>
    </w:p>
    <w:p>
      <w:pPr>
        <w:pStyle w:val="BodyText"/>
      </w:pPr>
    </w:p>
    <w:p>
      <w:pPr>
        <w:pStyle w:val="BodyText"/>
        <w:spacing w:before="1"/>
      </w:pPr>
    </w:p>
    <w:p>
      <w:pPr>
        <w:pStyle w:val="BodyText"/>
        <w:spacing w:line="480" w:lineRule="auto"/>
        <w:ind w:left="220" w:right="950" w:firstLine="991"/>
      </w:pPr>
      <w:r>
        <w:rPr>
          <w:color w:val="231F20"/>
        </w:rPr>
        <w:t>The undersigned, for the purpose of forming a corporation pursuant to the provisions of the Minnesota Nonprofit Corporation Act, Minnesota Statutes, Chapter 317, adopt the following Articles of Incorporation:</w:t>
      </w:r>
    </w:p>
    <w:p>
      <w:pPr>
        <w:pStyle w:val="BodyText"/>
        <w:spacing w:line="293" w:lineRule="exact"/>
        <w:ind w:left="3477" w:right="4211"/>
        <w:jc w:val="center"/>
      </w:pPr>
      <w:r>
        <w:rPr>
          <w:color w:val="231F20"/>
        </w:rPr>
        <w:t>ARTICLE I</w:t>
      </w:r>
    </w:p>
    <w:p>
      <w:pPr>
        <w:pStyle w:val="BodyText"/>
      </w:pPr>
    </w:p>
    <w:p>
      <w:pPr>
        <w:pStyle w:val="BodyText"/>
        <w:ind w:left="1211"/>
      </w:pPr>
      <w:r>
        <w:rPr>
          <w:color w:val="231F20"/>
        </w:rPr>
        <w:t>The name of this corporation shall be The Colony at Edina Condominium Association.</w:t>
      </w:r>
    </w:p>
    <w:p>
      <w:pPr>
        <w:pStyle w:val="BodyText"/>
      </w:pPr>
    </w:p>
    <w:p>
      <w:pPr>
        <w:pStyle w:val="BodyText"/>
        <w:ind w:left="3477" w:right="4213"/>
        <w:jc w:val="center"/>
      </w:pPr>
      <w:r>
        <w:rPr>
          <w:color w:val="231F20"/>
        </w:rPr>
        <w:t>ARTICLE II</w:t>
      </w:r>
    </w:p>
    <w:p>
      <w:pPr>
        <w:pStyle w:val="BodyText"/>
        <w:spacing w:before="11"/>
        <w:rPr>
          <w:sz w:val="23"/>
        </w:rPr>
      </w:pPr>
    </w:p>
    <w:p>
      <w:pPr>
        <w:pStyle w:val="BodyText"/>
        <w:spacing w:line="480" w:lineRule="auto" w:before="1"/>
        <w:ind w:left="220" w:right="950" w:firstLine="991"/>
      </w:pPr>
      <w:r>
        <w:rPr>
          <w:color w:val="231F20"/>
        </w:rPr>
        <w:t>This corporation is organized and shall be operated for the purpose of constituting and acting as the association of apartment owners within the meaning of Minnesota Statutes Chapter 515, known as the Minnesota Condominium Act for The Colony of Edina Condominium which is to be duly constituted under said Chapter 515 upon certain land in Hennepin County, Minnesota. Such purposes shall include, but not be limited to the following:</w:t>
      </w:r>
    </w:p>
    <w:p>
      <w:pPr>
        <w:pStyle w:val="ListParagraph"/>
        <w:numPr>
          <w:ilvl w:val="0"/>
          <w:numId w:val="1"/>
        </w:numPr>
        <w:tabs>
          <w:tab w:pos="1662" w:val="left" w:leader="none"/>
        </w:tabs>
        <w:spacing w:line="480" w:lineRule="auto" w:before="1" w:after="0"/>
        <w:ind w:left="220" w:right="1714" w:firstLine="991"/>
        <w:jc w:val="left"/>
        <w:rPr>
          <w:sz w:val="24"/>
        </w:rPr>
      </w:pPr>
      <w:r>
        <w:rPr>
          <w:color w:val="231F20"/>
          <w:sz w:val="24"/>
        </w:rPr>
        <w:t>To maintain, manage and administer the affairs, the real estate and</w:t>
      </w:r>
      <w:r>
        <w:rPr>
          <w:color w:val="231F20"/>
          <w:spacing w:val="-27"/>
          <w:sz w:val="24"/>
        </w:rPr>
        <w:t> </w:t>
      </w:r>
      <w:r>
        <w:rPr>
          <w:color w:val="231F20"/>
          <w:sz w:val="24"/>
        </w:rPr>
        <w:t>other property of the</w:t>
      </w:r>
      <w:r>
        <w:rPr>
          <w:color w:val="231F20"/>
          <w:spacing w:val="-4"/>
          <w:sz w:val="24"/>
        </w:rPr>
        <w:t> </w:t>
      </w:r>
      <w:r>
        <w:rPr>
          <w:color w:val="231F20"/>
          <w:sz w:val="24"/>
        </w:rPr>
        <w:t>Association;</w:t>
      </w:r>
    </w:p>
    <w:p>
      <w:pPr>
        <w:pStyle w:val="ListParagraph"/>
        <w:numPr>
          <w:ilvl w:val="0"/>
          <w:numId w:val="1"/>
        </w:numPr>
        <w:tabs>
          <w:tab w:pos="1662" w:val="left" w:leader="none"/>
        </w:tabs>
        <w:spacing w:line="482" w:lineRule="auto" w:before="0" w:after="0"/>
        <w:ind w:left="220" w:right="1499" w:firstLine="991"/>
        <w:jc w:val="left"/>
        <w:rPr>
          <w:sz w:val="24"/>
        </w:rPr>
      </w:pPr>
      <w:r>
        <w:rPr>
          <w:color w:val="231F20"/>
          <w:sz w:val="24"/>
        </w:rPr>
        <w:t>To levy and collect assessments from the members and to use the proceeds thereof for the purpose of the</w:t>
      </w:r>
      <w:r>
        <w:rPr>
          <w:color w:val="231F20"/>
          <w:spacing w:val="-10"/>
          <w:sz w:val="24"/>
        </w:rPr>
        <w:t> </w:t>
      </w:r>
      <w:r>
        <w:rPr>
          <w:color w:val="231F20"/>
          <w:sz w:val="24"/>
        </w:rPr>
        <w:t>Condominium;</w:t>
      </w:r>
    </w:p>
    <w:p>
      <w:pPr>
        <w:pStyle w:val="ListParagraph"/>
        <w:numPr>
          <w:ilvl w:val="0"/>
          <w:numId w:val="1"/>
        </w:numPr>
        <w:tabs>
          <w:tab w:pos="1661" w:val="left" w:leader="none"/>
          <w:tab w:pos="1662" w:val="left" w:leader="none"/>
        </w:tabs>
        <w:spacing w:line="480" w:lineRule="auto" w:before="0" w:after="0"/>
        <w:ind w:left="220" w:right="1560" w:firstLine="991"/>
        <w:jc w:val="left"/>
        <w:rPr>
          <w:sz w:val="24"/>
        </w:rPr>
      </w:pPr>
      <w:r>
        <w:rPr>
          <w:color w:val="231F20"/>
          <w:sz w:val="24"/>
        </w:rPr>
        <w:t>To carry insurance pertinent to the ownership, use and maintenance of</w:t>
      </w:r>
      <w:r>
        <w:rPr>
          <w:color w:val="231F20"/>
          <w:spacing w:val="-35"/>
          <w:sz w:val="24"/>
        </w:rPr>
        <w:t> </w:t>
      </w:r>
      <w:r>
        <w:rPr>
          <w:color w:val="231F20"/>
          <w:sz w:val="24"/>
        </w:rPr>
        <w:t>the Condominium property, as well as on any personalty of the corporation, exclusive of any coverage</w:t>
      </w:r>
      <w:r>
        <w:rPr>
          <w:color w:val="231F20"/>
          <w:spacing w:val="-1"/>
          <w:sz w:val="24"/>
        </w:rPr>
        <w:t> </w:t>
      </w:r>
      <w:r>
        <w:rPr>
          <w:color w:val="231F20"/>
          <w:sz w:val="24"/>
        </w:rPr>
        <w:t>for</w:t>
      </w:r>
    </w:p>
    <w:p>
      <w:pPr>
        <w:spacing w:after="0" w:line="480" w:lineRule="auto"/>
        <w:jc w:val="left"/>
        <w:rPr>
          <w:sz w:val="24"/>
        </w:rPr>
        <w:sectPr>
          <w:pgSz w:w="12240" w:h="15840"/>
          <w:pgMar w:header="0" w:footer="526" w:top="1500" w:bottom="800" w:left="1220" w:right="480"/>
        </w:sectPr>
      </w:pPr>
    </w:p>
    <w:p>
      <w:pPr>
        <w:pStyle w:val="BodyText"/>
        <w:spacing w:line="480" w:lineRule="auto" w:before="39"/>
        <w:ind w:left="220" w:right="991"/>
      </w:pPr>
      <w:r>
        <w:rPr>
          <w:color w:val="231F20"/>
        </w:rPr>
        <w:t>contents and personal effects belonging to any of the members; to collect all premiums and charges for same from the members, and to use, reimburse, or expend the proceeds for the rebuilding, repair renovation, rehabilitation, and/or replacement of any loss or damage to any of the above property, as provided for in the By-Laws;</w:t>
      </w:r>
    </w:p>
    <w:p>
      <w:pPr>
        <w:pStyle w:val="ListParagraph"/>
        <w:numPr>
          <w:ilvl w:val="0"/>
          <w:numId w:val="1"/>
        </w:numPr>
        <w:tabs>
          <w:tab w:pos="1662" w:val="left" w:leader="none"/>
        </w:tabs>
        <w:spacing w:line="480" w:lineRule="auto" w:before="2" w:after="0"/>
        <w:ind w:left="220" w:right="1767" w:firstLine="991"/>
        <w:jc w:val="left"/>
        <w:rPr>
          <w:sz w:val="24"/>
        </w:rPr>
      </w:pPr>
      <w:r>
        <w:rPr>
          <w:color w:val="231F20"/>
          <w:sz w:val="24"/>
        </w:rPr>
        <w:t>To contract for and employ persons, firms or corporations to assist in</w:t>
      </w:r>
      <w:r>
        <w:rPr>
          <w:color w:val="231F20"/>
          <w:spacing w:val="-30"/>
          <w:sz w:val="24"/>
        </w:rPr>
        <w:t> </w:t>
      </w:r>
      <w:r>
        <w:rPr>
          <w:color w:val="231F20"/>
          <w:sz w:val="24"/>
        </w:rPr>
        <w:t>the management, operation, maintenance and administration of said</w:t>
      </w:r>
      <w:r>
        <w:rPr>
          <w:color w:val="231F20"/>
          <w:spacing w:val="-12"/>
          <w:sz w:val="24"/>
        </w:rPr>
        <w:t> </w:t>
      </w:r>
      <w:r>
        <w:rPr>
          <w:color w:val="231F20"/>
          <w:sz w:val="24"/>
        </w:rPr>
        <w:t>Condominium;</w:t>
      </w:r>
    </w:p>
    <w:p>
      <w:pPr>
        <w:pStyle w:val="ListParagraph"/>
        <w:numPr>
          <w:ilvl w:val="0"/>
          <w:numId w:val="1"/>
        </w:numPr>
        <w:tabs>
          <w:tab w:pos="1662" w:val="left" w:leader="none"/>
        </w:tabs>
        <w:spacing w:line="480" w:lineRule="auto" w:before="0" w:after="0"/>
        <w:ind w:left="220" w:right="1095" w:firstLine="991"/>
        <w:jc w:val="left"/>
        <w:rPr>
          <w:sz w:val="24"/>
        </w:rPr>
      </w:pPr>
      <w:r>
        <w:rPr>
          <w:color w:val="231F20"/>
          <w:sz w:val="24"/>
        </w:rPr>
        <w:t>To make and enforce reasonable regulations concerning the use and enjoyment of said Condominium;</w:t>
      </w:r>
    </w:p>
    <w:p>
      <w:pPr>
        <w:pStyle w:val="ListParagraph"/>
        <w:numPr>
          <w:ilvl w:val="0"/>
          <w:numId w:val="1"/>
        </w:numPr>
        <w:tabs>
          <w:tab w:pos="1661" w:val="left" w:leader="none"/>
          <w:tab w:pos="1662" w:val="left" w:leader="none"/>
        </w:tabs>
        <w:spacing w:line="480" w:lineRule="auto" w:before="0" w:after="0"/>
        <w:ind w:left="220" w:right="964" w:firstLine="991"/>
        <w:jc w:val="left"/>
        <w:rPr>
          <w:sz w:val="24"/>
        </w:rPr>
      </w:pPr>
      <w:r>
        <w:rPr>
          <w:color w:val="231F20"/>
          <w:sz w:val="24"/>
        </w:rPr>
        <w:t>To own, maintain and improve and to buy, sell, convey, assign, mortgage or</w:t>
      </w:r>
      <w:r>
        <w:rPr>
          <w:color w:val="231F20"/>
          <w:spacing w:val="-31"/>
          <w:sz w:val="24"/>
        </w:rPr>
        <w:t> </w:t>
      </w:r>
      <w:r>
        <w:rPr>
          <w:color w:val="231F20"/>
          <w:sz w:val="24"/>
        </w:rPr>
        <w:t>lease real and personal property and to borrow money or issue evidences of indebtedness in furtherance of any or all of the within objects, and to secure the same by mortgages, pledge or other lien, subject to limitations contained in the</w:t>
      </w:r>
      <w:r>
        <w:rPr>
          <w:color w:val="231F20"/>
          <w:spacing w:val="-5"/>
          <w:sz w:val="24"/>
        </w:rPr>
        <w:t> </w:t>
      </w:r>
      <w:r>
        <w:rPr>
          <w:color w:val="231F20"/>
          <w:sz w:val="24"/>
        </w:rPr>
        <w:t>declaration.</w:t>
      </w:r>
    </w:p>
    <w:p>
      <w:pPr>
        <w:pStyle w:val="ListParagraph"/>
        <w:numPr>
          <w:ilvl w:val="0"/>
          <w:numId w:val="1"/>
        </w:numPr>
        <w:tabs>
          <w:tab w:pos="1662" w:val="left" w:leader="none"/>
        </w:tabs>
        <w:spacing w:line="480" w:lineRule="auto" w:before="0" w:after="0"/>
        <w:ind w:left="220" w:right="1209" w:firstLine="991"/>
        <w:jc w:val="left"/>
        <w:rPr>
          <w:sz w:val="24"/>
        </w:rPr>
      </w:pPr>
      <w:r>
        <w:rPr>
          <w:color w:val="231F20"/>
          <w:sz w:val="24"/>
        </w:rPr>
        <w:t>In general, to enter into any kind of activity, to make and perform any</w:t>
      </w:r>
      <w:r>
        <w:rPr>
          <w:color w:val="231F20"/>
          <w:spacing w:val="-32"/>
          <w:sz w:val="24"/>
        </w:rPr>
        <w:t> </w:t>
      </w:r>
      <w:r>
        <w:rPr>
          <w:color w:val="231F20"/>
          <w:sz w:val="24"/>
        </w:rPr>
        <w:t>contract and to exercise all powers necessary, incidential or convenient to the administration, management, maintenance, repair, replacement and operation of said Condominium and to the accomplishment of any of the purposes</w:t>
      </w:r>
      <w:r>
        <w:rPr>
          <w:color w:val="231F20"/>
          <w:spacing w:val="-5"/>
          <w:sz w:val="24"/>
        </w:rPr>
        <w:t> </w:t>
      </w:r>
      <w:r>
        <w:rPr>
          <w:color w:val="231F20"/>
          <w:sz w:val="24"/>
        </w:rPr>
        <w:t>thereof;</w:t>
      </w:r>
    </w:p>
    <w:p>
      <w:pPr>
        <w:pStyle w:val="ListParagraph"/>
        <w:numPr>
          <w:ilvl w:val="0"/>
          <w:numId w:val="1"/>
        </w:numPr>
        <w:tabs>
          <w:tab w:pos="1662" w:val="left" w:leader="none"/>
        </w:tabs>
        <w:spacing w:line="480" w:lineRule="auto" w:before="0" w:after="0"/>
        <w:ind w:left="220" w:right="1193" w:firstLine="991"/>
        <w:jc w:val="left"/>
        <w:rPr>
          <w:sz w:val="24"/>
        </w:rPr>
      </w:pPr>
      <w:r>
        <w:rPr>
          <w:color w:val="231F20"/>
          <w:sz w:val="24"/>
        </w:rPr>
        <w:t>To do anything required of or permitted to it as administrator of said Condominium or as the association of apartment owners by the Minnesota Condominium</w:t>
      </w:r>
      <w:r>
        <w:rPr>
          <w:color w:val="231F20"/>
          <w:spacing w:val="-35"/>
          <w:sz w:val="24"/>
        </w:rPr>
        <w:t> </w:t>
      </w:r>
      <w:r>
        <w:rPr>
          <w:color w:val="231F20"/>
          <w:sz w:val="24"/>
        </w:rPr>
        <w:t>Act and any further laws amendatory thereof and supplementary thereto, and by</w:t>
      </w:r>
      <w:r>
        <w:rPr>
          <w:color w:val="231F20"/>
          <w:spacing w:val="-18"/>
          <w:sz w:val="24"/>
        </w:rPr>
        <w:t> </w:t>
      </w:r>
      <w:r>
        <w:rPr>
          <w:color w:val="231F20"/>
          <w:sz w:val="24"/>
        </w:rPr>
        <w:t>the</w:t>
      </w:r>
    </w:p>
    <w:p>
      <w:pPr>
        <w:spacing w:after="0" w:line="480" w:lineRule="auto"/>
        <w:jc w:val="left"/>
        <w:rPr>
          <w:sz w:val="24"/>
        </w:rPr>
        <w:sectPr>
          <w:footerReference w:type="default" r:id="rId9"/>
          <w:pgSz w:w="12240" w:h="15840"/>
          <w:pgMar w:footer="1188" w:header="0" w:top="1400" w:bottom="1380" w:left="1220" w:right="480"/>
          <w:pgNumType w:start="2"/>
        </w:sectPr>
      </w:pPr>
    </w:p>
    <w:p>
      <w:pPr>
        <w:pStyle w:val="BodyText"/>
        <w:spacing w:line="480" w:lineRule="auto" w:before="39"/>
        <w:ind w:left="220" w:right="1012"/>
        <w:jc w:val="both"/>
      </w:pPr>
      <w:r>
        <w:rPr>
          <w:color w:val="231F20"/>
        </w:rPr>
        <w:t>Declaration and By-Laws of The Colony at Edina Condominium, as filed and amended from time to time;</w:t>
      </w:r>
    </w:p>
    <w:p>
      <w:pPr>
        <w:pStyle w:val="ListParagraph"/>
        <w:numPr>
          <w:ilvl w:val="0"/>
          <w:numId w:val="1"/>
        </w:numPr>
        <w:tabs>
          <w:tab w:pos="1662" w:val="left" w:leader="none"/>
        </w:tabs>
        <w:spacing w:line="480" w:lineRule="auto" w:before="0" w:after="0"/>
        <w:ind w:left="220" w:right="992" w:firstLine="991"/>
        <w:jc w:val="both"/>
        <w:rPr>
          <w:sz w:val="24"/>
        </w:rPr>
      </w:pPr>
      <w:r>
        <w:rPr>
          <w:color w:val="231F20"/>
          <w:sz w:val="24"/>
        </w:rPr>
        <w:t>To exercise such other powers which are consistent with the foregoing purposes and</w:t>
      </w:r>
      <w:r>
        <w:rPr>
          <w:color w:val="231F20"/>
          <w:spacing w:val="-2"/>
          <w:sz w:val="24"/>
        </w:rPr>
        <w:t> </w:t>
      </w:r>
      <w:r>
        <w:rPr>
          <w:color w:val="231F20"/>
          <w:sz w:val="24"/>
        </w:rPr>
        <w:t>which</w:t>
      </w:r>
      <w:r>
        <w:rPr>
          <w:color w:val="231F20"/>
          <w:spacing w:val="-3"/>
          <w:sz w:val="24"/>
        </w:rPr>
        <w:t> </w:t>
      </w:r>
      <w:r>
        <w:rPr>
          <w:color w:val="231F20"/>
          <w:sz w:val="24"/>
        </w:rPr>
        <w:t>are</w:t>
      </w:r>
      <w:r>
        <w:rPr>
          <w:color w:val="231F20"/>
          <w:spacing w:val="-4"/>
          <w:sz w:val="24"/>
        </w:rPr>
        <w:t> </w:t>
      </w:r>
      <w:r>
        <w:rPr>
          <w:color w:val="231F20"/>
          <w:sz w:val="24"/>
        </w:rPr>
        <w:t>afforded</w:t>
      </w:r>
      <w:r>
        <w:rPr>
          <w:color w:val="231F20"/>
          <w:spacing w:val="-2"/>
          <w:sz w:val="24"/>
        </w:rPr>
        <w:t> </w:t>
      </w:r>
      <w:r>
        <w:rPr>
          <w:color w:val="231F20"/>
          <w:sz w:val="24"/>
        </w:rPr>
        <w:t>to</w:t>
      </w:r>
      <w:r>
        <w:rPr>
          <w:color w:val="231F20"/>
          <w:spacing w:val="-2"/>
          <w:sz w:val="24"/>
        </w:rPr>
        <w:t> </w:t>
      </w:r>
      <w:r>
        <w:rPr>
          <w:color w:val="231F20"/>
          <w:sz w:val="24"/>
        </w:rPr>
        <w:t>the</w:t>
      </w:r>
      <w:r>
        <w:rPr>
          <w:color w:val="231F20"/>
          <w:spacing w:val="-2"/>
          <w:sz w:val="24"/>
        </w:rPr>
        <w:t> </w:t>
      </w:r>
      <w:r>
        <w:rPr>
          <w:color w:val="231F20"/>
          <w:sz w:val="24"/>
        </w:rPr>
        <w:t>corporation</w:t>
      </w:r>
      <w:r>
        <w:rPr>
          <w:color w:val="231F20"/>
          <w:spacing w:val="-3"/>
          <w:sz w:val="24"/>
        </w:rPr>
        <w:t> </w:t>
      </w:r>
      <w:r>
        <w:rPr>
          <w:color w:val="231F20"/>
          <w:sz w:val="24"/>
        </w:rPr>
        <w:t>by</w:t>
      </w:r>
      <w:r>
        <w:rPr>
          <w:color w:val="231F20"/>
          <w:spacing w:val="-4"/>
          <w:sz w:val="24"/>
        </w:rPr>
        <w:t> </w:t>
      </w:r>
      <w:r>
        <w:rPr>
          <w:color w:val="231F20"/>
          <w:sz w:val="24"/>
        </w:rPr>
        <w:t>the</w:t>
      </w:r>
      <w:r>
        <w:rPr>
          <w:color w:val="231F20"/>
          <w:spacing w:val="-4"/>
          <w:sz w:val="24"/>
        </w:rPr>
        <w:t> </w:t>
      </w:r>
      <w:r>
        <w:rPr>
          <w:color w:val="231F20"/>
          <w:sz w:val="24"/>
        </w:rPr>
        <w:t>Minnesota</w:t>
      </w:r>
      <w:r>
        <w:rPr>
          <w:color w:val="231F20"/>
          <w:spacing w:val="-4"/>
          <w:sz w:val="24"/>
        </w:rPr>
        <w:t> </w:t>
      </w:r>
      <w:r>
        <w:rPr>
          <w:color w:val="231F20"/>
          <w:sz w:val="24"/>
        </w:rPr>
        <w:t>Nonprofit</w:t>
      </w:r>
      <w:r>
        <w:rPr>
          <w:color w:val="231F20"/>
          <w:spacing w:val="-2"/>
          <w:sz w:val="24"/>
        </w:rPr>
        <w:t> </w:t>
      </w:r>
      <w:r>
        <w:rPr>
          <w:color w:val="231F20"/>
          <w:sz w:val="24"/>
        </w:rPr>
        <w:t>Corporation</w:t>
      </w:r>
      <w:r>
        <w:rPr>
          <w:color w:val="231F20"/>
          <w:spacing w:val="-4"/>
          <w:sz w:val="24"/>
        </w:rPr>
        <w:t> </w:t>
      </w:r>
      <w:r>
        <w:rPr>
          <w:color w:val="231F20"/>
          <w:sz w:val="24"/>
        </w:rPr>
        <w:t>Act</w:t>
      </w:r>
      <w:r>
        <w:rPr>
          <w:color w:val="231F20"/>
          <w:spacing w:val="-2"/>
          <w:sz w:val="24"/>
        </w:rPr>
        <w:t> </w:t>
      </w:r>
      <w:r>
        <w:rPr>
          <w:color w:val="231F20"/>
          <w:sz w:val="24"/>
        </w:rPr>
        <w:t>and</w:t>
      </w:r>
      <w:r>
        <w:rPr>
          <w:color w:val="231F20"/>
          <w:spacing w:val="-3"/>
          <w:sz w:val="24"/>
        </w:rPr>
        <w:t> </w:t>
      </w:r>
      <w:r>
        <w:rPr>
          <w:color w:val="231F20"/>
          <w:sz w:val="24"/>
        </w:rPr>
        <w:t>any further laws amendatory thereof and supplementary</w:t>
      </w:r>
      <w:r>
        <w:rPr>
          <w:color w:val="231F20"/>
          <w:spacing w:val="-6"/>
          <w:sz w:val="24"/>
        </w:rPr>
        <w:t> </w:t>
      </w:r>
      <w:r>
        <w:rPr>
          <w:color w:val="231F20"/>
          <w:sz w:val="24"/>
        </w:rPr>
        <w:t>thereto.</w:t>
      </w:r>
    </w:p>
    <w:p>
      <w:pPr>
        <w:pStyle w:val="BodyText"/>
        <w:spacing w:before="1"/>
        <w:ind w:left="3474" w:right="4213"/>
        <w:jc w:val="center"/>
      </w:pPr>
      <w:r>
        <w:rPr>
          <w:color w:val="231F20"/>
        </w:rPr>
        <w:t>ARTICLE III</w:t>
      </w:r>
    </w:p>
    <w:p>
      <w:pPr>
        <w:pStyle w:val="BodyText"/>
      </w:pPr>
    </w:p>
    <w:p>
      <w:pPr>
        <w:pStyle w:val="BodyText"/>
        <w:spacing w:line="480" w:lineRule="auto" w:before="1"/>
        <w:ind w:left="220" w:right="991" w:firstLine="991"/>
      </w:pPr>
      <w:r>
        <w:rPr>
          <w:color w:val="231F20"/>
        </w:rPr>
        <w:t>This corporation does not and shall not, incidentally or otherwise, afford pecuniary gain to, its members, directors, or officers; provided, however, that this corporation may pay to its members, directors, and officers out-of-pocket expenses incurred in the performance of their duties, and may lease and purchase from, sell to, and otherwise deal with, its members, directors, officers and others in real and personal property situated in Hennepin County, Minnesota and may hire members, with Association approval, to perform professional services, i.e., accountant or attorney, and shall have the power to own, encumber and sell units within this Condominium.</w:t>
      </w:r>
    </w:p>
    <w:p>
      <w:pPr>
        <w:pStyle w:val="BodyText"/>
        <w:ind w:left="3477" w:right="4213"/>
        <w:jc w:val="center"/>
      </w:pPr>
      <w:r>
        <w:rPr>
          <w:color w:val="231F20"/>
        </w:rPr>
        <w:t>ARTICLE IV</w:t>
      </w:r>
    </w:p>
    <w:p>
      <w:pPr>
        <w:pStyle w:val="BodyText"/>
        <w:spacing w:before="11"/>
        <w:rPr>
          <w:sz w:val="23"/>
        </w:rPr>
      </w:pPr>
    </w:p>
    <w:p>
      <w:pPr>
        <w:pStyle w:val="BodyText"/>
        <w:spacing w:before="1"/>
        <w:ind w:left="1211"/>
      </w:pPr>
      <w:r>
        <w:rPr>
          <w:color w:val="231F20"/>
        </w:rPr>
        <w:t>The period of duration of this corporation shall be perpetual.</w:t>
      </w:r>
    </w:p>
    <w:p>
      <w:pPr>
        <w:pStyle w:val="BodyText"/>
        <w:spacing w:before="11"/>
        <w:rPr>
          <w:sz w:val="23"/>
        </w:rPr>
      </w:pPr>
    </w:p>
    <w:p>
      <w:pPr>
        <w:pStyle w:val="BodyText"/>
        <w:ind w:left="3477" w:right="4212"/>
        <w:jc w:val="center"/>
      </w:pPr>
      <w:r>
        <w:rPr>
          <w:color w:val="231F20"/>
        </w:rPr>
        <w:t>ARTICLE V</w:t>
      </w:r>
    </w:p>
    <w:p>
      <w:pPr>
        <w:pStyle w:val="BodyText"/>
      </w:pPr>
    </w:p>
    <w:p>
      <w:pPr>
        <w:pStyle w:val="BodyText"/>
        <w:spacing w:line="482" w:lineRule="auto"/>
        <w:ind w:left="220" w:right="950" w:firstLine="991"/>
      </w:pPr>
      <w:r>
        <w:rPr>
          <w:color w:val="231F20"/>
        </w:rPr>
        <w:t>The registered office of this corporation in the State of Minnesota shall be located at 6328 Barrie Road in the City of Edina, County of Hennepin.</w:t>
      </w:r>
    </w:p>
    <w:p>
      <w:pPr>
        <w:pStyle w:val="BodyText"/>
        <w:spacing w:line="289" w:lineRule="exact"/>
        <w:ind w:left="3476" w:right="4213"/>
        <w:jc w:val="center"/>
      </w:pPr>
      <w:r>
        <w:rPr>
          <w:color w:val="231F20"/>
        </w:rPr>
        <w:t>ARTICLE VI</w:t>
      </w:r>
    </w:p>
    <w:p>
      <w:pPr>
        <w:pStyle w:val="BodyText"/>
      </w:pPr>
    </w:p>
    <w:p>
      <w:pPr>
        <w:pStyle w:val="BodyText"/>
        <w:spacing w:line="480" w:lineRule="auto"/>
        <w:ind w:left="220" w:right="1613" w:firstLine="991"/>
      </w:pPr>
      <w:r>
        <w:rPr>
          <w:color w:val="231F20"/>
        </w:rPr>
        <w:t>In the event of dissolution of this corporation, all of its then assets shall be distributed as follows:</w:t>
      </w:r>
    </w:p>
    <w:p>
      <w:pPr>
        <w:spacing w:after="0" w:line="480" w:lineRule="auto"/>
        <w:sectPr>
          <w:pgSz w:w="12240" w:h="15840"/>
          <w:pgMar w:header="0" w:footer="1188" w:top="1400" w:bottom="1380" w:left="1220" w:right="480"/>
        </w:sectPr>
      </w:pPr>
    </w:p>
    <w:p>
      <w:pPr>
        <w:pStyle w:val="ListParagraph"/>
        <w:numPr>
          <w:ilvl w:val="0"/>
          <w:numId w:val="2"/>
        </w:numPr>
        <w:tabs>
          <w:tab w:pos="1658" w:val="left" w:leader="none"/>
          <w:tab w:pos="1659" w:val="left" w:leader="none"/>
        </w:tabs>
        <w:spacing w:line="480" w:lineRule="auto" w:before="39" w:after="0"/>
        <w:ind w:left="220" w:right="1014" w:firstLine="991"/>
        <w:jc w:val="left"/>
        <w:rPr>
          <w:sz w:val="24"/>
        </w:rPr>
      </w:pPr>
      <w:r>
        <w:rPr>
          <w:color w:val="231F20"/>
          <w:sz w:val="24"/>
        </w:rPr>
        <w:t>The dissolution shall be conducted under court supervision if required or permitted under the statutes of the State of Minnesota, as now enacted or as hereafter amended, and, subject to prior compliance with Subdivision 1, clauses (2), (3) and (4) of</w:t>
      </w:r>
      <w:r>
        <w:rPr>
          <w:color w:val="231F20"/>
          <w:spacing w:val="-31"/>
          <w:sz w:val="24"/>
        </w:rPr>
        <w:t> </w:t>
      </w:r>
      <w:r>
        <w:rPr>
          <w:color w:val="231F20"/>
          <w:sz w:val="24"/>
        </w:rPr>
        <w:t>Section</w:t>
      </w:r>
    </w:p>
    <w:p>
      <w:pPr>
        <w:pStyle w:val="ListParagraph"/>
        <w:numPr>
          <w:ilvl w:val="1"/>
          <w:numId w:val="3"/>
        </w:numPr>
        <w:tabs>
          <w:tab w:pos="945" w:val="left" w:leader="none"/>
        </w:tabs>
        <w:spacing w:line="480" w:lineRule="auto" w:before="0" w:after="0"/>
        <w:ind w:left="220" w:right="1535" w:firstLine="0"/>
        <w:jc w:val="left"/>
        <w:rPr>
          <w:sz w:val="24"/>
        </w:rPr>
      </w:pPr>
      <w:r>
        <w:rPr>
          <w:color w:val="231F20"/>
          <w:sz w:val="24"/>
        </w:rPr>
        <w:t>of</w:t>
      </w:r>
      <w:r>
        <w:rPr>
          <w:color w:val="231F20"/>
          <w:spacing w:val="-4"/>
          <w:sz w:val="24"/>
        </w:rPr>
        <w:t> </w:t>
      </w:r>
      <w:r>
        <w:rPr>
          <w:color w:val="231F20"/>
          <w:sz w:val="24"/>
        </w:rPr>
        <w:t>the</w:t>
      </w:r>
      <w:r>
        <w:rPr>
          <w:color w:val="231F20"/>
          <w:spacing w:val="-3"/>
          <w:sz w:val="24"/>
        </w:rPr>
        <w:t> </w:t>
      </w:r>
      <w:r>
        <w:rPr>
          <w:color w:val="231F20"/>
          <w:sz w:val="24"/>
        </w:rPr>
        <w:t>Minnesota</w:t>
      </w:r>
      <w:r>
        <w:rPr>
          <w:color w:val="231F20"/>
          <w:spacing w:val="-4"/>
          <w:sz w:val="24"/>
        </w:rPr>
        <w:t> </w:t>
      </w:r>
      <w:r>
        <w:rPr>
          <w:color w:val="231F20"/>
          <w:sz w:val="24"/>
        </w:rPr>
        <w:t>Statutes,</w:t>
      </w:r>
      <w:r>
        <w:rPr>
          <w:color w:val="231F20"/>
          <w:spacing w:val="-3"/>
          <w:sz w:val="24"/>
        </w:rPr>
        <w:t> </w:t>
      </w:r>
      <w:r>
        <w:rPr>
          <w:color w:val="231F20"/>
          <w:sz w:val="24"/>
        </w:rPr>
        <w:t>the</w:t>
      </w:r>
      <w:r>
        <w:rPr>
          <w:color w:val="231F20"/>
          <w:spacing w:val="-4"/>
          <w:sz w:val="24"/>
        </w:rPr>
        <w:t> </w:t>
      </w:r>
      <w:r>
        <w:rPr>
          <w:color w:val="231F20"/>
          <w:sz w:val="24"/>
        </w:rPr>
        <w:t>assets</w:t>
      </w:r>
      <w:r>
        <w:rPr>
          <w:color w:val="231F20"/>
          <w:spacing w:val="-4"/>
          <w:sz w:val="24"/>
        </w:rPr>
        <w:t> </w:t>
      </w:r>
      <w:r>
        <w:rPr>
          <w:color w:val="231F20"/>
          <w:sz w:val="24"/>
        </w:rPr>
        <w:t>of</w:t>
      </w:r>
      <w:r>
        <w:rPr>
          <w:color w:val="231F20"/>
          <w:spacing w:val="-5"/>
          <w:sz w:val="24"/>
        </w:rPr>
        <w:t> </w:t>
      </w:r>
      <w:r>
        <w:rPr>
          <w:color w:val="231F20"/>
          <w:sz w:val="24"/>
        </w:rPr>
        <w:t>this</w:t>
      </w:r>
      <w:r>
        <w:rPr>
          <w:color w:val="231F20"/>
          <w:spacing w:val="-2"/>
          <w:sz w:val="24"/>
        </w:rPr>
        <w:t> </w:t>
      </w:r>
      <w:r>
        <w:rPr>
          <w:color w:val="231F20"/>
          <w:sz w:val="24"/>
        </w:rPr>
        <w:t>corporation</w:t>
      </w:r>
      <w:r>
        <w:rPr>
          <w:color w:val="231F20"/>
          <w:spacing w:val="-2"/>
          <w:sz w:val="24"/>
        </w:rPr>
        <w:t> </w:t>
      </w:r>
      <w:r>
        <w:rPr>
          <w:color w:val="231F20"/>
          <w:sz w:val="24"/>
        </w:rPr>
        <w:t>shall</w:t>
      </w:r>
      <w:r>
        <w:rPr>
          <w:color w:val="231F20"/>
          <w:spacing w:val="-3"/>
          <w:sz w:val="24"/>
        </w:rPr>
        <w:t> </w:t>
      </w:r>
      <w:r>
        <w:rPr>
          <w:color w:val="231F20"/>
          <w:sz w:val="24"/>
        </w:rPr>
        <w:t>be</w:t>
      </w:r>
      <w:r>
        <w:rPr>
          <w:color w:val="231F20"/>
          <w:spacing w:val="-6"/>
          <w:sz w:val="24"/>
        </w:rPr>
        <w:t> </w:t>
      </w:r>
      <w:r>
        <w:rPr>
          <w:color w:val="231F20"/>
          <w:sz w:val="24"/>
        </w:rPr>
        <w:t>distributed</w:t>
      </w:r>
      <w:r>
        <w:rPr>
          <w:color w:val="231F20"/>
          <w:spacing w:val="-3"/>
          <w:sz w:val="24"/>
        </w:rPr>
        <w:t> </w:t>
      </w:r>
      <w:r>
        <w:rPr>
          <w:color w:val="231F20"/>
          <w:sz w:val="24"/>
        </w:rPr>
        <w:t>to</w:t>
      </w:r>
      <w:r>
        <w:rPr>
          <w:color w:val="231F20"/>
          <w:spacing w:val="-4"/>
          <w:sz w:val="24"/>
        </w:rPr>
        <w:t> </w:t>
      </w:r>
      <w:r>
        <w:rPr>
          <w:color w:val="231F20"/>
          <w:sz w:val="24"/>
        </w:rPr>
        <w:t>the members of the corporation pro rata in accordance with their respective interests in the common areas and facilities of the condominium</w:t>
      </w:r>
      <w:r>
        <w:rPr>
          <w:color w:val="231F20"/>
          <w:spacing w:val="-7"/>
          <w:sz w:val="24"/>
        </w:rPr>
        <w:t> </w:t>
      </w:r>
      <w:r>
        <w:rPr>
          <w:color w:val="231F20"/>
          <w:sz w:val="24"/>
        </w:rPr>
        <w:t>property.</w:t>
      </w:r>
    </w:p>
    <w:p>
      <w:pPr>
        <w:pStyle w:val="ListParagraph"/>
        <w:numPr>
          <w:ilvl w:val="0"/>
          <w:numId w:val="2"/>
        </w:numPr>
        <w:tabs>
          <w:tab w:pos="1661" w:val="left" w:leader="none"/>
        </w:tabs>
        <w:spacing w:line="480" w:lineRule="auto" w:before="2" w:after="0"/>
        <w:ind w:left="220" w:right="1071" w:firstLine="991"/>
        <w:jc w:val="left"/>
        <w:rPr>
          <w:sz w:val="24"/>
        </w:rPr>
      </w:pPr>
      <w:r>
        <w:rPr>
          <w:color w:val="231F20"/>
          <w:sz w:val="24"/>
        </w:rPr>
        <w:t>If</w:t>
      </w:r>
      <w:r>
        <w:rPr>
          <w:color w:val="231F20"/>
          <w:spacing w:val="-3"/>
          <w:sz w:val="24"/>
        </w:rPr>
        <w:t> </w:t>
      </w:r>
      <w:r>
        <w:rPr>
          <w:color w:val="231F20"/>
          <w:sz w:val="24"/>
        </w:rPr>
        <w:t>the</w:t>
      </w:r>
      <w:r>
        <w:rPr>
          <w:color w:val="231F20"/>
          <w:spacing w:val="-4"/>
          <w:sz w:val="24"/>
        </w:rPr>
        <w:t> </w:t>
      </w:r>
      <w:r>
        <w:rPr>
          <w:color w:val="231F20"/>
          <w:sz w:val="24"/>
        </w:rPr>
        <w:t>dissolution</w:t>
      </w:r>
      <w:r>
        <w:rPr>
          <w:color w:val="231F20"/>
          <w:spacing w:val="-2"/>
          <w:sz w:val="24"/>
        </w:rPr>
        <w:t> </w:t>
      </w:r>
      <w:r>
        <w:rPr>
          <w:color w:val="231F20"/>
          <w:sz w:val="24"/>
        </w:rPr>
        <w:t>under</w:t>
      </w:r>
      <w:r>
        <w:rPr>
          <w:color w:val="231F20"/>
          <w:spacing w:val="-2"/>
          <w:sz w:val="24"/>
        </w:rPr>
        <w:t> </w:t>
      </w:r>
      <w:r>
        <w:rPr>
          <w:color w:val="231F20"/>
          <w:sz w:val="24"/>
        </w:rPr>
        <w:t>court</w:t>
      </w:r>
      <w:r>
        <w:rPr>
          <w:color w:val="231F20"/>
          <w:spacing w:val="-3"/>
          <w:sz w:val="24"/>
        </w:rPr>
        <w:t> </w:t>
      </w:r>
      <w:r>
        <w:rPr>
          <w:color w:val="231F20"/>
          <w:sz w:val="24"/>
        </w:rPr>
        <w:t>supervision</w:t>
      </w:r>
      <w:r>
        <w:rPr>
          <w:color w:val="231F20"/>
          <w:spacing w:val="-3"/>
          <w:sz w:val="24"/>
        </w:rPr>
        <w:t> </w:t>
      </w:r>
      <w:r>
        <w:rPr>
          <w:color w:val="231F20"/>
          <w:sz w:val="24"/>
        </w:rPr>
        <w:t>is</w:t>
      </w:r>
      <w:r>
        <w:rPr>
          <w:color w:val="231F20"/>
          <w:spacing w:val="-6"/>
          <w:sz w:val="24"/>
        </w:rPr>
        <w:t> </w:t>
      </w:r>
      <w:r>
        <w:rPr>
          <w:color w:val="231F20"/>
          <w:sz w:val="24"/>
        </w:rPr>
        <w:t>not</w:t>
      </w:r>
      <w:r>
        <w:rPr>
          <w:color w:val="231F20"/>
          <w:spacing w:val="-4"/>
          <w:sz w:val="24"/>
        </w:rPr>
        <w:t> </w:t>
      </w:r>
      <w:r>
        <w:rPr>
          <w:color w:val="231F20"/>
          <w:sz w:val="24"/>
        </w:rPr>
        <w:t>required</w:t>
      </w:r>
      <w:r>
        <w:rPr>
          <w:color w:val="231F20"/>
          <w:spacing w:val="-3"/>
          <w:sz w:val="24"/>
        </w:rPr>
        <w:t> </w:t>
      </w:r>
      <w:r>
        <w:rPr>
          <w:color w:val="231F20"/>
          <w:sz w:val="24"/>
        </w:rPr>
        <w:t>or</w:t>
      </w:r>
      <w:r>
        <w:rPr>
          <w:color w:val="231F20"/>
          <w:spacing w:val="-3"/>
          <w:sz w:val="24"/>
        </w:rPr>
        <w:t> </w:t>
      </w:r>
      <w:r>
        <w:rPr>
          <w:color w:val="231F20"/>
          <w:sz w:val="24"/>
        </w:rPr>
        <w:t>permitted</w:t>
      </w:r>
      <w:r>
        <w:rPr>
          <w:color w:val="231F20"/>
          <w:spacing w:val="-5"/>
          <w:sz w:val="24"/>
        </w:rPr>
        <w:t> </w:t>
      </w:r>
      <w:r>
        <w:rPr>
          <w:color w:val="231F20"/>
          <w:sz w:val="24"/>
        </w:rPr>
        <w:t>under</w:t>
      </w:r>
      <w:r>
        <w:rPr>
          <w:color w:val="231F20"/>
          <w:spacing w:val="-2"/>
          <w:sz w:val="24"/>
        </w:rPr>
        <w:t> </w:t>
      </w:r>
      <w:r>
        <w:rPr>
          <w:color w:val="231F20"/>
          <w:sz w:val="24"/>
        </w:rPr>
        <w:t>the Statutes of the State of Minnesota, as now enacted or as hereafter amended, the assets of this corporation shall be distributed, subject to prior compliance with Subdivision 1, clauses (2), (3) and (4) of Section 317.57 of the Minnesota Statutes, to the members of the corporation pro rata in accordance with their respective interests in the common areas and facilities of the condominium</w:t>
      </w:r>
      <w:r>
        <w:rPr>
          <w:color w:val="231F20"/>
          <w:spacing w:val="-3"/>
          <w:sz w:val="24"/>
        </w:rPr>
        <w:t> </w:t>
      </w:r>
      <w:r>
        <w:rPr>
          <w:color w:val="231F20"/>
          <w:sz w:val="24"/>
        </w:rPr>
        <w:t>property.</w:t>
      </w:r>
    </w:p>
    <w:p>
      <w:pPr>
        <w:pStyle w:val="BodyText"/>
        <w:ind w:left="3477" w:right="4211"/>
        <w:jc w:val="center"/>
      </w:pPr>
      <w:r>
        <w:rPr>
          <w:color w:val="231F20"/>
        </w:rPr>
        <w:t>ARTICLE VII</w:t>
      </w:r>
    </w:p>
    <w:p>
      <w:pPr>
        <w:pStyle w:val="BodyText"/>
      </w:pPr>
    </w:p>
    <w:p>
      <w:pPr>
        <w:pStyle w:val="BodyText"/>
        <w:spacing w:line="480" w:lineRule="auto"/>
        <w:ind w:left="220" w:right="950" w:firstLine="991"/>
      </w:pPr>
      <w:r>
        <w:rPr>
          <w:color w:val="231F20"/>
        </w:rPr>
        <w:t>The names and addresses of the incorporators, each of whom is a natural person of full age, are:</w:t>
      </w:r>
    </w:p>
    <w:p>
      <w:pPr>
        <w:pStyle w:val="BodyText"/>
        <w:tabs>
          <w:tab w:pos="4901" w:val="left" w:leader="none"/>
        </w:tabs>
        <w:spacing w:line="292" w:lineRule="exact"/>
        <w:ind w:left="1211"/>
      </w:pPr>
      <w:r>
        <w:rPr>
          <w:color w:val="231F20"/>
          <w:u w:val="single" w:color="231F20"/>
        </w:rPr>
        <w:t>NAMES</w:t>
      </w:r>
      <w:r>
        <w:rPr>
          <w:color w:val="231F20"/>
        </w:rPr>
        <w:tab/>
      </w:r>
      <w:r>
        <w:rPr>
          <w:color w:val="231F20"/>
          <w:u w:val="single" w:color="231F20"/>
        </w:rPr>
        <w:t>ADDRESSES</w:t>
      </w:r>
    </w:p>
    <w:p>
      <w:pPr>
        <w:pStyle w:val="BodyText"/>
        <w:spacing w:before="9"/>
        <w:rPr>
          <w:sz w:val="19"/>
        </w:rPr>
      </w:pPr>
    </w:p>
    <w:p>
      <w:pPr>
        <w:pStyle w:val="BodyText"/>
        <w:tabs>
          <w:tab w:pos="4903" w:val="left" w:leader="none"/>
        </w:tabs>
        <w:spacing w:before="52"/>
        <w:ind w:left="1211"/>
      </w:pPr>
      <w:r>
        <w:rPr>
          <w:color w:val="231F20"/>
        </w:rPr>
        <w:t>N.</w:t>
      </w:r>
      <w:r>
        <w:rPr>
          <w:color w:val="231F20"/>
          <w:spacing w:val="-2"/>
        </w:rPr>
        <w:t> </w:t>
      </w:r>
      <w:r>
        <w:rPr>
          <w:color w:val="231F20"/>
        </w:rPr>
        <w:t>Walter Graff</w:t>
        <w:tab/>
        <w:t>4040 IDS Center, Minneapolis, MN</w:t>
      </w:r>
      <w:r>
        <w:rPr>
          <w:color w:val="231F20"/>
          <w:spacing w:val="-14"/>
        </w:rPr>
        <w:t> </w:t>
      </w:r>
      <w:r>
        <w:rPr>
          <w:color w:val="231F20"/>
        </w:rPr>
        <w:t>55402</w:t>
      </w:r>
    </w:p>
    <w:p>
      <w:pPr>
        <w:pStyle w:val="BodyText"/>
        <w:spacing w:before="11"/>
        <w:rPr>
          <w:sz w:val="23"/>
        </w:rPr>
      </w:pPr>
    </w:p>
    <w:p>
      <w:pPr>
        <w:pStyle w:val="BodyText"/>
        <w:tabs>
          <w:tab w:pos="4902" w:val="left" w:leader="none"/>
        </w:tabs>
        <w:spacing w:line="482" w:lineRule="auto" w:before="1"/>
        <w:ind w:left="1211" w:right="1613" w:hanging="1"/>
      </w:pPr>
      <w:r>
        <w:rPr>
          <w:color w:val="231F20"/>
        </w:rPr>
        <w:t>Richard</w:t>
      </w:r>
      <w:r>
        <w:rPr>
          <w:color w:val="231F20"/>
          <w:spacing w:val="1"/>
        </w:rPr>
        <w:t> </w:t>
      </w:r>
      <w:r>
        <w:rPr>
          <w:color w:val="231F20"/>
        </w:rPr>
        <w:t>A.</w:t>
      </w:r>
      <w:r>
        <w:rPr>
          <w:color w:val="231F20"/>
          <w:spacing w:val="-3"/>
        </w:rPr>
        <w:t> </w:t>
      </w:r>
      <w:r>
        <w:rPr>
          <w:color w:val="231F20"/>
        </w:rPr>
        <w:t>Peterson</w:t>
        <w:tab/>
        <w:t>4040 IDS Center, Minneapolis, MN</w:t>
      </w:r>
      <w:r>
        <w:rPr>
          <w:color w:val="231F20"/>
          <w:spacing w:val="-14"/>
        </w:rPr>
        <w:t> </w:t>
      </w:r>
      <w:r>
        <w:rPr>
          <w:color w:val="231F20"/>
        </w:rPr>
        <w:t>55402 Marinus W. Van</w:t>
      </w:r>
      <w:r>
        <w:rPr>
          <w:color w:val="231F20"/>
          <w:spacing w:val="-4"/>
        </w:rPr>
        <w:t> </w:t>
      </w:r>
      <w:r>
        <w:rPr>
          <w:color w:val="231F20"/>
        </w:rPr>
        <w:t>Putten,</w:t>
      </w:r>
      <w:r>
        <w:rPr>
          <w:color w:val="231F20"/>
          <w:spacing w:val="-3"/>
        </w:rPr>
        <w:t> </w:t>
      </w:r>
      <w:r>
        <w:rPr>
          <w:color w:val="231F20"/>
        </w:rPr>
        <w:t>Jr.</w:t>
        <w:tab/>
        <w:t>4040 IDS Center, Minneapolis, MN</w:t>
      </w:r>
      <w:r>
        <w:rPr>
          <w:color w:val="231F20"/>
          <w:spacing w:val="-15"/>
        </w:rPr>
        <w:t> </w:t>
      </w:r>
      <w:r>
        <w:rPr>
          <w:color w:val="231F20"/>
        </w:rPr>
        <w:t>55402</w:t>
      </w:r>
    </w:p>
    <w:p>
      <w:pPr>
        <w:pStyle w:val="BodyText"/>
        <w:spacing w:line="289" w:lineRule="exact"/>
        <w:ind w:left="3476" w:right="4213"/>
        <w:jc w:val="center"/>
      </w:pPr>
      <w:r>
        <w:rPr>
          <w:color w:val="231F20"/>
        </w:rPr>
        <w:t>ARTICLE VIII</w:t>
      </w:r>
    </w:p>
    <w:p>
      <w:pPr>
        <w:pStyle w:val="BodyText"/>
        <w:spacing w:before="11"/>
        <w:rPr>
          <w:sz w:val="23"/>
        </w:rPr>
      </w:pPr>
    </w:p>
    <w:p>
      <w:pPr>
        <w:pStyle w:val="ListParagraph"/>
        <w:numPr>
          <w:ilvl w:val="0"/>
          <w:numId w:val="4"/>
        </w:numPr>
        <w:tabs>
          <w:tab w:pos="1662" w:val="left" w:leader="none"/>
        </w:tabs>
        <w:spacing w:line="480" w:lineRule="auto" w:before="0" w:after="0"/>
        <w:ind w:left="220" w:right="1097" w:firstLine="991"/>
        <w:jc w:val="left"/>
        <w:rPr>
          <w:sz w:val="24"/>
        </w:rPr>
      </w:pPr>
      <w:r>
        <w:rPr>
          <w:color w:val="231F20"/>
          <w:sz w:val="24"/>
        </w:rPr>
        <w:t>The first Board of Directors of this corporation shall consist of three (3)</w:t>
      </w:r>
      <w:r>
        <w:rPr>
          <w:color w:val="231F20"/>
          <w:spacing w:val="-34"/>
          <w:sz w:val="24"/>
        </w:rPr>
        <w:t> </w:t>
      </w:r>
      <w:r>
        <w:rPr>
          <w:color w:val="231F20"/>
          <w:sz w:val="24"/>
        </w:rPr>
        <w:t>persons; and the name and address of each of them</w:t>
      </w:r>
      <w:r>
        <w:rPr>
          <w:color w:val="231F20"/>
          <w:spacing w:val="-4"/>
          <w:sz w:val="24"/>
        </w:rPr>
        <w:t> </w:t>
      </w:r>
      <w:r>
        <w:rPr>
          <w:color w:val="231F20"/>
          <w:sz w:val="24"/>
        </w:rPr>
        <w:t>are:</w:t>
      </w:r>
    </w:p>
    <w:p>
      <w:pPr>
        <w:spacing w:after="0" w:line="480" w:lineRule="auto"/>
        <w:jc w:val="left"/>
        <w:rPr>
          <w:sz w:val="24"/>
        </w:rPr>
        <w:sectPr>
          <w:pgSz w:w="12240" w:h="15840"/>
          <w:pgMar w:header="0" w:footer="1188" w:top="1400" w:bottom="1380" w:left="1220" w:right="480"/>
        </w:sectPr>
      </w:pPr>
    </w:p>
    <w:p>
      <w:pPr>
        <w:pStyle w:val="BodyText"/>
        <w:tabs>
          <w:tab w:pos="4901" w:val="left" w:leader="none"/>
        </w:tabs>
        <w:spacing w:before="39"/>
        <w:ind w:left="1211"/>
      </w:pPr>
      <w:r>
        <w:rPr>
          <w:color w:val="231F20"/>
          <w:u w:val="single" w:color="231F20"/>
        </w:rPr>
        <w:t>NAMES</w:t>
      </w:r>
      <w:r>
        <w:rPr>
          <w:color w:val="231F20"/>
        </w:rPr>
        <w:tab/>
      </w:r>
      <w:r>
        <w:rPr>
          <w:color w:val="231F20"/>
          <w:u w:val="single" w:color="231F20"/>
        </w:rPr>
        <w:t>ADDRESSES</w:t>
      </w:r>
    </w:p>
    <w:p>
      <w:pPr>
        <w:pStyle w:val="BodyText"/>
        <w:tabs>
          <w:tab w:pos="4901" w:val="left" w:leader="none"/>
        </w:tabs>
        <w:ind w:left="4901" w:right="2749" w:hanging="3690"/>
      </w:pPr>
      <w:r>
        <w:rPr>
          <w:color w:val="231F20"/>
        </w:rPr>
        <w:t>Allen</w:t>
      </w:r>
      <w:r>
        <w:rPr>
          <w:color w:val="231F20"/>
          <w:spacing w:val="1"/>
        </w:rPr>
        <w:t> </w:t>
      </w:r>
      <w:r>
        <w:rPr>
          <w:color w:val="231F20"/>
        </w:rPr>
        <w:t>C.</w:t>
      </w:r>
      <w:r>
        <w:rPr>
          <w:color w:val="231F20"/>
          <w:spacing w:val="-2"/>
        </w:rPr>
        <w:t> </w:t>
      </w:r>
      <w:r>
        <w:rPr>
          <w:color w:val="231F20"/>
        </w:rPr>
        <w:t>Glorvigen</w:t>
        <w:tab/>
        <w:t>Home Federal Savings &amp; </w:t>
      </w:r>
      <w:r>
        <w:rPr>
          <w:color w:val="231F20"/>
          <w:spacing w:val="-3"/>
        </w:rPr>
        <w:t>Loan </w:t>
      </w:r>
      <w:r>
        <w:rPr>
          <w:color w:val="231F20"/>
        </w:rPr>
        <w:t>730 Marquette Ave.</w:t>
      </w:r>
      <w:r>
        <w:rPr>
          <w:color w:val="231F20"/>
          <w:spacing w:val="-3"/>
        </w:rPr>
        <w:t> </w:t>
      </w:r>
      <w:r>
        <w:rPr>
          <w:color w:val="231F20"/>
        </w:rPr>
        <w:t>So.</w:t>
      </w:r>
    </w:p>
    <w:p>
      <w:pPr>
        <w:pStyle w:val="BodyText"/>
        <w:spacing w:line="293" w:lineRule="exact"/>
        <w:ind w:left="4901"/>
      </w:pPr>
      <w:r>
        <w:rPr>
          <w:color w:val="231F20"/>
        </w:rPr>
        <w:t>Minneapolis, MN</w:t>
      </w:r>
      <w:r>
        <w:rPr>
          <w:color w:val="231F20"/>
          <w:spacing w:val="-9"/>
        </w:rPr>
        <w:t> </w:t>
      </w:r>
      <w:r>
        <w:rPr>
          <w:color w:val="231F20"/>
        </w:rPr>
        <w:t>55402</w:t>
      </w:r>
    </w:p>
    <w:p>
      <w:pPr>
        <w:pStyle w:val="BodyText"/>
      </w:pPr>
    </w:p>
    <w:p>
      <w:pPr>
        <w:pStyle w:val="BodyText"/>
        <w:tabs>
          <w:tab w:pos="4901" w:val="left" w:leader="none"/>
        </w:tabs>
        <w:ind w:left="4901" w:right="3100" w:hanging="3690"/>
      </w:pPr>
      <w:r>
        <w:rPr>
          <w:color w:val="231F20"/>
        </w:rPr>
        <w:t>H.R.</w:t>
      </w:r>
      <w:r>
        <w:rPr>
          <w:color w:val="231F20"/>
          <w:spacing w:val="-3"/>
        </w:rPr>
        <w:t> </w:t>
      </w:r>
      <w:r>
        <w:rPr>
          <w:color w:val="231F20"/>
        </w:rPr>
        <w:t>Swanson</w:t>
        <w:tab/>
        <w:t>4400 Briarwood Dr. Minnetonka, Minn.</w:t>
      </w:r>
      <w:r>
        <w:rPr>
          <w:color w:val="231F20"/>
          <w:spacing w:val="-11"/>
        </w:rPr>
        <w:t> </w:t>
      </w:r>
      <w:r>
        <w:rPr>
          <w:color w:val="231F20"/>
        </w:rPr>
        <w:t>55343</w:t>
      </w:r>
    </w:p>
    <w:p>
      <w:pPr>
        <w:pStyle w:val="BodyText"/>
        <w:spacing w:before="2"/>
      </w:pPr>
    </w:p>
    <w:p>
      <w:pPr>
        <w:pStyle w:val="BodyText"/>
        <w:tabs>
          <w:tab w:pos="4902" w:val="left" w:leader="none"/>
        </w:tabs>
        <w:ind w:left="1211"/>
      </w:pPr>
      <w:r>
        <w:rPr>
          <w:color w:val="231F20"/>
        </w:rPr>
        <w:t>Jonathan</w:t>
      </w:r>
      <w:r>
        <w:rPr>
          <w:color w:val="231F20"/>
          <w:spacing w:val="-2"/>
        </w:rPr>
        <w:t> </w:t>
      </w:r>
      <w:r>
        <w:rPr>
          <w:color w:val="231F20"/>
        </w:rPr>
        <w:t>P.</w:t>
      </w:r>
      <w:r>
        <w:rPr>
          <w:color w:val="231F20"/>
          <w:spacing w:val="-1"/>
        </w:rPr>
        <w:t> </w:t>
      </w:r>
      <w:r>
        <w:rPr>
          <w:color w:val="231F20"/>
        </w:rPr>
        <w:t>Abbott</w:t>
        <w:tab/>
        <w:t>6750 France Ave.</w:t>
      </w:r>
      <w:r>
        <w:rPr>
          <w:color w:val="231F20"/>
          <w:spacing w:val="-2"/>
        </w:rPr>
        <w:t> </w:t>
      </w:r>
      <w:r>
        <w:rPr>
          <w:color w:val="231F20"/>
        </w:rPr>
        <w:t>So.</w:t>
      </w:r>
    </w:p>
    <w:p>
      <w:pPr>
        <w:pStyle w:val="BodyText"/>
        <w:ind w:left="4901"/>
      </w:pPr>
      <w:r>
        <w:rPr>
          <w:color w:val="231F20"/>
        </w:rPr>
        <w:t>Suite 123</w:t>
      </w:r>
    </w:p>
    <w:p>
      <w:pPr>
        <w:pStyle w:val="BodyText"/>
        <w:ind w:left="4901"/>
      </w:pPr>
      <w:r>
        <w:rPr>
          <w:color w:val="231F20"/>
        </w:rPr>
        <w:t>Edina, Minn. 55435</w:t>
      </w:r>
    </w:p>
    <w:p>
      <w:pPr>
        <w:pStyle w:val="BodyText"/>
      </w:pPr>
    </w:p>
    <w:p>
      <w:pPr>
        <w:pStyle w:val="ListParagraph"/>
        <w:numPr>
          <w:ilvl w:val="0"/>
          <w:numId w:val="4"/>
        </w:numPr>
        <w:tabs>
          <w:tab w:pos="1662" w:val="left" w:leader="none"/>
        </w:tabs>
        <w:spacing w:line="480" w:lineRule="auto" w:before="0" w:after="0"/>
        <w:ind w:left="220" w:right="1031" w:firstLine="991"/>
        <w:jc w:val="left"/>
        <w:rPr>
          <w:sz w:val="24"/>
        </w:rPr>
      </w:pPr>
      <w:r>
        <w:rPr>
          <w:color w:val="231F20"/>
          <w:sz w:val="24"/>
        </w:rPr>
        <w:t>From time to time, the number of directors of this corporation may be</w:t>
      </w:r>
      <w:r>
        <w:rPr>
          <w:color w:val="231F20"/>
          <w:spacing w:val="-38"/>
          <w:sz w:val="24"/>
        </w:rPr>
        <w:t> </w:t>
      </w:r>
      <w:r>
        <w:rPr>
          <w:color w:val="231F20"/>
          <w:sz w:val="24"/>
        </w:rPr>
        <w:t>increased or diminished by vote of the members or of the Board of Directors of this corporation in accordance with the By-Laws of this corporation, but shall be no less than three (3) in</w:t>
      </w:r>
      <w:r>
        <w:rPr>
          <w:color w:val="231F20"/>
          <w:spacing w:val="-32"/>
          <w:sz w:val="24"/>
        </w:rPr>
        <w:t> </w:t>
      </w:r>
      <w:r>
        <w:rPr>
          <w:color w:val="231F20"/>
          <w:sz w:val="24"/>
        </w:rPr>
        <w:t>number.</w:t>
      </w:r>
    </w:p>
    <w:p>
      <w:pPr>
        <w:pStyle w:val="BodyText"/>
        <w:spacing w:line="292" w:lineRule="exact"/>
        <w:ind w:left="3477" w:right="4211"/>
        <w:jc w:val="center"/>
      </w:pPr>
      <w:r>
        <w:rPr>
          <w:color w:val="231F20"/>
        </w:rPr>
        <w:t>ARTICLE IX</w:t>
      </w:r>
    </w:p>
    <w:p>
      <w:pPr>
        <w:pStyle w:val="BodyText"/>
        <w:spacing w:before="12"/>
        <w:rPr>
          <w:sz w:val="23"/>
        </w:rPr>
      </w:pPr>
    </w:p>
    <w:p>
      <w:pPr>
        <w:pStyle w:val="BodyText"/>
        <w:spacing w:line="482" w:lineRule="auto"/>
        <w:ind w:left="220" w:right="1222" w:firstLine="991"/>
      </w:pPr>
      <w:r>
        <w:rPr>
          <w:color w:val="231F20"/>
        </w:rPr>
        <w:t>Members, directors and officers of this corporation shall not be personally liable to any extent whatsoever for obligations of this corporation.</w:t>
      </w:r>
    </w:p>
    <w:p>
      <w:pPr>
        <w:pStyle w:val="BodyText"/>
        <w:spacing w:line="289" w:lineRule="exact"/>
        <w:ind w:left="3477" w:right="4213"/>
        <w:jc w:val="center"/>
      </w:pPr>
      <w:r>
        <w:rPr>
          <w:color w:val="231F20"/>
        </w:rPr>
        <w:t>ARTICLE X</w:t>
      </w:r>
    </w:p>
    <w:p>
      <w:pPr>
        <w:pStyle w:val="BodyText"/>
        <w:spacing w:before="11"/>
        <w:rPr>
          <w:sz w:val="23"/>
        </w:rPr>
      </w:pPr>
    </w:p>
    <w:p>
      <w:pPr>
        <w:pStyle w:val="BodyText"/>
        <w:spacing w:line="480" w:lineRule="auto" w:before="1"/>
        <w:ind w:left="220" w:right="950" w:firstLine="991"/>
      </w:pPr>
      <w:r>
        <w:rPr>
          <w:color w:val="231F20"/>
        </w:rPr>
        <w:t>This corporation shall have no capital stock, either authorized or issued, nor shall it have a corporate seal.</w:t>
      </w:r>
    </w:p>
    <w:p>
      <w:pPr>
        <w:pStyle w:val="BodyText"/>
        <w:spacing w:line="292" w:lineRule="exact"/>
        <w:ind w:left="3477" w:right="4211"/>
        <w:jc w:val="center"/>
      </w:pPr>
      <w:r>
        <w:rPr>
          <w:color w:val="231F20"/>
        </w:rPr>
        <w:t>ARTICLE XI</w:t>
      </w:r>
    </w:p>
    <w:p>
      <w:pPr>
        <w:pStyle w:val="BodyText"/>
        <w:spacing w:before="11"/>
        <w:rPr>
          <w:sz w:val="23"/>
        </w:rPr>
      </w:pPr>
    </w:p>
    <w:p>
      <w:pPr>
        <w:pStyle w:val="BodyText"/>
        <w:spacing w:line="480" w:lineRule="auto" w:before="1"/>
        <w:ind w:left="220" w:right="983" w:firstLine="991"/>
      </w:pPr>
      <w:r>
        <w:rPr>
          <w:color w:val="231F20"/>
        </w:rPr>
        <w:t>These Articles may be amended by a vote of the holders of a majority of the undivided interest as shown in Exhibit A to the Declaration; provided that any amendments affecting the matters described in Article XII, Section D of the Declaration must have the prior written consent required by said Section and the prior written consent of the Declarant, so long as it is an Owner (as such terms are defined in the Declaration).</w:t>
      </w:r>
    </w:p>
    <w:p>
      <w:pPr>
        <w:spacing w:after="0" w:line="480" w:lineRule="auto"/>
        <w:sectPr>
          <w:pgSz w:w="12240" w:h="15840"/>
          <w:pgMar w:header="0" w:footer="1188" w:top="1400" w:bottom="1380" w:left="1220" w:right="480"/>
        </w:sectPr>
      </w:pPr>
    </w:p>
    <w:p>
      <w:pPr>
        <w:pStyle w:val="BodyText"/>
        <w:spacing w:before="1"/>
        <w:rPr>
          <w:sz w:val="19"/>
        </w:rPr>
      </w:pPr>
    </w:p>
    <w:p>
      <w:pPr>
        <w:pStyle w:val="BodyText"/>
        <w:ind w:left="335"/>
        <w:rPr>
          <w:sz w:val="20"/>
        </w:rPr>
      </w:pPr>
      <w:r>
        <w:rPr>
          <w:sz w:val="20"/>
        </w:rPr>
        <w:drawing>
          <wp:inline distT="0" distB="0" distL="0" distR="0">
            <wp:extent cx="5374444" cy="7470648"/>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11" cstate="print"/>
                    <a:stretch>
                      <a:fillRect/>
                    </a:stretch>
                  </pic:blipFill>
                  <pic:spPr>
                    <a:xfrm>
                      <a:off x="0" y="0"/>
                      <a:ext cx="5374444" cy="7470648"/>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12"/>
        <w:rPr>
          <w:sz w:val="29"/>
        </w:rPr>
      </w:pPr>
    </w:p>
    <w:p>
      <w:pPr>
        <w:pStyle w:val="BodyText"/>
        <w:spacing w:before="51"/>
        <w:ind w:left="3477" w:right="4209"/>
        <w:jc w:val="center"/>
      </w:pPr>
      <w:r>
        <w:rPr>
          <w:color w:val="231F20"/>
        </w:rPr>
        <w:t>-6-</w:t>
      </w:r>
    </w:p>
    <w:p>
      <w:pPr>
        <w:spacing w:after="0"/>
        <w:jc w:val="center"/>
        <w:sectPr>
          <w:footerReference w:type="default" r:id="rId10"/>
          <w:pgSz w:w="12240" w:h="15840"/>
          <w:pgMar w:footer="810" w:header="0" w:top="1500" w:bottom="1000" w:left="12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52"/>
        <w:ind w:left="2983"/>
      </w:pPr>
      <w:r>
        <w:rPr>
          <w:color w:val="231F20"/>
        </w:rPr>
        <w:t>THIS PAGE LEFT BLANK INTENTIONALLY</w:t>
      </w:r>
    </w:p>
    <w:p>
      <w:pPr>
        <w:spacing w:after="0"/>
        <w:sectPr>
          <w:pgSz w:w="12240" w:h="15840"/>
          <w:pgMar w:header="0" w:footer="810" w:top="1500" w:bottom="1000" w:left="1220" w:right="480"/>
        </w:sectPr>
      </w:pPr>
    </w:p>
    <w:p>
      <w:pPr>
        <w:pStyle w:val="BodyText"/>
        <w:spacing w:before="39"/>
        <w:ind w:left="2846" w:right="3566" w:firstLine="247"/>
      </w:pPr>
      <w:r>
        <w:rPr>
          <w:color w:val="231F20"/>
        </w:rPr>
        <w:t>DECLARATION ESTABLISHING A PLAN FOR APARTMENT OWNERSHIP PURSUANT TO THE MINNESOTA CONDOMINIUM ACT</w:t>
      </w:r>
    </w:p>
    <w:p>
      <w:pPr>
        <w:pStyle w:val="BodyText"/>
      </w:pPr>
    </w:p>
    <w:p>
      <w:pPr>
        <w:pStyle w:val="BodyText"/>
        <w:spacing w:line="480" w:lineRule="auto"/>
        <w:ind w:left="2959" w:right="3678" w:firstLine="259"/>
      </w:pPr>
      <w:r>
        <w:rPr>
          <w:color w:val="231F20"/>
        </w:rPr>
        <w:t>APARTMENT OWNERSHIP NO. 120 THE COLONY AT EDINA CONDOMINIUM</w:t>
      </w:r>
    </w:p>
    <w:p>
      <w:pPr>
        <w:pStyle w:val="BodyText"/>
        <w:tabs>
          <w:tab w:pos="6091" w:val="left" w:leader="none"/>
          <w:tab w:pos="7470" w:val="left" w:leader="none"/>
        </w:tabs>
        <w:spacing w:before="2"/>
        <w:ind w:left="220" w:right="956"/>
        <w:jc w:val="both"/>
      </w:pPr>
      <w:r>
        <w:rPr>
          <w:color w:val="231F20"/>
        </w:rPr>
        <w:t>THIS DECLARATION made, the </w:t>
      </w:r>
      <w:r>
        <w:rPr>
          <w:color w:val="231F20"/>
          <w:u w:val="single" w:color="231F20"/>
        </w:rPr>
        <w:t>           2nd        </w:t>
      </w:r>
      <w:r>
        <w:rPr>
          <w:color w:val="231F20"/>
          <w:spacing w:val="28"/>
        </w:rPr>
        <w:t> </w:t>
      </w:r>
      <w:r>
        <w:rPr>
          <w:color w:val="231F20"/>
        </w:rPr>
        <w:t>Day</w:t>
      </w:r>
      <w:r>
        <w:rPr>
          <w:color w:val="231F20"/>
          <w:spacing w:val="3"/>
        </w:rPr>
        <w:t> </w:t>
      </w:r>
      <w:r>
        <w:rPr>
          <w:color w:val="231F20"/>
        </w:rPr>
        <w:t>of</w:t>
      </w:r>
      <w:r>
        <w:rPr>
          <w:color w:val="231F20"/>
          <w:u w:val="single" w:color="231F20"/>
        </w:rPr>
        <w:t> </w:t>
        <w:tab/>
        <w:t>October</w:t>
        <w:tab/>
        <w:t>,</w:t>
      </w:r>
      <w:r>
        <w:rPr>
          <w:color w:val="231F20"/>
        </w:rPr>
        <w:t> 197</w:t>
      </w:r>
      <w:r>
        <w:rPr>
          <w:color w:val="231F20"/>
          <w:u w:val="single" w:color="231F20"/>
        </w:rPr>
        <w:t>8</w:t>
      </w:r>
      <w:r>
        <w:rPr>
          <w:color w:val="231F20"/>
        </w:rPr>
        <w:t>, by The </w:t>
      </w:r>
      <w:r>
        <w:rPr>
          <w:color w:val="231F20"/>
          <w:spacing w:val="-3"/>
        </w:rPr>
        <w:t>Colony </w:t>
      </w:r>
      <w:r>
        <w:rPr>
          <w:color w:val="231F20"/>
        </w:rPr>
        <w:t>at Southdale, a Limited Partnership, hereinafter called "Declarant", and made pursuant to, and submitted to the provisions and authority of Chapter 515, Minnesota Statutes Annotated, the "Minnesota Condominium Act", hereinafter called the</w:t>
      </w:r>
      <w:r>
        <w:rPr>
          <w:color w:val="231F20"/>
          <w:spacing w:val="-5"/>
        </w:rPr>
        <w:t> </w:t>
      </w:r>
      <w:r>
        <w:rPr>
          <w:color w:val="231F20"/>
        </w:rPr>
        <w:t>"Act".</w:t>
      </w:r>
    </w:p>
    <w:p>
      <w:pPr>
        <w:pStyle w:val="BodyText"/>
        <w:spacing w:before="11"/>
        <w:rPr>
          <w:sz w:val="23"/>
        </w:rPr>
      </w:pPr>
    </w:p>
    <w:p>
      <w:pPr>
        <w:pStyle w:val="BodyText"/>
        <w:spacing w:before="1"/>
        <w:ind w:left="220"/>
      </w:pPr>
      <w:r>
        <w:rPr>
          <w:color w:val="231F20"/>
        </w:rPr>
        <w:t>WITNESSETH:</w:t>
      </w:r>
    </w:p>
    <w:p>
      <w:pPr>
        <w:pStyle w:val="BodyText"/>
        <w:spacing w:before="11"/>
        <w:rPr>
          <w:sz w:val="23"/>
        </w:rPr>
      </w:pPr>
    </w:p>
    <w:p>
      <w:pPr>
        <w:pStyle w:val="BodyText"/>
        <w:ind w:left="220" w:right="1204"/>
      </w:pPr>
      <w:r>
        <w:rPr>
          <w:color w:val="231F20"/>
        </w:rPr>
        <w:t>The purpose of this Declaration, in conformity to the Act, is to submit the following described property, now owned by Declarant in fee simple, together with the buildings and improvements thereon, to all provisions of the Act.</w:t>
      </w:r>
    </w:p>
    <w:p>
      <w:pPr>
        <w:pStyle w:val="BodyText"/>
      </w:pPr>
    </w:p>
    <w:p>
      <w:pPr>
        <w:pStyle w:val="BodyText"/>
        <w:ind w:left="220"/>
      </w:pPr>
      <w:r>
        <w:rPr>
          <w:color w:val="231F20"/>
        </w:rPr>
        <w:t>LEGAL DESCRIPTION:</w:t>
      </w:r>
    </w:p>
    <w:p>
      <w:pPr>
        <w:pStyle w:val="BodyText"/>
        <w:spacing w:before="11"/>
        <w:rPr>
          <w:sz w:val="23"/>
        </w:rPr>
      </w:pPr>
    </w:p>
    <w:p>
      <w:pPr>
        <w:pStyle w:val="BodyText"/>
        <w:tabs>
          <w:tab w:pos="1213" w:val="left" w:leader="none"/>
        </w:tabs>
        <w:spacing w:before="1"/>
        <w:ind w:left="1211" w:right="1128" w:hanging="992"/>
      </w:pPr>
      <w:r>
        <w:rPr>
          <w:color w:val="231F20"/>
        </w:rPr>
        <w:t>Par.</w:t>
      </w:r>
      <w:r>
        <w:rPr>
          <w:color w:val="231F20"/>
          <w:spacing w:val="1"/>
        </w:rPr>
        <w:t> </w:t>
      </w:r>
      <w:r>
        <w:rPr>
          <w:color w:val="231F20"/>
        </w:rPr>
        <w:t>I</w:t>
        <w:tab/>
        <w:tab/>
        <w:t>Lot 1, Block 1, Southdale Acres, the north line of said plat being marked by Judicial Landmarks set pursuant to Torrens Case No. 10266, according to the plat thereof</w:t>
      </w:r>
      <w:r>
        <w:rPr>
          <w:color w:val="231F20"/>
          <w:spacing w:val="-33"/>
        </w:rPr>
        <w:t> </w:t>
      </w:r>
      <w:r>
        <w:rPr>
          <w:color w:val="231F20"/>
        </w:rPr>
        <w:t>on file or of record in the offices of the Registrar of Titles in and for Hennepin County, Minnesota.</w:t>
      </w:r>
    </w:p>
    <w:p>
      <w:pPr>
        <w:pStyle w:val="BodyText"/>
        <w:spacing w:before="1"/>
      </w:pPr>
    </w:p>
    <w:p>
      <w:pPr>
        <w:pStyle w:val="BodyText"/>
        <w:tabs>
          <w:tab w:pos="1213" w:val="left" w:leader="none"/>
        </w:tabs>
        <w:spacing w:before="1"/>
        <w:ind w:left="1211" w:right="1293" w:hanging="992"/>
      </w:pPr>
      <w:r>
        <w:rPr>
          <w:color w:val="231F20"/>
        </w:rPr>
        <w:t>Par.</w:t>
      </w:r>
      <w:r>
        <w:rPr>
          <w:color w:val="231F20"/>
          <w:spacing w:val="1"/>
        </w:rPr>
        <w:t> </w:t>
      </w:r>
      <w:r>
        <w:rPr>
          <w:color w:val="231F20"/>
        </w:rPr>
        <w:t>II</w:t>
        <w:tab/>
        <w:tab/>
        <w:t>Lot 1, Block 3, Southdale Acres, Hennepin County, Minnesota according to the</w:t>
      </w:r>
      <w:r>
        <w:rPr>
          <w:color w:val="231F20"/>
          <w:spacing w:val="-30"/>
        </w:rPr>
        <w:t> </w:t>
      </w:r>
      <w:r>
        <w:rPr>
          <w:color w:val="231F20"/>
        </w:rPr>
        <w:t>plat thereof on file or of record in the office of the Registrar of Titles in and for said county.</w:t>
      </w:r>
    </w:p>
    <w:p>
      <w:pPr>
        <w:pStyle w:val="BodyText"/>
        <w:spacing w:before="11"/>
        <w:rPr>
          <w:sz w:val="23"/>
        </w:rPr>
      </w:pPr>
    </w:p>
    <w:p>
      <w:pPr>
        <w:pStyle w:val="BodyText"/>
        <w:tabs>
          <w:tab w:pos="1213" w:val="left" w:leader="none"/>
        </w:tabs>
        <w:ind w:left="1211" w:right="1351" w:hanging="992"/>
      </w:pPr>
      <w:r>
        <w:rPr>
          <w:color w:val="231F20"/>
        </w:rPr>
        <w:t>Par. III</w:t>
        <w:tab/>
        <w:tab/>
        <w:t>Tract A, Registered Land Survey No. 1310, files of the Registrar of Titles, County</w:t>
      </w:r>
      <w:r>
        <w:rPr>
          <w:color w:val="231F20"/>
          <w:spacing w:val="-38"/>
        </w:rPr>
        <w:t> </w:t>
      </w:r>
      <w:r>
        <w:rPr>
          <w:color w:val="231F20"/>
        </w:rPr>
        <w:t>of Hennepin.</w:t>
      </w:r>
    </w:p>
    <w:p>
      <w:pPr>
        <w:pStyle w:val="BodyText"/>
        <w:spacing w:before="12"/>
        <w:rPr>
          <w:sz w:val="23"/>
        </w:rPr>
      </w:pPr>
    </w:p>
    <w:p>
      <w:pPr>
        <w:pStyle w:val="BodyText"/>
        <w:ind w:left="3477" w:right="4211"/>
        <w:jc w:val="center"/>
      </w:pPr>
      <w:r>
        <w:rPr>
          <w:color w:val="231F20"/>
          <w:u w:val="single" w:color="231F20"/>
        </w:rPr>
        <w:t>ARTICLE I</w:t>
      </w:r>
    </w:p>
    <w:p>
      <w:pPr>
        <w:pStyle w:val="BodyText"/>
        <w:spacing w:before="9"/>
        <w:rPr>
          <w:sz w:val="19"/>
        </w:rPr>
      </w:pPr>
    </w:p>
    <w:p>
      <w:pPr>
        <w:pStyle w:val="BodyText"/>
        <w:spacing w:line="242" w:lineRule="auto" w:before="52"/>
        <w:ind w:left="220" w:right="950" w:firstLine="719"/>
      </w:pPr>
      <w:r>
        <w:rPr>
          <w:color w:val="231F20"/>
        </w:rPr>
        <w:t>For the purpose of this declaration, the following terms shall have the designated meaning and/or scope:</w:t>
      </w:r>
    </w:p>
    <w:p>
      <w:pPr>
        <w:pStyle w:val="BodyText"/>
        <w:spacing w:before="8"/>
        <w:rPr>
          <w:sz w:val="23"/>
        </w:rPr>
      </w:pPr>
    </w:p>
    <w:p>
      <w:pPr>
        <w:pStyle w:val="ListParagraph"/>
        <w:numPr>
          <w:ilvl w:val="2"/>
          <w:numId w:val="3"/>
        </w:numPr>
        <w:tabs>
          <w:tab w:pos="1302" w:val="left" w:leader="none"/>
        </w:tabs>
        <w:spacing w:line="240" w:lineRule="auto" w:before="0" w:after="0"/>
        <w:ind w:left="1301" w:right="0" w:hanging="362"/>
        <w:jc w:val="left"/>
        <w:rPr>
          <w:sz w:val="24"/>
        </w:rPr>
      </w:pPr>
      <w:r>
        <w:rPr>
          <w:color w:val="231F20"/>
          <w:sz w:val="24"/>
          <w:u w:val="single" w:color="231F20"/>
        </w:rPr>
        <w:t>Apartment Owner</w:t>
      </w:r>
      <w:r>
        <w:rPr>
          <w:color w:val="231F20"/>
          <w:sz w:val="24"/>
        </w:rPr>
        <w:t>.</w:t>
      </w:r>
    </w:p>
    <w:p>
      <w:pPr>
        <w:pStyle w:val="BodyText"/>
        <w:spacing w:before="9"/>
        <w:rPr>
          <w:sz w:val="19"/>
        </w:rPr>
      </w:pPr>
    </w:p>
    <w:p>
      <w:pPr>
        <w:pStyle w:val="BodyText"/>
        <w:spacing w:before="52"/>
        <w:ind w:left="220" w:right="950" w:firstLine="1079"/>
      </w:pPr>
      <w:r>
        <w:rPr>
          <w:color w:val="231F20"/>
        </w:rPr>
        <w:t>The person or persons whose estates or interests, individually or collectively, aggregate fee simple absolute</w:t>
      </w:r>
    </w:p>
    <w:p>
      <w:pPr>
        <w:spacing w:after="0"/>
        <w:sectPr>
          <w:footerReference w:type="default" r:id="rId12"/>
          <w:pgSz w:w="12240" w:h="15840"/>
          <w:pgMar w:footer="868" w:header="0" w:top="1400" w:bottom="1060" w:left="1220" w:right="480"/>
          <w:pgNumType w:start="1"/>
        </w:sectPr>
      </w:pPr>
    </w:p>
    <w:p>
      <w:pPr>
        <w:pStyle w:val="BodyText"/>
        <w:spacing w:before="39"/>
        <w:ind w:left="220"/>
      </w:pPr>
      <w:r>
        <w:rPr>
          <w:color w:val="231F20"/>
        </w:rPr>
        <w:t>ownership of an Apartment, including the vendee of a recorded Contract for Deed.</w:t>
      </w:r>
    </w:p>
    <w:p>
      <w:pPr>
        <w:pStyle w:val="BodyText"/>
      </w:pPr>
    </w:p>
    <w:p>
      <w:pPr>
        <w:pStyle w:val="ListParagraph"/>
        <w:numPr>
          <w:ilvl w:val="2"/>
          <w:numId w:val="3"/>
        </w:numPr>
        <w:tabs>
          <w:tab w:pos="1302" w:val="left" w:leader="none"/>
        </w:tabs>
        <w:spacing w:line="240" w:lineRule="auto" w:before="0" w:after="0"/>
        <w:ind w:left="1301" w:right="0" w:hanging="362"/>
        <w:jc w:val="left"/>
        <w:rPr>
          <w:sz w:val="24"/>
        </w:rPr>
      </w:pPr>
      <w:r>
        <w:rPr>
          <w:color w:val="231F20"/>
          <w:sz w:val="24"/>
          <w:u w:val="single" w:color="231F20"/>
        </w:rPr>
        <w:t>Perimeter Wall</w:t>
      </w:r>
      <w:r>
        <w:rPr>
          <w:color w:val="231F20"/>
          <w:sz w:val="24"/>
        </w:rPr>
        <w:t>.</w:t>
      </w:r>
    </w:p>
    <w:p>
      <w:pPr>
        <w:pStyle w:val="BodyText"/>
        <w:spacing w:before="9"/>
        <w:rPr>
          <w:sz w:val="19"/>
        </w:rPr>
      </w:pPr>
    </w:p>
    <w:p>
      <w:pPr>
        <w:pStyle w:val="BodyText"/>
        <w:spacing w:before="52"/>
        <w:ind w:left="220" w:right="950" w:firstLine="1079"/>
      </w:pPr>
      <w:r>
        <w:rPr>
          <w:color w:val="231F20"/>
        </w:rPr>
        <w:t>Any wall, door, or window separating one apartment from another or from the common areas. A perimeter wall, except for that part thereof included in an Apartment, is part of the common areas and facilities.</w:t>
      </w:r>
    </w:p>
    <w:p>
      <w:pPr>
        <w:pStyle w:val="BodyText"/>
        <w:spacing w:before="1"/>
      </w:pPr>
    </w:p>
    <w:p>
      <w:pPr>
        <w:pStyle w:val="ListParagraph"/>
        <w:numPr>
          <w:ilvl w:val="2"/>
          <w:numId w:val="3"/>
        </w:numPr>
        <w:tabs>
          <w:tab w:pos="1302" w:val="left" w:leader="none"/>
        </w:tabs>
        <w:spacing w:line="240" w:lineRule="auto" w:before="1" w:after="0"/>
        <w:ind w:left="1301" w:right="0" w:hanging="362"/>
        <w:jc w:val="left"/>
        <w:rPr>
          <w:sz w:val="24"/>
        </w:rPr>
      </w:pPr>
      <w:r>
        <w:rPr>
          <w:color w:val="231F20"/>
          <w:sz w:val="24"/>
          <w:u w:val="single" w:color="231F20"/>
        </w:rPr>
        <w:t>Apartments</w:t>
      </w:r>
      <w:r>
        <w:rPr>
          <w:color w:val="231F20"/>
          <w:sz w:val="24"/>
        </w:rPr>
        <w:t>.</w:t>
      </w:r>
    </w:p>
    <w:p>
      <w:pPr>
        <w:pStyle w:val="BodyText"/>
        <w:spacing w:before="9"/>
        <w:rPr>
          <w:sz w:val="19"/>
        </w:rPr>
      </w:pPr>
    </w:p>
    <w:p>
      <w:pPr>
        <w:pStyle w:val="ListParagraph"/>
        <w:numPr>
          <w:ilvl w:val="3"/>
          <w:numId w:val="3"/>
        </w:numPr>
        <w:tabs>
          <w:tab w:pos="1661" w:val="left" w:leader="none"/>
        </w:tabs>
        <w:spacing w:line="240" w:lineRule="auto" w:before="51" w:after="0"/>
        <w:ind w:left="1660" w:right="0" w:hanging="361"/>
        <w:jc w:val="left"/>
        <w:rPr>
          <w:sz w:val="24"/>
        </w:rPr>
      </w:pPr>
      <w:r>
        <w:rPr>
          <w:color w:val="231F20"/>
          <w:sz w:val="24"/>
          <w:u w:val="single" w:color="231F20"/>
        </w:rPr>
        <w:t>One-level</w:t>
      </w:r>
      <w:r>
        <w:rPr>
          <w:color w:val="231F20"/>
          <w:spacing w:val="-3"/>
          <w:sz w:val="24"/>
          <w:u w:val="single" w:color="231F20"/>
        </w:rPr>
        <w:t> </w:t>
      </w:r>
      <w:r>
        <w:rPr>
          <w:color w:val="231F20"/>
          <w:sz w:val="24"/>
          <w:u w:val="single" w:color="231F20"/>
        </w:rPr>
        <w:t>Apartments</w:t>
      </w:r>
      <w:r>
        <w:rPr>
          <w:color w:val="231F20"/>
          <w:sz w:val="24"/>
        </w:rPr>
        <w:t>.</w:t>
      </w:r>
    </w:p>
    <w:p>
      <w:pPr>
        <w:pStyle w:val="BodyText"/>
        <w:spacing w:before="147"/>
        <w:ind w:left="220" w:right="996" w:firstLine="1439"/>
      </w:pPr>
      <w:r>
        <w:rPr>
          <w:color w:val="231F20"/>
        </w:rPr>
        <w:t>A one-level apartment shall include the inner decorated surfaces of the ceilings and perimeter walls, including paint and wall paper and the floor covering the subfloor. The subflooring under the apartment, the pipes, wires, conduits, or other public utility lines running through the apartment which are utilized for or serve more than one apartment, the perimeter walls and ceilings except the inner decorated surfaces thereof, are common areas and facilities, and are not part of the apartment.</w:t>
      </w:r>
    </w:p>
    <w:p>
      <w:pPr>
        <w:pStyle w:val="BodyText"/>
        <w:spacing w:before="11"/>
        <w:rPr>
          <w:sz w:val="23"/>
        </w:rPr>
      </w:pPr>
    </w:p>
    <w:p>
      <w:pPr>
        <w:pStyle w:val="ListParagraph"/>
        <w:numPr>
          <w:ilvl w:val="3"/>
          <w:numId w:val="3"/>
        </w:numPr>
        <w:tabs>
          <w:tab w:pos="1660" w:val="left" w:leader="none"/>
        </w:tabs>
        <w:spacing w:line="240" w:lineRule="auto" w:before="0" w:after="0"/>
        <w:ind w:left="1659" w:right="0" w:hanging="360"/>
        <w:jc w:val="left"/>
        <w:rPr>
          <w:sz w:val="24"/>
        </w:rPr>
      </w:pPr>
      <w:r>
        <w:rPr>
          <w:color w:val="231F20"/>
          <w:sz w:val="24"/>
          <w:u w:val="single" w:color="231F20"/>
        </w:rPr>
        <w:t>Townhouse Apartments</w:t>
      </w:r>
      <w:r>
        <w:rPr>
          <w:color w:val="231F20"/>
          <w:sz w:val="24"/>
        </w:rPr>
        <w:t>.</w:t>
      </w:r>
    </w:p>
    <w:p>
      <w:pPr>
        <w:pStyle w:val="BodyText"/>
        <w:spacing w:before="146"/>
        <w:ind w:left="220" w:right="970" w:firstLine="1439"/>
      </w:pPr>
      <w:r>
        <w:rPr>
          <w:color w:val="231F20"/>
        </w:rPr>
        <w:t>A townhouse apartment shall include: the inner decorated surfaces of the second floor ceiling and perimeter walls including the paint and wall paper; the floor covering above the first floor subfloor; and the ceiling, joists, subfloor and floor covering within the apartment separating the first floor from the second floor.  The subflooring under the first floor, the pipes, wires, conduits, or other public utility lines running through the apartment which are utilized for or serve more than one apartment, the perimeter walls and second floor ceiling except the inner decorated surfaces, are common areas and facilities, and are not part</w:t>
      </w:r>
      <w:r>
        <w:rPr>
          <w:color w:val="231F20"/>
          <w:spacing w:val="-37"/>
        </w:rPr>
        <w:t> </w:t>
      </w:r>
      <w:r>
        <w:rPr>
          <w:color w:val="231F20"/>
        </w:rPr>
        <w:t>of the</w:t>
      </w:r>
      <w:r>
        <w:rPr>
          <w:color w:val="231F20"/>
          <w:spacing w:val="-3"/>
        </w:rPr>
        <w:t> </w:t>
      </w:r>
      <w:r>
        <w:rPr>
          <w:color w:val="231F20"/>
        </w:rPr>
        <w:t>apartment.</w:t>
      </w:r>
    </w:p>
    <w:p>
      <w:pPr>
        <w:pStyle w:val="BodyText"/>
        <w:spacing w:before="2"/>
      </w:pPr>
    </w:p>
    <w:p>
      <w:pPr>
        <w:pStyle w:val="ListParagraph"/>
        <w:numPr>
          <w:ilvl w:val="2"/>
          <w:numId w:val="3"/>
        </w:numPr>
        <w:tabs>
          <w:tab w:pos="1300" w:val="left" w:leader="none"/>
        </w:tabs>
        <w:spacing w:line="240" w:lineRule="auto" w:before="0" w:after="0"/>
        <w:ind w:left="1299" w:right="0" w:hanging="360"/>
        <w:jc w:val="left"/>
        <w:rPr>
          <w:sz w:val="24"/>
        </w:rPr>
      </w:pPr>
      <w:r>
        <w:rPr>
          <w:color w:val="231F20"/>
          <w:sz w:val="24"/>
          <w:u w:val="single" w:color="231F20"/>
        </w:rPr>
        <w:t>Parcel</w:t>
      </w:r>
      <w:r>
        <w:rPr>
          <w:color w:val="231F20"/>
          <w:sz w:val="24"/>
        </w:rPr>
        <w:t>.</w:t>
      </w:r>
    </w:p>
    <w:p>
      <w:pPr>
        <w:pStyle w:val="BodyText"/>
        <w:spacing w:before="146"/>
        <w:ind w:left="1300"/>
      </w:pPr>
      <w:r>
        <w:rPr>
          <w:color w:val="231F20"/>
        </w:rPr>
        <w:t>Parcel refers to the entire tract of real estate herein described.</w:t>
      </w:r>
    </w:p>
    <w:p>
      <w:pPr>
        <w:pStyle w:val="BodyText"/>
        <w:spacing w:before="12"/>
        <w:rPr>
          <w:sz w:val="23"/>
        </w:rPr>
      </w:pPr>
    </w:p>
    <w:p>
      <w:pPr>
        <w:pStyle w:val="ListParagraph"/>
        <w:numPr>
          <w:ilvl w:val="2"/>
          <w:numId w:val="3"/>
        </w:numPr>
        <w:tabs>
          <w:tab w:pos="1301" w:val="left" w:leader="none"/>
        </w:tabs>
        <w:spacing w:line="240" w:lineRule="auto" w:before="0" w:after="0"/>
        <w:ind w:left="1300" w:right="0" w:hanging="361"/>
        <w:jc w:val="left"/>
        <w:rPr>
          <w:sz w:val="24"/>
        </w:rPr>
      </w:pPr>
      <w:r>
        <w:rPr>
          <w:color w:val="231F20"/>
          <w:sz w:val="24"/>
          <w:u w:val="single" w:color="231F20"/>
        </w:rPr>
        <w:t>Buildings</w:t>
      </w:r>
      <w:r>
        <w:rPr>
          <w:color w:val="231F20"/>
          <w:sz w:val="24"/>
        </w:rPr>
        <w:t>.</w:t>
      </w:r>
    </w:p>
    <w:p>
      <w:pPr>
        <w:pStyle w:val="BodyText"/>
        <w:spacing w:before="146"/>
        <w:ind w:left="220" w:right="950" w:firstLine="1079"/>
      </w:pPr>
      <w:r>
        <w:rPr>
          <w:color w:val="231F20"/>
        </w:rPr>
        <w:t>Buildings located on the parcel, containing the apartments, as more specifically hereinafter described in Article II.</w:t>
      </w:r>
    </w:p>
    <w:p>
      <w:pPr>
        <w:pStyle w:val="BodyText"/>
        <w:spacing w:before="2"/>
      </w:pPr>
    </w:p>
    <w:p>
      <w:pPr>
        <w:pStyle w:val="ListParagraph"/>
        <w:numPr>
          <w:ilvl w:val="2"/>
          <w:numId w:val="3"/>
        </w:numPr>
        <w:tabs>
          <w:tab w:pos="1301" w:val="left" w:leader="none"/>
        </w:tabs>
        <w:spacing w:line="240" w:lineRule="auto" w:before="1" w:after="0"/>
        <w:ind w:left="1300" w:right="0" w:hanging="361"/>
        <w:jc w:val="left"/>
        <w:rPr>
          <w:sz w:val="24"/>
        </w:rPr>
      </w:pPr>
      <w:r>
        <w:rPr>
          <w:color w:val="231F20"/>
          <w:sz w:val="24"/>
          <w:u w:val="single" w:color="231F20"/>
        </w:rPr>
        <w:t>Association</w:t>
      </w:r>
      <w:r>
        <w:rPr>
          <w:color w:val="231F20"/>
          <w:sz w:val="24"/>
        </w:rPr>
        <w:t>.</w:t>
      </w:r>
    </w:p>
    <w:p>
      <w:pPr>
        <w:pStyle w:val="BodyText"/>
        <w:spacing w:before="146"/>
        <w:ind w:left="220" w:right="2093" w:firstLine="1079"/>
      </w:pPr>
      <w:r>
        <w:rPr>
          <w:color w:val="231F20"/>
        </w:rPr>
        <w:t>An incorporated association known as The Colony at Edina Condominium Association.</w:t>
      </w:r>
    </w:p>
    <w:p>
      <w:pPr>
        <w:pStyle w:val="BodyText"/>
        <w:spacing w:before="11"/>
        <w:rPr>
          <w:sz w:val="23"/>
        </w:rPr>
      </w:pPr>
    </w:p>
    <w:p>
      <w:pPr>
        <w:pStyle w:val="ListParagraph"/>
        <w:numPr>
          <w:ilvl w:val="2"/>
          <w:numId w:val="3"/>
        </w:numPr>
        <w:tabs>
          <w:tab w:pos="1301" w:val="left" w:leader="none"/>
        </w:tabs>
        <w:spacing w:line="240" w:lineRule="auto" w:before="1" w:after="0"/>
        <w:ind w:left="220" w:right="1294" w:firstLine="719"/>
        <w:jc w:val="left"/>
        <w:rPr>
          <w:sz w:val="24"/>
        </w:rPr>
      </w:pPr>
      <w:r>
        <w:rPr>
          <w:color w:val="231F20"/>
          <w:sz w:val="24"/>
        </w:rPr>
        <w:t>All other terms shall have the meaning assigned by The Act, except as the context otherwise requires.</w:t>
      </w:r>
    </w:p>
    <w:p>
      <w:pPr>
        <w:spacing w:after="0" w:line="240" w:lineRule="auto"/>
        <w:jc w:val="left"/>
        <w:rPr>
          <w:sz w:val="24"/>
        </w:rPr>
        <w:sectPr>
          <w:pgSz w:w="12240" w:h="15840"/>
          <w:pgMar w:header="0" w:footer="868" w:top="1400" w:bottom="1140" w:left="1220" w:right="480"/>
        </w:sectPr>
      </w:pPr>
    </w:p>
    <w:p>
      <w:pPr>
        <w:pStyle w:val="BodyText"/>
        <w:spacing w:before="39"/>
        <w:ind w:left="3477" w:right="4213"/>
        <w:jc w:val="center"/>
      </w:pPr>
      <w:r>
        <w:rPr>
          <w:color w:val="231F20"/>
          <w:u w:val="single" w:color="231F20"/>
        </w:rPr>
        <w:t>ARTICLE II</w:t>
      </w:r>
    </w:p>
    <w:p>
      <w:pPr>
        <w:pStyle w:val="BodyText"/>
        <w:spacing w:before="10"/>
        <w:rPr>
          <w:sz w:val="19"/>
        </w:rPr>
      </w:pPr>
    </w:p>
    <w:p>
      <w:pPr>
        <w:pStyle w:val="BodyText"/>
        <w:spacing w:before="51"/>
        <w:ind w:left="220" w:right="1077" w:firstLine="719"/>
      </w:pPr>
      <w:r>
        <w:rPr>
          <w:color w:val="231F20"/>
        </w:rPr>
        <w:t>The Declarant, in order to establish a plan of condominium ownership for the Property, hereby divides the Property into the following separate estates in fee simple absolute:</w:t>
      </w:r>
    </w:p>
    <w:p>
      <w:pPr>
        <w:pStyle w:val="BodyText"/>
      </w:pPr>
    </w:p>
    <w:p>
      <w:pPr>
        <w:pStyle w:val="ListParagraph"/>
        <w:numPr>
          <w:ilvl w:val="0"/>
          <w:numId w:val="5"/>
        </w:numPr>
        <w:tabs>
          <w:tab w:pos="1302" w:val="left" w:leader="none"/>
        </w:tabs>
        <w:spacing w:line="240" w:lineRule="auto" w:before="0" w:after="0"/>
        <w:ind w:left="1301" w:right="0" w:hanging="362"/>
        <w:jc w:val="left"/>
        <w:rPr>
          <w:sz w:val="24"/>
        </w:rPr>
      </w:pPr>
      <w:r>
        <w:rPr>
          <w:color w:val="231F20"/>
          <w:sz w:val="24"/>
          <w:u w:val="single" w:color="231F20"/>
        </w:rPr>
        <w:t>Apartments</w:t>
      </w:r>
      <w:r>
        <w:rPr>
          <w:color w:val="231F20"/>
          <w:sz w:val="24"/>
        </w:rPr>
        <w:t>.</w:t>
      </w:r>
    </w:p>
    <w:p>
      <w:pPr>
        <w:pStyle w:val="BodyText"/>
        <w:spacing w:before="146"/>
        <w:ind w:left="220" w:right="1038" w:firstLine="1079"/>
      </w:pPr>
      <w:r>
        <w:rPr>
          <w:color w:val="231F20"/>
        </w:rPr>
        <w:t>308 apartments for dwelling purposes separately designated and legally described estates in fee simple absolute, as shown on the Floor Plans for The Colony at Edina Condominium, to be filed in the office of the Registrar of Titles of Hennepin County, Minnesota contemporaneously herewith, which Floor Plans are incorporated herein by reference and made a part hereof, and are hereinafter referred to as Floor Plans.</w:t>
      </w:r>
    </w:p>
    <w:p>
      <w:pPr>
        <w:pStyle w:val="BodyText"/>
        <w:spacing w:before="2"/>
      </w:pPr>
    </w:p>
    <w:p>
      <w:pPr>
        <w:pStyle w:val="BodyText"/>
        <w:ind w:left="220" w:right="968" w:firstLine="1079"/>
      </w:pPr>
      <w:r>
        <w:rPr>
          <w:color w:val="231F20"/>
          <w:u w:val="single" w:color="231F20"/>
        </w:rPr>
        <w:t>Apartment Combinations</w:t>
      </w:r>
      <w:r>
        <w:rPr>
          <w:color w:val="231F20"/>
        </w:rPr>
        <w:t>.  The Owner of adjoining Apartments, after notification and delivery of plans to the Board, and after the Board determines that the implementation of said plan will not adversely affect the structural soundness of the building or the functioning of any</w:t>
      </w:r>
      <w:r>
        <w:rPr>
          <w:color w:val="231F20"/>
          <w:spacing w:val="-3"/>
        </w:rPr>
        <w:t> </w:t>
      </w:r>
      <w:r>
        <w:rPr>
          <w:color w:val="231F20"/>
        </w:rPr>
        <w:t>common</w:t>
      </w:r>
      <w:r>
        <w:rPr>
          <w:color w:val="231F20"/>
          <w:spacing w:val="-2"/>
        </w:rPr>
        <w:t> </w:t>
      </w:r>
      <w:r>
        <w:rPr>
          <w:color w:val="231F20"/>
        </w:rPr>
        <w:t>pipes,</w:t>
      </w:r>
      <w:r>
        <w:rPr>
          <w:color w:val="231F20"/>
          <w:spacing w:val="-5"/>
        </w:rPr>
        <w:t> </w:t>
      </w:r>
      <w:r>
        <w:rPr>
          <w:color w:val="231F20"/>
        </w:rPr>
        <w:t>conduits,</w:t>
      </w:r>
      <w:r>
        <w:rPr>
          <w:color w:val="231F20"/>
          <w:spacing w:val="-2"/>
        </w:rPr>
        <w:t> </w:t>
      </w:r>
      <w:r>
        <w:rPr>
          <w:color w:val="231F20"/>
        </w:rPr>
        <w:t>wiring</w:t>
      </w:r>
      <w:r>
        <w:rPr>
          <w:color w:val="231F20"/>
          <w:spacing w:val="-3"/>
        </w:rPr>
        <w:t> </w:t>
      </w:r>
      <w:r>
        <w:rPr>
          <w:color w:val="231F20"/>
        </w:rPr>
        <w:t>or</w:t>
      </w:r>
      <w:r>
        <w:rPr>
          <w:color w:val="231F20"/>
          <w:spacing w:val="-5"/>
        </w:rPr>
        <w:t> </w:t>
      </w:r>
      <w:r>
        <w:rPr>
          <w:color w:val="231F20"/>
        </w:rPr>
        <w:t>other</w:t>
      </w:r>
      <w:r>
        <w:rPr>
          <w:color w:val="231F20"/>
          <w:spacing w:val="-4"/>
        </w:rPr>
        <w:t> </w:t>
      </w:r>
      <w:r>
        <w:rPr>
          <w:color w:val="231F20"/>
        </w:rPr>
        <w:t>utilities,</w:t>
      </w:r>
      <w:r>
        <w:rPr>
          <w:color w:val="231F20"/>
          <w:spacing w:val="-3"/>
        </w:rPr>
        <w:t> </w:t>
      </w:r>
      <w:r>
        <w:rPr>
          <w:color w:val="231F20"/>
        </w:rPr>
        <w:t>and</w:t>
      </w:r>
      <w:r>
        <w:rPr>
          <w:color w:val="231F20"/>
          <w:spacing w:val="-3"/>
        </w:rPr>
        <w:t> </w:t>
      </w:r>
      <w:r>
        <w:rPr>
          <w:color w:val="231F20"/>
        </w:rPr>
        <w:t>after</w:t>
      </w:r>
      <w:r>
        <w:rPr>
          <w:color w:val="231F20"/>
          <w:spacing w:val="-4"/>
        </w:rPr>
        <w:t> </w:t>
      </w:r>
      <w:r>
        <w:rPr>
          <w:color w:val="231F20"/>
        </w:rPr>
        <w:t>obtaining</w:t>
      </w:r>
      <w:r>
        <w:rPr>
          <w:color w:val="231F20"/>
          <w:spacing w:val="-4"/>
        </w:rPr>
        <w:t> </w:t>
      </w:r>
      <w:r>
        <w:rPr>
          <w:color w:val="231F20"/>
        </w:rPr>
        <w:t>the</w:t>
      </w:r>
      <w:r>
        <w:rPr>
          <w:color w:val="231F20"/>
          <w:spacing w:val="-2"/>
        </w:rPr>
        <w:t> </w:t>
      </w:r>
      <w:r>
        <w:rPr>
          <w:color w:val="231F20"/>
        </w:rPr>
        <w:t>written</w:t>
      </w:r>
      <w:r>
        <w:rPr>
          <w:color w:val="231F20"/>
          <w:spacing w:val="-3"/>
        </w:rPr>
        <w:t> </w:t>
      </w:r>
      <w:r>
        <w:rPr>
          <w:color w:val="231F20"/>
        </w:rPr>
        <w:t>consent</w:t>
      </w:r>
      <w:r>
        <w:rPr>
          <w:color w:val="231F20"/>
          <w:spacing w:val="-3"/>
        </w:rPr>
        <w:t> </w:t>
      </w:r>
      <w:r>
        <w:rPr>
          <w:color w:val="231F20"/>
        </w:rPr>
        <w:t>of holders of all first mortgages then of record against the affected Apartments, may remove, at the Owner's expense, and pursuant to such plans, any ceilings and floors or nonload-bearing partition walls between the owned Apartments for the purpose of using the Apartments together as an integrated whole, and may also make such modifications and alterations inside the owned Apartments, and to installations therein, or may restore any such removed ceilings, floors or walls, all as shown on said</w:t>
      </w:r>
      <w:r>
        <w:rPr>
          <w:color w:val="231F20"/>
          <w:spacing w:val="-4"/>
        </w:rPr>
        <w:t> </w:t>
      </w:r>
      <w:r>
        <w:rPr>
          <w:color w:val="231F20"/>
        </w:rPr>
        <w:t>plans.</w:t>
      </w:r>
    </w:p>
    <w:p>
      <w:pPr>
        <w:pStyle w:val="BodyText"/>
      </w:pPr>
    </w:p>
    <w:p>
      <w:pPr>
        <w:pStyle w:val="BodyText"/>
        <w:spacing w:before="1"/>
        <w:ind w:left="220" w:right="950" w:firstLine="1079"/>
      </w:pPr>
      <w:r>
        <w:rPr>
          <w:color w:val="231F20"/>
        </w:rPr>
        <w:t>Failure of the Board to make such determination or to object to such plans within 30 days of delivery of a copy thereof to the Board shall be deemed to constitute such determination.</w:t>
      </w:r>
    </w:p>
    <w:p>
      <w:pPr>
        <w:pStyle w:val="BodyText"/>
        <w:spacing w:before="11"/>
        <w:rPr>
          <w:sz w:val="23"/>
        </w:rPr>
      </w:pPr>
    </w:p>
    <w:p>
      <w:pPr>
        <w:pStyle w:val="BodyText"/>
        <w:ind w:left="220" w:right="950" w:firstLine="1079"/>
      </w:pPr>
      <w:r>
        <w:rPr>
          <w:color w:val="231F20"/>
        </w:rPr>
        <w:t>No such physical alterations, removals, or restorations shall affect the separate legal status of each such apartment established by this Declaration or the percentage of undivided interest in the common areas, profits, and expenses allocated to each hereby.</w:t>
      </w:r>
    </w:p>
    <w:p>
      <w:pPr>
        <w:pStyle w:val="BodyText"/>
      </w:pPr>
    </w:p>
    <w:p>
      <w:pPr>
        <w:pStyle w:val="ListParagraph"/>
        <w:numPr>
          <w:ilvl w:val="0"/>
          <w:numId w:val="5"/>
        </w:numPr>
        <w:tabs>
          <w:tab w:pos="1302" w:val="left" w:leader="none"/>
        </w:tabs>
        <w:spacing w:line="240" w:lineRule="auto" w:before="0" w:after="0"/>
        <w:ind w:left="1301" w:right="0" w:hanging="362"/>
        <w:jc w:val="left"/>
        <w:rPr>
          <w:sz w:val="24"/>
        </w:rPr>
      </w:pPr>
      <w:r>
        <w:rPr>
          <w:color w:val="231F20"/>
          <w:sz w:val="24"/>
          <w:u w:val="single" w:color="231F20"/>
        </w:rPr>
        <w:t>Common Areas</w:t>
      </w:r>
      <w:r>
        <w:rPr>
          <w:color w:val="231F20"/>
          <w:sz w:val="24"/>
        </w:rPr>
        <w:t>.</w:t>
      </w:r>
    </w:p>
    <w:p>
      <w:pPr>
        <w:pStyle w:val="BodyText"/>
        <w:spacing w:before="146"/>
        <w:ind w:left="220" w:right="969" w:firstLine="1079"/>
      </w:pPr>
      <w:r>
        <w:rPr>
          <w:color w:val="231F20"/>
        </w:rPr>
        <w:t>The remaining portion of the Property is described and referred to herein as the common areas and facilities or the common areas, which include but are not limited to: laundry rooms, utility rooms, storage areas, hallways, stairs, garages as shown in the Floor Plans, pool area and facilities, Association office/maintenance/recreation/guest room building, all the structural components, conduits, pipes, ducts, wires, utility lines and other conduits for matter and energy which are utilized for or service more than one apartment or the common areas, as well as all personal property owned by the Association intended for use in such common areas.</w:t>
      </w:r>
    </w:p>
    <w:p>
      <w:pPr>
        <w:spacing w:after="0"/>
        <w:sectPr>
          <w:pgSz w:w="12240" w:h="15840"/>
          <w:pgMar w:header="0" w:footer="868" w:top="1400" w:bottom="1140" w:left="1220" w:right="480"/>
        </w:sectPr>
      </w:pPr>
    </w:p>
    <w:p>
      <w:pPr>
        <w:pStyle w:val="BodyText"/>
        <w:spacing w:before="39"/>
        <w:ind w:left="220" w:right="1003" w:firstLine="1079"/>
      </w:pPr>
      <w:r>
        <w:rPr>
          <w:color w:val="231F20"/>
        </w:rPr>
        <w:t>The Common Areas and Facilities shall not include, however, any areas within partition walls or floors which are removed for the purpose of making those areas a part of two or more adjoining Apartments used together as an integrated whole, so long as such wall or floor areas are used as part of such integrated Apartments, and, as long as so used, such areas shall be a part of the integrated Apartments.</w:t>
      </w:r>
    </w:p>
    <w:p>
      <w:pPr>
        <w:pStyle w:val="BodyText"/>
        <w:spacing w:before="12"/>
        <w:rPr>
          <w:sz w:val="23"/>
        </w:rPr>
      </w:pPr>
    </w:p>
    <w:p>
      <w:pPr>
        <w:pStyle w:val="BodyText"/>
        <w:ind w:left="220" w:right="901" w:firstLine="1079"/>
      </w:pPr>
      <w:r>
        <w:rPr>
          <w:color w:val="231F20"/>
        </w:rPr>
        <w:t>The ownership of each apartment shall include a respective undivided interest in the common areas and facilities as is specified and established in Exhibit A attached hereto and made a part hereof by reference. The undivided interest in the common areas and facilities appertaining to each apartment hereby established cannot be changed, except as provided by the Act, and the undivided interest in the common areas and facilities and the fee title to the respective apartments conveyed therewith shall not be separated or separately conveyed and each said undivided interest shall be deemed to be conveyed or encumbered with its respective apartment even though the description in the instrument of conveyance or encumbrance may refer only to the fee title to the apartment.</w:t>
      </w:r>
    </w:p>
    <w:p>
      <w:pPr>
        <w:pStyle w:val="BodyText"/>
        <w:spacing w:before="1"/>
      </w:pPr>
    </w:p>
    <w:p>
      <w:pPr>
        <w:pStyle w:val="ListParagraph"/>
        <w:numPr>
          <w:ilvl w:val="0"/>
          <w:numId w:val="5"/>
        </w:numPr>
        <w:tabs>
          <w:tab w:pos="1302" w:val="left" w:leader="none"/>
        </w:tabs>
        <w:spacing w:line="240" w:lineRule="auto" w:before="0" w:after="0"/>
        <w:ind w:left="1301" w:right="0" w:hanging="362"/>
        <w:jc w:val="left"/>
        <w:rPr>
          <w:sz w:val="24"/>
        </w:rPr>
      </w:pPr>
      <w:r>
        <w:rPr>
          <w:color w:val="231F20"/>
          <w:sz w:val="24"/>
          <w:u w:val="single" w:color="231F20"/>
        </w:rPr>
        <w:t>Limited Common</w:t>
      </w:r>
      <w:r>
        <w:rPr>
          <w:color w:val="231F20"/>
          <w:spacing w:val="-1"/>
          <w:sz w:val="24"/>
          <w:u w:val="single" w:color="231F20"/>
        </w:rPr>
        <w:t> </w:t>
      </w:r>
      <w:r>
        <w:rPr>
          <w:color w:val="231F20"/>
          <w:sz w:val="24"/>
          <w:u w:val="single" w:color="231F20"/>
        </w:rPr>
        <w:t>Areas</w:t>
      </w:r>
      <w:r>
        <w:rPr>
          <w:color w:val="231F20"/>
          <w:sz w:val="24"/>
        </w:rPr>
        <w:t>.</w:t>
      </w:r>
    </w:p>
    <w:p>
      <w:pPr>
        <w:pStyle w:val="BodyText"/>
        <w:spacing w:before="146"/>
        <w:ind w:left="220" w:right="950" w:firstLine="1079"/>
      </w:pPr>
      <w:r>
        <w:rPr>
          <w:color w:val="231F20"/>
        </w:rPr>
        <w:t>The following portions of the common areas and facilities herein referred to as "limited common areas", are hereby allocated for use only by holders of an interest and their respective family members, guests, and lessees of particular apartments:</w:t>
      </w:r>
    </w:p>
    <w:p>
      <w:pPr>
        <w:pStyle w:val="BodyText"/>
        <w:spacing w:before="2"/>
      </w:pPr>
    </w:p>
    <w:p>
      <w:pPr>
        <w:pStyle w:val="BodyText"/>
        <w:ind w:left="1300" w:right="6329"/>
      </w:pPr>
      <w:r>
        <w:rPr>
          <w:color w:val="231F20"/>
        </w:rPr>
        <w:t>Balconies and patios adjacent to apartments, and garages</w:t>
      </w:r>
    </w:p>
    <w:p>
      <w:pPr>
        <w:pStyle w:val="BodyText"/>
        <w:ind w:left="1300" w:right="6051"/>
      </w:pPr>
      <w:r>
        <w:rPr>
          <w:color w:val="231F20"/>
        </w:rPr>
        <w:t>identified by Apartment number as shown on the Floor Plans.</w:t>
      </w:r>
    </w:p>
    <w:p>
      <w:pPr>
        <w:pStyle w:val="BodyText"/>
        <w:spacing w:before="12"/>
        <w:rPr>
          <w:sz w:val="23"/>
        </w:rPr>
      </w:pPr>
    </w:p>
    <w:p>
      <w:pPr>
        <w:pStyle w:val="BodyText"/>
        <w:ind w:left="220" w:right="950"/>
      </w:pPr>
      <w:r>
        <w:rPr>
          <w:color w:val="231F20"/>
        </w:rPr>
        <w:t>Limited common areas do not include garages identified as X 1 through X 10 on the Floor Plans, which shall constitute common areas, exclusive licenses to use each being assignable by the Board.</w:t>
      </w:r>
    </w:p>
    <w:p>
      <w:pPr>
        <w:pStyle w:val="BodyText"/>
        <w:spacing w:line="293" w:lineRule="exact"/>
        <w:ind w:left="3474" w:right="4213"/>
        <w:jc w:val="center"/>
      </w:pPr>
      <w:r>
        <w:rPr>
          <w:color w:val="231F20"/>
          <w:u w:val="single" w:color="231F20"/>
        </w:rPr>
        <w:t>ARTICLE III</w:t>
      </w:r>
    </w:p>
    <w:p>
      <w:pPr>
        <w:pStyle w:val="ListParagraph"/>
        <w:numPr>
          <w:ilvl w:val="0"/>
          <w:numId w:val="6"/>
        </w:numPr>
        <w:tabs>
          <w:tab w:pos="1301" w:val="left" w:leader="none"/>
        </w:tabs>
        <w:spacing w:line="240" w:lineRule="auto" w:before="146" w:after="0"/>
        <w:ind w:left="220" w:right="1116" w:firstLine="719"/>
        <w:jc w:val="left"/>
        <w:rPr>
          <w:sz w:val="24"/>
        </w:rPr>
      </w:pPr>
      <w:r>
        <w:rPr>
          <w:color w:val="231F20"/>
          <w:sz w:val="24"/>
        </w:rPr>
        <w:t>The description of the land on which the buildings and improvements are located</w:t>
      </w:r>
      <w:r>
        <w:rPr>
          <w:color w:val="231F20"/>
          <w:spacing w:val="-30"/>
          <w:sz w:val="24"/>
        </w:rPr>
        <w:t> </w:t>
      </w:r>
      <w:r>
        <w:rPr>
          <w:color w:val="231F20"/>
          <w:sz w:val="24"/>
        </w:rPr>
        <w:t>is as set forth</w:t>
      </w:r>
      <w:r>
        <w:rPr>
          <w:color w:val="231F20"/>
          <w:spacing w:val="-3"/>
          <w:sz w:val="24"/>
        </w:rPr>
        <w:t> </w:t>
      </w:r>
      <w:r>
        <w:rPr>
          <w:color w:val="231F20"/>
          <w:sz w:val="24"/>
        </w:rPr>
        <w:t>above.</w:t>
      </w:r>
    </w:p>
    <w:p>
      <w:pPr>
        <w:pStyle w:val="BodyText"/>
        <w:spacing w:before="11"/>
        <w:rPr>
          <w:sz w:val="23"/>
        </w:rPr>
      </w:pPr>
    </w:p>
    <w:p>
      <w:pPr>
        <w:pStyle w:val="ListParagraph"/>
        <w:numPr>
          <w:ilvl w:val="0"/>
          <w:numId w:val="6"/>
        </w:numPr>
        <w:tabs>
          <w:tab w:pos="1301" w:val="left" w:leader="none"/>
        </w:tabs>
        <w:spacing w:line="240" w:lineRule="auto" w:before="1" w:after="0"/>
        <w:ind w:left="220" w:right="1013" w:firstLine="719"/>
        <w:jc w:val="left"/>
        <w:rPr>
          <w:sz w:val="24"/>
        </w:rPr>
      </w:pPr>
      <w:r>
        <w:rPr>
          <w:color w:val="231F20"/>
          <w:sz w:val="24"/>
        </w:rPr>
        <w:t>There are Fourteen (14) Two (2) Story Buildings (Townhouse Buildings) containing Six (6) or Eight (8) Townhouse apartments for a total of One Hundred (100) units, Two (2)</w:t>
      </w:r>
      <w:r>
        <w:rPr>
          <w:color w:val="231F20"/>
          <w:spacing w:val="-33"/>
          <w:sz w:val="24"/>
        </w:rPr>
        <w:t> </w:t>
      </w:r>
      <w:r>
        <w:rPr>
          <w:color w:val="231F20"/>
          <w:sz w:val="24"/>
        </w:rPr>
        <w:t>Three</w:t>
      </w:r>
    </w:p>
    <w:p>
      <w:pPr>
        <w:pStyle w:val="ListParagraph"/>
        <w:numPr>
          <w:ilvl w:val="0"/>
          <w:numId w:val="7"/>
        </w:numPr>
        <w:tabs>
          <w:tab w:pos="543" w:val="left" w:leader="none"/>
        </w:tabs>
        <w:spacing w:line="240" w:lineRule="auto" w:before="2" w:after="0"/>
        <w:ind w:left="220" w:right="968" w:firstLine="0"/>
        <w:jc w:val="left"/>
        <w:rPr>
          <w:sz w:val="24"/>
        </w:rPr>
      </w:pPr>
      <w:r>
        <w:rPr>
          <w:color w:val="231F20"/>
          <w:sz w:val="24"/>
        </w:rPr>
        <w:t>Story Buildings (Gallery Buildings) containing Twelve (12) one-level apartments on each floor for a total of Seventy-Two (72) units and Seven:teen (17) Two (2) Story Buildings (Cluster Buildings) containing Four (4) one-level apartments on each floor for a total of One Hundred Thirty-Six (136) units for a grand total of Three Hundred Eight (308) units; numerous garage buildings which are located in the proximity of the units which they service; one outside swimming pool; one outside wading pool; one pool facilities building; and an office/maintenance/recreation/guest room building adjacent to the pool area. These buildings contain no basements except the office/maintenance/recreation/guest room</w:t>
      </w:r>
      <w:r>
        <w:rPr>
          <w:color w:val="231F20"/>
          <w:spacing w:val="-12"/>
          <w:sz w:val="24"/>
        </w:rPr>
        <w:t> </w:t>
      </w:r>
      <w:r>
        <w:rPr>
          <w:color w:val="231F20"/>
          <w:sz w:val="24"/>
        </w:rPr>
        <w:t>building.</w:t>
      </w:r>
    </w:p>
    <w:p>
      <w:pPr>
        <w:spacing w:after="0" w:line="240" w:lineRule="auto"/>
        <w:jc w:val="left"/>
        <w:rPr>
          <w:sz w:val="24"/>
        </w:rPr>
        <w:sectPr>
          <w:pgSz w:w="12240" w:h="15840"/>
          <w:pgMar w:header="0" w:footer="868" w:top="1400" w:bottom="1140" w:left="1220" w:right="480"/>
        </w:sectPr>
      </w:pPr>
    </w:p>
    <w:p>
      <w:pPr>
        <w:pStyle w:val="BodyText"/>
        <w:spacing w:before="39"/>
        <w:ind w:left="220" w:right="950" w:firstLine="1079"/>
      </w:pPr>
      <w:r>
        <w:rPr>
          <w:color w:val="231F20"/>
        </w:rPr>
        <w:t>The apartment buildings are principally of frame construction, each unit having its own central heating and air conditioning system.</w:t>
      </w:r>
    </w:p>
    <w:p>
      <w:pPr>
        <w:pStyle w:val="BodyText"/>
      </w:pPr>
    </w:p>
    <w:p>
      <w:pPr>
        <w:pStyle w:val="ListParagraph"/>
        <w:numPr>
          <w:ilvl w:val="0"/>
          <w:numId w:val="6"/>
        </w:numPr>
        <w:tabs>
          <w:tab w:pos="1301" w:val="left" w:leader="none"/>
        </w:tabs>
        <w:spacing w:line="240" w:lineRule="auto" w:before="0" w:after="0"/>
        <w:ind w:left="220" w:right="1017" w:firstLine="719"/>
        <w:jc w:val="left"/>
        <w:rPr>
          <w:sz w:val="24"/>
        </w:rPr>
      </w:pPr>
      <w:r>
        <w:rPr>
          <w:color w:val="231F20"/>
          <w:sz w:val="24"/>
        </w:rPr>
        <w:t>The apartment number of each apartment, and a description of its location, approximate area, number of rooms, declared value and percentage of undivided interest in the common areas and facilities and of the value of the property, and immediate common area to which it has access are set forth in Exhibit A and on the Floor Plans. The apartment values</w:t>
      </w:r>
      <w:r>
        <w:rPr>
          <w:color w:val="231F20"/>
          <w:spacing w:val="-32"/>
          <w:sz w:val="24"/>
        </w:rPr>
        <w:t> </w:t>
      </w:r>
      <w:r>
        <w:rPr>
          <w:color w:val="231F20"/>
          <w:sz w:val="24"/>
        </w:rPr>
        <w:t>as stated therein may not necessarily be the same as the original sale price of a particular apartment.</w:t>
      </w:r>
    </w:p>
    <w:p>
      <w:pPr>
        <w:pStyle w:val="BodyText"/>
        <w:spacing w:before="1"/>
      </w:pPr>
    </w:p>
    <w:p>
      <w:pPr>
        <w:pStyle w:val="ListParagraph"/>
        <w:numPr>
          <w:ilvl w:val="0"/>
          <w:numId w:val="6"/>
        </w:numPr>
        <w:tabs>
          <w:tab w:pos="1301" w:val="left" w:leader="none"/>
        </w:tabs>
        <w:spacing w:line="240" w:lineRule="auto" w:before="0" w:after="0"/>
        <w:ind w:left="220" w:right="1008" w:firstLine="719"/>
        <w:jc w:val="left"/>
        <w:rPr>
          <w:sz w:val="24"/>
        </w:rPr>
      </w:pPr>
      <w:r>
        <w:rPr>
          <w:color w:val="231F20"/>
          <w:sz w:val="24"/>
        </w:rPr>
        <w:t>The purposes for which the buildings and each apartment are intended and restricted for use are as follows: the buildings shall be used for private residential dwellings or garages and for no other purposes, and apartments shall be occupied and used only by owners, their families, tenants and social guests. The Association may designate a portion of the common area for management and service purposes and may own one or more apartments for management and service purposes, for use by its employees or for other purposes for the benefit of the</w:t>
      </w:r>
      <w:r>
        <w:rPr>
          <w:color w:val="231F20"/>
          <w:spacing w:val="-2"/>
          <w:sz w:val="24"/>
        </w:rPr>
        <w:t> </w:t>
      </w:r>
      <w:r>
        <w:rPr>
          <w:color w:val="231F20"/>
          <w:sz w:val="24"/>
        </w:rPr>
        <w:t>Association.</w:t>
      </w:r>
    </w:p>
    <w:p>
      <w:pPr>
        <w:pStyle w:val="BodyText"/>
        <w:spacing w:before="12"/>
        <w:rPr>
          <w:sz w:val="23"/>
        </w:rPr>
      </w:pPr>
    </w:p>
    <w:p>
      <w:pPr>
        <w:pStyle w:val="BodyText"/>
        <w:ind w:left="220" w:right="901" w:firstLine="1079"/>
      </w:pPr>
      <w:r>
        <w:rPr>
          <w:color w:val="231F20"/>
        </w:rPr>
        <w:t>The Declarant, however, is irrevocably empowered to sell, lease or rent Apartments to any persons approved by it, including any Apartments reacquired by the Declarant. Said Declarant or its successors or assigns shall have the right to transact on the Condominium any business necessary to consummate sales of Apartments, including but not limited to the right to maintain models, post signs, maintain employees in a sales office, which may include the party room building, use the Common Areas and Facilities and show Apartments. For so long as the Declarant owns any Apartments, neither the Apartment Owners nor the Association nor their use of the Condominium shall interfere with the Declarant's disposition of the Apartments.</w:t>
      </w:r>
    </w:p>
    <w:p>
      <w:pPr>
        <w:pStyle w:val="BodyText"/>
        <w:spacing w:before="1"/>
        <w:ind w:left="220" w:right="991"/>
      </w:pPr>
      <w:r>
        <w:rPr>
          <w:color w:val="231F20"/>
        </w:rPr>
        <w:t>Sales office equipment and furnishings, signs and all items pertaining to sales shall not be considered Common Areas and Facilities, and shall remain the property of the Declarant. In the event that there are unsold Apartments, the Declarant retains the right to be the Owner thereof, under the same terms and conditions as other Owners save for this right to sell, lease or rent, as contained in this paragraph.</w:t>
      </w:r>
    </w:p>
    <w:p>
      <w:pPr>
        <w:pStyle w:val="BodyText"/>
        <w:spacing w:before="11"/>
        <w:rPr>
          <w:sz w:val="23"/>
        </w:rPr>
      </w:pPr>
    </w:p>
    <w:p>
      <w:pPr>
        <w:pStyle w:val="ListParagraph"/>
        <w:numPr>
          <w:ilvl w:val="0"/>
          <w:numId w:val="6"/>
        </w:numPr>
        <w:tabs>
          <w:tab w:pos="1301" w:val="left" w:leader="none"/>
        </w:tabs>
        <w:spacing w:line="240" w:lineRule="auto" w:before="0" w:after="0"/>
        <w:ind w:left="220" w:right="1087" w:firstLine="719"/>
        <w:jc w:val="left"/>
        <w:rPr>
          <w:sz w:val="24"/>
        </w:rPr>
      </w:pPr>
      <w:r>
        <w:rPr>
          <w:color w:val="231F20"/>
          <w:sz w:val="24"/>
        </w:rPr>
        <w:t>The person to receive service of process is Allen C. Glorvigen, Home Federal</w:t>
      </w:r>
      <w:r>
        <w:rPr>
          <w:color w:val="231F20"/>
          <w:spacing w:val="-33"/>
          <w:sz w:val="24"/>
        </w:rPr>
        <w:t> </w:t>
      </w:r>
      <w:r>
        <w:rPr>
          <w:color w:val="231F20"/>
          <w:sz w:val="24"/>
        </w:rPr>
        <w:t>Savings and Loan Association of Minneapolis, 730 Marquette Avenue, Minneapolis, Minnesota 55402, or other persons as may be designated by the Board of Directors of the Association and filed</w:t>
      </w:r>
      <w:r>
        <w:rPr>
          <w:color w:val="231F20"/>
          <w:spacing w:val="-33"/>
          <w:sz w:val="24"/>
        </w:rPr>
        <w:t> </w:t>
      </w:r>
      <w:r>
        <w:rPr>
          <w:color w:val="231F20"/>
          <w:sz w:val="24"/>
        </w:rPr>
        <w:t>in the office of the Registrar of Titles, Hennepin County,</w:t>
      </w:r>
      <w:r>
        <w:rPr>
          <w:color w:val="231F20"/>
          <w:spacing w:val="-6"/>
          <w:sz w:val="24"/>
        </w:rPr>
        <w:t> </w:t>
      </w:r>
      <w:r>
        <w:rPr>
          <w:color w:val="231F20"/>
          <w:sz w:val="24"/>
        </w:rPr>
        <w:t>Minnesota.</w:t>
      </w:r>
    </w:p>
    <w:p>
      <w:pPr>
        <w:pStyle w:val="BodyText"/>
        <w:spacing w:before="2"/>
      </w:pPr>
    </w:p>
    <w:p>
      <w:pPr>
        <w:pStyle w:val="ListParagraph"/>
        <w:numPr>
          <w:ilvl w:val="0"/>
          <w:numId w:val="6"/>
        </w:numPr>
        <w:tabs>
          <w:tab w:pos="1301" w:val="left" w:leader="none"/>
        </w:tabs>
        <w:spacing w:line="240" w:lineRule="auto" w:before="1" w:after="0"/>
        <w:ind w:left="220" w:right="1178" w:firstLine="719"/>
        <w:jc w:val="left"/>
        <w:rPr>
          <w:sz w:val="24"/>
        </w:rPr>
      </w:pPr>
      <w:r>
        <w:rPr>
          <w:color w:val="231F20"/>
          <w:sz w:val="24"/>
        </w:rPr>
        <w:t>This Declaration may be amended by consent of the holders of 75% of the votes as defined in the attached By-Laws, which consent must be in writing, provided that such amendment shall not be effective unless at least seventy-five percent (75%) of the first mortgages of the apartments or their assigns (based upon one</w:t>
      </w:r>
      <w:r>
        <w:rPr>
          <w:color w:val="231F20"/>
          <w:spacing w:val="-11"/>
          <w:sz w:val="24"/>
        </w:rPr>
        <w:t> </w:t>
      </w:r>
      <w:r>
        <w:rPr>
          <w:color w:val="231F20"/>
          <w:sz w:val="24"/>
        </w:rPr>
        <w:t>vote</w:t>
      </w:r>
    </w:p>
    <w:p>
      <w:pPr>
        <w:spacing w:after="0" w:line="240" w:lineRule="auto"/>
        <w:jc w:val="left"/>
        <w:rPr>
          <w:sz w:val="24"/>
        </w:rPr>
        <w:sectPr>
          <w:pgSz w:w="12240" w:h="15840"/>
          <w:pgMar w:header="0" w:footer="868" w:top="1400" w:bottom="1140" w:left="1220" w:right="480"/>
        </w:sectPr>
      </w:pPr>
    </w:p>
    <w:p>
      <w:pPr>
        <w:pStyle w:val="BodyText"/>
        <w:spacing w:before="39"/>
        <w:ind w:left="220" w:right="1073"/>
      </w:pPr>
      <w:r>
        <w:rPr>
          <w:color w:val="231F20"/>
        </w:rPr>
        <w:t>for each first mortgage owned), and owners (other than any sponsor, developer or builder including the Declarant) of the individual apartments based upon the percentage of ownership in the common areas and facilities as set forth in Exhibit A, and Declarant, so long as Declarant is an apartment owner, have given their prior written approval. The percentage of undivided interests assigned to each apartment in the common areas and facilities shall not be altered without the consent of all owners and all mortgagees of record.</w:t>
      </w:r>
    </w:p>
    <w:p>
      <w:pPr>
        <w:pStyle w:val="BodyText"/>
        <w:spacing w:before="11"/>
        <w:rPr>
          <w:sz w:val="23"/>
        </w:rPr>
      </w:pPr>
    </w:p>
    <w:p>
      <w:pPr>
        <w:pStyle w:val="BodyText"/>
        <w:spacing w:before="1"/>
        <w:ind w:left="4377"/>
      </w:pPr>
      <w:r>
        <w:rPr>
          <w:color w:val="231F20"/>
          <w:u w:val="single" w:color="231F20"/>
        </w:rPr>
        <w:t>ARTICLE</w:t>
      </w:r>
      <w:r>
        <w:rPr>
          <w:color w:val="231F20"/>
          <w:spacing w:val="-1"/>
          <w:u w:val="single" w:color="231F20"/>
        </w:rPr>
        <w:t> </w:t>
      </w:r>
      <w:r>
        <w:rPr>
          <w:color w:val="231F20"/>
          <w:u w:val="single" w:color="231F20"/>
        </w:rPr>
        <w:t>IV</w:t>
      </w:r>
    </w:p>
    <w:p>
      <w:pPr>
        <w:pStyle w:val="BodyText"/>
        <w:spacing w:before="148"/>
        <w:ind w:left="4387"/>
      </w:pPr>
      <w:r>
        <w:rPr>
          <w:color w:val="231F20"/>
          <w:u w:val="single" w:color="231F20"/>
        </w:rPr>
        <w:t>Covenants</w:t>
      </w:r>
    </w:p>
    <w:p>
      <w:pPr>
        <w:pStyle w:val="BodyText"/>
        <w:spacing w:before="146"/>
        <w:ind w:left="220" w:right="1342" w:firstLine="719"/>
      </w:pPr>
      <w:r>
        <w:rPr>
          <w:color w:val="231F20"/>
        </w:rPr>
        <w:t>Declarant, its successors and assigns, by this Declaration, and all future holders of an interests, by their acceptance of their interest, covenant and agrees as follows:</w:t>
      </w:r>
    </w:p>
    <w:p>
      <w:pPr>
        <w:pStyle w:val="BodyText"/>
      </w:pPr>
    </w:p>
    <w:p>
      <w:pPr>
        <w:pStyle w:val="ListParagraph"/>
        <w:numPr>
          <w:ilvl w:val="0"/>
          <w:numId w:val="8"/>
        </w:numPr>
        <w:tabs>
          <w:tab w:pos="1302" w:val="left" w:leader="none"/>
        </w:tabs>
        <w:spacing w:line="240" w:lineRule="auto" w:before="1" w:after="0"/>
        <w:ind w:left="1301" w:right="0" w:hanging="362"/>
        <w:jc w:val="left"/>
        <w:rPr>
          <w:sz w:val="24"/>
        </w:rPr>
      </w:pPr>
      <w:r>
        <w:rPr>
          <w:color w:val="231F20"/>
          <w:sz w:val="24"/>
          <w:u w:val="single" w:color="231F20"/>
        </w:rPr>
        <w:t>Encroachments</w:t>
      </w:r>
      <w:r>
        <w:rPr>
          <w:color w:val="231F20"/>
          <w:sz w:val="24"/>
        </w:rPr>
        <w:t>.</w:t>
      </w:r>
    </w:p>
    <w:p>
      <w:pPr>
        <w:pStyle w:val="BodyText"/>
        <w:spacing w:before="146"/>
        <w:ind w:left="220" w:right="933" w:firstLine="1079"/>
      </w:pPr>
      <w:r>
        <w:rPr>
          <w:color w:val="231F20"/>
        </w:rPr>
        <w:t>If in fact there is a minor encroachment of the common areas and facilities upon an apartment, an appurtenant easement for the encroachment and for the maintenance thereof, so long as it remains, shall and does exist. If in fact there is a minor encroachment of an apartment or limited common area appurtenant to an apartment upon the common areas and facilities or upon an adjoining apartment or apartments, an appurtenant easement for the encroachment and for the maintenance thereof, so long as it remains, shall and does exist. In the event the improvements are partially or totally destroyed, and then restored, the holders of an interest shall permit minor encroachment of parts of the common areas and facilities and of the other apartments upon their respective apartments and of an apartment on the common areas and facilities and appurtenant easements for said encroachments and the maintenance thereof shall exist.</w:t>
      </w:r>
    </w:p>
    <w:p>
      <w:pPr>
        <w:pStyle w:val="BodyText"/>
      </w:pPr>
    </w:p>
    <w:p>
      <w:pPr>
        <w:pStyle w:val="BodyText"/>
        <w:spacing w:before="1"/>
        <w:ind w:left="1300"/>
      </w:pPr>
      <w:r>
        <w:rPr>
          <w:color w:val="231F20"/>
        </w:rPr>
        <w:t>Such encroachments and easements shall not affect marketability of title.</w:t>
      </w:r>
    </w:p>
    <w:p>
      <w:pPr>
        <w:pStyle w:val="BodyText"/>
        <w:spacing w:before="11"/>
        <w:rPr>
          <w:sz w:val="23"/>
        </w:rPr>
      </w:pPr>
    </w:p>
    <w:p>
      <w:pPr>
        <w:pStyle w:val="ListParagraph"/>
        <w:numPr>
          <w:ilvl w:val="0"/>
          <w:numId w:val="8"/>
        </w:numPr>
        <w:tabs>
          <w:tab w:pos="1301" w:val="left" w:leader="none"/>
        </w:tabs>
        <w:spacing w:line="240" w:lineRule="auto" w:before="0" w:after="0"/>
        <w:ind w:left="1300" w:right="0" w:hanging="361"/>
        <w:jc w:val="left"/>
        <w:rPr>
          <w:sz w:val="24"/>
        </w:rPr>
      </w:pPr>
      <w:r>
        <w:rPr>
          <w:color w:val="231F20"/>
          <w:sz w:val="24"/>
          <w:u w:val="single" w:color="231F20"/>
        </w:rPr>
        <w:t>Easements</w:t>
      </w:r>
      <w:r>
        <w:rPr>
          <w:color w:val="231F20"/>
          <w:sz w:val="24"/>
        </w:rPr>
        <w:t>.</w:t>
      </w:r>
    </w:p>
    <w:p>
      <w:pPr>
        <w:pStyle w:val="BodyText"/>
        <w:spacing w:before="147"/>
        <w:ind w:left="220" w:right="1141" w:firstLine="1079"/>
      </w:pPr>
      <w:r>
        <w:rPr>
          <w:color w:val="231F20"/>
        </w:rPr>
        <w:t>Each apartment is subject to and includes an appurtenant easement through other apartments and common areas for maintenance and repair of the apartments, common areas and facilities, and utilities. Access to the apartments shall be limited to reasonable hours, except that access may be had at any time in case of emergency.</w:t>
      </w:r>
    </w:p>
    <w:p>
      <w:pPr>
        <w:pStyle w:val="BodyText"/>
        <w:spacing w:before="11"/>
        <w:rPr>
          <w:sz w:val="23"/>
        </w:rPr>
      </w:pPr>
    </w:p>
    <w:p>
      <w:pPr>
        <w:pStyle w:val="ListParagraph"/>
        <w:numPr>
          <w:ilvl w:val="0"/>
          <w:numId w:val="8"/>
        </w:numPr>
        <w:tabs>
          <w:tab w:pos="1301" w:val="left" w:leader="none"/>
        </w:tabs>
        <w:spacing w:line="240" w:lineRule="auto" w:before="0" w:after="0"/>
        <w:ind w:left="1300" w:right="0" w:hanging="361"/>
        <w:jc w:val="left"/>
        <w:rPr>
          <w:sz w:val="24"/>
        </w:rPr>
      </w:pPr>
      <w:r>
        <w:rPr>
          <w:color w:val="231F20"/>
          <w:sz w:val="24"/>
          <w:u w:val="single" w:color="231F20"/>
        </w:rPr>
        <w:t>Membership in the Colony at Edina Condominium</w:t>
      </w:r>
      <w:r>
        <w:rPr>
          <w:color w:val="231F20"/>
          <w:spacing w:val="-2"/>
          <w:sz w:val="24"/>
          <w:u w:val="single" w:color="231F20"/>
        </w:rPr>
        <w:t> </w:t>
      </w:r>
      <w:r>
        <w:rPr>
          <w:color w:val="231F20"/>
          <w:sz w:val="24"/>
          <w:u w:val="single" w:color="231F20"/>
        </w:rPr>
        <w:t>Association</w:t>
      </w:r>
      <w:r>
        <w:rPr>
          <w:color w:val="231F20"/>
          <w:sz w:val="24"/>
        </w:rPr>
        <w:t>.</w:t>
      </w:r>
    </w:p>
    <w:p>
      <w:pPr>
        <w:pStyle w:val="BodyText"/>
        <w:spacing w:before="149"/>
        <w:ind w:left="220" w:right="996" w:firstLine="1079"/>
      </w:pPr>
      <w:r>
        <w:rPr>
          <w:color w:val="231F20"/>
        </w:rPr>
        <w:t>An owner of an apartment shall by virtue of such interest be a member of The Colony at Edina Condominium Association, herein referred to as the Association. When one or more persons hold an interest in an apartment, all such persons shall be members, subject to provisions set forth hereinafter and in the By-Laws.</w:t>
      </w:r>
    </w:p>
    <w:p>
      <w:pPr>
        <w:spacing w:after="0"/>
        <w:sectPr>
          <w:pgSz w:w="12240" w:h="15840"/>
          <w:pgMar w:header="0" w:footer="868" w:top="1400" w:bottom="1140" w:left="1220" w:right="480"/>
        </w:sectPr>
      </w:pPr>
    </w:p>
    <w:p>
      <w:pPr>
        <w:pStyle w:val="ListParagraph"/>
        <w:numPr>
          <w:ilvl w:val="0"/>
          <w:numId w:val="8"/>
        </w:numPr>
        <w:tabs>
          <w:tab w:pos="1301" w:val="left" w:leader="none"/>
        </w:tabs>
        <w:spacing w:line="240" w:lineRule="auto" w:before="39" w:after="0"/>
        <w:ind w:left="1300" w:right="0" w:hanging="361"/>
        <w:jc w:val="left"/>
        <w:rPr>
          <w:sz w:val="24"/>
        </w:rPr>
      </w:pPr>
      <w:r>
        <w:rPr>
          <w:color w:val="231F20"/>
          <w:sz w:val="24"/>
          <w:u w:val="single" w:color="231F20"/>
        </w:rPr>
        <w:t>Administration</w:t>
      </w:r>
      <w:r>
        <w:rPr>
          <w:color w:val="231F20"/>
          <w:sz w:val="24"/>
        </w:rPr>
        <w:t>.</w:t>
      </w:r>
    </w:p>
    <w:p>
      <w:pPr>
        <w:pStyle w:val="BodyText"/>
        <w:spacing w:before="147"/>
        <w:ind w:left="220" w:right="950" w:firstLine="1079"/>
      </w:pPr>
      <w:r>
        <w:rPr>
          <w:color w:val="231F20"/>
        </w:rPr>
        <w:t>The administration of the Property shall be in conformity with this Declaration and the By-Laws attached hereto as Exhibit B.</w:t>
      </w:r>
    </w:p>
    <w:p>
      <w:pPr>
        <w:pStyle w:val="BodyText"/>
        <w:spacing w:before="11"/>
        <w:rPr>
          <w:sz w:val="23"/>
        </w:rPr>
      </w:pPr>
    </w:p>
    <w:p>
      <w:pPr>
        <w:pStyle w:val="BodyText"/>
        <w:spacing w:before="1"/>
        <w:ind w:left="220" w:right="950" w:firstLine="1079"/>
      </w:pPr>
      <w:r>
        <w:rPr>
          <w:color w:val="231F20"/>
        </w:rPr>
        <w:t>Notwithstanding the foregoing, until the first annual meeting of the Association as provided by the By-Laws, the rights, duties, and functions of the Association shall, at Declarant's option, be exercised by Declarant.</w:t>
      </w:r>
    </w:p>
    <w:p>
      <w:pPr>
        <w:pStyle w:val="BodyText"/>
        <w:spacing w:before="1"/>
      </w:pPr>
    </w:p>
    <w:p>
      <w:pPr>
        <w:pStyle w:val="ListParagraph"/>
        <w:numPr>
          <w:ilvl w:val="0"/>
          <w:numId w:val="8"/>
        </w:numPr>
        <w:tabs>
          <w:tab w:pos="1301" w:val="left" w:leader="none"/>
        </w:tabs>
        <w:spacing w:line="240" w:lineRule="auto" w:before="0" w:after="0"/>
        <w:ind w:left="1300" w:right="0" w:hanging="361"/>
        <w:jc w:val="left"/>
        <w:rPr>
          <w:sz w:val="24"/>
        </w:rPr>
      </w:pPr>
      <w:r>
        <w:rPr>
          <w:color w:val="231F20"/>
          <w:sz w:val="24"/>
          <w:u w:val="single" w:color="231F20"/>
        </w:rPr>
        <w:t>Compliance with Declaration, By-Laws, Rules and</w:t>
      </w:r>
      <w:r>
        <w:rPr>
          <w:color w:val="231F20"/>
          <w:spacing w:val="-5"/>
          <w:sz w:val="24"/>
          <w:u w:val="single" w:color="231F20"/>
        </w:rPr>
        <w:t> </w:t>
      </w:r>
      <w:r>
        <w:rPr>
          <w:color w:val="231F20"/>
          <w:sz w:val="24"/>
          <w:u w:val="single" w:color="231F20"/>
        </w:rPr>
        <w:t>Regulations</w:t>
      </w:r>
      <w:r>
        <w:rPr>
          <w:color w:val="231F20"/>
          <w:sz w:val="24"/>
        </w:rPr>
        <w:t>.</w:t>
      </w:r>
    </w:p>
    <w:p>
      <w:pPr>
        <w:pStyle w:val="BodyText"/>
        <w:spacing w:before="146"/>
        <w:ind w:left="220" w:right="1218" w:firstLine="1079"/>
      </w:pPr>
      <w:r>
        <w:rPr>
          <w:color w:val="231F20"/>
        </w:rPr>
        <w:t>Each holder of an interest or occupant of an apartment shall comply with the provisions of this Declaration, the By-Laws, rules and regulations of the Association properly adopted according to the By-Laws, as either of the same may be amended from time to time, and failure to comply with any such provisions, rules or regulations, shall be grounds for an action to recover damages, or for injunctive relief.</w:t>
      </w:r>
    </w:p>
    <w:p>
      <w:pPr>
        <w:pStyle w:val="BodyText"/>
      </w:pPr>
    </w:p>
    <w:p>
      <w:pPr>
        <w:pStyle w:val="ListParagraph"/>
        <w:numPr>
          <w:ilvl w:val="0"/>
          <w:numId w:val="8"/>
        </w:numPr>
        <w:tabs>
          <w:tab w:pos="1301" w:val="left" w:leader="none"/>
        </w:tabs>
        <w:spacing w:line="240" w:lineRule="auto" w:before="0" w:after="0"/>
        <w:ind w:left="1300" w:right="0" w:hanging="361"/>
        <w:jc w:val="left"/>
        <w:rPr>
          <w:sz w:val="24"/>
        </w:rPr>
      </w:pPr>
      <w:r>
        <w:rPr>
          <w:color w:val="231F20"/>
          <w:sz w:val="24"/>
          <w:u w:val="single" w:color="231F20"/>
        </w:rPr>
        <w:t>No Waiver</w:t>
      </w:r>
      <w:r>
        <w:rPr>
          <w:color w:val="231F20"/>
          <w:spacing w:val="-2"/>
          <w:sz w:val="24"/>
          <w:u w:val="single" w:color="231F20"/>
        </w:rPr>
        <w:t> </w:t>
      </w:r>
      <w:r>
        <w:rPr>
          <w:color w:val="231F20"/>
          <w:sz w:val="24"/>
          <w:u w:val="single" w:color="231F20"/>
        </w:rPr>
        <w:t>Allowed</w:t>
      </w:r>
      <w:r>
        <w:rPr>
          <w:color w:val="231F20"/>
          <w:sz w:val="24"/>
        </w:rPr>
        <w:t>.</w:t>
      </w:r>
    </w:p>
    <w:p>
      <w:pPr>
        <w:pStyle w:val="BodyText"/>
        <w:spacing w:before="146"/>
        <w:ind w:left="220" w:right="950" w:firstLine="1079"/>
      </w:pPr>
      <w:r>
        <w:rPr>
          <w:color w:val="231F20"/>
        </w:rPr>
        <w:t>No holder of an interest may exempt himself from liability for his contribution towards the common expenses by waiver of the use of enjoyment of any of the common areas and facilities or by the abandonment of his apartment.</w:t>
      </w:r>
    </w:p>
    <w:p>
      <w:pPr>
        <w:pStyle w:val="BodyText"/>
        <w:spacing w:before="2"/>
      </w:pPr>
    </w:p>
    <w:p>
      <w:pPr>
        <w:pStyle w:val="BodyText"/>
        <w:ind w:left="3477" w:right="4212"/>
        <w:jc w:val="center"/>
      </w:pPr>
      <w:r>
        <w:rPr>
          <w:color w:val="231F20"/>
          <w:u w:val="single" w:color="231F20"/>
        </w:rPr>
        <w:t>ARTICLE V</w:t>
      </w:r>
    </w:p>
    <w:p>
      <w:pPr>
        <w:pStyle w:val="BodyText"/>
        <w:spacing w:before="146"/>
        <w:ind w:left="3477" w:right="4213"/>
        <w:jc w:val="center"/>
      </w:pPr>
      <w:r>
        <w:rPr>
          <w:color w:val="231F20"/>
          <w:u w:val="single" w:color="231F20"/>
        </w:rPr>
        <w:t>Lien of Assessments</w:t>
      </w:r>
    </w:p>
    <w:p>
      <w:pPr>
        <w:pStyle w:val="BodyText"/>
        <w:spacing w:before="147"/>
        <w:ind w:left="220" w:right="989" w:firstLine="719"/>
      </w:pPr>
      <w:r>
        <w:rPr>
          <w:color w:val="231F20"/>
        </w:rPr>
        <w:t>All sums assessed by the Association for annual and special assessments for the share of common expenses chargeable to any apartment shall be payable quarterly in advance and as designated by the Board, and shall constitute a lien on such apartments for the full amount of the assessments, effective as of the date due and payable as fixed by the By-Laws, or, in the case of a special assessment, as fixed by the Board, prior to any and all other liens except only</w:t>
      </w:r>
    </w:p>
    <w:p>
      <w:pPr>
        <w:pStyle w:val="ListParagraph"/>
        <w:numPr>
          <w:ilvl w:val="1"/>
          <w:numId w:val="7"/>
        </w:numPr>
        <w:tabs>
          <w:tab w:pos="477" w:val="left" w:leader="none"/>
        </w:tabs>
        <w:spacing w:line="240" w:lineRule="auto" w:before="0" w:after="0"/>
        <w:ind w:left="220" w:right="1086" w:firstLine="0"/>
        <w:jc w:val="left"/>
        <w:rPr>
          <w:sz w:val="24"/>
        </w:rPr>
      </w:pPr>
      <w:r>
        <w:rPr>
          <w:color w:val="231F20"/>
          <w:sz w:val="24"/>
        </w:rPr>
        <w:t>tax liens on the apartment, including special assessments, in favor of the State of</w:t>
      </w:r>
      <w:r>
        <w:rPr>
          <w:color w:val="231F20"/>
          <w:spacing w:val="-35"/>
          <w:sz w:val="24"/>
        </w:rPr>
        <w:t> </w:t>
      </w:r>
      <w:r>
        <w:rPr>
          <w:color w:val="231F20"/>
          <w:sz w:val="24"/>
        </w:rPr>
        <w:t>Minnesota or any taxing subdivision thereof, and (ii) all sums unpaid on the first mortgage of record against such apartment. If any such assessment or installment thereof is not paid within</w:t>
      </w:r>
      <w:r>
        <w:rPr>
          <w:color w:val="231F20"/>
          <w:spacing w:val="14"/>
          <w:sz w:val="24"/>
        </w:rPr>
        <w:t> </w:t>
      </w:r>
      <w:r>
        <w:rPr>
          <w:color w:val="231F20"/>
          <w:sz w:val="24"/>
        </w:rPr>
        <w:t>thirty</w:t>
      </w:r>
    </w:p>
    <w:p>
      <w:pPr>
        <w:pStyle w:val="ListParagraph"/>
        <w:numPr>
          <w:ilvl w:val="0"/>
          <w:numId w:val="9"/>
        </w:numPr>
        <w:tabs>
          <w:tab w:pos="664" w:val="left" w:leader="none"/>
        </w:tabs>
        <w:spacing w:line="240" w:lineRule="auto" w:before="0" w:after="0"/>
        <w:ind w:left="220" w:right="988" w:firstLine="0"/>
        <w:jc w:val="left"/>
        <w:rPr>
          <w:sz w:val="24"/>
        </w:rPr>
      </w:pPr>
      <w:r>
        <w:rPr>
          <w:color w:val="231F20"/>
          <w:sz w:val="24"/>
        </w:rPr>
        <w:t>days after the date due, such amount not so paid shall bear interest at the rate of eight percent (8%) per annum, or any other legal rate that may be set by the Board, from the end of said thirty (30) day period until paid and such assessment while it or any installment is so delinquent for more than thirty (30) days may be declared due and payable by the Board and such assessment lien with interest may be foreclosed by the Board or by the manager employed by the Board pursuant to the By-Laws, acting on behalf of the Association in like manner as a mortgage of real property. In any such foreclosure on behalf of the Association, all holders of an interest in the apartment shall also be required to pay the costs of such foreclosure, including reasonable attorneys' fees and a reasonable rental for</w:t>
      </w:r>
      <w:r>
        <w:rPr>
          <w:color w:val="231F20"/>
          <w:spacing w:val="-13"/>
          <w:sz w:val="24"/>
        </w:rPr>
        <w:t> </w:t>
      </w:r>
      <w:r>
        <w:rPr>
          <w:color w:val="231F20"/>
          <w:sz w:val="24"/>
        </w:rPr>
        <w:t>the</w:t>
      </w:r>
    </w:p>
    <w:p>
      <w:pPr>
        <w:spacing w:after="0" w:line="240" w:lineRule="auto"/>
        <w:jc w:val="left"/>
        <w:rPr>
          <w:sz w:val="24"/>
        </w:rPr>
        <w:sectPr>
          <w:pgSz w:w="12240" w:h="15840"/>
          <w:pgMar w:header="0" w:footer="868" w:top="1400" w:bottom="1140" w:left="1220" w:right="480"/>
        </w:sectPr>
      </w:pPr>
    </w:p>
    <w:p>
      <w:pPr>
        <w:pStyle w:val="BodyText"/>
        <w:spacing w:before="39"/>
        <w:ind w:left="220" w:right="901"/>
      </w:pPr>
      <w:r>
        <w:rPr>
          <w:color w:val="231F20"/>
        </w:rPr>
        <w:t>apartment, so long as permitted by law, and the plaintiff in such foreclosure action shall be entitled to the appointment of a receiver to collect the same. The Association shall have the power to bid in the apartment at foreclosure sale, and to acquire and hold, lease, mortgage and convey the same. All such holders of an interest shall be jointly and severably liable for such assessments. Suit to recover a money judgment for unpaid common expenses, with interest as above stated shall be maintainable without foreclosing or waiving the lien securing the same, and in such event, the parties liable therefore shall also pay all costs of collection, including reasonable attorney fees.</w:t>
      </w:r>
    </w:p>
    <w:p>
      <w:pPr>
        <w:pStyle w:val="BodyText"/>
        <w:spacing w:before="1"/>
      </w:pPr>
    </w:p>
    <w:p>
      <w:pPr>
        <w:pStyle w:val="BodyText"/>
        <w:ind w:left="220" w:right="950" w:firstLine="719"/>
      </w:pPr>
      <w:r>
        <w:rPr>
          <w:color w:val="231F20"/>
        </w:rPr>
        <w:t>The purchaser at a foreclosure sale pursuant to a first mortgage of record, or grantee in deed in lieu or other proceedings in lieu of foreclosure, and his successors in interest shall upon expiration of the period of redemption hold title to the apartment free and clear of any lien for assessments to the date thereof and any such purchaser and his successors in interest shall not be personally liable for such assessments. Such unpaid assessments, to the extent not collected from the person personally liable therefore, shall become a common expense collectible by future assessment from all owners including such purchaser or successor.</w:t>
      </w:r>
    </w:p>
    <w:p>
      <w:pPr>
        <w:pStyle w:val="BodyText"/>
      </w:pPr>
    </w:p>
    <w:p>
      <w:pPr>
        <w:pStyle w:val="BodyText"/>
        <w:ind w:left="220" w:right="991" w:firstLine="719"/>
      </w:pPr>
      <w:r>
        <w:rPr>
          <w:color w:val="231F20"/>
        </w:rPr>
        <w:t>In a voluntary conveyance of a condominium apartment the grantee of the apartment shall be jointly and severally liable with the grantor for all unpaid assessments by the Association against the latter for his share of the common expenses up to the time of the grant or conveyance, without prejudice to the grantee's right to recover from the grantor the amounts paid by the grantee therefor.</w:t>
      </w:r>
    </w:p>
    <w:p>
      <w:pPr>
        <w:pStyle w:val="BodyText"/>
        <w:spacing w:before="1"/>
      </w:pPr>
    </w:p>
    <w:p>
      <w:pPr>
        <w:pStyle w:val="BodyText"/>
        <w:ind w:left="3476" w:right="4213"/>
        <w:jc w:val="center"/>
      </w:pPr>
      <w:r>
        <w:rPr>
          <w:color w:val="231F20"/>
          <w:u w:val="single" w:color="231F20"/>
        </w:rPr>
        <w:t>ARTICLE VI</w:t>
      </w:r>
    </w:p>
    <w:p>
      <w:pPr>
        <w:pStyle w:val="BodyText"/>
        <w:spacing w:before="147"/>
        <w:ind w:left="3854"/>
      </w:pPr>
      <w:r>
        <w:rPr>
          <w:color w:val="231F20"/>
          <w:u w:val="single" w:color="231F20"/>
        </w:rPr>
        <w:t>Rental of</w:t>
      </w:r>
      <w:r>
        <w:rPr>
          <w:color w:val="231F20"/>
          <w:spacing w:val="-6"/>
          <w:u w:val="single" w:color="231F20"/>
        </w:rPr>
        <w:t> </w:t>
      </w:r>
      <w:r>
        <w:rPr>
          <w:color w:val="231F20"/>
          <w:u w:val="single" w:color="231F20"/>
        </w:rPr>
        <w:t>Apartments</w:t>
      </w:r>
    </w:p>
    <w:p>
      <w:pPr>
        <w:pStyle w:val="BodyText"/>
        <w:spacing w:before="146"/>
        <w:ind w:left="220" w:right="1222" w:firstLine="719"/>
      </w:pPr>
      <w:r>
        <w:rPr>
          <w:color w:val="231F20"/>
        </w:rPr>
        <w:t>Apartments</w:t>
      </w:r>
      <w:r>
        <w:rPr>
          <w:color w:val="231F20"/>
          <w:spacing w:val="-2"/>
        </w:rPr>
        <w:t> </w:t>
      </w:r>
      <w:r>
        <w:rPr>
          <w:color w:val="231F20"/>
        </w:rPr>
        <w:t>shall</w:t>
      </w:r>
      <w:r>
        <w:rPr>
          <w:color w:val="231F20"/>
          <w:spacing w:val="-4"/>
        </w:rPr>
        <w:t> </w:t>
      </w:r>
      <w:r>
        <w:rPr>
          <w:color w:val="231F20"/>
        </w:rPr>
        <w:t>not</w:t>
      </w:r>
      <w:r>
        <w:rPr>
          <w:color w:val="231F20"/>
          <w:spacing w:val="-4"/>
        </w:rPr>
        <w:t> </w:t>
      </w:r>
      <w:r>
        <w:rPr>
          <w:color w:val="231F20"/>
        </w:rPr>
        <w:t>be</w:t>
      </w:r>
      <w:r>
        <w:rPr>
          <w:color w:val="231F20"/>
          <w:spacing w:val="-5"/>
        </w:rPr>
        <w:t> </w:t>
      </w:r>
      <w:r>
        <w:rPr>
          <w:color w:val="231F20"/>
        </w:rPr>
        <w:t>rented</w:t>
      </w:r>
      <w:r>
        <w:rPr>
          <w:color w:val="231F20"/>
          <w:spacing w:val="-3"/>
        </w:rPr>
        <w:t> </w:t>
      </w:r>
      <w:r>
        <w:rPr>
          <w:color w:val="231F20"/>
        </w:rPr>
        <w:t>for</w:t>
      </w:r>
      <w:r>
        <w:rPr>
          <w:color w:val="231F20"/>
          <w:spacing w:val="-4"/>
        </w:rPr>
        <w:t> </w:t>
      </w:r>
      <w:r>
        <w:rPr>
          <w:color w:val="231F20"/>
        </w:rPr>
        <w:t>transient</w:t>
      </w:r>
      <w:r>
        <w:rPr>
          <w:color w:val="231F20"/>
          <w:spacing w:val="-4"/>
        </w:rPr>
        <w:t> </w:t>
      </w:r>
      <w:r>
        <w:rPr>
          <w:color w:val="231F20"/>
        </w:rPr>
        <w:t>or</w:t>
      </w:r>
      <w:r>
        <w:rPr>
          <w:color w:val="231F20"/>
          <w:spacing w:val="-3"/>
        </w:rPr>
        <w:t> </w:t>
      </w:r>
      <w:r>
        <w:rPr>
          <w:color w:val="231F20"/>
        </w:rPr>
        <w:t>hotel</w:t>
      </w:r>
      <w:r>
        <w:rPr>
          <w:color w:val="231F20"/>
          <w:spacing w:val="-3"/>
        </w:rPr>
        <w:t> </w:t>
      </w:r>
      <w:r>
        <w:rPr>
          <w:color w:val="231F20"/>
        </w:rPr>
        <w:t>purposes</w:t>
      </w:r>
      <w:r>
        <w:rPr>
          <w:color w:val="231F20"/>
          <w:spacing w:val="-4"/>
        </w:rPr>
        <w:t> </w:t>
      </w:r>
      <w:r>
        <w:rPr>
          <w:color w:val="231F20"/>
        </w:rPr>
        <w:t>nor</w:t>
      </w:r>
      <w:r>
        <w:rPr>
          <w:color w:val="231F20"/>
          <w:spacing w:val="-4"/>
        </w:rPr>
        <w:t> </w:t>
      </w:r>
      <w:r>
        <w:rPr>
          <w:color w:val="231F20"/>
        </w:rPr>
        <w:t>for</w:t>
      </w:r>
      <w:r>
        <w:rPr>
          <w:color w:val="231F20"/>
          <w:spacing w:val="-1"/>
        </w:rPr>
        <w:t> </w:t>
      </w:r>
      <w:r>
        <w:rPr>
          <w:color w:val="231F20"/>
        </w:rPr>
        <w:t>any period</w:t>
      </w:r>
      <w:r>
        <w:rPr>
          <w:color w:val="231F20"/>
          <w:spacing w:val="-1"/>
        </w:rPr>
        <w:t> </w:t>
      </w:r>
      <w:r>
        <w:rPr>
          <w:color w:val="231F20"/>
        </w:rPr>
        <w:t>less than thirty (30) days. Other than the foregoing, an apartment may be leased, provided that said lease is made subject to this Declaration and the By-Laws and rules and regulations established by the Board of Directors as permitted</w:t>
      </w:r>
      <w:r>
        <w:rPr>
          <w:color w:val="231F20"/>
          <w:spacing w:val="-9"/>
        </w:rPr>
        <w:t> </w:t>
      </w:r>
      <w:r>
        <w:rPr>
          <w:color w:val="231F20"/>
        </w:rPr>
        <w:t>therein.</w:t>
      </w:r>
    </w:p>
    <w:p>
      <w:pPr>
        <w:pStyle w:val="BodyText"/>
        <w:spacing w:before="9"/>
        <w:rPr>
          <w:sz w:val="19"/>
        </w:rPr>
      </w:pPr>
    </w:p>
    <w:p>
      <w:pPr>
        <w:pStyle w:val="BodyText"/>
        <w:spacing w:before="51"/>
        <w:ind w:left="4349"/>
      </w:pPr>
      <w:r>
        <w:rPr>
          <w:color w:val="231F20"/>
          <w:u w:val="single" w:color="231F20"/>
        </w:rPr>
        <w:t>ARTICLE VII</w:t>
      </w:r>
    </w:p>
    <w:p>
      <w:pPr>
        <w:pStyle w:val="BodyText"/>
        <w:spacing w:before="146"/>
        <w:ind w:left="4423"/>
      </w:pPr>
      <w:r>
        <w:rPr>
          <w:color w:val="231F20"/>
          <w:u w:val="single" w:color="231F20"/>
        </w:rPr>
        <w:t>Insurance</w:t>
      </w:r>
    </w:p>
    <w:p>
      <w:pPr>
        <w:pStyle w:val="ListParagraph"/>
        <w:numPr>
          <w:ilvl w:val="1"/>
          <w:numId w:val="9"/>
        </w:numPr>
        <w:tabs>
          <w:tab w:pos="1302" w:val="left" w:leader="none"/>
        </w:tabs>
        <w:spacing w:line="240" w:lineRule="auto" w:before="147" w:after="0"/>
        <w:ind w:left="1301" w:right="0" w:hanging="362"/>
        <w:jc w:val="left"/>
        <w:rPr>
          <w:sz w:val="24"/>
        </w:rPr>
      </w:pPr>
      <w:r>
        <w:rPr>
          <w:color w:val="231F20"/>
          <w:sz w:val="24"/>
          <w:u w:val="single" w:color="231F20"/>
        </w:rPr>
        <w:t>General</w:t>
      </w:r>
      <w:r>
        <w:rPr>
          <w:color w:val="231F20"/>
          <w:sz w:val="24"/>
        </w:rPr>
        <w:t>.</w:t>
      </w:r>
    </w:p>
    <w:p>
      <w:pPr>
        <w:pStyle w:val="BodyText"/>
        <w:spacing w:before="146"/>
        <w:ind w:left="220" w:right="950" w:firstLine="1079"/>
      </w:pPr>
      <w:r>
        <w:rPr>
          <w:color w:val="231F20"/>
        </w:rPr>
        <w:t>The Board of Directors shall be required to obtain and maintain, to the extent obtainable, the following insurance: (a) fire insurance with extended coverage insuring the buildings containing the apartments (including all of the apartments and the fixtures initially installed therein by the Declarant, and specifically including, without limiting the generality of the foregoing, interior walls, interior doors, built-in cabinets</w:t>
      </w:r>
    </w:p>
    <w:p>
      <w:pPr>
        <w:spacing w:after="0"/>
        <w:sectPr>
          <w:pgSz w:w="12240" w:h="15840"/>
          <w:pgMar w:header="0" w:footer="868" w:top="1400" w:bottom="1140" w:left="1220" w:right="480"/>
        </w:sectPr>
      </w:pPr>
    </w:p>
    <w:p>
      <w:pPr>
        <w:pStyle w:val="BodyText"/>
        <w:spacing w:before="39"/>
        <w:ind w:left="220" w:right="982"/>
      </w:pPr>
      <w:r>
        <w:rPr>
          <w:color w:val="231F20"/>
        </w:rPr>
        <w:t>and counters and electrical and plumbing conduits, pipes and fixtures initially installed by the Declarant, but not including carpeting, drapery, wallcoverings, fixtures, furniture, furnishings,</w:t>
      </w:r>
      <w:r>
        <w:rPr>
          <w:color w:val="231F20"/>
          <w:spacing w:val="-36"/>
        </w:rPr>
        <w:t> </w:t>
      </w:r>
      <w:r>
        <w:rPr>
          <w:color w:val="231F20"/>
        </w:rPr>
        <w:t>or other</w:t>
      </w:r>
      <w:r>
        <w:rPr>
          <w:color w:val="231F20"/>
          <w:spacing w:val="-2"/>
        </w:rPr>
        <w:t> </w:t>
      </w:r>
      <w:r>
        <w:rPr>
          <w:color w:val="231F20"/>
        </w:rPr>
        <w:t>personal</w:t>
      </w:r>
      <w:r>
        <w:rPr>
          <w:color w:val="231F20"/>
          <w:spacing w:val="-2"/>
        </w:rPr>
        <w:t> </w:t>
      </w:r>
      <w:r>
        <w:rPr>
          <w:color w:val="231F20"/>
        </w:rPr>
        <w:t>property</w:t>
      </w:r>
      <w:r>
        <w:rPr>
          <w:color w:val="231F20"/>
          <w:spacing w:val="-4"/>
        </w:rPr>
        <w:t> </w:t>
      </w:r>
      <w:r>
        <w:rPr>
          <w:color w:val="231F20"/>
        </w:rPr>
        <w:t>supplied</w:t>
      </w:r>
      <w:r>
        <w:rPr>
          <w:color w:val="231F20"/>
          <w:spacing w:val="-4"/>
        </w:rPr>
        <w:t> </w:t>
      </w:r>
      <w:r>
        <w:rPr>
          <w:color w:val="231F20"/>
        </w:rPr>
        <w:t>or</w:t>
      </w:r>
      <w:r>
        <w:rPr>
          <w:color w:val="231F20"/>
          <w:spacing w:val="-2"/>
        </w:rPr>
        <w:t> </w:t>
      </w:r>
      <w:r>
        <w:rPr>
          <w:color w:val="231F20"/>
        </w:rPr>
        <w:t>installed</w:t>
      </w:r>
      <w:r>
        <w:rPr>
          <w:color w:val="231F20"/>
          <w:spacing w:val="-4"/>
        </w:rPr>
        <w:t> </w:t>
      </w:r>
      <w:r>
        <w:rPr>
          <w:color w:val="231F20"/>
        </w:rPr>
        <w:t>by</w:t>
      </w:r>
      <w:r>
        <w:rPr>
          <w:color w:val="231F20"/>
          <w:spacing w:val="-2"/>
        </w:rPr>
        <w:t> </w:t>
      </w:r>
      <w:r>
        <w:rPr>
          <w:color w:val="231F20"/>
        </w:rPr>
        <w:t>apartment</w:t>
      </w:r>
      <w:r>
        <w:rPr>
          <w:color w:val="231F20"/>
          <w:spacing w:val="-4"/>
        </w:rPr>
        <w:t> </w:t>
      </w:r>
      <w:r>
        <w:rPr>
          <w:color w:val="231F20"/>
        </w:rPr>
        <w:t>owners</w:t>
      </w:r>
      <w:r>
        <w:rPr>
          <w:color w:val="231F20"/>
          <w:spacing w:val="-4"/>
        </w:rPr>
        <w:t> </w:t>
      </w:r>
      <w:r>
        <w:rPr>
          <w:color w:val="231F20"/>
        </w:rPr>
        <w:t>or</w:t>
      </w:r>
      <w:r>
        <w:rPr>
          <w:color w:val="231F20"/>
          <w:spacing w:val="-5"/>
        </w:rPr>
        <w:t> </w:t>
      </w:r>
      <w:r>
        <w:rPr>
          <w:color w:val="231F20"/>
        </w:rPr>
        <w:t>tenants)</w:t>
      </w:r>
      <w:r>
        <w:rPr>
          <w:color w:val="231F20"/>
          <w:spacing w:val="-2"/>
        </w:rPr>
        <w:t> </w:t>
      </w:r>
      <w:r>
        <w:rPr>
          <w:color w:val="231F20"/>
        </w:rPr>
        <w:t>and</w:t>
      </w:r>
      <w:r>
        <w:rPr>
          <w:color w:val="231F20"/>
          <w:spacing w:val="-3"/>
        </w:rPr>
        <w:t> </w:t>
      </w:r>
      <w:r>
        <w:rPr>
          <w:color w:val="231F20"/>
        </w:rPr>
        <w:t>covering</w:t>
      </w:r>
      <w:r>
        <w:rPr>
          <w:color w:val="231F20"/>
          <w:spacing w:val="-4"/>
        </w:rPr>
        <w:t> </w:t>
      </w:r>
      <w:r>
        <w:rPr>
          <w:color w:val="231F20"/>
        </w:rPr>
        <w:t>the interest of the Association, the Board of Directors and all apartment owners and their mortgagees, as their interests may appear, for full insurable replacement cost, as determined annually by the Board of Directors; (b) workmen's compensation insurance; (c) public liability insurance in such amounts and with such coverage as the Board of Directors shall from time to time determine, but at least covering each member of the Board of Directors, the managing agent and each apartment owner and with cross liability endorsement to cover liabilities of the apartment owners as a group to an apartment owner and with a "Severability of Interest Endorsement" which would preclude the insurer from denying liability because of the negligent act of an owner or the Association; (d) Officers and Directors liability insurance; and (e) such other insurance as the Board of Directors may determine. All such policies shall provide that adjustment of loss shall be made by the Board of Directors and that the net proceeds thereof shall be payable to the Board of Directors as trustees as provided in the Act. The Board of Directors as trustee for the holders of an interest in the apartments shall pay the proceeds of Insurance for losses in excess of $5,000.00 to a Title Insurance Company (hereinafter referred to as Title Company) acceptable to them to be held in escrow for restoration or division, as is set forth in Article VIII. The proceeds from hazard insurance for losses to the Property subject to this Declaration, or any part thereof, shall be used by the Board of Directors solely for the repair, replacement or reconstruction of the damage Property except in the event of total or substantial damage or destruction of the Property, as provided in Article VIII hereinbelow, unless 75% of the owners (other than the Declarant) of apartments have given their prior written approval not to</w:t>
      </w:r>
      <w:r>
        <w:rPr>
          <w:color w:val="231F20"/>
          <w:spacing w:val="-4"/>
        </w:rPr>
        <w:t> </w:t>
      </w:r>
      <w:r>
        <w:rPr>
          <w:color w:val="231F20"/>
        </w:rPr>
        <w:t>restore.</w:t>
      </w:r>
    </w:p>
    <w:p>
      <w:pPr>
        <w:pStyle w:val="BodyText"/>
        <w:spacing w:before="2"/>
      </w:pPr>
    </w:p>
    <w:p>
      <w:pPr>
        <w:pStyle w:val="BodyText"/>
        <w:ind w:left="220" w:right="1200" w:firstLine="719"/>
      </w:pPr>
      <w:r>
        <w:rPr>
          <w:color w:val="231F20"/>
        </w:rPr>
        <w:t>All policies of physical damage insurance shall contain waivers of subrogation and waivers of any reduction of pro-rate liability of the insurer as a result of any insurance carried by apartment owners or of invalidity arising from any acts of the insured or any apartment owners. Provision shall be made for issuance of certificates of physical damage insurance to mortgagees.</w:t>
      </w:r>
    </w:p>
    <w:p>
      <w:pPr>
        <w:pStyle w:val="BodyText"/>
        <w:spacing w:before="11"/>
        <w:rPr>
          <w:sz w:val="23"/>
        </w:rPr>
      </w:pPr>
    </w:p>
    <w:p>
      <w:pPr>
        <w:pStyle w:val="ListParagraph"/>
        <w:numPr>
          <w:ilvl w:val="1"/>
          <w:numId w:val="9"/>
        </w:numPr>
        <w:tabs>
          <w:tab w:pos="1302" w:val="left" w:leader="none"/>
        </w:tabs>
        <w:spacing w:line="240" w:lineRule="auto" w:before="0" w:after="0"/>
        <w:ind w:left="1301" w:right="0" w:hanging="362"/>
        <w:jc w:val="left"/>
        <w:rPr>
          <w:sz w:val="24"/>
        </w:rPr>
      </w:pPr>
      <w:r>
        <w:rPr>
          <w:color w:val="231F20"/>
          <w:sz w:val="24"/>
          <w:u w:val="single" w:color="231F20"/>
        </w:rPr>
        <w:t>Owner's</w:t>
      </w:r>
      <w:r>
        <w:rPr>
          <w:color w:val="231F20"/>
          <w:spacing w:val="-1"/>
          <w:sz w:val="24"/>
          <w:u w:val="single" w:color="231F20"/>
        </w:rPr>
        <w:t> </w:t>
      </w:r>
      <w:r>
        <w:rPr>
          <w:color w:val="231F20"/>
          <w:sz w:val="24"/>
          <w:u w:val="single" w:color="231F20"/>
        </w:rPr>
        <w:t>Responsibility</w:t>
      </w:r>
      <w:r>
        <w:rPr>
          <w:color w:val="231F20"/>
          <w:sz w:val="24"/>
        </w:rPr>
        <w:t>.</w:t>
      </w:r>
    </w:p>
    <w:p>
      <w:pPr>
        <w:pStyle w:val="BodyText"/>
        <w:spacing w:before="147"/>
        <w:ind w:left="220" w:right="901" w:firstLine="1079"/>
      </w:pPr>
      <w:r>
        <w:rPr>
          <w:color w:val="231F20"/>
        </w:rPr>
        <w:t>Each apartment owner is responsible for insurance for his own benefit insuring his personal liability, and his carpeting, wallcovering, fixtures, furniture, furnishings and other personal property, and fixtures and other property supplied or installed by him or a previous owner or tenant, provided that all such policies shall contain waivers of subrogation and further provided that the liability of the carriers issuing insurance obtained by the Board of Directors shall not be affected or diminished by reason of any such additional insurance carried by any apartment owner.</w:t>
      </w:r>
    </w:p>
    <w:p>
      <w:pPr>
        <w:spacing w:after="0"/>
        <w:sectPr>
          <w:pgSz w:w="12240" w:h="15840"/>
          <w:pgMar w:header="0" w:footer="868" w:top="1400" w:bottom="1140" w:left="1220" w:right="480"/>
        </w:sectPr>
      </w:pPr>
    </w:p>
    <w:p>
      <w:pPr>
        <w:pStyle w:val="ListParagraph"/>
        <w:numPr>
          <w:ilvl w:val="1"/>
          <w:numId w:val="9"/>
        </w:numPr>
        <w:tabs>
          <w:tab w:pos="1302" w:val="left" w:leader="none"/>
        </w:tabs>
        <w:spacing w:line="240" w:lineRule="auto" w:before="39" w:after="0"/>
        <w:ind w:left="1301" w:right="0" w:hanging="362"/>
        <w:jc w:val="left"/>
        <w:rPr>
          <w:sz w:val="24"/>
        </w:rPr>
      </w:pPr>
      <w:r>
        <w:rPr>
          <w:color w:val="231F20"/>
          <w:sz w:val="24"/>
          <w:u w:val="single" w:color="231F20"/>
        </w:rPr>
        <w:t>Insurance</w:t>
      </w:r>
      <w:r>
        <w:rPr>
          <w:color w:val="231F20"/>
          <w:spacing w:val="-3"/>
          <w:sz w:val="24"/>
          <w:u w:val="single" w:color="231F20"/>
        </w:rPr>
        <w:t> </w:t>
      </w:r>
      <w:r>
        <w:rPr>
          <w:color w:val="231F20"/>
          <w:sz w:val="24"/>
          <w:u w:val="single" w:color="231F20"/>
        </w:rPr>
        <w:t>Premiums</w:t>
      </w:r>
      <w:r>
        <w:rPr>
          <w:color w:val="231F20"/>
          <w:sz w:val="24"/>
        </w:rPr>
        <w:t>.</w:t>
      </w:r>
    </w:p>
    <w:p>
      <w:pPr>
        <w:pStyle w:val="BodyText"/>
        <w:spacing w:before="147"/>
        <w:ind w:left="220" w:right="977" w:firstLine="1079"/>
      </w:pPr>
      <w:r>
        <w:rPr>
          <w:color w:val="231F20"/>
        </w:rPr>
        <w:t>Insurance premiums for any blanket insurance coverage and the other insurance coverages purchased by the Board of Directors, shall be common expenses to be paid by assessments levied by the Association.  An owner, in accepting title to an apartment, irrevocably consents, constitutes and appoints the Association or its representative as his true and lawful attorney-in-fact to act in connection with all matters concerning the purchase and maintenance of all types of property and liability insurance pertaining to the Property, the ownership of his respective apartment and all of the common and limited common areas and facilities appurtenant thereto with any insurance company or group of insurance companies, except such insurance as may have been obtained by the apartment owner himself. Without limitation on the generality of the foregoing, the Association or its representative shall have full power and authority to purchase and maintain such insurance, to collect proceeds and to distribute same to the respective parties entitled to same, or to the owners and their</w:t>
      </w:r>
      <w:r>
        <w:rPr>
          <w:color w:val="231F20"/>
          <w:spacing w:val="-37"/>
        </w:rPr>
        <w:t> </w:t>
      </w:r>
      <w:r>
        <w:rPr>
          <w:color w:val="231F20"/>
        </w:rPr>
        <w:t>respective mortgagees, as their interests may appear, and to execute all documents, releases and waivers and to do all things on behalf of each owner as shall be necessary or convenient to the accomplishment of the</w:t>
      </w:r>
      <w:r>
        <w:rPr>
          <w:color w:val="231F20"/>
          <w:spacing w:val="-4"/>
        </w:rPr>
        <w:t> </w:t>
      </w:r>
      <w:r>
        <w:rPr>
          <w:color w:val="231F20"/>
        </w:rPr>
        <w:t>foregoing.</w:t>
      </w:r>
    </w:p>
    <w:p>
      <w:pPr>
        <w:pStyle w:val="BodyText"/>
        <w:spacing w:before="9"/>
        <w:rPr>
          <w:sz w:val="19"/>
        </w:rPr>
      </w:pPr>
    </w:p>
    <w:p>
      <w:pPr>
        <w:pStyle w:val="BodyText"/>
        <w:spacing w:before="52"/>
        <w:ind w:left="3476" w:right="4213"/>
        <w:jc w:val="center"/>
      </w:pPr>
      <w:r>
        <w:rPr>
          <w:color w:val="231F20"/>
          <w:u w:val="single" w:color="231F20"/>
        </w:rPr>
        <w:t>ARTICLE VIII</w:t>
      </w:r>
    </w:p>
    <w:p>
      <w:pPr>
        <w:pStyle w:val="BodyText"/>
        <w:spacing w:before="146"/>
        <w:ind w:left="3725"/>
      </w:pPr>
      <w:r>
        <w:rPr>
          <w:color w:val="231F20"/>
          <w:u w:val="single" w:color="231F20"/>
        </w:rPr>
        <w:t>Damage to the Property</w:t>
      </w:r>
    </w:p>
    <w:p>
      <w:pPr>
        <w:pStyle w:val="ListParagraph"/>
        <w:numPr>
          <w:ilvl w:val="0"/>
          <w:numId w:val="10"/>
        </w:numPr>
        <w:tabs>
          <w:tab w:pos="1302" w:val="left" w:leader="none"/>
        </w:tabs>
        <w:spacing w:line="240" w:lineRule="auto" w:before="147" w:after="0"/>
        <w:ind w:left="1301" w:right="0" w:hanging="362"/>
        <w:jc w:val="left"/>
        <w:rPr>
          <w:sz w:val="24"/>
        </w:rPr>
      </w:pPr>
      <w:r>
        <w:rPr>
          <w:color w:val="231F20"/>
          <w:sz w:val="24"/>
          <w:u w:val="single" w:color="231F20"/>
        </w:rPr>
        <w:t>Decision to</w:t>
      </w:r>
      <w:r>
        <w:rPr>
          <w:color w:val="231F20"/>
          <w:spacing w:val="-3"/>
          <w:sz w:val="24"/>
          <w:u w:val="single" w:color="231F20"/>
        </w:rPr>
        <w:t> </w:t>
      </w:r>
      <w:r>
        <w:rPr>
          <w:color w:val="231F20"/>
          <w:sz w:val="24"/>
          <w:u w:val="single" w:color="231F20"/>
        </w:rPr>
        <w:t>Restore</w:t>
      </w:r>
      <w:r>
        <w:rPr>
          <w:color w:val="231F20"/>
          <w:sz w:val="24"/>
        </w:rPr>
        <w:t>.</w:t>
      </w:r>
    </w:p>
    <w:p>
      <w:pPr>
        <w:pStyle w:val="BodyText"/>
        <w:spacing w:before="148"/>
        <w:ind w:left="220" w:right="1077" w:firstLine="1079"/>
      </w:pPr>
      <w:r>
        <w:rPr>
          <w:color w:val="231F20"/>
        </w:rPr>
        <w:t>In the event all or any portion of the Property is substantially damaged, or is taken by exercise of the power of or in the nature of eminent domain, or by an action or deed in lieu thereof, the restoration or disposition of the Property shall be determined in the following manner:</w:t>
      </w:r>
    </w:p>
    <w:p>
      <w:pPr>
        <w:pStyle w:val="BodyText"/>
      </w:pPr>
    </w:p>
    <w:p>
      <w:pPr>
        <w:pStyle w:val="ListParagraph"/>
        <w:numPr>
          <w:ilvl w:val="1"/>
          <w:numId w:val="10"/>
        </w:numPr>
        <w:tabs>
          <w:tab w:pos="1661" w:val="left" w:leader="none"/>
        </w:tabs>
        <w:spacing w:line="240" w:lineRule="auto" w:before="0" w:after="0"/>
        <w:ind w:left="220" w:right="997" w:firstLine="1079"/>
        <w:jc w:val="left"/>
        <w:rPr>
          <w:sz w:val="24"/>
        </w:rPr>
      </w:pPr>
      <w:r>
        <w:rPr>
          <w:color w:val="231F20"/>
          <w:sz w:val="24"/>
        </w:rPr>
        <w:t>If a majority of the total number of apartments are tenantable after the damage, then the damaged portion of the improvements shall be restored, provision for reconstruction to be made not later than one hundred twenty (120) days from the day of</w:t>
      </w:r>
      <w:r>
        <w:rPr>
          <w:color w:val="231F20"/>
          <w:spacing w:val="-26"/>
          <w:sz w:val="24"/>
        </w:rPr>
        <w:t> </w:t>
      </w:r>
      <w:r>
        <w:rPr>
          <w:color w:val="231F20"/>
          <w:sz w:val="24"/>
        </w:rPr>
        <w:t>damage.</w:t>
      </w:r>
    </w:p>
    <w:p>
      <w:pPr>
        <w:pStyle w:val="BodyText"/>
        <w:spacing w:before="11"/>
        <w:rPr>
          <w:sz w:val="23"/>
        </w:rPr>
      </w:pPr>
    </w:p>
    <w:p>
      <w:pPr>
        <w:pStyle w:val="ListParagraph"/>
        <w:numPr>
          <w:ilvl w:val="1"/>
          <w:numId w:val="10"/>
        </w:numPr>
        <w:tabs>
          <w:tab w:pos="1661" w:val="left" w:leader="none"/>
        </w:tabs>
        <w:spacing w:line="240" w:lineRule="auto" w:before="0" w:after="0"/>
        <w:ind w:left="220" w:right="975" w:firstLine="1079"/>
        <w:jc w:val="left"/>
        <w:rPr>
          <w:sz w:val="24"/>
        </w:rPr>
      </w:pPr>
      <w:r>
        <w:rPr>
          <w:color w:val="231F20"/>
          <w:sz w:val="24"/>
        </w:rPr>
        <w:t>If less than a majority of the total number of apartments are tenantable after the damage, the provisions for reconstruction of the damaged portion of the property shall be made within one hundred twenty (120) days from the date of damage unless within said one hundred twenty (120) days at least seventy-five percent (75%) of the first mortgagees of the apartments or their assigns (based upon one vote for each first mortgage owned), and at least seventy-five percent (75%) of the owners (other than any sponsor, developer or builder including the Declarant) of the individual apartments based upon the percentage of ownership in the common areas and facilities as set forth in Exhibit A and Declarant, so long as Declarant is an apartment owner, have given their prior written approval not to</w:t>
      </w:r>
      <w:r>
        <w:rPr>
          <w:color w:val="231F20"/>
          <w:spacing w:val="-16"/>
          <w:sz w:val="24"/>
        </w:rPr>
        <w:t> </w:t>
      </w:r>
      <w:r>
        <w:rPr>
          <w:color w:val="231F20"/>
          <w:sz w:val="24"/>
        </w:rPr>
        <w:t>restore.</w:t>
      </w:r>
    </w:p>
    <w:p>
      <w:pPr>
        <w:spacing w:after="0" w:line="240" w:lineRule="auto"/>
        <w:jc w:val="left"/>
        <w:rPr>
          <w:sz w:val="24"/>
        </w:rPr>
        <w:sectPr>
          <w:pgSz w:w="12240" w:h="15840"/>
          <w:pgMar w:header="0" w:footer="868" w:top="1400" w:bottom="1140" w:left="1220" w:right="480"/>
        </w:sectPr>
      </w:pPr>
    </w:p>
    <w:p>
      <w:pPr>
        <w:pStyle w:val="ListParagraph"/>
        <w:numPr>
          <w:ilvl w:val="0"/>
          <w:numId w:val="10"/>
        </w:numPr>
        <w:tabs>
          <w:tab w:pos="1302" w:val="left" w:leader="none"/>
        </w:tabs>
        <w:spacing w:line="240" w:lineRule="auto" w:before="39" w:after="0"/>
        <w:ind w:left="1301" w:right="0" w:hanging="362"/>
        <w:jc w:val="left"/>
        <w:rPr>
          <w:sz w:val="24"/>
        </w:rPr>
      </w:pPr>
      <w:r>
        <w:rPr>
          <w:color w:val="231F20"/>
          <w:sz w:val="24"/>
          <w:u w:val="single" w:color="231F20"/>
        </w:rPr>
        <w:t>Non-Restoration</w:t>
      </w:r>
      <w:r>
        <w:rPr>
          <w:color w:val="231F20"/>
          <w:sz w:val="24"/>
        </w:rPr>
        <w:t>.</w:t>
      </w:r>
    </w:p>
    <w:p>
      <w:pPr>
        <w:pStyle w:val="BodyText"/>
        <w:spacing w:before="147"/>
        <w:ind w:left="220" w:right="1144" w:firstLine="1079"/>
      </w:pPr>
      <w:r>
        <w:rPr>
          <w:color w:val="231F20"/>
        </w:rPr>
        <w:t>If by reason of the above, the damaged improvements are not to be restored, then the Board of Directors of the Association shall file for record with the Registrar of Titles, a Notice setting forth such fact, and upon the recording of such Notice:</w:t>
      </w:r>
    </w:p>
    <w:p>
      <w:pPr>
        <w:pStyle w:val="BodyText"/>
        <w:spacing w:before="11"/>
        <w:rPr>
          <w:sz w:val="23"/>
        </w:rPr>
      </w:pPr>
    </w:p>
    <w:p>
      <w:pPr>
        <w:pStyle w:val="ListParagraph"/>
        <w:numPr>
          <w:ilvl w:val="1"/>
          <w:numId w:val="10"/>
        </w:numPr>
        <w:tabs>
          <w:tab w:pos="1661" w:val="left" w:leader="none"/>
        </w:tabs>
        <w:spacing w:line="240" w:lineRule="auto" w:before="0" w:after="0"/>
        <w:ind w:left="220" w:right="1174" w:firstLine="1079"/>
        <w:jc w:val="left"/>
        <w:rPr>
          <w:sz w:val="24"/>
        </w:rPr>
      </w:pPr>
      <w:r>
        <w:rPr>
          <w:color w:val="231F20"/>
          <w:sz w:val="24"/>
        </w:rPr>
        <w:t>The Property shall be deemed to be owned in common by the apartment owners, each in the percentage of undivided interest previously owned by such owner in the common areas and facilities, such apartment owners holding their undivided interests subject to the interest of holders of an interest as defined herein and to the interest of the holders of Sheriff's Certificates of Sale;</w:t>
      </w:r>
      <w:r>
        <w:rPr>
          <w:color w:val="231F20"/>
          <w:spacing w:val="1"/>
          <w:sz w:val="24"/>
        </w:rPr>
        <w:t> </w:t>
      </w:r>
      <w:r>
        <w:rPr>
          <w:color w:val="231F20"/>
          <w:sz w:val="24"/>
        </w:rPr>
        <w:t>and</w:t>
      </w:r>
    </w:p>
    <w:p>
      <w:pPr>
        <w:pStyle w:val="BodyText"/>
        <w:spacing w:before="2"/>
      </w:pPr>
    </w:p>
    <w:p>
      <w:pPr>
        <w:pStyle w:val="ListParagraph"/>
        <w:numPr>
          <w:ilvl w:val="1"/>
          <w:numId w:val="10"/>
        </w:numPr>
        <w:tabs>
          <w:tab w:pos="1661" w:val="left" w:leader="none"/>
        </w:tabs>
        <w:spacing w:line="240" w:lineRule="auto" w:before="0" w:after="0"/>
        <w:ind w:left="220" w:right="988" w:firstLine="1079"/>
        <w:jc w:val="left"/>
        <w:rPr>
          <w:sz w:val="24"/>
        </w:rPr>
      </w:pPr>
      <w:r>
        <w:rPr>
          <w:color w:val="231F20"/>
          <w:sz w:val="24"/>
        </w:rPr>
        <w:t>Any liens affecting any of the apartments shall be deemed to be transferred in accordance with the existing priorities to the percentage of undivided interest of the</w:t>
      </w:r>
      <w:r>
        <w:rPr>
          <w:color w:val="231F20"/>
          <w:spacing w:val="-36"/>
          <w:sz w:val="24"/>
        </w:rPr>
        <w:t> </w:t>
      </w:r>
      <w:r>
        <w:rPr>
          <w:color w:val="231F20"/>
          <w:sz w:val="24"/>
        </w:rPr>
        <w:t>apartment owners in the Property as above provided;</w:t>
      </w:r>
      <w:r>
        <w:rPr>
          <w:color w:val="231F20"/>
          <w:spacing w:val="-8"/>
          <w:sz w:val="24"/>
        </w:rPr>
        <w:t> </w:t>
      </w:r>
      <w:r>
        <w:rPr>
          <w:color w:val="231F20"/>
          <w:sz w:val="24"/>
        </w:rPr>
        <w:t>and</w:t>
      </w:r>
    </w:p>
    <w:p>
      <w:pPr>
        <w:pStyle w:val="BodyText"/>
        <w:spacing w:before="12"/>
        <w:rPr>
          <w:sz w:val="23"/>
        </w:rPr>
      </w:pPr>
    </w:p>
    <w:p>
      <w:pPr>
        <w:pStyle w:val="ListParagraph"/>
        <w:numPr>
          <w:ilvl w:val="1"/>
          <w:numId w:val="10"/>
        </w:numPr>
        <w:tabs>
          <w:tab w:pos="1662" w:val="left" w:leader="none"/>
        </w:tabs>
        <w:spacing w:line="240" w:lineRule="auto" w:before="0" w:after="0"/>
        <w:ind w:left="220" w:right="1134" w:firstLine="1079"/>
        <w:jc w:val="left"/>
        <w:rPr>
          <w:sz w:val="24"/>
        </w:rPr>
      </w:pPr>
      <w:r>
        <w:rPr>
          <w:color w:val="231F20"/>
          <w:sz w:val="24"/>
        </w:rPr>
        <w:t>The Property shall be subject to an action for partition at the suit of any holder of an interest, in which event the net proceeds of sale, together with the net proceeds of the insurance on the Property, if any, shall be considered as one fund and shall be divided among all</w:t>
      </w:r>
      <w:r>
        <w:rPr>
          <w:color w:val="231F20"/>
          <w:spacing w:val="-2"/>
          <w:sz w:val="24"/>
        </w:rPr>
        <w:t> </w:t>
      </w:r>
      <w:r>
        <w:rPr>
          <w:color w:val="231F20"/>
          <w:sz w:val="24"/>
        </w:rPr>
        <w:t>holders</w:t>
      </w:r>
      <w:r>
        <w:rPr>
          <w:color w:val="231F20"/>
          <w:spacing w:val="-3"/>
          <w:sz w:val="24"/>
        </w:rPr>
        <w:t> </w:t>
      </w:r>
      <w:r>
        <w:rPr>
          <w:color w:val="231F20"/>
          <w:sz w:val="24"/>
        </w:rPr>
        <w:t>of</w:t>
      </w:r>
      <w:r>
        <w:rPr>
          <w:color w:val="231F20"/>
          <w:spacing w:val="-2"/>
          <w:sz w:val="24"/>
        </w:rPr>
        <w:t> </w:t>
      </w:r>
      <w:r>
        <w:rPr>
          <w:color w:val="231F20"/>
          <w:sz w:val="24"/>
        </w:rPr>
        <w:t>an</w:t>
      </w:r>
      <w:r>
        <w:rPr>
          <w:color w:val="231F20"/>
          <w:spacing w:val="-2"/>
          <w:sz w:val="24"/>
        </w:rPr>
        <w:t> </w:t>
      </w:r>
      <w:r>
        <w:rPr>
          <w:color w:val="231F20"/>
          <w:sz w:val="24"/>
        </w:rPr>
        <w:t>interest</w:t>
      </w:r>
      <w:r>
        <w:rPr>
          <w:color w:val="231F20"/>
          <w:spacing w:val="-3"/>
          <w:sz w:val="24"/>
        </w:rPr>
        <w:t> </w:t>
      </w:r>
      <w:r>
        <w:rPr>
          <w:color w:val="231F20"/>
          <w:sz w:val="24"/>
        </w:rPr>
        <w:t>in</w:t>
      </w:r>
      <w:r>
        <w:rPr>
          <w:color w:val="231F20"/>
          <w:spacing w:val="-1"/>
          <w:sz w:val="24"/>
        </w:rPr>
        <w:t> </w:t>
      </w:r>
      <w:r>
        <w:rPr>
          <w:color w:val="231F20"/>
          <w:sz w:val="24"/>
        </w:rPr>
        <w:t>a</w:t>
      </w:r>
      <w:r>
        <w:rPr>
          <w:color w:val="231F20"/>
          <w:spacing w:val="-4"/>
          <w:sz w:val="24"/>
        </w:rPr>
        <w:t> </w:t>
      </w:r>
      <w:r>
        <w:rPr>
          <w:color w:val="231F20"/>
          <w:sz w:val="24"/>
        </w:rPr>
        <w:t>percentage</w:t>
      </w:r>
      <w:r>
        <w:rPr>
          <w:color w:val="231F20"/>
          <w:spacing w:val="-3"/>
          <w:sz w:val="24"/>
        </w:rPr>
        <w:t> </w:t>
      </w:r>
      <w:r>
        <w:rPr>
          <w:color w:val="231F20"/>
          <w:sz w:val="24"/>
        </w:rPr>
        <w:t>equal</w:t>
      </w:r>
      <w:r>
        <w:rPr>
          <w:color w:val="231F20"/>
          <w:spacing w:val="-3"/>
          <w:sz w:val="24"/>
        </w:rPr>
        <w:t> </w:t>
      </w:r>
      <w:r>
        <w:rPr>
          <w:color w:val="231F20"/>
          <w:sz w:val="24"/>
        </w:rPr>
        <w:t>to</w:t>
      </w:r>
      <w:r>
        <w:rPr>
          <w:color w:val="231F20"/>
          <w:spacing w:val="-6"/>
          <w:sz w:val="24"/>
        </w:rPr>
        <w:t> </w:t>
      </w:r>
      <w:r>
        <w:rPr>
          <w:color w:val="231F20"/>
          <w:sz w:val="24"/>
        </w:rPr>
        <w:t>the</w:t>
      </w:r>
      <w:r>
        <w:rPr>
          <w:color w:val="231F20"/>
          <w:spacing w:val="-3"/>
          <w:sz w:val="24"/>
        </w:rPr>
        <w:t> </w:t>
      </w:r>
      <w:r>
        <w:rPr>
          <w:color w:val="231F20"/>
          <w:sz w:val="24"/>
        </w:rPr>
        <w:t>percentage</w:t>
      </w:r>
      <w:r>
        <w:rPr>
          <w:color w:val="231F20"/>
          <w:spacing w:val="-2"/>
          <w:sz w:val="24"/>
        </w:rPr>
        <w:t> </w:t>
      </w:r>
      <w:r>
        <w:rPr>
          <w:color w:val="231F20"/>
          <w:sz w:val="24"/>
        </w:rPr>
        <w:t>of</w:t>
      </w:r>
      <w:r>
        <w:rPr>
          <w:color w:val="231F20"/>
          <w:spacing w:val="-2"/>
          <w:sz w:val="24"/>
        </w:rPr>
        <w:t> </w:t>
      </w:r>
      <w:r>
        <w:rPr>
          <w:color w:val="231F20"/>
          <w:sz w:val="24"/>
        </w:rPr>
        <w:t>undivided</w:t>
      </w:r>
      <w:r>
        <w:rPr>
          <w:color w:val="231F20"/>
          <w:spacing w:val="-2"/>
          <w:sz w:val="24"/>
        </w:rPr>
        <w:t> </w:t>
      </w:r>
      <w:r>
        <w:rPr>
          <w:color w:val="231F20"/>
          <w:sz w:val="24"/>
        </w:rPr>
        <w:t>interest</w:t>
      </w:r>
      <w:r>
        <w:rPr>
          <w:color w:val="231F20"/>
          <w:spacing w:val="-1"/>
          <w:sz w:val="24"/>
        </w:rPr>
        <w:t> </w:t>
      </w:r>
      <w:r>
        <w:rPr>
          <w:color w:val="231F20"/>
          <w:sz w:val="24"/>
        </w:rPr>
        <w:t>held</w:t>
      </w:r>
      <w:r>
        <w:rPr>
          <w:color w:val="231F20"/>
          <w:spacing w:val="-1"/>
          <w:sz w:val="24"/>
        </w:rPr>
        <w:t> </w:t>
      </w:r>
      <w:r>
        <w:rPr>
          <w:color w:val="231F20"/>
          <w:sz w:val="24"/>
        </w:rPr>
        <w:t>by such holder of an interest in the Property as their respective interests may appear, after first paying out of the respective shares, to the extent sufficient for the purpose, all liens on the undivided interest in the</w:t>
      </w:r>
      <w:r>
        <w:rPr>
          <w:color w:val="231F20"/>
          <w:spacing w:val="-6"/>
          <w:sz w:val="24"/>
        </w:rPr>
        <w:t> </w:t>
      </w:r>
      <w:r>
        <w:rPr>
          <w:color w:val="231F20"/>
          <w:sz w:val="24"/>
        </w:rPr>
        <w:t>Property.</w:t>
      </w:r>
    </w:p>
    <w:p>
      <w:pPr>
        <w:pStyle w:val="BodyText"/>
        <w:spacing w:before="1"/>
      </w:pPr>
    </w:p>
    <w:p>
      <w:pPr>
        <w:pStyle w:val="ListParagraph"/>
        <w:numPr>
          <w:ilvl w:val="0"/>
          <w:numId w:val="10"/>
        </w:numPr>
        <w:tabs>
          <w:tab w:pos="1302" w:val="left" w:leader="none"/>
        </w:tabs>
        <w:spacing w:line="240" w:lineRule="auto" w:before="0" w:after="0"/>
        <w:ind w:left="1301" w:right="0" w:hanging="362"/>
        <w:jc w:val="left"/>
        <w:rPr>
          <w:sz w:val="24"/>
        </w:rPr>
      </w:pPr>
      <w:r>
        <w:rPr>
          <w:color w:val="231F20"/>
          <w:sz w:val="24"/>
          <w:u w:val="single" w:color="231F20"/>
        </w:rPr>
        <w:t>Restoration</w:t>
      </w:r>
      <w:r>
        <w:rPr>
          <w:color w:val="231F20"/>
          <w:sz w:val="24"/>
        </w:rPr>
        <w:t>.</w:t>
      </w:r>
    </w:p>
    <w:p>
      <w:pPr>
        <w:pStyle w:val="BodyText"/>
        <w:spacing w:before="147"/>
        <w:ind w:left="1300"/>
      </w:pPr>
      <w:r>
        <w:rPr>
          <w:color w:val="231F20"/>
        </w:rPr>
        <w:t>In the event of restoration:</w:t>
      </w:r>
    </w:p>
    <w:p>
      <w:pPr>
        <w:pStyle w:val="BodyText"/>
        <w:spacing w:before="11"/>
        <w:rPr>
          <w:sz w:val="23"/>
        </w:rPr>
      </w:pPr>
    </w:p>
    <w:p>
      <w:pPr>
        <w:pStyle w:val="ListParagraph"/>
        <w:numPr>
          <w:ilvl w:val="1"/>
          <w:numId w:val="10"/>
        </w:numPr>
        <w:tabs>
          <w:tab w:pos="1661" w:val="left" w:leader="none"/>
        </w:tabs>
        <w:spacing w:line="240" w:lineRule="auto" w:before="0" w:after="0"/>
        <w:ind w:left="220" w:right="994" w:firstLine="1079"/>
        <w:jc w:val="left"/>
        <w:rPr>
          <w:sz w:val="24"/>
        </w:rPr>
      </w:pPr>
      <w:r>
        <w:rPr>
          <w:color w:val="231F20"/>
          <w:sz w:val="24"/>
        </w:rPr>
        <w:t>Any restoration shall be substantially in accordance with this Declaration and</w:t>
      </w:r>
      <w:r>
        <w:rPr>
          <w:color w:val="231F20"/>
          <w:spacing w:val="-28"/>
          <w:sz w:val="24"/>
        </w:rPr>
        <w:t> </w:t>
      </w:r>
      <w:r>
        <w:rPr>
          <w:color w:val="231F20"/>
          <w:sz w:val="24"/>
        </w:rPr>
        <w:t>the Floor</w:t>
      </w:r>
      <w:r>
        <w:rPr>
          <w:color w:val="231F20"/>
          <w:spacing w:val="-1"/>
          <w:sz w:val="24"/>
        </w:rPr>
        <w:t> </w:t>
      </w:r>
      <w:r>
        <w:rPr>
          <w:color w:val="231F20"/>
          <w:sz w:val="24"/>
        </w:rPr>
        <w:t>Plans.</w:t>
      </w:r>
    </w:p>
    <w:p>
      <w:pPr>
        <w:pStyle w:val="BodyText"/>
      </w:pPr>
    </w:p>
    <w:p>
      <w:pPr>
        <w:pStyle w:val="ListParagraph"/>
        <w:numPr>
          <w:ilvl w:val="1"/>
          <w:numId w:val="10"/>
        </w:numPr>
        <w:tabs>
          <w:tab w:pos="1661" w:val="left" w:leader="none"/>
        </w:tabs>
        <w:spacing w:line="240" w:lineRule="auto" w:before="0" w:after="0"/>
        <w:ind w:left="220" w:right="1175" w:firstLine="1079"/>
        <w:jc w:val="left"/>
        <w:rPr>
          <w:sz w:val="24"/>
        </w:rPr>
      </w:pPr>
      <w:r>
        <w:rPr>
          <w:color w:val="231F20"/>
          <w:sz w:val="24"/>
        </w:rPr>
        <w:t>If the proceeds of insurance are not sufficient to defray the estimated or</w:t>
      </w:r>
      <w:r>
        <w:rPr>
          <w:color w:val="231F20"/>
          <w:spacing w:val="-31"/>
          <w:sz w:val="24"/>
        </w:rPr>
        <w:t> </w:t>
      </w:r>
      <w:r>
        <w:rPr>
          <w:color w:val="231F20"/>
          <w:sz w:val="24"/>
        </w:rPr>
        <w:t>actual cost of restoration, special assessments shall be made against all the apartments in sufficient amounts to provide funds to pay the estimated or actual costs of</w:t>
      </w:r>
      <w:r>
        <w:rPr>
          <w:color w:val="231F20"/>
          <w:spacing w:val="-22"/>
          <w:sz w:val="24"/>
        </w:rPr>
        <w:t> </w:t>
      </w:r>
      <w:r>
        <w:rPr>
          <w:color w:val="231F20"/>
          <w:sz w:val="24"/>
        </w:rPr>
        <w:t>restoration.</w:t>
      </w:r>
    </w:p>
    <w:p>
      <w:pPr>
        <w:pStyle w:val="BodyText"/>
        <w:spacing w:before="11"/>
        <w:rPr>
          <w:sz w:val="23"/>
        </w:rPr>
      </w:pPr>
    </w:p>
    <w:p>
      <w:pPr>
        <w:pStyle w:val="ListParagraph"/>
        <w:numPr>
          <w:ilvl w:val="1"/>
          <w:numId w:val="10"/>
        </w:numPr>
        <w:tabs>
          <w:tab w:pos="1661" w:val="left" w:leader="none"/>
        </w:tabs>
        <w:spacing w:line="240" w:lineRule="auto" w:before="0" w:after="0"/>
        <w:ind w:left="220" w:right="1248" w:firstLine="1079"/>
        <w:jc w:val="left"/>
        <w:rPr>
          <w:sz w:val="24"/>
        </w:rPr>
      </w:pPr>
      <w:r>
        <w:rPr>
          <w:color w:val="231F20"/>
          <w:sz w:val="24"/>
        </w:rPr>
        <w:t>If the damage exceeds $5,000.00, then within thirty (30) days after insurance proceeds are deposited with the Title Company in accordance with the provisions set forth</w:t>
      </w:r>
      <w:r>
        <w:rPr>
          <w:color w:val="231F20"/>
          <w:spacing w:val="-37"/>
          <w:sz w:val="24"/>
        </w:rPr>
        <w:t> </w:t>
      </w:r>
      <w:r>
        <w:rPr>
          <w:color w:val="231F20"/>
          <w:sz w:val="24"/>
        </w:rPr>
        <w:t>in Article VII, the manager or Board shall enter into a firm contract with a qualified builder providing for the restoration of the damaged or destroyed apartments to substantially the same condition as existed immediately prior to the insured loss, provided, however, that no contract shall be entered into by the manager or Board for an amount in excess of insurance proceeds then held by the Title Company, until additional funds are deposited pursuant</w:t>
      </w:r>
      <w:r>
        <w:rPr>
          <w:color w:val="231F20"/>
          <w:spacing w:val="-30"/>
          <w:sz w:val="24"/>
        </w:rPr>
        <w:t> </w:t>
      </w:r>
      <w:r>
        <w:rPr>
          <w:color w:val="231F20"/>
          <w:sz w:val="24"/>
        </w:rPr>
        <w:t>to</w:t>
      </w:r>
    </w:p>
    <w:p>
      <w:pPr>
        <w:spacing w:after="0" w:line="240" w:lineRule="auto"/>
        <w:jc w:val="left"/>
        <w:rPr>
          <w:sz w:val="24"/>
        </w:rPr>
        <w:sectPr>
          <w:pgSz w:w="12240" w:h="15840"/>
          <w:pgMar w:header="0" w:footer="868" w:top="1400" w:bottom="1140" w:left="1220" w:right="480"/>
        </w:sectPr>
      </w:pPr>
    </w:p>
    <w:p>
      <w:pPr>
        <w:pStyle w:val="BodyText"/>
        <w:spacing w:before="39"/>
        <w:ind w:left="220" w:right="991"/>
      </w:pPr>
      <w:r>
        <w:rPr>
          <w:color w:val="231F20"/>
        </w:rPr>
        <w:t>c.2. above, with the Title Company sufficient to cover all construction costs as determined by the Board. The restoration shall be commenced and completed with due diligence and in no event shall said contract provide for a completion date later than one hundred eight (180) days after the execution of the contract. The Board and mortgagees of record of the apartment affected shall have the right but not the obligation to deposit such additional funds in excess of insurance proceeds as may be required to permit restoration herein provided.</w:t>
      </w:r>
    </w:p>
    <w:p>
      <w:pPr>
        <w:pStyle w:val="BodyText"/>
        <w:spacing w:before="11"/>
        <w:rPr>
          <w:sz w:val="23"/>
        </w:rPr>
      </w:pPr>
    </w:p>
    <w:p>
      <w:pPr>
        <w:pStyle w:val="BodyText"/>
        <w:spacing w:line="242" w:lineRule="auto" w:before="1"/>
        <w:ind w:left="220" w:right="950" w:firstLine="1079"/>
      </w:pPr>
      <w:r>
        <w:rPr>
          <w:color w:val="231F20"/>
        </w:rPr>
        <w:t>If the damages are $5,000.00 or less, then repairs shall be made and paid for by the Board of Directors.</w:t>
      </w:r>
    </w:p>
    <w:p>
      <w:pPr>
        <w:pStyle w:val="BodyText"/>
        <w:spacing w:before="8"/>
        <w:rPr>
          <w:sz w:val="23"/>
        </w:rPr>
      </w:pPr>
    </w:p>
    <w:p>
      <w:pPr>
        <w:pStyle w:val="BodyText"/>
        <w:ind w:left="220" w:right="996" w:firstLine="1079"/>
      </w:pPr>
      <w:r>
        <w:rPr>
          <w:color w:val="231F20"/>
        </w:rPr>
        <w:t>In the event the manager or Board fails to enter into a contract as provided above for the restoration of the apartments, or in the event the restoration is not commenced or completed as provided above, then the mortgagee of record of an apartment with the consent of the Title Company shall have the right but not the obligation to enter into those contracts which it deems necessary to complete the restoration, and the trustee or mortgagee shall have the right to have said insurance proceeds applied in satisfaction of any obligations incurred pursuant to said contracts without liability of an apartment, including but not limited to liability for interest on the insurance proceeds.</w:t>
      </w:r>
    </w:p>
    <w:p>
      <w:pPr>
        <w:pStyle w:val="BodyText"/>
        <w:spacing w:before="11"/>
        <w:rPr>
          <w:sz w:val="23"/>
        </w:rPr>
      </w:pPr>
    </w:p>
    <w:p>
      <w:pPr>
        <w:pStyle w:val="ListParagraph"/>
        <w:numPr>
          <w:ilvl w:val="1"/>
          <w:numId w:val="10"/>
        </w:numPr>
        <w:tabs>
          <w:tab w:pos="1661" w:val="left" w:leader="none"/>
        </w:tabs>
        <w:spacing w:line="240" w:lineRule="auto" w:before="0" w:after="0"/>
        <w:ind w:left="220" w:right="1008" w:firstLine="1079"/>
        <w:jc w:val="left"/>
        <w:rPr>
          <w:sz w:val="24"/>
        </w:rPr>
      </w:pPr>
      <w:r>
        <w:rPr>
          <w:color w:val="231F20"/>
          <w:sz w:val="24"/>
        </w:rPr>
        <w:t>Disbursement of funds on deposit pursuant to the provisions above for</w:t>
      </w:r>
      <w:r>
        <w:rPr>
          <w:color w:val="231F20"/>
          <w:spacing w:val="-39"/>
          <w:sz w:val="24"/>
        </w:rPr>
        <w:t> </w:t>
      </w:r>
      <w:r>
        <w:rPr>
          <w:color w:val="231F20"/>
          <w:sz w:val="24"/>
        </w:rPr>
        <w:t>contracts for restoration entered into shall be made by Title Company, subject to the</w:t>
      </w:r>
      <w:r>
        <w:rPr>
          <w:color w:val="231F20"/>
          <w:spacing w:val="-21"/>
          <w:sz w:val="24"/>
        </w:rPr>
        <w:t> </w:t>
      </w:r>
      <w:r>
        <w:rPr>
          <w:color w:val="231F20"/>
          <w:sz w:val="24"/>
        </w:rPr>
        <w:t>following:</w:t>
      </w:r>
    </w:p>
    <w:p>
      <w:pPr>
        <w:pStyle w:val="BodyText"/>
        <w:spacing w:before="2"/>
      </w:pPr>
    </w:p>
    <w:p>
      <w:pPr>
        <w:pStyle w:val="BodyText"/>
        <w:ind w:left="220" w:right="1087" w:firstLine="1439"/>
      </w:pPr>
      <w:r>
        <w:rPr>
          <w:color w:val="231F20"/>
        </w:rPr>
        <w:t>Receipt by the Title Insurance Company of such sworn construction statements, lists of contractors, lien waivers and receipts as it shall determine to be appropriate.</w:t>
      </w:r>
    </w:p>
    <w:p>
      <w:pPr>
        <w:pStyle w:val="BodyText"/>
        <w:ind w:left="220" w:right="950"/>
      </w:pPr>
      <w:r>
        <w:rPr>
          <w:color w:val="231F20"/>
        </w:rPr>
        <w:t>Disbursements may be by periodic or progress payments as the Title Company may determine, and the Title Company may make such inspections and withhold such payments as it deems necessary to assure completion in compliance with the plans and specifications for the restoration. The Title Company shall be entitled to charge, and the trustee shall be empowered to pay a reasonable fee for the services rendered by the Title Company, and such fee shall be paid as and constitute a common expense.</w:t>
      </w:r>
    </w:p>
    <w:p>
      <w:pPr>
        <w:pStyle w:val="BodyText"/>
        <w:spacing w:before="11"/>
        <w:rPr>
          <w:sz w:val="23"/>
        </w:rPr>
      </w:pPr>
    </w:p>
    <w:p>
      <w:pPr>
        <w:pStyle w:val="ListParagraph"/>
        <w:numPr>
          <w:ilvl w:val="1"/>
          <w:numId w:val="10"/>
        </w:numPr>
        <w:tabs>
          <w:tab w:pos="1661" w:val="left" w:leader="none"/>
        </w:tabs>
        <w:spacing w:line="240" w:lineRule="auto" w:before="0" w:after="0"/>
        <w:ind w:left="220" w:right="1166" w:firstLine="1079"/>
        <w:jc w:val="left"/>
        <w:rPr>
          <w:sz w:val="24"/>
        </w:rPr>
      </w:pPr>
      <w:r>
        <w:rPr>
          <w:color w:val="231F20"/>
          <w:sz w:val="24"/>
        </w:rPr>
        <w:t>Nothing contained herein shall be construed to make the mortgagee or mortgagees, if any, responsible for the collection or non-collection of any insurance proceeds, said mortgagees being responsible solely for the insurance proceeds coming into their</w:t>
      </w:r>
      <w:r>
        <w:rPr>
          <w:color w:val="231F20"/>
          <w:spacing w:val="-32"/>
          <w:sz w:val="24"/>
        </w:rPr>
        <w:t> </w:t>
      </w:r>
      <w:r>
        <w:rPr>
          <w:color w:val="231F20"/>
          <w:sz w:val="24"/>
        </w:rPr>
        <w:t>hands.</w:t>
      </w:r>
    </w:p>
    <w:p>
      <w:pPr>
        <w:pStyle w:val="BodyText"/>
        <w:spacing w:before="11"/>
        <w:rPr>
          <w:sz w:val="23"/>
        </w:rPr>
      </w:pPr>
    </w:p>
    <w:p>
      <w:pPr>
        <w:pStyle w:val="ListParagraph"/>
        <w:numPr>
          <w:ilvl w:val="1"/>
          <w:numId w:val="10"/>
        </w:numPr>
        <w:tabs>
          <w:tab w:pos="1661" w:val="left" w:leader="none"/>
        </w:tabs>
        <w:spacing w:line="240" w:lineRule="auto" w:before="1" w:after="0"/>
        <w:ind w:left="220" w:right="1057" w:firstLine="1079"/>
        <w:jc w:val="left"/>
        <w:rPr>
          <w:sz w:val="24"/>
        </w:rPr>
      </w:pPr>
      <w:r>
        <w:rPr>
          <w:color w:val="231F20"/>
          <w:sz w:val="24"/>
        </w:rPr>
        <w:t>If insurance proceeds are not sufficient to pay the full cost of repair or construction, and the manager or Board pays any additional funds for restoration, the amount so paid shall be a common expense and shall be assessed as a special assessment by the Association, except that a holder of an interest shall be personally liable for any loss or</w:t>
      </w:r>
      <w:r>
        <w:rPr>
          <w:color w:val="231F20"/>
          <w:spacing w:val="-34"/>
          <w:sz w:val="24"/>
        </w:rPr>
        <w:t> </w:t>
      </w:r>
      <w:r>
        <w:rPr>
          <w:color w:val="231F20"/>
          <w:sz w:val="24"/>
        </w:rPr>
        <w:t>damage not covered by insurance proceeds that is due to the holder's intentional or negligent</w:t>
      </w:r>
      <w:r>
        <w:rPr>
          <w:color w:val="231F20"/>
          <w:spacing w:val="-22"/>
          <w:sz w:val="24"/>
        </w:rPr>
        <w:t> </w:t>
      </w:r>
      <w:r>
        <w:rPr>
          <w:color w:val="231F20"/>
          <w:sz w:val="24"/>
        </w:rPr>
        <w:t>act.</w:t>
      </w:r>
    </w:p>
    <w:p>
      <w:pPr>
        <w:spacing w:after="0" w:line="240" w:lineRule="auto"/>
        <w:jc w:val="left"/>
        <w:rPr>
          <w:sz w:val="24"/>
        </w:rPr>
        <w:sectPr>
          <w:pgSz w:w="12240" w:h="15840"/>
          <w:pgMar w:header="0" w:footer="868" w:top="1400" w:bottom="1140" w:left="1220" w:right="480"/>
        </w:sectPr>
      </w:pPr>
    </w:p>
    <w:p>
      <w:pPr>
        <w:pStyle w:val="ListParagraph"/>
        <w:numPr>
          <w:ilvl w:val="0"/>
          <w:numId w:val="10"/>
        </w:numPr>
        <w:tabs>
          <w:tab w:pos="1300" w:val="left" w:leader="none"/>
        </w:tabs>
        <w:spacing w:line="240" w:lineRule="auto" w:before="39" w:after="0"/>
        <w:ind w:left="1299" w:right="0" w:hanging="360"/>
        <w:jc w:val="left"/>
        <w:rPr>
          <w:sz w:val="24"/>
        </w:rPr>
      </w:pPr>
      <w:r>
        <w:rPr>
          <w:color w:val="231F20"/>
          <w:sz w:val="24"/>
          <w:u w:val="single" w:color="231F20"/>
        </w:rPr>
        <w:t>Waiver of</w:t>
      </w:r>
      <w:r>
        <w:rPr>
          <w:color w:val="231F20"/>
          <w:spacing w:val="1"/>
          <w:sz w:val="24"/>
          <w:u w:val="single" w:color="231F20"/>
        </w:rPr>
        <w:t> </w:t>
      </w:r>
      <w:r>
        <w:rPr>
          <w:color w:val="231F20"/>
          <w:sz w:val="24"/>
          <w:u w:val="single" w:color="231F20"/>
        </w:rPr>
        <w:t>Claims</w:t>
      </w:r>
      <w:r>
        <w:rPr>
          <w:color w:val="231F20"/>
          <w:sz w:val="24"/>
        </w:rPr>
        <w:t>.</w:t>
      </w:r>
    </w:p>
    <w:p>
      <w:pPr>
        <w:pStyle w:val="BodyText"/>
        <w:spacing w:before="147"/>
        <w:ind w:left="220" w:right="950" w:firstLine="1079"/>
      </w:pPr>
      <w:r>
        <w:rPr>
          <w:color w:val="231F20"/>
        </w:rPr>
        <w:t>Anything herein to the contrary notwithstanding, the Association agrees that it shall make no claim against any holder of an interest, and each holder of an interest agrees that he shall make no claims against the Association, the manager or any other holder or holders of an interest, for any loss or damage to any of the property or any holder's personal property or apartment, even if caused by the act or neglect of the Association, the manager or such other owner or owners, due to a peril insured against as is provided in Article VII, but only to the extent that said loss or damage is covered by such insurance, and all such claims are hereby waived and released.</w:t>
      </w:r>
    </w:p>
    <w:p>
      <w:pPr>
        <w:pStyle w:val="BodyText"/>
        <w:spacing w:before="1"/>
      </w:pPr>
    </w:p>
    <w:p>
      <w:pPr>
        <w:pStyle w:val="BodyText"/>
        <w:ind w:left="3477" w:right="4211"/>
        <w:jc w:val="center"/>
      </w:pPr>
      <w:r>
        <w:rPr>
          <w:color w:val="231F20"/>
          <w:u w:val="single" w:color="231F20"/>
        </w:rPr>
        <w:t>ARTICLE IX</w:t>
      </w:r>
    </w:p>
    <w:p>
      <w:pPr>
        <w:pStyle w:val="BodyText"/>
        <w:spacing w:before="147"/>
        <w:ind w:left="4130"/>
      </w:pPr>
      <w:r>
        <w:rPr>
          <w:color w:val="231F20"/>
          <w:u w:val="single" w:color="231F20"/>
        </w:rPr>
        <w:t>Storage Lockers</w:t>
      </w:r>
    </w:p>
    <w:p>
      <w:pPr>
        <w:pStyle w:val="BodyText"/>
        <w:spacing w:before="146"/>
        <w:ind w:left="220" w:right="950" w:firstLine="719"/>
      </w:pPr>
      <w:r>
        <w:rPr>
          <w:color w:val="231F20"/>
        </w:rPr>
        <w:t>Each apartment shall have a license for the exclusive use of a storage locker in a storage area within the same Building said license running with the apartment, except in the case of townhouse apartments which have storage in the garages.</w:t>
      </w:r>
    </w:p>
    <w:p>
      <w:pPr>
        <w:pStyle w:val="BodyText"/>
        <w:spacing w:before="11"/>
        <w:rPr>
          <w:sz w:val="23"/>
        </w:rPr>
      </w:pPr>
    </w:p>
    <w:p>
      <w:pPr>
        <w:pStyle w:val="BodyText"/>
        <w:ind w:left="3477" w:right="4213"/>
        <w:jc w:val="center"/>
      </w:pPr>
      <w:r>
        <w:rPr>
          <w:color w:val="231F20"/>
          <w:u w:val="single" w:color="231F20"/>
        </w:rPr>
        <w:t>ARTICLE X</w:t>
      </w:r>
    </w:p>
    <w:p>
      <w:pPr>
        <w:pStyle w:val="BodyText"/>
        <w:spacing w:before="147"/>
        <w:ind w:left="2032"/>
      </w:pPr>
      <w:r>
        <w:rPr>
          <w:color w:val="231F20"/>
          <w:u w:val="single" w:color="231F20"/>
        </w:rPr>
        <w:t>Maintenance and Repair of Common Area and Apartments</w:t>
      </w:r>
    </w:p>
    <w:p>
      <w:pPr>
        <w:pStyle w:val="ListParagraph"/>
        <w:numPr>
          <w:ilvl w:val="0"/>
          <w:numId w:val="11"/>
        </w:numPr>
        <w:tabs>
          <w:tab w:pos="1302" w:val="left" w:leader="none"/>
        </w:tabs>
        <w:spacing w:line="240" w:lineRule="auto" w:before="146" w:after="0"/>
        <w:ind w:left="220" w:right="1054" w:firstLine="719"/>
        <w:jc w:val="left"/>
        <w:rPr>
          <w:sz w:val="24"/>
        </w:rPr>
      </w:pPr>
      <w:r>
        <w:rPr>
          <w:color w:val="231F20"/>
          <w:sz w:val="24"/>
        </w:rPr>
        <w:t>The Association, at its expense, shall be responsible for the maintenance, repair</w:t>
      </w:r>
      <w:r>
        <w:rPr>
          <w:color w:val="231F20"/>
          <w:spacing w:val="-33"/>
          <w:sz w:val="24"/>
        </w:rPr>
        <w:t> </w:t>
      </w:r>
      <w:r>
        <w:rPr>
          <w:color w:val="231F20"/>
          <w:sz w:val="24"/>
        </w:rPr>
        <w:t>and replacement of all portions of the common area, except as herein specifically excluded, including:</w:t>
      </w:r>
    </w:p>
    <w:p>
      <w:pPr>
        <w:pStyle w:val="BodyText"/>
        <w:spacing w:before="2"/>
      </w:pPr>
    </w:p>
    <w:p>
      <w:pPr>
        <w:pStyle w:val="ListParagraph"/>
        <w:numPr>
          <w:ilvl w:val="1"/>
          <w:numId w:val="11"/>
        </w:numPr>
        <w:tabs>
          <w:tab w:pos="1840" w:val="left" w:leader="none"/>
          <w:tab w:pos="1841" w:val="left" w:leader="none"/>
        </w:tabs>
        <w:spacing w:line="240" w:lineRule="auto" w:before="0" w:after="0"/>
        <w:ind w:left="220" w:right="1099" w:firstLine="1079"/>
        <w:jc w:val="left"/>
        <w:rPr>
          <w:sz w:val="24"/>
        </w:rPr>
      </w:pPr>
      <w:r>
        <w:rPr>
          <w:color w:val="231F20"/>
          <w:sz w:val="24"/>
        </w:rPr>
        <w:t>all portions of the Apartment which contribute to the support of the building including,</w:t>
      </w:r>
      <w:r>
        <w:rPr>
          <w:color w:val="231F20"/>
          <w:spacing w:val="-3"/>
          <w:sz w:val="24"/>
        </w:rPr>
        <w:t> </w:t>
      </w:r>
      <w:r>
        <w:rPr>
          <w:color w:val="231F20"/>
          <w:sz w:val="24"/>
        </w:rPr>
        <w:t>without</w:t>
      </w:r>
      <w:r>
        <w:rPr>
          <w:color w:val="231F20"/>
          <w:spacing w:val="-2"/>
          <w:sz w:val="24"/>
        </w:rPr>
        <w:t> </w:t>
      </w:r>
      <w:r>
        <w:rPr>
          <w:color w:val="231F20"/>
          <w:sz w:val="24"/>
        </w:rPr>
        <w:t>intending</w:t>
      </w:r>
      <w:r>
        <w:rPr>
          <w:color w:val="231F20"/>
          <w:spacing w:val="-3"/>
          <w:sz w:val="24"/>
        </w:rPr>
        <w:t> </w:t>
      </w:r>
      <w:r>
        <w:rPr>
          <w:color w:val="231F20"/>
          <w:sz w:val="24"/>
        </w:rPr>
        <w:t>to</w:t>
      </w:r>
      <w:r>
        <w:rPr>
          <w:color w:val="231F20"/>
          <w:spacing w:val="-2"/>
          <w:sz w:val="24"/>
        </w:rPr>
        <w:t> </w:t>
      </w:r>
      <w:r>
        <w:rPr>
          <w:color w:val="231F20"/>
          <w:sz w:val="24"/>
        </w:rPr>
        <w:t>limit</w:t>
      </w:r>
      <w:r>
        <w:rPr>
          <w:color w:val="231F20"/>
          <w:spacing w:val="-4"/>
          <w:sz w:val="24"/>
        </w:rPr>
        <w:t> </w:t>
      </w:r>
      <w:r>
        <w:rPr>
          <w:color w:val="231F20"/>
          <w:sz w:val="24"/>
        </w:rPr>
        <w:t>the</w:t>
      </w:r>
      <w:r>
        <w:rPr>
          <w:color w:val="231F20"/>
          <w:spacing w:val="-5"/>
          <w:sz w:val="24"/>
        </w:rPr>
        <w:t> </w:t>
      </w:r>
      <w:r>
        <w:rPr>
          <w:color w:val="231F20"/>
          <w:sz w:val="24"/>
        </w:rPr>
        <w:t>same</w:t>
      </w:r>
      <w:r>
        <w:rPr>
          <w:color w:val="231F20"/>
          <w:spacing w:val="-4"/>
          <w:sz w:val="24"/>
        </w:rPr>
        <w:t> </w:t>
      </w:r>
      <w:r>
        <w:rPr>
          <w:color w:val="231F20"/>
          <w:sz w:val="24"/>
        </w:rPr>
        <w:t>to,</w:t>
      </w:r>
      <w:r>
        <w:rPr>
          <w:color w:val="231F20"/>
          <w:spacing w:val="-7"/>
          <w:sz w:val="24"/>
        </w:rPr>
        <w:t> </w:t>
      </w:r>
      <w:r>
        <w:rPr>
          <w:color w:val="231F20"/>
          <w:sz w:val="24"/>
        </w:rPr>
        <w:t>outside</w:t>
      </w:r>
      <w:r>
        <w:rPr>
          <w:color w:val="231F20"/>
          <w:spacing w:val="-2"/>
          <w:sz w:val="24"/>
        </w:rPr>
        <w:t> </w:t>
      </w:r>
      <w:r>
        <w:rPr>
          <w:color w:val="231F20"/>
          <w:sz w:val="24"/>
        </w:rPr>
        <w:t>walls</w:t>
      </w:r>
      <w:r>
        <w:rPr>
          <w:color w:val="231F20"/>
          <w:spacing w:val="-3"/>
          <w:sz w:val="24"/>
        </w:rPr>
        <w:t> </w:t>
      </w:r>
      <w:r>
        <w:rPr>
          <w:color w:val="231F20"/>
          <w:sz w:val="24"/>
        </w:rPr>
        <w:t>of</w:t>
      </w:r>
      <w:r>
        <w:rPr>
          <w:color w:val="231F20"/>
          <w:spacing w:val="-4"/>
          <w:sz w:val="24"/>
        </w:rPr>
        <w:t> </w:t>
      </w:r>
      <w:r>
        <w:rPr>
          <w:color w:val="231F20"/>
          <w:sz w:val="24"/>
        </w:rPr>
        <w:t>the</w:t>
      </w:r>
      <w:r>
        <w:rPr>
          <w:color w:val="231F20"/>
          <w:spacing w:val="-2"/>
          <w:sz w:val="24"/>
        </w:rPr>
        <w:t> </w:t>
      </w:r>
      <w:r>
        <w:rPr>
          <w:color w:val="231F20"/>
          <w:sz w:val="24"/>
        </w:rPr>
        <w:t>building,</w:t>
      </w:r>
      <w:r>
        <w:rPr>
          <w:color w:val="231F20"/>
          <w:spacing w:val="-3"/>
          <w:sz w:val="24"/>
        </w:rPr>
        <w:t> </w:t>
      </w:r>
      <w:r>
        <w:rPr>
          <w:color w:val="231F20"/>
          <w:sz w:val="24"/>
        </w:rPr>
        <w:t>structural</w:t>
      </w:r>
      <w:r>
        <w:rPr>
          <w:color w:val="231F20"/>
          <w:spacing w:val="-2"/>
          <w:sz w:val="24"/>
        </w:rPr>
        <w:t> </w:t>
      </w:r>
      <w:r>
        <w:rPr>
          <w:color w:val="231F20"/>
          <w:sz w:val="24"/>
        </w:rPr>
        <w:t>slabs, roofs, interior boundary walls of Apartments and interior load-bearing columns and load bearing walls within an apartment, excluding, however, ceiling, walls and floor surfaces, exterior apartment windows and exterior apartment</w:t>
      </w:r>
      <w:r>
        <w:rPr>
          <w:color w:val="231F20"/>
          <w:spacing w:val="-7"/>
          <w:sz w:val="24"/>
        </w:rPr>
        <w:t> </w:t>
      </w:r>
      <w:r>
        <w:rPr>
          <w:color w:val="231F20"/>
          <w:sz w:val="24"/>
        </w:rPr>
        <w:t>doors.</w:t>
      </w:r>
    </w:p>
    <w:p>
      <w:pPr>
        <w:pStyle w:val="BodyText"/>
        <w:spacing w:before="11"/>
        <w:rPr>
          <w:sz w:val="23"/>
        </w:rPr>
      </w:pPr>
    </w:p>
    <w:p>
      <w:pPr>
        <w:pStyle w:val="ListParagraph"/>
        <w:numPr>
          <w:ilvl w:val="1"/>
          <w:numId w:val="11"/>
        </w:numPr>
        <w:tabs>
          <w:tab w:pos="1840" w:val="left" w:leader="none"/>
          <w:tab w:pos="1841" w:val="left" w:leader="none"/>
        </w:tabs>
        <w:spacing w:line="240" w:lineRule="auto" w:before="0" w:after="0"/>
        <w:ind w:left="220" w:right="1088" w:firstLine="1079"/>
        <w:jc w:val="left"/>
        <w:rPr>
          <w:sz w:val="24"/>
        </w:rPr>
      </w:pPr>
      <w:r>
        <w:rPr>
          <w:color w:val="231F20"/>
          <w:sz w:val="24"/>
        </w:rPr>
        <w:t>all conduits, ducts and plumbing to the apartment; wiring from the main service to the circuit breaker box; domestic hot water heaters and plumbing thereto from the main service; whether within the apartment or within common areas or other apartments; the central TV antenna system; and other facilities to the apartment for the furnishing of utility service which may be contained in the apartment, but excluding therefrom the following: appliances, plumbing fixtures, electrical wiring and fixtures, and heating and air conditioning equipment which include roof-top condenser units with plumbing and wiring thereto from the apartment.</w:t>
      </w:r>
    </w:p>
    <w:p>
      <w:pPr>
        <w:pStyle w:val="BodyText"/>
        <w:spacing w:before="1"/>
      </w:pPr>
    </w:p>
    <w:p>
      <w:pPr>
        <w:pStyle w:val="ListParagraph"/>
        <w:numPr>
          <w:ilvl w:val="1"/>
          <w:numId w:val="11"/>
        </w:numPr>
        <w:tabs>
          <w:tab w:pos="1840" w:val="left" w:leader="none"/>
          <w:tab w:pos="1841" w:val="left" w:leader="none"/>
        </w:tabs>
        <w:spacing w:line="240" w:lineRule="auto" w:before="1" w:after="0"/>
        <w:ind w:left="220" w:right="1005" w:firstLine="1079"/>
        <w:jc w:val="left"/>
        <w:rPr>
          <w:sz w:val="24"/>
        </w:rPr>
      </w:pPr>
      <w:r>
        <w:rPr>
          <w:color w:val="231F20"/>
          <w:sz w:val="24"/>
        </w:rPr>
        <w:t>all other portions of the common area not within any apartment except</w:t>
      </w:r>
      <w:r>
        <w:rPr>
          <w:color w:val="231F20"/>
          <w:spacing w:val="-33"/>
          <w:sz w:val="24"/>
        </w:rPr>
        <w:t> </w:t>
      </w:r>
      <w:r>
        <w:rPr>
          <w:color w:val="231F20"/>
          <w:sz w:val="24"/>
        </w:rPr>
        <w:t>garage doors and storage lockers assigned to individual owners.</w:t>
      </w:r>
    </w:p>
    <w:p>
      <w:pPr>
        <w:spacing w:after="0" w:line="240" w:lineRule="auto"/>
        <w:jc w:val="left"/>
        <w:rPr>
          <w:sz w:val="24"/>
        </w:rPr>
        <w:sectPr>
          <w:pgSz w:w="12240" w:h="15840"/>
          <w:pgMar w:header="0" w:footer="868" w:top="1400" w:bottom="1140" w:left="1220" w:right="480"/>
        </w:sectPr>
      </w:pPr>
    </w:p>
    <w:p>
      <w:pPr>
        <w:pStyle w:val="ListParagraph"/>
        <w:numPr>
          <w:ilvl w:val="1"/>
          <w:numId w:val="11"/>
        </w:numPr>
        <w:tabs>
          <w:tab w:pos="1841" w:val="left" w:leader="none"/>
          <w:tab w:pos="1842" w:val="left" w:leader="none"/>
        </w:tabs>
        <w:spacing w:line="240" w:lineRule="auto" w:before="39" w:after="0"/>
        <w:ind w:left="220" w:right="1049" w:firstLine="1079"/>
        <w:jc w:val="left"/>
        <w:rPr>
          <w:sz w:val="24"/>
        </w:rPr>
      </w:pPr>
      <w:r>
        <w:rPr>
          <w:color w:val="231F20"/>
          <w:sz w:val="24"/>
        </w:rPr>
        <w:t>all incidental damage caused to an apartment by such work as may </w:t>
      </w:r>
      <w:r>
        <w:rPr>
          <w:color w:val="231F20"/>
          <w:spacing w:val="2"/>
          <w:sz w:val="24"/>
        </w:rPr>
        <w:t>be </w:t>
      </w:r>
      <w:r>
        <w:rPr>
          <w:color w:val="231F20"/>
          <w:sz w:val="24"/>
        </w:rPr>
        <w:t>done</w:t>
      </w:r>
      <w:r>
        <w:rPr>
          <w:color w:val="231F20"/>
          <w:spacing w:val="-25"/>
          <w:sz w:val="24"/>
        </w:rPr>
        <w:t> </w:t>
      </w:r>
      <w:r>
        <w:rPr>
          <w:color w:val="231F20"/>
          <w:sz w:val="24"/>
        </w:rPr>
        <w:t>or caused to be done by the Association in accordance</w:t>
      </w:r>
      <w:r>
        <w:rPr>
          <w:color w:val="231F20"/>
          <w:spacing w:val="-8"/>
          <w:sz w:val="24"/>
        </w:rPr>
        <w:t> </w:t>
      </w:r>
      <w:r>
        <w:rPr>
          <w:color w:val="231F20"/>
          <w:sz w:val="24"/>
        </w:rPr>
        <w:t>therewith.</w:t>
      </w:r>
    </w:p>
    <w:p>
      <w:pPr>
        <w:pStyle w:val="BodyText"/>
      </w:pPr>
    </w:p>
    <w:p>
      <w:pPr>
        <w:pStyle w:val="ListParagraph"/>
        <w:numPr>
          <w:ilvl w:val="0"/>
          <w:numId w:val="11"/>
        </w:numPr>
        <w:tabs>
          <w:tab w:pos="1302" w:val="left" w:leader="none"/>
        </w:tabs>
        <w:spacing w:line="240" w:lineRule="auto" w:before="0" w:after="0"/>
        <w:ind w:left="1301" w:right="0" w:hanging="362"/>
        <w:jc w:val="left"/>
        <w:rPr>
          <w:sz w:val="24"/>
        </w:rPr>
      </w:pPr>
      <w:r>
        <w:rPr>
          <w:color w:val="231F20"/>
          <w:sz w:val="24"/>
        </w:rPr>
        <w:t>The Apartment Owner is responsible as</w:t>
      </w:r>
      <w:r>
        <w:rPr>
          <w:color w:val="231F20"/>
          <w:spacing w:val="-1"/>
          <w:sz w:val="24"/>
        </w:rPr>
        <w:t> </w:t>
      </w:r>
      <w:r>
        <w:rPr>
          <w:color w:val="231F20"/>
          <w:sz w:val="24"/>
        </w:rPr>
        <w:t>follows:</w:t>
      </w:r>
    </w:p>
    <w:p>
      <w:pPr>
        <w:pStyle w:val="ListParagraph"/>
        <w:numPr>
          <w:ilvl w:val="1"/>
          <w:numId w:val="11"/>
        </w:numPr>
        <w:tabs>
          <w:tab w:pos="1841" w:val="left" w:leader="none"/>
          <w:tab w:pos="1842" w:val="left" w:leader="none"/>
        </w:tabs>
        <w:spacing w:line="240" w:lineRule="auto" w:before="146" w:after="0"/>
        <w:ind w:left="220" w:right="969" w:firstLine="1079"/>
        <w:jc w:val="left"/>
        <w:rPr>
          <w:sz w:val="24"/>
        </w:rPr>
      </w:pPr>
      <w:r>
        <w:rPr>
          <w:color w:val="231F20"/>
          <w:sz w:val="24"/>
        </w:rPr>
        <w:t>to maintain, repair and replace, at his expense exterior doors and windows; fireplaces and fireplace systems; appliances; heating and air conditioning systems; electrical wiring from circuit breakers box; parquet, tile, carpeting and other floor coverings; light fixtures;</w:t>
      </w:r>
      <w:r>
        <w:rPr>
          <w:color w:val="231F20"/>
          <w:spacing w:val="-3"/>
          <w:sz w:val="24"/>
        </w:rPr>
        <w:t> </w:t>
      </w:r>
      <w:r>
        <w:rPr>
          <w:color w:val="231F20"/>
          <w:sz w:val="24"/>
        </w:rPr>
        <w:t>TV</w:t>
      </w:r>
      <w:r>
        <w:rPr>
          <w:color w:val="231F20"/>
          <w:spacing w:val="-2"/>
          <w:sz w:val="24"/>
        </w:rPr>
        <w:t> </w:t>
      </w:r>
      <w:r>
        <w:rPr>
          <w:color w:val="231F20"/>
          <w:sz w:val="24"/>
        </w:rPr>
        <w:t>antenna</w:t>
      </w:r>
      <w:r>
        <w:rPr>
          <w:color w:val="231F20"/>
          <w:spacing w:val="-6"/>
          <w:sz w:val="24"/>
        </w:rPr>
        <w:t> </w:t>
      </w:r>
      <w:r>
        <w:rPr>
          <w:color w:val="231F20"/>
          <w:sz w:val="24"/>
        </w:rPr>
        <w:t>wiring</w:t>
      </w:r>
      <w:r>
        <w:rPr>
          <w:color w:val="231F20"/>
          <w:spacing w:val="-2"/>
          <w:sz w:val="24"/>
        </w:rPr>
        <w:t> </w:t>
      </w:r>
      <w:r>
        <w:rPr>
          <w:color w:val="231F20"/>
          <w:sz w:val="24"/>
        </w:rPr>
        <w:t>within</w:t>
      </w:r>
      <w:r>
        <w:rPr>
          <w:color w:val="231F20"/>
          <w:spacing w:val="-4"/>
          <w:sz w:val="24"/>
        </w:rPr>
        <w:t> </w:t>
      </w:r>
      <w:r>
        <w:rPr>
          <w:color w:val="231F20"/>
          <w:sz w:val="24"/>
        </w:rPr>
        <w:t>the</w:t>
      </w:r>
      <w:r>
        <w:rPr>
          <w:color w:val="231F20"/>
          <w:spacing w:val="-5"/>
          <w:sz w:val="24"/>
        </w:rPr>
        <w:t> </w:t>
      </w:r>
      <w:r>
        <w:rPr>
          <w:color w:val="231F20"/>
          <w:sz w:val="24"/>
        </w:rPr>
        <w:t>apartment;</w:t>
      </w:r>
      <w:r>
        <w:rPr>
          <w:color w:val="231F20"/>
          <w:spacing w:val="-7"/>
          <w:sz w:val="24"/>
        </w:rPr>
        <w:t> </w:t>
      </w:r>
      <w:r>
        <w:rPr>
          <w:color w:val="231F20"/>
          <w:sz w:val="24"/>
        </w:rPr>
        <w:t>plumbing</w:t>
      </w:r>
      <w:r>
        <w:rPr>
          <w:color w:val="231F20"/>
          <w:spacing w:val="-5"/>
          <w:sz w:val="24"/>
        </w:rPr>
        <w:t> </w:t>
      </w:r>
      <w:r>
        <w:rPr>
          <w:color w:val="231F20"/>
          <w:sz w:val="24"/>
        </w:rPr>
        <w:t>fixtures;</w:t>
      </w:r>
      <w:r>
        <w:rPr>
          <w:color w:val="231F20"/>
          <w:spacing w:val="-5"/>
          <w:sz w:val="24"/>
        </w:rPr>
        <w:t> </w:t>
      </w:r>
      <w:r>
        <w:rPr>
          <w:color w:val="231F20"/>
          <w:sz w:val="24"/>
        </w:rPr>
        <w:t>decorating;</w:t>
      </w:r>
      <w:r>
        <w:rPr>
          <w:color w:val="231F20"/>
          <w:spacing w:val="-5"/>
          <w:sz w:val="24"/>
        </w:rPr>
        <w:t> </w:t>
      </w:r>
      <w:r>
        <w:rPr>
          <w:color w:val="231F20"/>
          <w:sz w:val="24"/>
        </w:rPr>
        <w:t>storage</w:t>
      </w:r>
      <w:r>
        <w:rPr>
          <w:color w:val="231F20"/>
          <w:spacing w:val="-3"/>
          <w:sz w:val="24"/>
        </w:rPr>
        <w:t> </w:t>
      </w:r>
      <w:r>
        <w:rPr>
          <w:color w:val="231F20"/>
          <w:sz w:val="24"/>
        </w:rPr>
        <w:t>lockers and doors of garages allocated to the individual owner; patio landscaping and improvements; and all other portions of the Apartment except the portions of each to be maintained, repaired, and replaced by the</w:t>
      </w:r>
      <w:r>
        <w:rPr>
          <w:color w:val="231F20"/>
          <w:spacing w:val="-3"/>
          <w:sz w:val="24"/>
        </w:rPr>
        <w:t> </w:t>
      </w:r>
      <w:r>
        <w:rPr>
          <w:color w:val="231F20"/>
          <w:sz w:val="24"/>
        </w:rPr>
        <w:t>Association;</w:t>
      </w:r>
    </w:p>
    <w:p>
      <w:pPr>
        <w:pStyle w:val="BodyText"/>
        <w:spacing w:before="2"/>
      </w:pPr>
    </w:p>
    <w:p>
      <w:pPr>
        <w:pStyle w:val="ListParagraph"/>
        <w:numPr>
          <w:ilvl w:val="1"/>
          <w:numId w:val="11"/>
        </w:numPr>
        <w:tabs>
          <w:tab w:pos="1841" w:val="left" w:leader="none"/>
          <w:tab w:pos="1842" w:val="left" w:leader="none"/>
        </w:tabs>
        <w:spacing w:line="240" w:lineRule="auto" w:before="0" w:after="0"/>
        <w:ind w:left="220" w:right="1027" w:firstLine="1079"/>
        <w:jc w:val="left"/>
        <w:rPr>
          <w:sz w:val="24"/>
        </w:rPr>
      </w:pPr>
      <w:r>
        <w:rPr>
          <w:color w:val="231F20"/>
          <w:sz w:val="24"/>
        </w:rPr>
        <w:t>to perform his responsibilities in such manner </w:t>
      </w:r>
      <w:r>
        <w:rPr>
          <w:color w:val="231F20"/>
          <w:spacing w:val="2"/>
          <w:sz w:val="24"/>
        </w:rPr>
        <w:t>so </w:t>
      </w:r>
      <w:r>
        <w:rPr>
          <w:color w:val="231F20"/>
          <w:sz w:val="24"/>
        </w:rPr>
        <w:t>as not unreasonably to disturb other persons residing within the Building or cause expense to the Association by waste of water, gas or other;</w:t>
      </w:r>
    </w:p>
    <w:p>
      <w:pPr>
        <w:pStyle w:val="BodyText"/>
        <w:spacing w:before="11"/>
        <w:rPr>
          <w:sz w:val="23"/>
        </w:rPr>
      </w:pPr>
    </w:p>
    <w:p>
      <w:pPr>
        <w:pStyle w:val="ListParagraph"/>
        <w:numPr>
          <w:ilvl w:val="1"/>
          <w:numId w:val="11"/>
        </w:numPr>
        <w:tabs>
          <w:tab w:pos="1841" w:val="left" w:leader="none"/>
          <w:tab w:pos="1842" w:val="left" w:leader="none"/>
        </w:tabs>
        <w:spacing w:line="240" w:lineRule="auto" w:before="1" w:after="0"/>
        <w:ind w:left="220" w:right="975" w:firstLine="1079"/>
        <w:jc w:val="left"/>
        <w:rPr>
          <w:sz w:val="24"/>
        </w:rPr>
      </w:pPr>
      <w:r>
        <w:rPr>
          <w:color w:val="231F20"/>
          <w:sz w:val="24"/>
        </w:rPr>
        <w:t>not to paint or otherwise decorate or change the outside appearance of any balcony,</w:t>
      </w:r>
      <w:r>
        <w:rPr>
          <w:color w:val="231F20"/>
          <w:spacing w:val="-5"/>
          <w:sz w:val="24"/>
        </w:rPr>
        <w:t> </w:t>
      </w:r>
      <w:r>
        <w:rPr>
          <w:color w:val="231F20"/>
          <w:sz w:val="24"/>
        </w:rPr>
        <w:t>patio</w:t>
      </w:r>
      <w:r>
        <w:rPr>
          <w:color w:val="231F20"/>
          <w:spacing w:val="-1"/>
          <w:sz w:val="24"/>
        </w:rPr>
        <w:t> </w:t>
      </w:r>
      <w:r>
        <w:rPr>
          <w:color w:val="231F20"/>
          <w:sz w:val="24"/>
        </w:rPr>
        <w:t>or</w:t>
      </w:r>
      <w:r>
        <w:rPr>
          <w:color w:val="231F20"/>
          <w:spacing w:val="-4"/>
          <w:sz w:val="24"/>
        </w:rPr>
        <w:t> </w:t>
      </w:r>
      <w:r>
        <w:rPr>
          <w:color w:val="231F20"/>
          <w:sz w:val="24"/>
        </w:rPr>
        <w:t>any</w:t>
      </w:r>
      <w:r>
        <w:rPr>
          <w:color w:val="231F20"/>
          <w:spacing w:val="-4"/>
          <w:sz w:val="24"/>
        </w:rPr>
        <w:t> </w:t>
      </w:r>
      <w:r>
        <w:rPr>
          <w:color w:val="231F20"/>
          <w:sz w:val="24"/>
        </w:rPr>
        <w:t>other</w:t>
      </w:r>
      <w:r>
        <w:rPr>
          <w:color w:val="231F20"/>
          <w:spacing w:val="3"/>
          <w:sz w:val="24"/>
        </w:rPr>
        <w:t> </w:t>
      </w:r>
      <w:r>
        <w:rPr>
          <w:color w:val="231F20"/>
          <w:sz w:val="24"/>
        </w:rPr>
        <w:t>portion</w:t>
      </w:r>
      <w:r>
        <w:rPr>
          <w:color w:val="231F20"/>
          <w:spacing w:val="-4"/>
          <w:sz w:val="24"/>
        </w:rPr>
        <w:t> </w:t>
      </w:r>
      <w:r>
        <w:rPr>
          <w:color w:val="231F20"/>
          <w:sz w:val="24"/>
        </w:rPr>
        <w:t>of</w:t>
      </w:r>
      <w:r>
        <w:rPr>
          <w:color w:val="231F20"/>
          <w:spacing w:val="-5"/>
          <w:sz w:val="24"/>
        </w:rPr>
        <w:t> </w:t>
      </w:r>
      <w:r>
        <w:rPr>
          <w:color w:val="231F20"/>
          <w:sz w:val="24"/>
        </w:rPr>
        <w:t>the</w:t>
      </w:r>
      <w:r>
        <w:rPr>
          <w:color w:val="231F20"/>
          <w:spacing w:val="-1"/>
          <w:sz w:val="24"/>
        </w:rPr>
        <w:t> </w:t>
      </w:r>
      <w:r>
        <w:rPr>
          <w:color w:val="231F20"/>
          <w:sz w:val="24"/>
        </w:rPr>
        <w:t>Building</w:t>
      </w:r>
      <w:r>
        <w:rPr>
          <w:color w:val="231F20"/>
          <w:spacing w:val="-2"/>
          <w:sz w:val="24"/>
        </w:rPr>
        <w:t> </w:t>
      </w:r>
      <w:r>
        <w:rPr>
          <w:color w:val="231F20"/>
          <w:sz w:val="24"/>
        </w:rPr>
        <w:t>not</w:t>
      </w:r>
      <w:r>
        <w:rPr>
          <w:color w:val="231F20"/>
          <w:spacing w:val="-1"/>
          <w:sz w:val="24"/>
        </w:rPr>
        <w:t> </w:t>
      </w:r>
      <w:r>
        <w:rPr>
          <w:color w:val="231F20"/>
          <w:sz w:val="24"/>
        </w:rPr>
        <w:t>within</w:t>
      </w:r>
      <w:r>
        <w:rPr>
          <w:color w:val="231F20"/>
          <w:spacing w:val="-3"/>
          <w:sz w:val="24"/>
        </w:rPr>
        <w:t> </w:t>
      </w:r>
      <w:r>
        <w:rPr>
          <w:color w:val="231F20"/>
          <w:sz w:val="24"/>
        </w:rPr>
        <w:t>the</w:t>
      </w:r>
      <w:r>
        <w:rPr>
          <w:color w:val="231F20"/>
          <w:spacing w:val="-1"/>
          <w:sz w:val="24"/>
        </w:rPr>
        <w:t> </w:t>
      </w:r>
      <w:r>
        <w:rPr>
          <w:color w:val="231F20"/>
          <w:sz w:val="24"/>
        </w:rPr>
        <w:t>walls</w:t>
      </w:r>
      <w:r>
        <w:rPr>
          <w:color w:val="231F20"/>
          <w:spacing w:val="-3"/>
          <w:sz w:val="24"/>
        </w:rPr>
        <w:t> </w:t>
      </w:r>
      <w:r>
        <w:rPr>
          <w:color w:val="231F20"/>
          <w:sz w:val="24"/>
        </w:rPr>
        <w:t>of</w:t>
      </w:r>
      <w:r>
        <w:rPr>
          <w:color w:val="231F20"/>
          <w:spacing w:val="-3"/>
          <w:sz w:val="24"/>
        </w:rPr>
        <w:t> </w:t>
      </w:r>
      <w:r>
        <w:rPr>
          <w:color w:val="231F20"/>
          <w:sz w:val="24"/>
        </w:rPr>
        <w:t>the</w:t>
      </w:r>
      <w:r>
        <w:rPr>
          <w:color w:val="231F20"/>
          <w:spacing w:val="-4"/>
          <w:sz w:val="24"/>
        </w:rPr>
        <w:t> </w:t>
      </w:r>
      <w:r>
        <w:rPr>
          <w:color w:val="231F20"/>
          <w:sz w:val="24"/>
        </w:rPr>
        <w:t>Apartment,</w:t>
      </w:r>
      <w:r>
        <w:rPr>
          <w:color w:val="231F20"/>
          <w:spacing w:val="-4"/>
          <w:sz w:val="24"/>
        </w:rPr>
        <w:t> </w:t>
      </w:r>
      <w:r>
        <w:rPr>
          <w:color w:val="231F20"/>
          <w:sz w:val="24"/>
        </w:rPr>
        <w:t>unless the written consent of the Board of Directors is</w:t>
      </w:r>
      <w:r>
        <w:rPr>
          <w:color w:val="231F20"/>
          <w:spacing w:val="-9"/>
          <w:sz w:val="24"/>
        </w:rPr>
        <w:t> </w:t>
      </w:r>
      <w:r>
        <w:rPr>
          <w:color w:val="231F20"/>
          <w:sz w:val="24"/>
        </w:rPr>
        <w:t>obtained;</w:t>
      </w:r>
    </w:p>
    <w:p>
      <w:pPr>
        <w:pStyle w:val="BodyText"/>
        <w:spacing w:before="11"/>
        <w:rPr>
          <w:sz w:val="23"/>
        </w:rPr>
      </w:pPr>
    </w:p>
    <w:p>
      <w:pPr>
        <w:pStyle w:val="ListParagraph"/>
        <w:numPr>
          <w:ilvl w:val="1"/>
          <w:numId w:val="11"/>
        </w:numPr>
        <w:tabs>
          <w:tab w:pos="1840" w:val="left" w:leader="none"/>
          <w:tab w:pos="1841" w:val="left" w:leader="none"/>
        </w:tabs>
        <w:spacing w:line="242" w:lineRule="auto" w:before="0" w:after="0"/>
        <w:ind w:left="220" w:right="1679" w:firstLine="1079"/>
        <w:jc w:val="left"/>
        <w:rPr>
          <w:sz w:val="24"/>
        </w:rPr>
      </w:pPr>
      <w:r>
        <w:rPr>
          <w:color w:val="231F20"/>
          <w:sz w:val="24"/>
        </w:rPr>
        <w:t>to promptly report to the Association or its agent any defect or need</w:t>
      </w:r>
      <w:r>
        <w:rPr>
          <w:color w:val="231F20"/>
          <w:spacing w:val="-32"/>
          <w:sz w:val="24"/>
        </w:rPr>
        <w:t> </w:t>
      </w:r>
      <w:r>
        <w:rPr>
          <w:color w:val="231F20"/>
          <w:sz w:val="24"/>
        </w:rPr>
        <w:t>for repairs, the responsibility for the remedying of which is with the</w:t>
      </w:r>
      <w:r>
        <w:rPr>
          <w:color w:val="231F20"/>
          <w:spacing w:val="-9"/>
          <w:sz w:val="24"/>
        </w:rPr>
        <w:t> </w:t>
      </w:r>
      <w:r>
        <w:rPr>
          <w:color w:val="231F20"/>
          <w:sz w:val="24"/>
        </w:rPr>
        <w:t>Association;</w:t>
      </w:r>
    </w:p>
    <w:p>
      <w:pPr>
        <w:pStyle w:val="BodyText"/>
        <w:spacing w:before="8"/>
        <w:rPr>
          <w:sz w:val="23"/>
        </w:rPr>
      </w:pPr>
    </w:p>
    <w:p>
      <w:pPr>
        <w:pStyle w:val="ListParagraph"/>
        <w:numPr>
          <w:ilvl w:val="1"/>
          <w:numId w:val="11"/>
        </w:numPr>
        <w:tabs>
          <w:tab w:pos="1841" w:val="left" w:leader="none"/>
          <w:tab w:pos="1842" w:val="left" w:leader="none"/>
        </w:tabs>
        <w:spacing w:line="240" w:lineRule="auto" w:before="0" w:after="0"/>
        <w:ind w:left="220" w:right="1088" w:firstLine="1079"/>
        <w:jc w:val="left"/>
        <w:rPr>
          <w:sz w:val="24"/>
        </w:rPr>
      </w:pPr>
      <w:r>
        <w:rPr>
          <w:color w:val="231F20"/>
          <w:sz w:val="24"/>
        </w:rPr>
        <w:t>An apartment owner shall not make any changes within an apartment that affects</w:t>
      </w:r>
      <w:r>
        <w:rPr>
          <w:color w:val="231F20"/>
          <w:spacing w:val="-3"/>
          <w:sz w:val="24"/>
        </w:rPr>
        <w:t> </w:t>
      </w:r>
      <w:r>
        <w:rPr>
          <w:color w:val="231F20"/>
          <w:sz w:val="24"/>
        </w:rPr>
        <w:t>the</w:t>
      </w:r>
      <w:r>
        <w:rPr>
          <w:color w:val="231F20"/>
          <w:spacing w:val="-1"/>
          <w:sz w:val="24"/>
        </w:rPr>
        <w:t> </w:t>
      </w:r>
      <w:r>
        <w:rPr>
          <w:color w:val="231F20"/>
          <w:sz w:val="24"/>
        </w:rPr>
        <w:t>structural</w:t>
      </w:r>
      <w:r>
        <w:rPr>
          <w:color w:val="231F20"/>
          <w:spacing w:val="-5"/>
          <w:sz w:val="24"/>
        </w:rPr>
        <w:t> </w:t>
      </w:r>
      <w:r>
        <w:rPr>
          <w:color w:val="231F20"/>
          <w:sz w:val="24"/>
        </w:rPr>
        <w:t>support</w:t>
      </w:r>
      <w:r>
        <w:rPr>
          <w:color w:val="231F20"/>
          <w:spacing w:val="-2"/>
          <w:sz w:val="24"/>
        </w:rPr>
        <w:t> </w:t>
      </w:r>
      <w:r>
        <w:rPr>
          <w:color w:val="231F20"/>
          <w:sz w:val="24"/>
        </w:rPr>
        <w:t>of</w:t>
      </w:r>
      <w:r>
        <w:rPr>
          <w:color w:val="231F20"/>
          <w:spacing w:val="-4"/>
          <w:sz w:val="24"/>
        </w:rPr>
        <w:t> </w:t>
      </w:r>
      <w:r>
        <w:rPr>
          <w:color w:val="231F20"/>
          <w:sz w:val="24"/>
        </w:rPr>
        <w:t>the</w:t>
      </w:r>
      <w:r>
        <w:rPr>
          <w:color w:val="231F20"/>
          <w:spacing w:val="-3"/>
          <w:sz w:val="24"/>
        </w:rPr>
        <w:t> </w:t>
      </w:r>
      <w:r>
        <w:rPr>
          <w:color w:val="231F20"/>
          <w:sz w:val="24"/>
        </w:rPr>
        <w:t>building</w:t>
      </w:r>
      <w:r>
        <w:rPr>
          <w:color w:val="231F20"/>
          <w:spacing w:val="-5"/>
          <w:sz w:val="24"/>
        </w:rPr>
        <w:t> </w:t>
      </w:r>
      <w:r>
        <w:rPr>
          <w:color w:val="231F20"/>
          <w:sz w:val="24"/>
        </w:rPr>
        <w:t>or</w:t>
      </w:r>
      <w:r>
        <w:rPr>
          <w:color w:val="231F20"/>
          <w:spacing w:val="-1"/>
          <w:sz w:val="24"/>
        </w:rPr>
        <w:t> </w:t>
      </w:r>
      <w:r>
        <w:rPr>
          <w:color w:val="231F20"/>
          <w:sz w:val="24"/>
        </w:rPr>
        <w:t>utility</w:t>
      </w:r>
      <w:r>
        <w:rPr>
          <w:color w:val="231F20"/>
          <w:spacing w:val="-3"/>
          <w:sz w:val="24"/>
        </w:rPr>
        <w:t> </w:t>
      </w:r>
      <w:r>
        <w:rPr>
          <w:color w:val="231F20"/>
          <w:sz w:val="24"/>
        </w:rPr>
        <w:t>services</w:t>
      </w:r>
      <w:r>
        <w:rPr>
          <w:color w:val="231F20"/>
          <w:spacing w:val="-4"/>
          <w:sz w:val="24"/>
        </w:rPr>
        <w:t> </w:t>
      </w:r>
      <w:r>
        <w:rPr>
          <w:color w:val="231F20"/>
          <w:sz w:val="24"/>
        </w:rPr>
        <w:t>that</w:t>
      </w:r>
      <w:r>
        <w:rPr>
          <w:color w:val="231F20"/>
          <w:spacing w:val="-1"/>
          <w:sz w:val="24"/>
        </w:rPr>
        <w:t> </w:t>
      </w:r>
      <w:r>
        <w:rPr>
          <w:color w:val="231F20"/>
          <w:sz w:val="24"/>
        </w:rPr>
        <w:t>service</w:t>
      </w:r>
      <w:r>
        <w:rPr>
          <w:color w:val="231F20"/>
          <w:spacing w:val="-7"/>
          <w:sz w:val="24"/>
        </w:rPr>
        <w:t> </w:t>
      </w:r>
      <w:r>
        <w:rPr>
          <w:color w:val="231F20"/>
          <w:sz w:val="24"/>
        </w:rPr>
        <w:t>other</w:t>
      </w:r>
      <w:r>
        <w:rPr>
          <w:color w:val="231F20"/>
          <w:spacing w:val="-2"/>
          <w:sz w:val="24"/>
        </w:rPr>
        <w:t> </w:t>
      </w:r>
      <w:r>
        <w:rPr>
          <w:color w:val="231F20"/>
          <w:sz w:val="24"/>
        </w:rPr>
        <w:t>apartments</w:t>
      </w:r>
      <w:r>
        <w:rPr>
          <w:color w:val="231F20"/>
          <w:spacing w:val="-3"/>
          <w:sz w:val="24"/>
        </w:rPr>
        <w:t> </w:t>
      </w:r>
      <w:r>
        <w:rPr>
          <w:color w:val="231F20"/>
          <w:sz w:val="24"/>
        </w:rPr>
        <w:t>in the building without prior written consent from the Board of Directors which consent shall include a determination to the same effect as the determination required under Article II, paragraph A</w:t>
      </w:r>
      <w:r>
        <w:rPr>
          <w:color w:val="231F20"/>
          <w:spacing w:val="-3"/>
          <w:sz w:val="24"/>
        </w:rPr>
        <w:t> </w:t>
      </w:r>
      <w:r>
        <w:rPr>
          <w:color w:val="231F20"/>
          <w:sz w:val="24"/>
        </w:rPr>
        <w:t>hereinabove.</w:t>
      </w:r>
    </w:p>
    <w:p>
      <w:pPr>
        <w:pStyle w:val="BodyText"/>
        <w:spacing w:before="12"/>
        <w:rPr>
          <w:sz w:val="23"/>
        </w:rPr>
      </w:pPr>
    </w:p>
    <w:p>
      <w:pPr>
        <w:pStyle w:val="ListParagraph"/>
        <w:numPr>
          <w:ilvl w:val="0"/>
          <w:numId w:val="11"/>
        </w:numPr>
        <w:tabs>
          <w:tab w:pos="1302" w:val="left" w:leader="none"/>
        </w:tabs>
        <w:spacing w:line="240" w:lineRule="auto" w:before="0" w:after="0"/>
        <w:ind w:left="220" w:right="1141" w:firstLine="719"/>
        <w:jc w:val="left"/>
        <w:rPr>
          <w:sz w:val="24"/>
        </w:rPr>
      </w:pPr>
      <w:r>
        <w:rPr>
          <w:color w:val="231F20"/>
          <w:sz w:val="24"/>
        </w:rPr>
        <w:t>The Association may, at the owners expense, repair, maintain or replace any</w:t>
      </w:r>
      <w:r>
        <w:rPr>
          <w:color w:val="231F20"/>
          <w:spacing w:val="-29"/>
          <w:sz w:val="24"/>
        </w:rPr>
        <w:t> </w:t>
      </w:r>
      <w:r>
        <w:rPr>
          <w:color w:val="231F20"/>
          <w:sz w:val="24"/>
        </w:rPr>
        <w:t>items, utility or fixture which is otherwise the obligation of the owner. Nothing herein contained, however, shall be construed so as to impose a contractual liability upon the Association for maintenance, repair, or replacement but the Association's liability shall be limited to damages resulting from</w:t>
      </w:r>
      <w:r>
        <w:rPr>
          <w:color w:val="231F20"/>
          <w:spacing w:val="-5"/>
          <w:sz w:val="24"/>
        </w:rPr>
        <w:t> </w:t>
      </w:r>
      <w:r>
        <w:rPr>
          <w:color w:val="231F20"/>
          <w:sz w:val="24"/>
        </w:rPr>
        <w:t>negligence.</w:t>
      </w:r>
    </w:p>
    <w:p>
      <w:pPr>
        <w:pStyle w:val="BodyText"/>
        <w:spacing w:before="11"/>
        <w:rPr>
          <w:sz w:val="23"/>
        </w:rPr>
      </w:pPr>
    </w:p>
    <w:p>
      <w:pPr>
        <w:pStyle w:val="BodyText"/>
        <w:spacing w:before="1"/>
        <w:ind w:left="3477" w:right="4211"/>
        <w:jc w:val="center"/>
      </w:pPr>
      <w:r>
        <w:rPr>
          <w:color w:val="231F20"/>
          <w:u w:val="single" w:color="231F20"/>
        </w:rPr>
        <w:t>ARTICLE XI</w:t>
      </w:r>
    </w:p>
    <w:p>
      <w:pPr>
        <w:pStyle w:val="BodyText"/>
        <w:spacing w:before="148"/>
        <w:ind w:left="220" w:right="1128" w:firstLine="1079"/>
      </w:pPr>
      <w:r>
        <w:rPr>
          <w:color w:val="231F20"/>
        </w:rPr>
        <w:t>The provisions hereof shall be deemed independent and severable, and the invalidity or partial invalidity or unenforceability of any other provision or portion thereof as may be determined by a court of competent jurisdiction shall not affect the validity or unenforceability of any provision hereof. The singular shall be deemed to include the plural wherever appropriate; and unless the context clearly indicates to the contrary, any obligation imposed shall be joint and several.</w:t>
      </w:r>
    </w:p>
    <w:p>
      <w:pPr>
        <w:pStyle w:val="BodyText"/>
        <w:spacing w:line="292" w:lineRule="exact"/>
        <w:ind w:right="2696"/>
        <w:jc w:val="right"/>
      </w:pPr>
      <w:r>
        <w:rPr>
          <w:color w:val="231F20"/>
        </w:rPr>
        <w:t>Exhibit I</w:t>
      </w:r>
    </w:p>
    <w:p>
      <w:pPr>
        <w:spacing w:after="0" w:line="292" w:lineRule="exact"/>
        <w:jc w:val="right"/>
        <w:sectPr>
          <w:pgSz w:w="12240" w:h="15840"/>
          <w:pgMar w:header="0" w:footer="868" w:top="1400" w:bottom="1140" w:left="1220" w:right="480"/>
        </w:sectPr>
      </w:pPr>
    </w:p>
    <w:p>
      <w:pPr>
        <w:pStyle w:val="BodyText"/>
        <w:spacing w:before="39"/>
        <w:ind w:left="3477" w:right="4213"/>
        <w:jc w:val="center"/>
      </w:pPr>
      <w:r>
        <w:rPr>
          <w:color w:val="231F20"/>
          <w:u w:val="single" w:color="231F20"/>
        </w:rPr>
        <w:t>ARTICLE XII</w:t>
      </w:r>
    </w:p>
    <w:p>
      <w:pPr>
        <w:pStyle w:val="BodyText"/>
        <w:spacing w:before="147"/>
        <w:ind w:left="220" w:right="991" w:firstLine="719"/>
      </w:pPr>
      <w:r>
        <w:rPr>
          <w:color w:val="231F20"/>
        </w:rPr>
        <w:t>The following provisions shall take precedence over all other provisions of this Declaration, and in the event of any inconsistency or contradiction, the following provisions shall control:</w:t>
      </w:r>
    </w:p>
    <w:p>
      <w:pPr>
        <w:pStyle w:val="BodyText"/>
        <w:spacing w:before="11"/>
        <w:rPr>
          <w:sz w:val="23"/>
        </w:rPr>
      </w:pPr>
    </w:p>
    <w:p>
      <w:pPr>
        <w:pStyle w:val="ListParagraph"/>
        <w:numPr>
          <w:ilvl w:val="0"/>
          <w:numId w:val="12"/>
        </w:numPr>
        <w:tabs>
          <w:tab w:pos="1301" w:val="left" w:leader="none"/>
        </w:tabs>
        <w:spacing w:line="240" w:lineRule="auto" w:before="0" w:after="0"/>
        <w:ind w:left="220" w:right="1215" w:firstLine="719"/>
        <w:jc w:val="left"/>
        <w:rPr>
          <w:sz w:val="24"/>
        </w:rPr>
      </w:pPr>
      <w:r>
        <w:rPr>
          <w:color w:val="231F20"/>
          <w:sz w:val="24"/>
        </w:rPr>
        <w:t>A first mortgagee of an apartment or its assigns, upon request, will be entitled to written notification from the Association of any default in the performance by the apartment owner of any obligation under this Declaration or By-Laws which is not cured within sixty (60) days.</w:t>
      </w:r>
    </w:p>
    <w:p>
      <w:pPr>
        <w:pStyle w:val="BodyText"/>
        <w:spacing w:before="2"/>
      </w:pPr>
    </w:p>
    <w:p>
      <w:pPr>
        <w:pStyle w:val="ListParagraph"/>
        <w:numPr>
          <w:ilvl w:val="0"/>
          <w:numId w:val="12"/>
        </w:numPr>
        <w:tabs>
          <w:tab w:pos="1301" w:val="left" w:leader="none"/>
        </w:tabs>
        <w:spacing w:line="240" w:lineRule="auto" w:before="0" w:after="0"/>
        <w:ind w:left="220" w:right="1073" w:firstLine="719"/>
        <w:jc w:val="both"/>
        <w:rPr>
          <w:sz w:val="24"/>
        </w:rPr>
      </w:pPr>
      <w:r>
        <w:rPr>
          <w:color w:val="231F20"/>
          <w:sz w:val="24"/>
        </w:rPr>
        <w:t>Any first mortgagee or its assigns who obtains title to an apartment pursuant to the remedies provided in the mortgage, or foreclosure of the mortgage, or deed (or assignment)</w:t>
      </w:r>
      <w:r>
        <w:rPr>
          <w:color w:val="231F20"/>
          <w:spacing w:val="-34"/>
          <w:sz w:val="24"/>
        </w:rPr>
        <w:t> </w:t>
      </w:r>
      <w:r>
        <w:rPr>
          <w:color w:val="231F20"/>
          <w:sz w:val="24"/>
        </w:rPr>
        <w:t>in lieu of foreclose will be exempt from any "right of first refusal" which may be contained in this Declaration or</w:t>
      </w:r>
      <w:r>
        <w:rPr>
          <w:color w:val="231F20"/>
          <w:spacing w:val="-3"/>
          <w:sz w:val="24"/>
        </w:rPr>
        <w:t> </w:t>
      </w:r>
      <w:r>
        <w:rPr>
          <w:color w:val="231F20"/>
          <w:sz w:val="24"/>
        </w:rPr>
        <w:t>By-Laws.</w:t>
      </w:r>
    </w:p>
    <w:p>
      <w:pPr>
        <w:pStyle w:val="BodyText"/>
        <w:spacing w:before="12"/>
        <w:rPr>
          <w:sz w:val="23"/>
        </w:rPr>
      </w:pPr>
    </w:p>
    <w:p>
      <w:pPr>
        <w:pStyle w:val="ListParagraph"/>
        <w:numPr>
          <w:ilvl w:val="0"/>
          <w:numId w:val="12"/>
        </w:numPr>
        <w:tabs>
          <w:tab w:pos="1301" w:val="left" w:leader="none"/>
        </w:tabs>
        <w:spacing w:line="240" w:lineRule="auto" w:before="0" w:after="0"/>
        <w:ind w:left="220" w:right="1096" w:firstLine="719"/>
        <w:jc w:val="left"/>
        <w:rPr>
          <w:sz w:val="24"/>
        </w:rPr>
      </w:pPr>
      <w:r>
        <w:rPr>
          <w:color w:val="231F20"/>
          <w:sz w:val="24"/>
        </w:rPr>
        <w:t>Any first mortgagee or its successors in interest who obtains title to an apartment pursuant to the remedies provided in the mortgage or foreclosure of the mortgage or deed (assignment) in lieu of foreclosure will not be liable for such apartment's unpaid assessments which accrue prior to the acquisition of title to such apartment by the mortgagee or its successors in interest in the case of a deed, or prior to the expiration of the statutory period of redemption in the case of a mortgage</w:t>
      </w:r>
      <w:r>
        <w:rPr>
          <w:color w:val="231F20"/>
          <w:spacing w:val="1"/>
          <w:sz w:val="24"/>
        </w:rPr>
        <w:t> </w:t>
      </w:r>
      <w:r>
        <w:rPr>
          <w:color w:val="231F20"/>
          <w:sz w:val="24"/>
        </w:rPr>
        <w:t>foreclosure.</w:t>
      </w:r>
    </w:p>
    <w:p>
      <w:pPr>
        <w:pStyle w:val="BodyText"/>
        <w:spacing w:before="1"/>
      </w:pPr>
    </w:p>
    <w:p>
      <w:pPr>
        <w:pStyle w:val="ListParagraph"/>
        <w:numPr>
          <w:ilvl w:val="0"/>
          <w:numId w:val="12"/>
        </w:numPr>
        <w:tabs>
          <w:tab w:pos="1301" w:val="left" w:leader="none"/>
        </w:tabs>
        <w:spacing w:line="240" w:lineRule="auto" w:before="0" w:after="0"/>
        <w:ind w:left="220" w:right="1087" w:firstLine="719"/>
        <w:jc w:val="left"/>
        <w:rPr>
          <w:sz w:val="24"/>
        </w:rPr>
      </w:pPr>
      <w:r>
        <w:rPr>
          <w:color w:val="231F20"/>
          <w:sz w:val="24"/>
        </w:rPr>
        <w:t>Unless at least seventy-five percent (75%) (or such higher percentage as is required by law) of the first mortgagees of the apartments or their assigns (based upon one vote for each first mortgage owned), and at least seventy-five percent (75%) of the owners (other than any sponsor, developer, or builder including the Declarant) of the apartments based upon the percentage of ownership in the common areas and facilities as set forth in Exhibit A, and Declarant, so long as Declarant is an apartment owner, have given their prior written</w:t>
      </w:r>
      <w:r>
        <w:rPr>
          <w:color w:val="231F20"/>
          <w:spacing w:val="-33"/>
          <w:sz w:val="24"/>
        </w:rPr>
        <w:t> </w:t>
      </w:r>
      <w:r>
        <w:rPr>
          <w:color w:val="231F20"/>
          <w:sz w:val="24"/>
        </w:rPr>
        <w:t>approval, the Association shall not be entitled</w:t>
      </w:r>
      <w:r>
        <w:rPr>
          <w:color w:val="231F20"/>
          <w:spacing w:val="-4"/>
          <w:sz w:val="24"/>
        </w:rPr>
        <w:t> </w:t>
      </w:r>
      <w:r>
        <w:rPr>
          <w:color w:val="231F20"/>
          <w:sz w:val="24"/>
        </w:rPr>
        <w:t>to:</w:t>
      </w:r>
    </w:p>
    <w:p>
      <w:pPr>
        <w:pStyle w:val="BodyText"/>
        <w:spacing w:before="11"/>
        <w:rPr>
          <w:sz w:val="23"/>
        </w:rPr>
      </w:pPr>
    </w:p>
    <w:p>
      <w:pPr>
        <w:pStyle w:val="ListParagraph"/>
        <w:numPr>
          <w:ilvl w:val="1"/>
          <w:numId w:val="12"/>
        </w:numPr>
        <w:tabs>
          <w:tab w:pos="1840" w:val="left" w:leader="none"/>
          <w:tab w:pos="1841" w:val="left" w:leader="none"/>
        </w:tabs>
        <w:spacing w:line="240" w:lineRule="auto" w:before="0" w:after="0"/>
        <w:ind w:left="1840" w:right="0" w:hanging="541"/>
        <w:jc w:val="left"/>
        <w:rPr>
          <w:sz w:val="24"/>
        </w:rPr>
      </w:pPr>
      <w:r>
        <w:rPr>
          <w:color w:val="231F20"/>
          <w:sz w:val="24"/>
        </w:rPr>
        <w:t>by act or omission, seek to abandon or terminate the</w:t>
      </w:r>
      <w:r>
        <w:rPr>
          <w:color w:val="231F20"/>
          <w:spacing w:val="-14"/>
          <w:sz w:val="24"/>
        </w:rPr>
        <w:t> </w:t>
      </w:r>
      <w:r>
        <w:rPr>
          <w:color w:val="231F20"/>
          <w:sz w:val="24"/>
        </w:rPr>
        <w:t>Condominium;</w:t>
      </w:r>
    </w:p>
    <w:p>
      <w:pPr>
        <w:pStyle w:val="BodyText"/>
      </w:pPr>
    </w:p>
    <w:p>
      <w:pPr>
        <w:pStyle w:val="ListParagraph"/>
        <w:numPr>
          <w:ilvl w:val="1"/>
          <w:numId w:val="12"/>
        </w:numPr>
        <w:tabs>
          <w:tab w:pos="1840" w:val="left" w:leader="none"/>
          <w:tab w:pos="1841" w:val="left" w:leader="none"/>
        </w:tabs>
        <w:spacing w:line="240" w:lineRule="auto" w:before="0" w:after="0"/>
        <w:ind w:left="1840" w:right="1048" w:hanging="540"/>
        <w:jc w:val="left"/>
        <w:rPr>
          <w:sz w:val="24"/>
        </w:rPr>
      </w:pPr>
      <w:r>
        <w:rPr>
          <w:color w:val="231F20"/>
          <w:sz w:val="24"/>
        </w:rPr>
        <w:t>change the pro rata interest or obligation of any individual apartment unit for the purpose of: (i) levying assessments or charges or allocating distributions</w:t>
      </w:r>
      <w:r>
        <w:rPr>
          <w:color w:val="231F20"/>
          <w:spacing w:val="-23"/>
          <w:sz w:val="24"/>
        </w:rPr>
        <w:t> </w:t>
      </w:r>
      <w:r>
        <w:rPr>
          <w:color w:val="231F20"/>
          <w:sz w:val="24"/>
        </w:rPr>
        <w:t>or hazard insurance proceeds or condemnation awards, or (ii) determining the pro rata share of ownership of each apartment in the common areas and facilities;</w:t>
      </w:r>
    </w:p>
    <w:p>
      <w:pPr>
        <w:pStyle w:val="BodyText"/>
        <w:spacing w:before="2"/>
      </w:pPr>
    </w:p>
    <w:p>
      <w:pPr>
        <w:pStyle w:val="ListParagraph"/>
        <w:numPr>
          <w:ilvl w:val="1"/>
          <w:numId w:val="12"/>
        </w:numPr>
        <w:tabs>
          <w:tab w:pos="1840" w:val="left" w:leader="none"/>
          <w:tab w:pos="1841" w:val="left" w:leader="none"/>
        </w:tabs>
        <w:spacing w:line="240" w:lineRule="auto" w:before="0" w:after="0"/>
        <w:ind w:left="1840" w:right="1803" w:hanging="540"/>
        <w:jc w:val="left"/>
        <w:rPr>
          <w:sz w:val="24"/>
        </w:rPr>
      </w:pPr>
      <w:r>
        <w:rPr>
          <w:color w:val="231F20"/>
          <w:sz w:val="24"/>
        </w:rPr>
        <w:t>partition or subdivide any apartments (which shall not mean a</w:t>
      </w:r>
      <w:r>
        <w:rPr>
          <w:color w:val="231F20"/>
          <w:spacing w:val="-25"/>
          <w:sz w:val="24"/>
        </w:rPr>
        <w:t> </w:t>
      </w:r>
      <w:r>
        <w:rPr>
          <w:color w:val="231F20"/>
          <w:sz w:val="24"/>
        </w:rPr>
        <w:t>physical combination or reseparation of apartments as provided</w:t>
      </w:r>
      <w:r>
        <w:rPr>
          <w:color w:val="231F20"/>
          <w:spacing w:val="-8"/>
          <w:sz w:val="24"/>
        </w:rPr>
        <w:t> </w:t>
      </w:r>
      <w:r>
        <w:rPr>
          <w:color w:val="231F20"/>
          <w:sz w:val="24"/>
        </w:rPr>
        <w:t>herein);</w:t>
      </w:r>
    </w:p>
    <w:p>
      <w:pPr>
        <w:spacing w:after="0" w:line="240" w:lineRule="auto"/>
        <w:jc w:val="left"/>
        <w:rPr>
          <w:sz w:val="24"/>
        </w:rPr>
        <w:sectPr>
          <w:pgSz w:w="12240" w:h="15840"/>
          <w:pgMar w:header="0" w:footer="868" w:top="1400" w:bottom="1140" w:left="1220" w:right="480"/>
        </w:sectPr>
      </w:pPr>
    </w:p>
    <w:p>
      <w:pPr>
        <w:pStyle w:val="ListParagraph"/>
        <w:numPr>
          <w:ilvl w:val="1"/>
          <w:numId w:val="12"/>
        </w:numPr>
        <w:tabs>
          <w:tab w:pos="1840" w:val="left" w:leader="none"/>
          <w:tab w:pos="1841" w:val="left" w:leader="none"/>
        </w:tabs>
        <w:spacing w:line="240" w:lineRule="auto" w:before="39" w:after="0"/>
        <w:ind w:left="1840" w:right="1048" w:hanging="540"/>
        <w:jc w:val="left"/>
        <w:rPr>
          <w:sz w:val="24"/>
        </w:rPr>
      </w:pPr>
      <w:r>
        <w:rPr>
          <w:color w:val="231F20"/>
          <w:sz w:val="24"/>
        </w:rPr>
        <w:t>by act or omission, seek to abandon, partition, subdivide, encumber, sell or transfer the common areas and facilities. (The granting of easements for public utilities or for other public purposes consistent with the intended use</w:t>
      </w:r>
      <w:r>
        <w:rPr>
          <w:color w:val="231F20"/>
          <w:spacing w:val="-33"/>
          <w:sz w:val="24"/>
        </w:rPr>
        <w:t> </w:t>
      </w:r>
      <w:r>
        <w:rPr>
          <w:color w:val="231F20"/>
          <w:sz w:val="24"/>
        </w:rPr>
        <w:t>of the common areas and facilities by the Condominium shall not be deemed a transfer within the meaning of this clause)</w:t>
      </w:r>
      <w:r>
        <w:rPr>
          <w:color w:val="231F20"/>
          <w:spacing w:val="-3"/>
          <w:sz w:val="24"/>
        </w:rPr>
        <w:t> </w:t>
      </w:r>
      <w:r>
        <w:rPr>
          <w:color w:val="231F20"/>
          <w:sz w:val="24"/>
        </w:rPr>
        <w:t>;</w:t>
      </w:r>
    </w:p>
    <w:p>
      <w:pPr>
        <w:pStyle w:val="BodyText"/>
        <w:spacing w:before="12"/>
        <w:rPr>
          <w:sz w:val="23"/>
        </w:rPr>
      </w:pPr>
    </w:p>
    <w:p>
      <w:pPr>
        <w:pStyle w:val="ListParagraph"/>
        <w:numPr>
          <w:ilvl w:val="1"/>
          <w:numId w:val="12"/>
        </w:numPr>
        <w:tabs>
          <w:tab w:pos="1841" w:val="left" w:leader="none"/>
          <w:tab w:pos="1842" w:val="left" w:leader="none"/>
        </w:tabs>
        <w:spacing w:line="240" w:lineRule="auto" w:before="0" w:after="0"/>
        <w:ind w:left="1840" w:right="1169" w:hanging="540"/>
        <w:jc w:val="left"/>
        <w:rPr>
          <w:sz w:val="24"/>
        </w:rPr>
      </w:pPr>
      <w:r>
        <w:rPr>
          <w:color w:val="231F20"/>
          <w:sz w:val="24"/>
        </w:rPr>
        <w:t>use hazard insurance proceeds for losses to any Condominium property (whether to apartments or to the common areas and facilities) for other</w:t>
      </w:r>
      <w:r>
        <w:rPr>
          <w:color w:val="231F20"/>
          <w:spacing w:val="-36"/>
          <w:sz w:val="24"/>
        </w:rPr>
        <w:t> </w:t>
      </w:r>
      <w:r>
        <w:rPr>
          <w:color w:val="231F20"/>
          <w:sz w:val="24"/>
        </w:rPr>
        <w:t>than the repair, replacement or reconstruction of such Condominium property, except as provided by statute in case of substantial loss to the apartments and/or common areas and facilities of the</w:t>
      </w:r>
      <w:r>
        <w:rPr>
          <w:color w:val="231F20"/>
          <w:spacing w:val="-5"/>
          <w:sz w:val="24"/>
        </w:rPr>
        <w:t> </w:t>
      </w:r>
      <w:r>
        <w:rPr>
          <w:color w:val="231F20"/>
          <w:sz w:val="24"/>
        </w:rPr>
        <w:t>Condominium.</w:t>
      </w:r>
    </w:p>
    <w:p>
      <w:pPr>
        <w:pStyle w:val="BodyText"/>
        <w:spacing w:before="2"/>
      </w:pPr>
    </w:p>
    <w:p>
      <w:pPr>
        <w:pStyle w:val="ListParagraph"/>
        <w:numPr>
          <w:ilvl w:val="0"/>
          <w:numId w:val="12"/>
        </w:numPr>
        <w:tabs>
          <w:tab w:pos="1301" w:val="left" w:leader="none"/>
        </w:tabs>
        <w:spacing w:line="240" w:lineRule="auto" w:before="0" w:after="0"/>
        <w:ind w:left="220" w:right="1176" w:firstLine="719"/>
        <w:jc w:val="left"/>
        <w:rPr>
          <w:sz w:val="24"/>
        </w:rPr>
      </w:pPr>
      <w:r>
        <w:rPr>
          <w:color w:val="231F20"/>
          <w:sz w:val="24"/>
        </w:rPr>
        <w:t>First mortgagees of apartments and their successors in interest shall have the</w:t>
      </w:r>
      <w:r>
        <w:rPr>
          <w:color w:val="231F20"/>
          <w:spacing w:val="-31"/>
          <w:sz w:val="24"/>
        </w:rPr>
        <w:t> </w:t>
      </w:r>
      <w:r>
        <w:rPr>
          <w:color w:val="231F20"/>
          <w:sz w:val="24"/>
        </w:rPr>
        <w:t>right to examine the books and records of the Association or the</w:t>
      </w:r>
      <w:r>
        <w:rPr>
          <w:color w:val="231F20"/>
          <w:spacing w:val="-9"/>
          <w:sz w:val="24"/>
        </w:rPr>
        <w:t> </w:t>
      </w:r>
      <w:r>
        <w:rPr>
          <w:color w:val="231F20"/>
          <w:sz w:val="24"/>
        </w:rPr>
        <w:t>Condominium.</w:t>
      </w:r>
    </w:p>
    <w:p>
      <w:pPr>
        <w:pStyle w:val="BodyText"/>
        <w:spacing w:before="11"/>
        <w:rPr>
          <w:sz w:val="23"/>
        </w:rPr>
      </w:pPr>
    </w:p>
    <w:p>
      <w:pPr>
        <w:pStyle w:val="ListParagraph"/>
        <w:numPr>
          <w:ilvl w:val="0"/>
          <w:numId w:val="12"/>
        </w:numPr>
        <w:tabs>
          <w:tab w:pos="1301" w:val="left" w:leader="none"/>
        </w:tabs>
        <w:spacing w:line="240" w:lineRule="auto" w:before="0" w:after="0"/>
        <w:ind w:left="220" w:right="1053" w:firstLine="719"/>
        <w:jc w:val="left"/>
        <w:rPr>
          <w:sz w:val="24"/>
        </w:rPr>
      </w:pPr>
      <w:r>
        <w:rPr>
          <w:color w:val="231F20"/>
          <w:sz w:val="24"/>
        </w:rPr>
        <w:t>Condominium assessments for common expenses shall include an adequate</w:t>
      </w:r>
      <w:r>
        <w:rPr>
          <w:color w:val="231F20"/>
          <w:spacing w:val="-31"/>
          <w:sz w:val="24"/>
        </w:rPr>
        <w:t> </w:t>
      </w:r>
      <w:r>
        <w:rPr>
          <w:color w:val="231F20"/>
          <w:sz w:val="24"/>
        </w:rPr>
        <w:t>reserve fund for maintenance, repairs and replacement of those common areas and facilities that must be replaced on a periodic basis, and shall be payable in regular installments rather than by special</w:t>
      </w:r>
      <w:r>
        <w:rPr>
          <w:color w:val="231F20"/>
          <w:spacing w:val="-1"/>
          <w:sz w:val="24"/>
        </w:rPr>
        <w:t> </w:t>
      </w:r>
      <w:r>
        <w:rPr>
          <w:color w:val="231F20"/>
          <w:sz w:val="24"/>
        </w:rPr>
        <w:t>assessments.</w:t>
      </w:r>
    </w:p>
    <w:p>
      <w:pPr>
        <w:pStyle w:val="BodyText"/>
        <w:spacing w:before="12"/>
        <w:rPr>
          <w:sz w:val="23"/>
        </w:rPr>
      </w:pPr>
    </w:p>
    <w:p>
      <w:pPr>
        <w:pStyle w:val="ListParagraph"/>
        <w:numPr>
          <w:ilvl w:val="0"/>
          <w:numId w:val="12"/>
        </w:numPr>
        <w:tabs>
          <w:tab w:pos="1301" w:val="left" w:leader="none"/>
        </w:tabs>
        <w:spacing w:line="240" w:lineRule="auto" w:before="0" w:after="0"/>
        <w:ind w:left="220" w:right="1804" w:firstLine="719"/>
        <w:jc w:val="left"/>
        <w:rPr>
          <w:sz w:val="24"/>
        </w:rPr>
      </w:pPr>
      <w:r>
        <w:rPr>
          <w:color w:val="231F20"/>
          <w:sz w:val="24"/>
        </w:rPr>
        <w:t>All taxes, assessments and charges which may become liens prior to the</w:t>
      </w:r>
      <w:r>
        <w:rPr>
          <w:color w:val="231F20"/>
          <w:spacing w:val="-23"/>
          <w:sz w:val="24"/>
        </w:rPr>
        <w:t> </w:t>
      </w:r>
      <w:r>
        <w:rPr>
          <w:color w:val="231F20"/>
          <w:sz w:val="24"/>
        </w:rPr>
        <w:t>first mortgage under local law shall relate only to the individual apartments and not to the Condominium as a</w:t>
      </w:r>
      <w:r>
        <w:rPr>
          <w:color w:val="231F20"/>
          <w:spacing w:val="-4"/>
          <w:sz w:val="24"/>
        </w:rPr>
        <w:t> </w:t>
      </w:r>
      <w:r>
        <w:rPr>
          <w:color w:val="231F20"/>
          <w:sz w:val="24"/>
        </w:rPr>
        <w:t>whole.</w:t>
      </w:r>
    </w:p>
    <w:p>
      <w:pPr>
        <w:pStyle w:val="BodyText"/>
        <w:spacing w:before="2"/>
      </w:pPr>
    </w:p>
    <w:p>
      <w:pPr>
        <w:pStyle w:val="ListParagraph"/>
        <w:numPr>
          <w:ilvl w:val="0"/>
          <w:numId w:val="12"/>
        </w:numPr>
        <w:tabs>
          <w:tab w:pos="1301" w:val="left" w:leader="none"/>
        </w:tabs>
        <w:spacing w:line="240" w:lineRule="auto" w:before="0" w:after="0"/>
        <w:ind w:left="220" w:right="1032" w:firstLine="719"/>
        <w:jc w:val="left"/>
        <w:rPr>
          <w:sz w:val="24"/>
        </w:rPr>
      </w:pPr>
      <w:r>
        <w:rPr>
          <w:color w:val="231F20"/>
          <w:sz w:val="24"/>
        </w:rPr>
        <w:t>No provision of this Declaration or of By-Laws shall be deemed to give an apartment owner, or any other party, priority over any rights of first mortgagees of apartments, or their successors in interest, pursuant to their mortgages in the case of a distribution to the apartment owners of insurance proceeds or condemnation awards for losses to or a taking of apartments and/or common areas of facilities.</w:t>
      </w:r>
    </w:p>
    <w:p>
      <w:pPr>
        <w:spacing w:after="0" w:line="240" w:lineRule="auto"/>
        <w:jc w:val="left"/>
        <w:rPr>
          <w:sz w:val="24"/>
        </w:rPr>
        <w:sectPr>
          <w:pgSz w:w="12240" w:h="15840"/>
          <w:pgMar w:header="0" w:footer="868" w:top="1400" w:bottom="1140" w:left="1220" w:right="480"/>
        </w:sectPr>
      </w:pPr>
    </w:p>
    <w:p>
      <w:pPr>
        <w:pStyle w:val="BodyText"/>
        <w:ind w:left="220"/>
        <w:rPr>
          <w:sz w:val="20"/>
        </w:rPr>
      </w:pPr>
      <w:r>
        <w:rPr>
          <w:sz w:val="20"/>
        </w:rPr>
        <w:drawing>
          <wp:inline distT="0" distB="0" distL="0" distR="0">
            <wp:extent cx="6473055" cy="729234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13" cstate="print"/>
                    <a:stretch>
                      <a:fillRect/>
                    </a:stretch>
                  </pic:blipFill>
                  <pic:spPr>
                    <a:xfrm>
                      <a:off x="0" y="0"/>
                      <a:ext cx="6473055" cy="7292340"/>
                    </a:xfrm>
                    <a:prstGeom prst="rect">
                      <a:avLst/>
                    </a:prstGeom>
                  </pic:spPr>
                </pic:pic>
              </a:graphicData>
            </a:graphic>
          </wp:inline>
        </w:drawing>
      </w:r>
      <w:r>
        <w:rPr>
          <w:sz w:val="20"/>
        </w:rPr>
      </w:r>
    </w:p>
    <w:p>
      <w:pPr>
        <w:spacing w:after="0"/>
        <w:rPr>
          <w:sz w:val="20"/>
        </w:rPr>
        <w:sectPr>
          <w:pgSz w:w="12240" w:h="15840"/>
          <w:pgMar w:header="0" w:footer="868" w:top="1440" w:bottom="1060" w:left="1220" w:right="480"/>
        </w:sectPr>
      </w:pPr>
    </w:p>
    <w:p>
      <w:pPr>
        <w:pStyle w:val="BodyText"/>
        <w:spacing w:before="39"/>
        <w:ind w:left="3474" w:right="4213"/>
        <w:jc w:val="center"/>
      </w:pPr>
      <w:r>
        <w:rPr>
          <w:color w:val="231F20"/>
          <w:u w:val="single" w:color="231F20"/>
        </w:rPr>
        <w:t>EXHIBIT A</w:t>
      </w:r>
    </w:p>
    <w:p>
      <w:pPr>
        <w:pStyle w:val="BodyText"/>
        <w:ind w:left="2031" w:right="2770"/>
        <w:jc w:val="center"/>
      </w:pPr>
      <w:r>
        <w:rPr>
          <w:color w:val="231F20"/>
          <w:u w:val="single" w:color="231F20"/>
        </w:rPr>
        <w:t>NUMBER AND DESCRIPTION OF INDIVIDUAL APARTMENTS</w:t>
      </w:r>
    </w:p>
    <w:p>
      <w:pPr>
        <w:pStyle w:val="BodyText"/>
        <w:spacing w:line="216" w:lineRule="auto" w:before="146"/>
        <w:ind w:left="220" w:right="950"/>
      </w:pPr>
      <w:r>
        <w:rPr>
          <w:color w:val="231F20"/>
        </w:rPr>
        <w:t>The individual apartments and locations are as shown on floor plans filed contemporaneously herewith. The identifying letter and number of each apartment building, building address, apartment number, type, number of rooms, approximate square footage of each apartment, declared value, and percentage of undivided interest, total value of all apartments.</w:t>
      </w:r>
    </w:p>
    <w:p>
      <w:pPr>
        <w:pStyle w:val="BodyText"/>
        <w:spacing w:line="282" w:lineRule="exact" w:before="60"/>
        <w:ind w:left="220"/>
      </w:pPr>
      <w:r>
        <w:rPr>
          <w:color w:val="231F20"/>
        </w:rPr>
        <w:t>Immediate common area of all units are the adjoining halls or walks.</w:t>
      </w:r>
    </w:p>
    <w:p>
      <w:pPr>
        <w:spacing w:line="213" w:lineRule="auto" w:before="9" w:after="25"/>
        <w:ind w:left="6139" w:right="3100" w:firstLine="0"/>
        <w:jc w:val="left"/>
        <w:rPr>
          <w:sz w:val="20"/>
        </w:rPr>
      </w:pPr>
      <w:r>
        <w:rPr>
          <w:color w:val="231F20"/>
          <w:w w:val="95"/>
          <w:sz w:val="20"/>
        </w:rPr>
        <w:t>Approximate </w:t>
      </w:r>
      <w:r>
        <w:rPr>
          <w:color w:val="231F20"/>
          <w:sz w:val="20"/>
        </w:rPr>
        <w:t>Square</w:t>
      </w: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35"/>
        <w:gridCol w:w="724"/>
        <w:gridCol w:w="1107"/>
        <w:gridCol w:w="1235"/>
        <w:gridCol w:w="1364"/>
        <w:gridCol w:w="1218"/>
        <w:gridCol w:w="1196"/>
      </w:tblGrid>
      <w:tr>
        <w:trPr>
          <w:trHeight w:val="914" w:hRule="atLeast"/>
        </w:trPr>
        <w:tc>
          <w:tcPr>
            <w:tcW w:w="900" w:type="dxa"/>
            <w:tcBorders>
              <w:bottom w:val="single" w:sz="4" w:space="0" w:color="000000"/>
            </w:tcBorders>
          </w:tcPr>
          <w:p>
            <w:pPr>
              <w:pStyle w:val="TableParagraph"/>
              <w:spacing w:line="240" w:lineRule="auto" w:before="3"/>
              <w:rPr>
                <w:sz w:val="16"/>
              </w:rPr>
            </w:pPr>
          </w:p>
          <w:p>
            <w:pPr>
              <w:pStyle w:val="TableParagraph"/>
              <w:spacing w:line="216" w:lineRule="auto"/>
              <w:ind w:left="108" w:right="142"/>
              <w:rPr>
                <w:sz w:val="20"/>
              </w:rPr>
            </w:pPr>
            <w:r>
              <w:rPr>
                <w:color w:val="231F20"/>
                <w:sz w:val="20"/>
              </w:rPr>
              <w:t>Apt. </w:t>
            </w:r>
            <w:r>
              <w:rPr>
                <w:color w:val="231F20"/>
                <w:w w:val="95"/>
                <w:sz w:val="20"/>
              </w:rPr>
              <w:t>Bldg. </w:t>
            </w:r>
            <w:r>
              <w:rPr>
                <w:color w:val="231F20"/>
                <w:sz w:val="20"/>
              </w:rPr>
              <w:t>No.</w:t>
            </w:r>
          </w:p>
        </w:tc>
        <w:tc>
          <w:tcPr>
            <w:tcW w:w="1835" w:type="dxa"/>
            <w:tcBorders>
              <w:bottom w:val="single" w:sz="4" w:space="0" w:color="000000"/>
            </w:tcBorders>
          </w:tcPr>
          <w:p>
            <w:pPr>
              <w:pStyle w:val="TableParagraph"/>
              <w:spacing w:line="240" w:lineRule="auto" w:before="3"/>
              <w:rPr>
                <w:sz w:val="16"/>
              </w:rPr>
            </w:pPr>
          </w:p>
          <w:p>
            <w:pPr>
              <w:pStyle w:val="TableParagraph"/>
              <w:spacing w:line="216" w:lineRule="auto"/>
              <w:ind w:left="388" w:right="159"/>
              <w:rPr>
                <w:sz w:val="20"/>
              </w:rPr>
            </w:pPr>
            <w:r>
              <w:rPr>
                <w:color w:val="231F20"/>
                <w:w w:val="95"/>
                <w:sz w:val="20"/>
              </w:rPr>
              <w:t>Apartment </w:t>
            </w:r>
            <w:r>
              <w:rPr>
                <w:color w:val="231F20"/>
                <w:sz w:val="20"/>
              </w:rPr>
              <w:t>Building Address</w:t>
            </w:r>
          </w:p>
        </w:tc>
        <w:tc>
          <w:tcPr>
            <w:tcW w:w="724" w:type="dxa"/>
            <w:tcBorders>
              <w:bottom w:val="single" w:sz="4" w:space="0" w:color="000000"/>
            </w:tcBorders>
          </w:tcPr>
          <w:p>
            <w:pPr>
              <w:pStyle w:val="TableParagraph"/>
              <w:spacing w:line="240" w:lineRule="auto"/>
              <w:rPr>
                <w:sz w:val="20"/>
              </w:rPr>
            </w:pPr>
          </w:p>
          <w:p>
            <w:pPr>
              <w:pStyle w:val="TableParagraph"/>
              <w:spacing w:line="216" w:lineRule="auto" w:before="173"/>
              <w:ind w:left="181" w:right="184"/>
              <w:rPr>
                <w:sz w:val="20"/>
              </w:rPr>
            </w:pPr>
            <w:r>
              <w:rPr>
                <w:color w:val="231F20"/>
                <w:sz w:val="20"/>
              </w:rPr>
              <w:t>Apt. No.</w:t>
            </w:r>
          </w:p>
        </w:tc>
        <w:tc>
          <w:tcPr>
            <w:tcW w:w="1107" w:type="dxa"/>
            <w:tcBorders>
              <w:bottom w:val="single" w:sz="4" w:space="0" w:color="000000"/>
            </w:tcBorders>
          </w:tcPr>
          <w:p>
            <w:pPr>
              <w:pStyle w:val="TableParagraph"/>
              <w:spacing w:line="240" w:lineRule="auto"/>
              <w:rPr>
                <w:sz w:val="20"/>
              </w:rPr>
            </w:pPr>
          </w:p>
          <w:p>
            <w:pPr>
              <w:pStyle w:val="TableParagraph"/>
              <w:spacing w:line="240" w:lineRule="auto"/>
              <w:rPr>
                <w:sz w:val="20"/>
              </w:rPr>
            </w:pPr>
          </w:p>
          <w:p>
            <w:pPr>
              <w:pStyle w:val="TableParagraph"/>
              <w:spacing w:line="240" w:lineRule="auto" w:before="130"/>
              <w:ind w:left="203"/>
              <w:rPr>
                <w:sz w:val="20"/>
              </w:rPr>
            </w:pPr>
            <w:r>
              <w:rPr>
                <w:color w:val="231F20"/>
                <w:sz w:val="20"/>
              </w:rPr>
              <w:t>Type</w:t>
            </w:r>
          </w:p>
        </w:tc>
        <w:tc>
          <w:tcPr>
            <w:tcW w:w="1235" w:type="dxa"/>
            <w:tcBorders>
              <w:bottom w:val="single" w:sz="4" w:space="0" w:color="000000"/>
            </w:tcBorders>
          </w:tcPr>
          <w:p>
            <w:pPr>
              <w:pStyle w:val="TableParagraph"/>
              <w:spacing w:line="240" w:lineRule="auto"/>
              <w:rPr>
                <w:sz w:val="20"/>
              </w:rPr>
            </w:pPr>
          </w:p>
          <w:p>
            <w:pPr>
              <w:pStyle w:val="TableParagraph"/>
              <w:spacing w:line="240" w:lineRule="auto"/>
              <w:rPr>
                <w:sz w:val="20"/>
              </w:rPr>
            </w:pPr>
          </w:p>
          <w:p>
            <w:pPr>
              <w:pStyle w:val="TableParagraph"/>
              <w:spacing w:line="240" w:lineRule="auto" w:before="130"/>
              <w:ind w:left="275"/>
              <w:rPr>
                <w:sz w:val="20"/>
              </w:rPr>
            </w:pPr>
            <w:r>
              <w:rPr>
                <w:color w:val="231F20"/>
                <w:sz w:val="20"/>
              </w:rPr>
              <w:t>Rooms</w:t>
            </w:r>
          </w:p>
        </w:tc>
        <w:tc>
          <w:tcPr>
            <w:tcW w:w="1364" w:type="dxa"/>
            <w:tcBorders>
              <w:bottom w:val="single" w:sz="4" w:space="0" w:color="000000"/>
            </w:tcBorders>
          </w:tcPr>
          <w:p>
            <w:pPr>
              <w:pStyle w:val="TableParagraph"/>
              <w:spacing w:line="191" w:lineRule="exact"/>
              <w:ind w:left="226"/>
              <w:rPr>
                <w:sz w:val="20"/>
              </w:rPr>
            </w:pPr>
            <w:r>
              <w:rPr>
                <w:color w:val="231F20"/>
                <w:sz w:val="20"/>
              </w:rPr>
              <w:t>Footage Not</w:t>
            </w:r>
          </w:p>
          <w:p>
            <w:pPr>
              <w:pStyle w:val="TableParagraph"/>
              <w:spacing w:line="216" w:lineRule="auto" w:before="7"/>
              <w:ind w:left="226" w:right="261"/>
              <w:rPr>
                <w:sz w:val="20"/>
              </w:rPr>
            </w:pPr>
            <w:r>
              <w:rPr>
                <w:color w:val="231F20"/>
                <w:sz w:val="20"/>
              </w:rPr>
              <w:t>Including Balcony or Patio</w:t>
            </w:r>
          </w:p>
        </w:tc>
        <w:tc>
          <w:tcPr>
            <w:tcW w:w="1218" w:type="dxa"/>
            <w:tcBorders>
              <w:bottom w:val="single" w:sz="4" w:space="0" w:color="000000"/>
            </w:tcBorders>
          </w:tcPr>
          <w:p>
            <w:pPr>
              <w:pStyle w:val="TableParagraph"/>
              <w:spacing w:line="240" w:lineRule="auto"/>
              <w:rPr>
                <w:sz w:val="20"/>
              </w:rPr>
            </w:pPr>
          </w:p>
          <w:p>
            <w:pPr>
              <w:pStyle w:val="TableParagraph"/>
              <w:spacing w:line="216" w:lineRule="auto" w:before="173"/>
              <w:ind w:left="134"/>
              <w:rPr>
                <w:sz w:val="20"/>
              </w:rPr>
            </w:pPr>
            <w:r>
              <w:rPr>
                <w:color w:val="231F20"/>
                <w:w w:val="95"/>
                <w:sz w:val="20"/>
              </w:rPr>
              <w:t>Declared </w:t>
            </w:r>
            <w:r>
              <w:rPr>
                <w:color w:val="231F20"/>
                <w:sz w:val="20"/>
              </w:rPr>
              <w:t>Value</w:t>
            </w:r>
          </w:p>
        </w:tc>
        <w:tc>
          <w:tcPr>
            <w:tcW w:w="1196" w:type="dxa"/>
            <w:tcBorders>
              <w:bottom w:val="single" w:sz="4" w:space="0" w:color="000000"/>
            </w:tcBorders>
          </w:tcPr>
          <w:p>
            <w:pPr>
              <w:pStyle w:val="TableParagraph"/>
              <w:spacing w:line="191" w:lineRule="exact"/>
              <w:ind w:left="107"/>
              <w:rPr>
                <w:sz w:val="20"/>
              </w:rPr>
            </w:pPr>
            <w:r>
              <w:rPr>
                <w:color w:val="231F20"/>
                <w:sz w:val="20"/>
              </w:rPr>
              <w:t>Percentage</w:t>
            </w:r>
          </w:p>
          <w:p>
            <w:pPr>
              <w:pStyle w:val="TableParagraph"/>
              <w:spacing w:line="216" w:lineRule="auto" w:before="7"/>
              <w:ind w:left="107" w:right="153"/>
              <w:rPr>
                <w:sz w:val="20"/>
              </w:rPr>
            </w:pPr>
            <w:r>
              <w:rPr>
                <w:color w:val="231F20"/>
                <w:sz w:val="20"/>
              </w:rPr>
              <w:t>of </w:t>
            </w:r>
            <w:r>
              <w:rPr>
                <w:color w:val="231F20"/>
                <w:w w:val="95"/>
                <w:sz w:val="20"/>
              </w:rPr>
              <w:t>Undivided </w:t>
            </w:r>
            <w:r>
              <w:rPr>
                <w:color w:val="231F20"/>
                <w:sz w:val="20"/>
              </w:rPr>
              <w:t>Interest</w:t>
            </w:r>
          </w:p>
        </w:tc>
      </w:tr>
      <w:tr>
        <w:trPr>
          <w:trHeight w:val="239" w:hRule="atLeast"/>
        </w:trPr>
        <w:tc>
          <w:tcPr>
            <w:tcW w:w="9579" w:type="dxa"/>
            <w:gridSpan w:val="8"/>
          </w:tcPr>
          <w:p>
            <w:pPr>
              <w:pStyle w:val="TableParagraph"/>
              <w:spacing w:line="219" w:lineRule="exact"/>
              <w:ind w:left="108"/>
              <w:rPr>
                <w:sz w:val="20"/>
              </w:rPr>
            </w:pPr>
            <w:r>
              <w:rPr>
                <w:color w:val="231F20"/>
                <w:sz w:val="20"/>
                <w:u w:val="single" w:color="231F20"/>
              </w:rPr>
              <w:t>GALLERY BUILDINGS</w:t>
            </w:r>
          </w:p>
        </w:tc>
      </w:tr>
      <w:tr>
        <w:trPr>
          <w:trHeight w:val="240" w:hRule="atLeast"/>
        </w:trPr>
        <w:tc>
          <w:tcPr>
            <w:tcW w:w="900" w:type="dxa"/>
          </w:tcPr>
          <w:p>
            <w:pPr>
              <w:pStyle w:val="TableParagraph"/>
              <w:spacing w:line="216" w:lineRule="exact" w:before="5"/>
              <w:ind w:left="108"/>
              <w:rPr>
                <w:sz w:val="18"/>
              </w:rPr>
            </w:pPr>
            <w:r>
              <w:rPr>
                <w:color w:val="231F20"/>
                <w:sz w:val="18"/>
              </w:rPr>
              <w:t>G2</w:t>
            </w:r>
          </w:p>
        </w:tc>
        <w:tc>
          <w:tcPr>
            <w:tcW w:w="1835" w:type="dxa"/>
          </w:tcPr>
          <w:p>
            <w:pPr>
              <w:pStyle w:val="TableParagraph"/>
              <w:spacing w:line="216" w:lineRule="exact" w:before="5"/>
              <w:ind w:left="509" w:right="161"/>
              <w:jc w:val="center"/>
              <w:rPr>
                <w:sz w:val="18"/>
              </w:rPr>
            </w:pPr>
            <w:r>
              <w:rPr>
                <w:color w:val="231F20"/>
                <w:sz w:val="18"/>
              </w:rPr>
              <w:t>6328 Barrie Rd.</w:t>
            </w:r>
          </w:p>
        </w:tc>
        <w:tc>
          <w:tcPr>
            <w:tcW w:w="724" w:type="dxa"/>
          </w:tcPr>
          <w:p>
            <w:pPr>
              <w:pStyle w:val="TableParagraph"/>
              <w:spacing w:line="216" w:lineRule="exact" w:before="5"/>
              <w:ind w:left="181"/>
              <w:rPr>
                <w:sz w:val="18"/>
              </w:rPr>
            </w:pPr>
            <w:r>
              <w:rPr>
                <w:color w:val="231F20"/>
                <w:sz w:val="18"/>
              </w:rPr>
              <w:t>1A</w:t>
            </w:r>
          </w:p>
        </w:tc>
        <w:tc>
          <w:tcPr>
            <w:tcW w:w="1107" w:type="dxa"/>
          </w:tcPr>
          <w:p>
            <w:pPr>
              <w:pStyle w:val="TableParagraph"/>
              <w:spacing w:line="216" w:lineRule="exact" w:before="5"/>
              <w:ind w:right="275"/>
              <w:jc w:val="right"/>
              <w:rPr>
                <w:sz w:val="18"/>
              </w:rPr>
            </w:pPr>
            <w:r>
              <w:rPr>
                <w:color w:val="231F20"/>
                <w:sz w:val="18"/>
              </w:rPr>
              <w:t>2BR</w:t>
            </w:r>
          </w:p>
        </w:tc>
        <w:tc>
          <w:tcPr>
            <w:tcW w:w="1235" w:type="dxa"/>
          </w:tcPr>
          <w:p>
            <w:pPr>
              <w:pStyle w:val="TableParagraph"/>
              <w:spacing w:line="216" w:lineRule="exact" w:before="5"/>
              <w:ind w:left="275"/>
              <w:rPr>
                <w:sz w:val="18"/>
              </w:rPr>
            </w:pPr>
            <w:r>
              <w:rPr>
                <w:color w:val="231F20"/>
                <w:sz w:val="18"/>
              </w:rPr>
              <w:t>4 + 1 Bath</w:t>
            </w:r>
          </w:p>
        </w:tc>
        <w:tc>
          <w:tcPr>
            <w:tcW w:w="1364" w:type="dxa"/>
          </w:tcPr>
          <w:p>
            <w:pPr>
              <w:pStyle w:val="TableParagraph"/>
              <w:spacing w:line="216" w:lineRule="exact" w:before="5"/>
              <w:ind w:right="304"/>
              <w:jc w:val="right"/>
              <w:rPr>
                <w:sz w:val="18"/>
              </w:rPr>
            </w:pPr>
            <w:r>
              <w:rPr>
                <w:color w:val="231F20"/>
                <w:sz w:val="18"/>
              </w:rPr>
              <w:t>960</w:t>
            </w:r>
          </w:p>
        </w:tc>
        <w:tc>
          <w:tcPr>
            <w:tcW w:w="1218" w:type="dxa"/>
          </w:tcPr>
          <w:p>
            <w:pPr>
              <w:pStyle w:val="TableParagraph"/>
              <w:spacing w:line="216" w:lineRule="exact" w:before="5"/>
              <w:ind w:right="106"/>
              <w:jc w:val="right"/>
              <w:rPr>
                <w:sz w:val="18"/>
              </w:rPr>
            </w:pPr>
            <w:r>
              <w:rPr>
                <w:color w:val="231F20"/>
                <w:sz w:val="18"/>
              </w:rPr>
              <w:t>$950.00</w:t>
            </w:r>
          </w:p>
        </w:tc>
        <w:tc>
          <w:tcPr>
            <w:tcW w:w="1196" w:type="dxa"/>
          </w:tcPr>
          <w:p>
            <w:pPr>
              <w:pStyle w:val="TableParagraph"/>
              <w:spacing w:line="216" w:lineRule="exact" w:before="5"/>
              <w:ind w:left="372" w:right="373"/>
              <w:jc w:val="center"/>
              <w:rPr>
                <w:sz w:val="18"/>
              </w:rPr>
            </w:pPr>
            <w:r>
              <w:rPr>
                <w:color w:val="231F20"/>
                <w:sz w:val="18"/>
              </w:rPr>
              <w:t>0.310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1B</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1D</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1E</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1F</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35" w:type="dxa"/>
          </w:tcPr>
          <w:p>
            <w:pPr>
              <w:pStyle w:val="TableParagraph"/>
              <w:spacing w:line="201" w:lineRule="exact"/>
              <w:ind w:left="353"/>
              <w:jc w:val="center"/>
              <w:rPr>
                <w:sz w:val="18"/>
              </w:rPr>
            </w:pPr>
            <w:r>
              <w:rPr>
                <w:color w:val="231F20"/>
                <w:sz w:val="18"/>
              </w:rPr>
              <w:t>"</w:t>
            </w:r>
          </w:p>
        </w:tc>
        <w:tc>
          <w:tcPr>
            <w:tcW w:w="724" w:type="dxa"/>
          </w:tcPr>
          <w:p>
            <w:pPr>
              <w:pStyle w:val="TableParagraph"/>
              <w:spacing w:line="201" w:lineRule="exact"/>
              <w:ind w:left="181"/>
              <w:rPr>
                <w:sz w:val="18"/>
              </w:rPr>
            </w:pPr>
            <w:r>
              <w:rPr>
                <w:color w:val="231F20"/>
                <w:sz w:val="18"/>
              </w:rPr>
              <w:t>1G</w:t>
            </w:r>
          </w:p>
        </w:tc>
        <w:tc>
          <w:tcPr>
            <w:tcW w:w="1107" w:type="dxa"/>
          </w:tcPr>
          <w:p>
            <w:pPr>
              <w:pStyle w:val="TableParagraph"/>
              <w:spacing w:line="201" w:lineRule="exact"/>
              <w:ind w:right="274"/>
              <w:jc w:val="right"/>
              <w:rPr>
                <w:sz w:val="18"/>
              </w:rPr>
            </w:pPr>
            <w:r>
              <w:rPr>
                <w:color w:val="231F20"/>
                <w:sz w:val="18"/>
              </w:rPr>
              <w:t>1BR</w:t>
            </w:r>
          </w:p>
        </w:tc>
        <w:tc>
          <w:tcPr>
            <w:tcW w:w="1235" w:type="dxa"/>
          </w:tcPr>
          <w:p>
            <w:pPr>
              <w:pStyle w:val="TableParagraph"/>
              <w:spacing w:line="201" w:lineRule="exact"/>
              <w:ind w:left="275"/>
              <w:rPr>
                <w:sz w:val="18"/>
              </w:rPr>
            </w:pPr>
            <w:r>
              <w:rPr>
                <w:color w:val="231F20"/>
                <w:sz w:val="18"/>
              </w:rPr>
              <w:t>3 + 1 Bath</w:t>
            </w:r>
          </w:p>
        </w:tc>
        <w:tc>
          <w:tcPr>
            <w:tcW w:w="1364" w:type="dxa"/>
          </w:tcPr>
          <w:p>
            <w:pPr>
              <w:pStyle w:val="TableParagraph"/>
              <w:spacing w:line="201" w:lineRule="exact"/>
              <w:ind w:right="304"/>
              <w:jc w:val="right"/>
              <w:rPr>
                <w:sz w:val="18"/>
              </w:rPr>
            </w:pPr>
            <w:r>
              <w:rPr>
                <w:color w:val="231F20"/>
                <w:sz w:val="18"/>
              </w:rPr>
              <w:t>706</w:t>
            </w:r>
          </w:p>
        </w:tc>
        <w:tc>
          <w:tcPr>
            <w:tcW w:w="1218" w:type="dxa"/>
          </w:tcPr>
          <w:p>
            <w:pPr>
              <w:pStyle w:val="TableParagraph"/>
              <w:spacing w:line="201" w:lineRule="exact"/>
              <w:ind w:right="106"/>
              <w:jc w:val="right"/>
              <w:rPr>
                <w:sz w:val="18"/>
              </w:rPr>
            </w:pPr>
            <w:r>
              <w:rPr>
                <w:color w:val="231F20"/>
                <w:sz w:val="18"/>
              </w:rPr>
              <w:t>800.00</w:t>
            </w:r>
          </w:p>
        </w:tc>
        <w:tc>
          <w:tcPr>
            <w:tcW w:w="1196" w:type="dxa"/>
          </w:tcPr>
          <w:p>
            <w:pPr>
              <w:pStyle w:val="TableParagraph"/>
              <w:spacing w:line="201" w:lineRule="exact"/>
              <w:ind w:left="372" w:right="373"/>
              <w:jc w:val="center"/>
              <w:rPr>
                <w:sz w:val="18"/>
              </w:rPr>
            </w:pPr>
            <w:r>
              <w:rPr>
                <w:color w:val="231F20"/>
                <w:sz w:val="18"/>
              </w:rPr>
              <w:t>0.262</w:t>
            </w:r>
          </w:p>
        </w:tc>
      </w:tr>
      <w:tr>
        <w:trPr>
          <w:trHeight w:val="200" w:hRule="atLeast"/>
        </w:trPr>
        <w:tc>
          <w:tcPr>
            <w:tcW w:w="900" w:type="dxa"/>
          </w:tcPr>
          <w:p>
            <w:pPr>
              <w:pStyle w:val="TableParagraph"/>
              <w:spacing w:line="180" w:lineRule="exact"/>
              <w:ind w:left="108"/>
              <w:rPr>
                <w:sz w:val="18"/>
              </w:rPr>
            </w:pPr>
            <w:r>
              <w:rPr>
                <w:color w:val="231F20"/>
                <w:sz w:val="18"/>
              </w:rPr>
              <w:t>"</w:t>
            </w:r>
          </w:p>
        </w:tc>
        <w:tc>
          <w:tcPr>
            <w:tcW w:w="1835" w:type="dxa"/>
          </w:tcPr>
          <w:p>
            <w:pPr>
              <w:pStyle w:val="TableParagraph"/>
              <w:spacing w:line="180" w:lineRule="exact"/>
              <w:ind w:left="353"/>
              <w:jc w:val="center"/>
              <w:rPr>
                <w:sz w:val="18"/>
              </w:rPr>
            </w:pPr>
            <w:r>
              <w:rPr>
                <w:color w:val="231F20"/>
                <w:sz w:val="18"/>
              </w:rPr>
              <w:t>"</w:t>
            </w:r>
          </w:p>
        </w:tc>
        <w:tc>
          <w:tcPr>
            <w:tcW w:w="724" w:type="dxa"/>
          </w:tcPr>
          <w:p>
            <w:pPr>
              <w:pStyle w:val="TableParagraph"/>
              <w:spacing w:line="180" w:lineRule="exact"/>
              <w:ind w:left="181"/>
              <w:rPr>
                <w:sz w:val="18"/>
              </w:rPr>
            </w:pPr>
            <w:r>
              <w:rPr>
                <w:color w:val="231F20"/>
                <w:sz w:val="18"/>
              </w:rPr>
              <w:t>1H</w:t>
            </w:r>
          </w:p>
        </w:tc>
        <w:tc>
          <w:tcPr>
            <w:tcW w:w="1107" w:type="dxa"/>
          </w:tcPr>
          <w:p>
            <w:pPr>
              <w:pStyle w:val="TableParagraph"/>
              <w:spacing w:line="180" w:lineRule="exact"/>
              <w:ind w:right="274"/>
              <w:jc w:val="right"/>
              <w:rPr>
                <w:sz w:val="18"/>
              </w:rPr>
            </w:pPr>
            <w:r>
              <w:rPr>
                <w:color w:val="231F20"/>
                <w:sz w:val="18"/>
              </w:rPr>
              <w:t>1BR</w:t>
            </w:r>
          </w:p>
        </w:tc>
        <w:tc>
          <w:tcPr>
            <w:tcW w:w="1235" w:type="dxa"/>
          </w:tcPr>
          <w:p>
            <w:pPr>
              <w:pStyle w:val="TableParagraph"/>
              <w:spacing w:line="180" w:lineRule="exact"/>
              <w:ind w:left="275"/>
              <w:rPr>
                <w:sz w:val="18"/>
              </w:rPr>
            </w:pPr>
            <w:r>
              <w:rPr>
                <w:color w:val="231F20"/>
                <w:sz w:val="18"/>
              </w:rPr>
              <w:t>3 + 1 Bath</w:t>
            </w:r>
          </w:p>
        </w:tc>
        <w:tc>
          <w:tcPr>
            <w:tcW w:w="1364" w:type="dxa"/>
          </w:tcPr>
          <w:p>
            <w:pPr>
              <w:pStyle w:val="TableParagraph"/>
              <w:spacing w:line="180" w:lineRule="exact"/>
              <w:ind w:right="304"/>
              <w:jc w:val="right"/>
              <w:rPr>
                <w:sz w:val="18"/>
              </w:rPr>
            </w:pPr>
            <w:r>
              <w:rPr>
                <w:color w:val="231F20"/>
                <w:sz w:val="18"/>
              </w:rPr>
              <w:t>706</w:t>
            </w:r>
          </w:p>
        </w:tc>
        <w:tc>
          <w:tcPr>
            <w:tcW w:w="1218" w:type="dxa"/>
          </w:tcPr>
          <w:p>
            <w:pPr>
              <w:pStyle w:val="TableParagraph"/>
              <w:spacing w:line="180" w:lineRule="exact"/>
              <w:ind w:right="106"/>
              <w:jc w:val="right"/>
              <w:rPr>
                <w:sz w:val="18"/>
              </w:rPr>
            </w:pPr>
            <w:r>
              <w:rPr>
                <w:color w:val="231F20"/>
                <w:sz w:val="18"/>
              </w:rPr>
              <w:t>800.00</w:t>
            </w:r>
          </w:p>
        </w:tc>
        <w:tc>
          <w:tcPr>
            <w:tcW w:w="1196" w:type="dxa"/>
          </w:tcPr>
          <w:p>
            <w:pPr>
              <w:pStyle w:val="TableParagraph"/>
              <w:spacing w:line="180" w:lineRule="exact"/>
              <w:ind w:left="372" w:right="373"/>
              <w:jc w:val="center"/>
              <w:rPr>
                <w:sz w:val="18"/>
              </w:rPr>
            </w:pPr>
            <w:r>
              <w:rPr>
                <w:color w:val="231F20"/>
                <w:sz w:val="18"/>
              </w:rPr>
              <w:t>0.262</w:t>
            </w:r>
          </w:p>
        </w:tc>
      </w:tr>
      <w:tr>
        <w:trPr>
          <w:trHeight w:val="182" w:hRule="atLeast"/>
        </w:trPr>
        <w:tc>
          <w:tcPr>
            <w:tcW w:w="900" w:type="dxa"/>
          </w:tcPr>
          <w:p>
            <w:pPr>
              <w:pStyle w:val="TableParagraph"/>
              <w:spacing w:line="240" w:lineRule="auto"/>
              <w:rPr>
                <w:rFonts w:ascii="Times New Roman"/>
                <w:sz w:val="12"/>
              </w:rPr>
            </w:pPr>
          </w:p>
        </w:tc>
        <w:tc>
          <w:tcPr>
            <w:tcW w:w="1835" w:type="dxa"/>
          </w:tcPr>
          <w:p>
            <w:pPr>
              <w:pStyle w:val="TableParagraph"/>
              <w:spacing w:line="240" w:lineRule="auto"/>
              <w:rPr>
                <w:rFonts w:ascii="Times New Roman"/>
                <w:sz w:val="12"/>
              </w:rPr>
            </w:pPr>
          </w:p>
        </w:tc>
        <w:tc>
          <w:tcPr>
            <w:tcW w:w="724" w:type="dxa"/>
          </w:tcPr>
          <w:p>
            <w:pPr>
              <w:pStyle w:val="TableParagraph"/>
              <w:spacing w:line="160" w:lineRule="exact" w:before="2"/>
              <w:ind w:left="181"/>
              <w:rPr>
                <w:sz w:val="18"/>
              </w:rPr>
            </w:pPr>
            <w:r>
              <w:rPr>
                <w:color w:val="231F20"/>
                <w:sz w:val="18"/>
              </w:rPr>
              <w:t>*</w:t>
            </w:r>
          </w:p>
        </w:tc>
        <w:tc>
          <w:tcPr>
            <w:tcW w:w="1107" w:type="dxa"/>
          </w:tcPr>
          <w:p>
            <w:pPr>
              <w:pStyle w:val="TableParagraph"/>
              <w:spacing w:line="240" w:lineRule="auto"/>
              <w:rPr>
                <w:rFonts w:ascii="Times New Roman"/>
                <w:sz w:val="12"/>
              </w:rPr>
            </w:pPr>
          </w:p>
        </w:tc>
        <w:tc>
          <w:tcPr>
            <w:tcW w:w="1235" w:type="dxa"/>
          </w:tcPr>
          <w:p>
            <w:pPr>
              <w:pStyle w:val="TableParagraph"/>
              <w:spacing w:line="240" w:lineRule="auto"/>
              <w:rPr>
                <w:rFonts w:ascii="Times New Roman"/>
                <w:sz w:val="12"/>
              </w:rPr>
            </w:pPr>
          </w:p>
        </w:tc>
        <w:tc>
          <w:tcPr>
            <w:tcW w:w="1364" w:type="dxa"/>
          </w:tcPr>
          <w:p>
            <w:pPr>
              <w:pStyle w:val="TableParagraph"/>
              <w:spacing w:line="240" w:lineRule="auto"/>
              <w:rPr>
                <w:rFonts w:ascii="Times New Roman"/>
                <w:sz w:val="12"/>
              </w:rPr>
            </w:pPr>
          </w:p>
        </w:tc>
        <w:tc>
          <w:tcPr>
            <w:tcW w:w="1218" w:type="dxa"/>
          </w:tcPr>
          <w:p>
            <w:pPr>
              <w:pStyle w:val="TableParagraph"/>
              <w:spacing w:line="240" w:lineRule="auto"/>
              <w:rPr>
                <w:rFonts w:ascii="Times New Roman"/>
                <w:sz w:val="12"/>
              </w:rPr>
            </w:pPr>
          </w:p>
        </w:tc>
        <w:tc>
          <w:tcPr>
            <w:tcW w:w="1196" w:type="dxa"/>
          </w:tcPr>
          <w:p>
            <w:pPr>
              <w:pStyle w:val="TableParagraph"/>
              <w:spacing w:line="240" w:lineRule="auto"/>
              <w:rPr>
                <w:rFonts w:ascii="Times New Roman"/>
                <w:sz w:val="12"/>
              </w:rPr>
            </w:pPr>
          </w:p>
        </w:tc>
      </w:tr>
      <w:tr>
        <w:trPr>
          <w:trHeight w:val="200" w:hRule="atLeast"/>
        </w:trPr>
        <w:tc>
          <w:tcPr>
            <w:tcW w:w="3459" w:type="dxa"/>
            <w:gridSpan w:val="3"/>
          </w:tcPr>
          <w:p>
            <w:pPr>
              <w:pStyle w:val="TableParagraph"/>
              <w:tabs>
                <w:tab w:pos="1958" w:val="left" w:leader="none"/>
                <w:tab w:pos="2916" w:val="left" w:leader="none"/>
              </w:tabs>
              <w:spacing w:line="180" w:lineRule="exact"/>
              <w:ind w:left="108"/>
              <w:rPr>
                <w:sz w:val="18"/>
              </w:rPr>
            </w:pPr>
            <w:r>
              <w:rPr>
                <w:color w:val="231F20"/>
                <w:sz w:val="18"/>
              </w:rPr>
              <w:t>"</w:t>
              <w:tab/>
              <w:t>"</w:t>
              <w:tab/>
              <w:t>1J</w:t>
            </w:r>
          </w:p>
        </w:tc>
        <w:tc>
          <w:tcPr>
            <w:tcW w:w="1107" w:type="dxa"/>
          </w:tcPr>
          <w:p>
            <w:pPr>
              <w:pStyle w:val="TableParagraph"/>
              <w:spacing w:line="180" w:lineRule="exact"/>
              <w:ind w:right="274"/>
              <w:jc w:val="right"/>
              <w:rPr>
                <w:sz w:val="18"/>
              </w:rPr>
            </w:pPr>
            <w:r>
              <w:rPr>
                <w:color w:val="231F20"/>
                <w:sz w:val="18"/>
              </w:rPr>
              <w:t>1BR</w:t>
            </w:r>
          </w:p>
        </w:tc>
        <w:tc>
          <w:tcPr>
            <w:tcW w:w="1235" w:type="dxa"/>
          </w:tcPr>
          <w:p>
            <w:pPr>
              <w:pStyle w:val="TableParagraph"/>
              <w:spacing w:line="180" w:lineRule="exact"/>
              <w:ind w:left="275"/>
              <w:rPr>
                <w:sz w:val="18"/>
              </w:rPr>
            </w:pPr>
            <w:r>
              <w:rPr>
                <w:color w:val="231F20"/>
                <w:sz w:val="18"/>
              </w:rPr>
              <w:t>3 + 1 Bath</w:t>
            </w:r>
          </w:p>
        </w:tc>
        <w:tc>
          <w:tcPr>
            <w:tcW w:w="1364" w:type="dxa"/>
          </w:tcPr>
          <w:p>
            <w:pPr>
              <w:pStyle w:val="TableParagraph"/>
              <w:spacing w:line="180" w:lineRule="exact"/>
              <w:ind w:right="304"/>
              <w:jc w:val="right"/>
              <w:rPr>
                <w:sz w:val="18"/>
              </w:rPr>
            </w:pPr>
            <w:r>
              <w:rPr>
                <w:color w:val="231F20"/>
                <w:sz w:val="18"/>
              </w:rPr>
              <w:t>706</w:t>
            </w:r>
          </w:p>
        </w:tc>
        <w:tc>
          <w:tcPr>
            <w:tcW w:w="1218" w:type="dxa"/>
          </w:tcPr>
          <w:p>
            <w:pPr>
              <w:pStyle w:val="TableParagraph"/>
              <w:spacing w:line="180" w:lineRule="exact"/>
              <w:ind w:right="106"/>
              <w:jc w:val="right"/>
              <w:rPr>
                <w:sz w:val="18"/>
              </w:rPr>
            </w:pPr>
            <w:r>
              <w:rPr>
                <w:color w:val="231F20"/>
                <w:sz w:val="18"/>
              </w:rPr>
              <w:t>800.00</w:t>
            </w:r>
          </w:p>
        </w:tc>
        <w:tc>
          <w:tcPr>
            <w:tcW w:w="1196" w:type="dxa"/>
          </w:tcPr>
          <w:p>
            <w:pPr>
              <w:pStyle w:val="TableParagraph"/>
              <w:spacing w:line="180" w:lineRule="exact"/>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1K</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1L</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756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91" w:hRule="atLeast"/>
        </w:trPr>
        <w:tc>
          <w:tcPr>
            <w:tcW w:w="3459" w:type="dxa"/>
            <w:gridSpan w:val="3"/>
          </w:tcPr>
          <w:p>
            <w:pPr>
              <w:pStyle w:val="TableParagraph"/>
              <w:tabs>
                <w:tab w:pos="1958" w:val="left" w:leader="none"/>
                <w:tab w:pos="2916" w:val="left" w:leader="none"/>
              </w:tabs>
              <w:spacing w:line="204" w:lineRule="exact"/>
              <w:ind w:left="108"/>
              <w:rPr>
                <w:sz w:val="18"/>
              </w:rPr>
            </w:pPr>
            <w:r>
              <w:rPr>
                <w:color w:val="231F20"/>
                <w:sz w:val="18"/>
              </w:rPr>
              <w:t>"</w:t>
              <w:tab/>
              <w:t>"</w:t>
              <w:tab/>
              <w:t>1M</w:t>
            </w:r>
          </w:p>
        </w:tc>
        <w:tc>
          <w:tcPr>
            <w:tcW w:w="1107" w:type="dxa"/>
          </w:tcPr>
          <w:p>
            <w:pPr>
              <w:pStyle w:val="TableParagraph"/>
              <w:spacing w:line="204" w:lineRule="exact"/>
              <w:ind w:right="274"/>
              <w:jc w:val="right"/>
              <w:rPr>
                <w:sz w:val="18"/>
              </w:rPr>
            </w:pPr>
            <w:r>
              <w:rPr>
                <w:color w:val="231F20"/>
                <w:sz w:val="18"/>
              </w:rPr>
              <w:t>2BR</w:t>
            </w:r>
          </w:p>
        </w:tc>
        <w:tc>
          <w:tcPr>
            <w:tcW w:w="1235" w:type="dxa"/>
          </w:tcPr>
          <w:p>
            <w:pPr>
              <w:pStyle w:val="TableParagraph"/>
              <w:spacing w:line="204" w:lineRule="exact"/>
              <w:ind w:left="275"/>
              <w:rPr>
                <w:sz w:val="18"/>
              </w:rPr>
            </w:pPr>
            <w:r>
              <w:rPr>
                <w:color w:val="231F20"/>
                <w:sz w:val="18"/>
              </w:rPr>
              <w:t>4 + 1 Bath</w:t>
            </w:r>
          </w:p>
        </w:tc>
        <w:tc>
          <w:tcPr>
            <w:tcW w:w="1364" w:type="dxa"/>
          </w:tcPr>
          <w:p>
            <w:pPr>
              <w:pStyle w:val="TableParagraph"/>
              <w:spacing w:line="204" w:lineRule="exact"/>
              <w:ind w:right="304"/>
              <w:jc w:val="right"/>
              <w:rPr>
                <w:sz w:val="18"/>
              </w:rPr>
            </w:pPr>
            <w:r>
              <w:rPr>
                <w:color w:val="231F20"/>
                <w:sz w:val="18"/>
              </w:rPr>
              <w:t>948</w:t>
            </w:r>
          </w:p>
        </w:tc>
        <w:tc>
          <w:tcPr>
            <w:tcW w:w="1218" w:type="dxa"/>
          </w:tcPr>
          <w:p>
            <w:pPr>
              <w:pStyle w:val="TableParagraph"/>
              <w:spacing w:line="204" w:lineRule="exact"/>
              <w:ind w:right="106"/>
              <w:jc w:val="right"/>
              <w:rPr>
                <w:sz w:val="18"/>
              </w:rPr>
            </w:pPr>
            <w:r>
              <w:rPr>
                <w:color w:val="231F20"/>
                <w:sz w:val="18"/>
              </w:rPr>
              <w:t>950.00</w:t>
            </w:r>
          </w:p>
        </w:tc>
        <w:tc>
          <w:tcPr>
            <w:tcW w:w="1196" w:type="dxa"/>
          </w:tcPr>
          <w:p>
            <w:pPr>
              <w:pStyle w:val="TableParagraph"/>
              <w:spacing w:line="204" w:lineRule="exact"/>
              <w:ind w:left="372" w:right="373"/>
              <w:jc w:val="center"/>
              <w:rPr>
                <w:sz w:val="18"/>
              </w:rPr>
            </w:pPr>
            <w:r>
              <w:rPr>
                <w:color w:val="231F20"/>
                <w:sz w:val="18"/>
              </w:rPr>
              <w:t>0.310</w:t>
            </w:r>
          </w:p>
        </w:tc>
      </w:tr>
      <w:tr>
        <w:trPr>
          <w:trHeight w:val="291" w:hRule="atLeast"/>
        </w:trPr>
        <w:tc>
          <w:tcPr>
            <w:tcW w:w="3459" w:type="dxa"/>
            <w:gridSpan w:val="3"/>
          </w:tcPr>
          <w:p>
            <w:pPr>
              <w:pStyle w:val="TableParagraph"/>
              <w:tabs>
                <w:tab w:pos="1958" w:val="left" w:leader="none"/>
                <w:tab w:pos="2916" w:val="left" w:leader="none"/>
              </w:tabs>
              <w:spacing w:line="217" w:lineRule="exact" w:before="55"/>
              <w:ind w:left="108"/>
              <w:rPr>
                <w:sz w:val="18"/>
              </w:rPr>
            </w:pPr>
            <w:r>
              <w:rPr>
                <w:color w:val="231F20"/>
                <w:sz w:val="18"/>
              </w:rPr>
              <w:t>"</w:t>
              <w:tab/>
              <w:t>"</w:t>
              <w:tab/>
              <w:t>2A</w:t>
            </w:r>
          </w:p>
        </w:tc>
        <w:tc>
          <w:tcPr>
            <w:tcW w:w="1107" w:type="dxa"/>
          </w:tcPr>
          <w:p>
            <w:pPr>
              <w:pStyle w:val="TableParagraph"/>
              <w:spacing w:line="217" w:lineRule="exact" w:before="55"/>
              <w:ind w:right="274"/>
              <w:jc w:val="right"/>
              <w:rPr>
                <w:sz w:val="18"/>
              </w:rPr>
            </w:pPr>
            <w:r>
              <w:rPr>
                <w:color w:val="231F20"/>
                <w:sz w:val="18"/>
              </w:rPr>
              <w:t>2BR</w:t>
            </w:r>
          </w:p>
        </w:tc>
        <w:tc>
          <w:tcPr>
            <w:tcW w:w="1235" w:type="dxa"/>
          </w:tcPr>
          <w:p>
            <w:pPr>
              <w:pStyle w:val="TableParagraph"/>
              <w:spacing w:line="217" w:lineRule="exact" w:before="55"/>
              <w:ind w:left="275"/>
              <w:rPr>
                <w:sz w:val="18"/>
              </w:rPr>
            </w:pPr>
            <w:r>
              <w:rPr>
                <w:color w:val="231F20"/>
                <w:sz w:val="18"/>
              </w:rPr>
              <w:t>4 + 1 Bath</w:t>
            </w:r>
          </w:p>
        </w:tc>
        <w:tc>
          <w:tcPr>
            <w:tcW w:w="1364" w:type="dxa"/>
          </w:tcPr>
          <w:p>
            <w:pPr>
              <w:pStyle w:val="TableParagraph"/>
              <w:spacing w:line="217" w:lineRule="exact" w:before="55"/>
              <w:ind w:right="304"/>
              <w:jc w:val="right"/>
              <w:rPr>
                <w:sz w:val="18"/>
              </w:rPr>
            </w:pPr>
            <w:r>
              <w:rPr>
                <w:color w:val="231F20"/>
                <w:sz w:val="18"/>
              </w:rPr>
              <w:t>960</w:t>
            </w:r>
          </w:p>
        </w:tc>
        <w:tc>
          <w:tcPr>
            <w:tcW w:w="1218" w:type="dxa"/>
          </w:tcPr>
          <w:p>
            <w:pPr>
              <w:pStyle w:val="TableParagraph"/>
              <w:spacing w:line="217" w:lineRule="exact" w:before="55"/>
              <w:ind w:right="106"/>
              <w:jc w:val="right"/>
              <w:rPr>
                <w:sz w:val="18"/>
              </w:rPr>
            </w:pPr>
            <w:r>
              <w:rPr>
                <w:color w:val="231F20"/>
                <w:sz w:val="18"/>
              </w:rPr>
              <w:t>950.00</w:t>
            </w:r>
          </w:p>
        </w:tc>
        <w:tc>
          <w:tcPr>
            <w:tcW w:w="1196" w:type="dxa"/>
          </w:tcPr>
          <w:p>
            <w:pPr>
              <w:pStyle w:val="TableParagraph"/>
              <w:spacing w:line="217" w:lineRule="exact" w:before="55"/>
              <w:ind w:left="372" w:right="373"/>
              <w:jc w:val="center"/>
              <w:rPr>
                <w:sz w:val="18"/>
              </w:rPr>
            </w:pPr>
            <w:r>
              <w:rPr>
                <w:color w:val="231F20"/>
                <w:sz w:val="18"/>
              </w:rPr>
              <w:t>0.310</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2B</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2C</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20" w:hRule="atLeast"/>
        </w:trPr>
        <w:tc>
          <w:tcPr>
            <w:tcW w:w="3459" w:type="dxa"/>
            <w:gridSpan w:val="3"/>
          </w:tcPr>
          <w:p>
            <w:pPr>
              <w:pStyle w:val="TableParagraph"/>
              <w:tabs>
                <w:tab w:pos="1958" w:val="left" w:leader="none"/>
                <w:tab w:pos="2916" w:val="left" w:leader="none"/>
              </w:tabs>
              <w:spacing w:line="201" w:lineRule="exact"/>
              <w:ind w:left="108"/>
              <w:rPr>
                <w:sz w:val="18"/>
              </w:rPr>
            </w:pPr>
            <w:r>
              <w:rPr>
                <w:color w:val="231F20"/>
                <w:sz w:val="18"/>
              </w:rPr>
              <w:t>"</w:t>
              <w:tab/>
              <w:t>"</w:t>
              <w:tab/>
              <w:t>2D</w:t>
            </w:r>
          </w:p>
        </w:tc>
        <w:tc>
          <w:tcPr>
            <w:tcW w:w="1107" w:type="dxa"/>
          </w:tcPr>
          <w:p>
            <w:pPr>
              <w:pStyle w:val="TableParagraph"/>
              <w:spacing w:line="201" w:lineRule="exact"/>
              <w:ind w:right="274"/>
              <w:jc w:val="right"/>
              <w:rPr>
                <w:sz w:val="18"/>
              </w:rPr>
            </w:pPr>
            <w:r>
              <w:rPr>
                <w:color w:val="231F20"/>
                <w:sz w:val="18"/>
              </w:rPr>
              <w:t>1BR</w:t>
            </w:r>
          </w:p>
        </w:tc>
        <w:tc>
          <w:tcPr>
            <w:tcW w:w="1235" w:type="dxa"/>
          </w:tcPr>
          <w:p>
            <w:pPr>
              <w:pStyle w:val="TableParagraph"/>
              <w:spacing w:line="201" w:lineRule="exact"/>
              <w:ind w:left="275"/>
              <w:rPr>
                <w:sz w:val="18"/>
              </w:rPr>
            </w:pPr>
            <w:r>
              <w:rPr>
                <w:color w:val="231F20"/>
                <w:sz w:val="18"/>
              </w:rPr>
              <w:t>3 + 1 Bath</w:t>
            </w:r>
          </w:p>
        </w:tc>
        <w:tc>
          <w:tcPr>
            <w:tcW w:w="1364" w:type="dxa"/>
          </w:tcPr>
          <w:p>
            <w:pPr>
              <w:pStyle w:val="TableParagraph"/>
              <w:spacing w:line="201" w:lineRule="exact"/>
              <w:ind w:right="304"/>
              <w:jc w:val="right"/>
              <w:rPr>
                <w:sz w:val="18"/>
              </w:rPr>
            </w:pPr>
            <w:r>
              <w:rPr>
                <w:color w:val="231F20"/>
                <w:sz w:val="18"/>
              </w:rPr>
              <w:t>706</w:t>
            </w:r>
          </w:p>
        </w:tc>
        <w:tc>
          <w:tcPr>
            <w:tcW w:w="1218" w:type="dxa"/>
          </w:tcPr>
          <w:p>
            <w:pPr>
              <w:pStyle w:val="TableParagraph"/>
              <w:spacing w:line="201" w:lineRule="exact"/>
              <w:ind w:right="106"/>
              <w:jc w:val="right"/>
              <w:rPr>
                <w:sz w:val="18"/>
              </w:rPr>
            </w:pPr>
            <w:r>
              <w:rPr>
                <w:color w:val="231F20"/>
                <w:sz w:val="18"/>
              </w:rPr>
              <w:t>800.00</w:t>
            </w:r>
          </w:p>
        </w:tc>
        <w:tc>
          <w:tcPr>
            <w:tcW w:w="1196" w:type="dxa"/>
          </w:tcPr>
          <w:p>
            <w:pPr>
              <w:pStyle w:val="TableParagraph"/>
              <w:spacing w:line="201" w:lineRule="exact"/>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2E</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2F</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2G</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199" w:hRule="atLeast"/>
        </w:trPr>
        <w:tc>
          <w:tcPr>
            <w:tcW w:w="3459" w:type="dxa"/>
            <w:gridSpan w:val="3"/>
          </w:tcPr>
          <w:p>
            <w:pPr>
              <w:pStyle w:val="TableParagraph"/>
              <w:tabs>
                <w:tab w:pos="1958" w:val="left" w:leader="none"/>
                <w:tab w:pos="2916" w:val="left" w:leader="none"/>
              </w:tabs>
              <w:spacing w:line="179" w:lineRule="exact"/>
              <w:ind w:left="108"/>
              <w:rPr>
                <w:sz w:val="18"/>
              </w:rPr>
            </w:pPr>
            <w:r>
              <w:rPr>
                <w:color w:val="231F20"/>
                <w:sz w:val="18"/>
              </w:rPr>
              <w:t>"</w:t>
              <w:tab/>
              <w:t>"</w:t>
              <w:tab/>
              <w:t>2H</w:t>
            </w:r>
          </w:p>
        </w:tc>
        <w:tc>
          <w:tcPr>
            <w:tcW w:w="1107" w:type="dxa"/>
          </w:tcPr>
          <w:p>
            <w:pPr>
              <w:pStyle w:val="TableParagraph"/>
              <w:spacing w:line="179" w:lineRule="exact"/>
              <w:ind w:right="274"/>
              <w:jc w:val="right"/>
              <w:rPr>
                <w:sz w:val="18"/>
              </w:rPr>
            </w:pPr>
            <w:r>
              <w:rPr>
                <w:color w:val="231F20"/>
                <w:sz w:val="18"/>
              </w:rPr>
              <w:t>1BR</w:t>
            </w:r>
          </w:p>
        </w:tc>
        <w:tc>
          <w:tcPr>
            <w:tcW w:w="1235" w:type="dxa"/>
          </w:tcPr>
          <w:p>
            <w:pPr>
              <w:pStyle w:val="TableParagraph"/>
              <w:spacing w:line="179" w:lineRule="exact"/>
              <w:ind w:left="275"/>
              <w:rPr>
                <w:sz w:val="18"/>
              </w:rPr>
            </w:pPr>
            <w:r>
              <w:rPr>
                <w:color w:val="231F20"/>
                <w:sz w:val="18"/>
              </w:rPr>
              <w:t>3 + 1 Bath</w:t>
            </w:r>
          </w:p>
        </w:tc>
        <w:tc>
          <w:tcPr>
            <w:tcW w:w="1364" w:type="dxa"/>
          </w:tcPr>
          <w:p>
            <w:pPr>
              <w:pStyle w:val="TableParagraph"/>
              <w:spacing w:line="179" w:lineRule="exact"/>
              <w:ind w:right="304"/>
              <w:jc w:val="right"/>
              <w:rPr>
                <w:sz w:val="18"/>
              </w:rPr>
            </w:pPr>
            <w:r>
              <w:rPr>
                <w:color w:val="231F20"/>
                <w:sz w:val="18"/>
              </w:rPr>
              <w:t>706</w:t>
            </w:r>
          </w:p>
        </w:tc>
        <w:tc>
          <w:tcPr>
            <w:tcW w:w="1218" w:type="dxa"/>
          </w:tcPr>
          <w:p>
            <w:pPr>
              <w:pStyle w:val="TableParagraph"/>
              <w:spacing w:line="179" w:lineRule="exact"/>
              <w:ind w:right="106"/>
              <w:jc w:val="right"/>
              <w:rPr>
                <w:sz w:val="18"/>
              </w:rPr>
            </w:pPr>
            <w:r>
              <w:rPr>
                <w:color w:val="231F20"/>
                <w:sz w:val="18"/>
              </w:rPr>
              <w:t>800.00</w:t>
            </w:r>
          </w:p>
        </w:tc>
        <w:tc>
          <w:tcPr>
            <w:tcW w:w="1196" w:type="dxa"/>
          </w:tcPr>
          <w:p>
            <w:pPr>
              <w:pStyle w:val="TableParagraph"/>
              <w:spacing w:line="179" w:lineRule="exact"/>
              <w:ind w:left="372" w:right="373"/>
              <w:jc w:val="center"/>
              <w:rPr>
                <w:sz w:val="18"/>
              </w:rPr>
            </w:pPr>
            <w:r>
              <w:rPr>
                <w:color w:val="231F20"/>
                <w:sz w:val="18"/>
              </w:rPr>
              <w:t>0.262</w:t>
            </w:r>
          </w:p>
        </w:tc>
      </w:tr>
      <w:tr>
        <w:trPr>
          <w:trHeight w:val="184" w:hRule="atLeast"/>
        </w:trPr>
        <w:tc>
          <w:tcPr>
            <w:tcW w:w="900" w:type="dxa"/>
          </w:tcPr>
          <w:p>
            <w:pPr>
              <w:pStyle w:val="TableParagraph"/>
              <w:spacing w:line="240" w:lineRule="auto"/>
              <w:rPr>
                <w:rFonts w:ascii="Times New Roman"/>
                <w:sz w:val="12"/>
              </w:rPr>
            </w:pPr>
          </w:p>
        </w:tc>
        <w:tc>
          <w:tcPr>
            <w:tcW w:w="1835" w:type="dxa"/>
          </w:tcPr>
          <w:p>
            <w:pPr>
              <w:pStyle w:val="TableParagraph"/>
              <w:spacing w:line="240" w:lineRule="auto"/>
              <w:rPr>
                <w:rFonts w:ascii="Times New Roman"/>
                <w:sz w:val="12"/>
              </w:rPr>
            </w:pPr>
          </w:p>
        </w:tc>
        <w:tc>
          <w:tcPr>
            <w:tcW w:w="724" w:type="dxa"/>
          </w:tcPr>
          <w:p>
            <w:pPr>
              <w:pStyle w:val="TableParagraph"/>
              <w:spacing w:line="160" w:lineRule="exact" w:before="4"/>
              <w:ind w:left="181"/>
              <w:rPr>
                <w:sz w:val="18"/>
              </w:rPr>
            </w:pPr>
            <w:r>
              <w:rPr>
                <w:color w:val="231F20"/>
                <w:sz w:val="18"/>
              </w:rPr>
              <w:t>*</w:t>
            </w:r>
          </w:p>
        </w:tc>
        <w:tc>
          <w:tcPr>
            <w:tcW w:w="1107" w:type="dxa"/>
          </w:tcPr>
          <w:p>
            <w:pPr>
              <w:pStyle w:val="TableParagraph"/>
              <w:spacing w:line="240" w:lineRule="auto"/>
              <w:rPr>
                <w:rFonts w:ascii="Times New Roman"/>
                <w:sz w:val="12"/>
              </w:rPr>
            </w:pPr>
          </w:p>
        </w:tc>
        <w:tc>
          <w:tcPr>
            <w:tcW w:w="1235" w:type="dxa"/>
          </w:tcPr>
          <w:p>
            <w:pPr>
              <w:pStyle w:val="TableParagraph"/>
              <w:spacing w:line="240" w:lineRule="auto"/>
              <w:rPr>
                <w:rFonts w:ascii="Times New Roman"/>
                <w:sz w:val="12"/>
              </w:rPr>
            </w:pPr>
          </w:p>
        </w:tc>
        <w:tc>
          <w:tcPr>
            <w:tcW w:w="1364" w:type="dxa"/>
          </w:tcPr>
          <w:p>
            <w:pPr>
              <w:pStyle w:val="TableParagraph"/>
              <w:spacing w:line="240" w:lineRule="auto"/>
              <w:rPr>
                <w:rFonts w:ascii="Times New Roman"/>
                <w:sz w:val="12"/>
              </w:rPr>
            </w:pPr>
          </w:p>
        </w:tc>
        <w:tc>
          <w:tcPr>
            <w:tcW w:w="1218" w:type="dxa"/>
          </w:tcPr>
          <w:p>
            <w:pPr>
              <w:pStyle w:val="TableParagraph"/>
              <w:spacing w:line="240" w:lineRule="auto"/>
              <w:rPr>
                <w:rFonts w:ascii="Times New Roman"/>
                <w:sz w:val="12"/>
              </w:rPr>
            </w:pPr>
          </w:p>
        </w:tc>
        <w:tc>
          <w:tcPr>
            <w:tcW w:w="1196" w:type="dxa"/>
          </w:tcPr>
          <w:p>
            <w:pPr>
              <w:pStyle w:val="TableParagraph"/>
              <w:spacing w:line="240" w:lineRule="auto"/>
              <w:rPr>
                <w:rFonts w:ascii="Times New Roman"/>
                <w:sz w:val="12"/>
              </w:rPr>
            </w:pPr>
          </w:p>
        </w:tc>
      </w:tr>
      <w:tr>
        <w:trPr>
          <w:trHeight w:val="199" w:hRule="atLeast"/>
        </w:trPr>
        <w:tc>
          <w:tcPr>
            <w:tcW w:w="3459" w:type="dxa"/>
            <w:gridSpan w:val="3"/>
          </w:tcPr>
          <w:p>
            <w:pPr>
              <w:pStyle w:val="TableParagraph"/>
              <w:tabs>
                <w:tab w:pos="1958" w:val="left" w:leader="none"/>
                <w:tab w:pos="2916" w:val="left" w:leader="none"/>
              </w:tabs>
              <w:spacing w:line="179" w:lineRule="exact"/>
              <w:ind w:left="108"/>
              <w:rPr>
                <w:sz w:val="18"/>
              </w:rPr>
            </w:pPr>
            <w:r>
              <w:rPr>
                <w:color w:val="231F20"/>
                <w:sz w:val="18"/>
              </w:rPr>
              <w:t>"</w:t>
              <w:tab/>
              <w:t>"</w:t>
              <w:tab/>
              <w:t>2J</w:t>
            </w:r>
          </w:p>
        </w:tc>
        <w:tc>
          <w:tcPr>
            <w:tcW w:w="1107" w:type="dxa"/>
          </w:tcPr>
          <w:p>
            <w:pPr>
              <w:pStyle w:val="TableParagraph"/>
              <w:spacing w:line="179" w:lineRule="exact"/>
              <w:ind w:right="274"/>
              <w:jc w:val="right"/>
              <w:rPr>
                <w:sz w:val="18"/>
              </w:rPr>
            </w:pPr>
            <w:r>
              <w:rPr>
                <w:color w:val="231F20"/>
                <w:sz w:val="18"/>
              </w:rPr>
              <w:t>1BR</w:t>
            </w:r>
          </w:p>
        </w:tc>
        <w:tc>
          <w:tcPr>
            <w:tcW w:w="1235" w:type="dxa"/>
          </w:tcPr>
          <w:p>
            <w:pPr>
              <w:pStyle w:val="TableParagraph"/>
              <w:spacing w:line="179" w:lineRule="exact"/>
              <w:ind w:left="275"/>
              <w:rPr>
                <w:sz w:val="18"/>
              </w:rPr>
            </w:pPr>
            <w:r>
              <w:rPr>
                <w:color w:val="231F20"/>
                <w:sz w:val="18"/>
              </w:rPr>
              <w:t>3 + 1 Bath</w:t>
            </w:r>
          </w:p>
        </w:tc>
        <w:tc>
          <w:tcPr>
            <w:tcW w:w="1364" w:type="dxa"/>
          </w:tcPr>
          <w:p>
            <w:pPr>
              <w:pStyle w:val="TableParagraph"/>
              <w:spacing w:line="179" w:lineRule="exact"/>
              <w:ind w:right="304"/>
              <w:jc w:val="right"/>
              <w:rPr>
                <w:sz w:val="18"/>
              </w:rPr>
            </w:pPr>
            <w:r>
              <w:rPr>
                <w:color w:val="231F20"/>
                <w:sz w:val="18"/>
              </w:rPr>
              <w:t>706</w:t>
            </w:r>
          </w:p>
        </w:tc>
        <w:tc>
          <w:tcPr>
            <w:tcW w:w="1218" w:type="dxa"/>
          </w:tcPr>
          <w:p>
            <w:pPr>
              <w:pStyle w:val="TableParagraph"/>
              <w:spacing w:line="179" w:lineRule="exact"/>
              <w:ind w:right="106"/>
              <w:jc w:val="right"/>
              <w:rPr>
                <w:sz w:val="18"/>
              </w:rPr>
            </w:pPr>
            <w:r>
              <w:rPr>
                <w:color w:val="231F20"/>
                <w:sz w:val="18"/>
              </w:rPr>
              <w:t>800.00</w:t>
            </w:r>
          </w:p>
        </w:tc>
        <w:tc>
          <w:tcPr>
            <w:tcW w:w="1196" w:type="dxa"/>
          </w:tcPr>
          <w:p>
            <w:pPr>
              <w:pStyle w:val="TableParagraph"/>
              <w:spacing w:line="179" w:lineRule="exact"/>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2K</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2L</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756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91" w:hRule="atLeast"/>
        </w:trPr>
        <w:tc>
          <w:tcPr>
            <w:tcW w:w="3459" w:type="dxa"/>
            <w:gridSpan w:val="3"/>
          </w:tcPr>
          <w:p>
            <w:pPr>
              <w:pStyle w:val="TableParagraph"/>
              <w:tabs>
                <w:tab w:pos="1958" w:val="left" w:leader="none"/>
                <w:tab w:pos="2916" w:val="left" w:leader="none"/>
              </w:tabs>
              <w:spacing w:line="203" w:lineRule="exact"/>
              <w:ind w:left="108"/>
              <w:rPr>
                <w:sz w:val="18"/>
              </w:rPr>
            </w:pPr>
            <w:r>
              <w:rPr>
                <w:color w:val="231F20"/>
                <w:sz w:val="18"/>
              </w:rPr>
              <w:t>"</w:t>
              <w:tab/>
              <w:t>"</w:t>
              <w:tab/>
              <w:t>2M</w:t>
            </w:r>
          </w:p>
        </w:tc>
        <w:tc>
          <w:tcPr>
            <w:tcW w:w="1107" w:type="dxa"/>
          </w:tcPr>
          <w:p>
            <w:pPr>
              <w:pStyle w:val="TableParagraph"/>
              <w:spacing w:line="203" w:lineRule="exact"/>
              <w:ind w:right="274"/>
              <w:jc w:val="right"/>
              <w:rPr>
                <w:sz w:val="18"/>
              </w:rPr>
            </w:pPr>
            <w:r>
              <w:rPr>
                <w:color w:val="231F20"/>
                <w:sz w:val="18"/>
              </w:rPr>
              <w:t>2BR</w:t>
            </w:r>
          </w:p>
        </w:tc>
        <w:tc>
          <w:tcPr>
            <w:tcW w:w="1235" w:type="dxa"/>
          </w:tcPr>
          <w:p>
            <w:pPr>
              <w:pStyle w:val="TableParagraph"/>
              <w:spacing w:line="203" w:lineRule="exact"/>
              <w:ind w:left="275"/>
              <w:rPr>
                <w:sz w:val="18"/>
              </w:rPr>
            </w:pPr>
            <w:r>
              <w:rPr>
                <w:color w:val="231F20"/>
                <w:sz w:val="18"/>
              </w:rPr>
              <w:t>4 + 1 Bath</w:t>
            </w:r>
          </w:p>
        </w:tc>
        <w:tc>
          <w:tcPr>
            <w:tcW w:w="1364" w:type="dxa"/>
          </w:tcPr>
          <w:p>
            <w:pPr>
              <w:pStyle w:val="TableParagraph"/>
              <w:spacing w:line="203" w:lineRule="exact"/>
              <w:ind w:right="304"/>
              <w:jc w:val="right"/>
              <w:rPr>
                <w:sz w:val="18"/>
              </w:rPr>
            </w:pPr>
            <w:r>
              <w:rPr>
                <w:color w:val="231F20"/>
                <w:sz w:val="18"/>
              </w:rPr>
              <w:t>948</w:t>
            </w:r>
          </w:p>
        </w:tc>
        <w:tc>
          <w:tcPr>
            <w:tcW w:w="1218" w:type="dxa"/>
          </w:tcPr>
          <w:p>
            <w:pPr>
              <w:pStyle w:val="TableParagraph"/>
              <w:spacing w:line="203" w:lineRule="exact"/>
              <w:ind w:right="106"/>
              <w:jc w:val="right"/>
              <w:rPr>
                <w:sz w:val="18"/>
              </w:rPr>
            </w:pPr>
            <w:r>
              <w:rPr>
                <w:color w:val="231F20"/>
                <w:sz w:val="18"/>
              </w:rPr>
              <w:t>950.00</w:t>
            </w:r>
          </w:p>
        </w:tc>
        <w:tc>
          <w:tcPr>
            <w:tcW w:w="1196" w:type="dxa"/>
          </w:tcPr>
          <w:p>
            <w:pPr>
              <w:pStyle w:val="TableParagraph"/>
              <w:spacing w:line="203" w:lineRule="exact"/>
              <w:ind w:left="372" w:right="373"/>
              <w:jc w:val="center"/>
              <w:rPr>
                <w:sz w:val="18"/>
              </w:rPr>
            </w:pPr>
            <w:r>
              <w:rPr>
                <w:color w:val="231F20"/>
                <w:sz w:val="18"/>
              </w:rPr>
              <w:t>0.310</w:t>
            </w:r>
          </w:p>
        </w:tc>
      </w:tr>
      <w:tr>
        <w:trPr>
          <w:trHeight w:val="292" w:hRule="atLeast"/>
        </w:trPr>
        <w:tc>
          <w:tcPr>
            <w:tcW w:w="3459" w:type="dxa"/>
            <w:gridSpan w:val="3"/>
          </w:tcPr>
          <w:p>
            <w:pPr>
              <w:pStyle w:val="TableParagraph"/>
              <w:tabs>
                <w:tab w:pos="1958" w:val="left" w:leader="none"/>
                <w:tab w:pos="2916" w:val="left" w:leader="none"/>
              </w:tabs>
              <w:spacing w:line="217" w:lineRule="exact" w:before="56"/>
              <w:ind w:left="108"/>
              <w:rPr>
                <w:sz w:val="18"/>
              </w:rPr>
            </w:pPr>
            <w:r>
              <w:rPr>
                <w:color w:val="231F20"/>
                <w:sz w:val="18"/>
              </w:rPr>
              <w:t>"</w:t>
              <w:tab/>
              <w:t>"</w:t>
              <w:tab/>
              <w:t>3A</w:t>
            </w:r>
          </w:p>
        </w:tc>
        <w:tc>
          <w:tcPr>
            <w:tcW w:w="1107" w:type="dxa"/>
          </w:tcPr>
          <w:p>
            <w:pPr>
              <w:pStyle w:val="TableParagraph"/>
              <w:spacing w:line="217" w:lineRule="exact" w:before="56"/>
              <w:ind w:right="274"/>
              <w:jc w:val="right"/>
              <w:rPr>
                <w:sz w:val="18"/>
              </w:rPr>
            </w:pPr>
            <w:r>
              <w:rPr>
                <w:color w:val="231F20"/>
                <w:sz w:val="18"/>
              </w:rPr>
              <w:t>2BR</w:t>
            </w:r>
          </w:p>
        </w:tc>
        <w:tc>
          <w:tcPr>
            <w:tcW w:w="1235" w:type="dxa"/>
          </w:tcPr>
          <w:p>
            <w:pPr>
              <w:pStyle w:val="TableParagraph"/>
              <w:spacing w:line="217" w:lineRule="exact" w:before="56"/>
              <w:ind w:left="275"/>
              <w:rPr>
                <w:sz w:val="18"/>
              </w:rPr>
            </w:pPr>
            <w:r>
              <w:rPr>
                <w:color w:val="231F20"/>
                <w:sz w:val="18"/>
              </w:rPr>
              <w:t>4 + 1 Bath</w:t>
            </w:r>
          </w:p>
        </w:tc>
        <w:tc>
          <w:tcPr>
            <w:tcW w:w="1364" w:type="dxa"/>
          </w:tcPr>
          <w:p>
            <w:pPr>
              <w:pStyle w:val="TableParagraph"/>
              <w:spacing w:line="217" w:lineRule="exact" w:before="56"/>
              <w:ind w:right="304"/>
              <w:jc w:val="right"/>
              <w:rPr>
                <w:sz w:val="18"/>
              </w:rPr>
            </w:pPr>
            <w:r>
              <w:rPr>
                <w:color w:val="231F20"/>
                <w:sz w:val="18"/>
              </w:rPr>
              <w:t>960</w:t>
            </w:r>
          </w:p>
        </w:tc>
        <w:tc>
          <w:tcPr>
            <w:tcW w:w="1218" w:type="dxa"/>
          </w:tcPr>
          <w:p>
            <w:pPr>
              <w:pStyle w:val="TableParagraph"/>
              <w:spacing w:line="217" w:lineRule="exact" w:before="56"/>
              <w:ind w:right="106"/>
              <w:jc w:val="right"/>
              <w:rPr>
                <w:sz w:val="18"/>
              </w:rPr>
            </w:pPr>
            <w:r>
              <w:rPr>
                <w:color w:val="231F20"/>
                <w:sz w:val="18"/>
              </w:rPr>
              <w:t>950.00</w:t>
            </w:r>
          </w:p>
        </w:tc>
        <w:tc>
          <w:tcPr>
            <w:tcW w:w="1196" w:type="dxa"/>
          </w:tcPr>
          <w:p>
            <w:pPr>
              <w:pStyle w:val="TableParagraph"/>
              <w:spacing w:line="217" w:lineRule="exact" w:before="56"/>
              <w:ind w:left="372" w:right="373"/>
              <w:jc w:val="center"/>
              <w:rPr>
                <w:sz w:val="18"/>
              </w:rPr>
            </w:pPr>
            <w:r>
              <w:rPr>
                <w:color w:val="231F20"/>
                <w:sz w:val="18"/>
              </w:rPr>
              <w:t>0.310</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3B</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3C</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3D</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3E</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3F</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3G</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706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200" w:hRule="atLeast"/>
        </w:trPr>
        <w:tc>
          <w:tcPr>
            <w:tcW w:w="3459" w:type="dxa"/>
            <w:gridSpan w:val="3"/>
          </w:tcPr>
          <w:p>
            <w:pPr>
              <w:pStyle w:val="TableParagraph"/>
              <w:tabs>
                <w:tab w:pos="1958" w:val="left" w:leader="none"/>
                <w:tab w:pos="2916" w:val="left" w:leader="none"/>
              </w:tabs>
              <w:spacing w:line="180" w:lineRule="exact"/>
              <w:ind w:left="108"/>
              <w:rPr>
                <w:sz w:val="18"/>
              </w:rPr>
            </w:pPr>
            <w:r>
              <w:rPr>
                <w:color w:val="231F20"/>
                <w:sz w:val="18"/>
              </w:rPr>
              <w:t>"</w:t>
              <w:tab/>
              <w:t>"</w:t>
              <w:tab/>
              <w:t>3H</w:t>
            </w:r>
          </w:p>
        </w:tc>
        <w:tc>
          <w:tcPr>
            <w:tcW w:w="1107" w:type="dxa"/>
          </w:tcPr>
          <w:p>
            <w:pPr>
              <w:pStyle w:val="TableParagraph"/>
              <w:spacing w:line="180" w:lineRule="exact"/>
              <w:ind w:right="274"/>
              <w:jc w:val="right"/>
              <w:rPr>
                <w:sz w:val="18"/>
              </w:rPr>
            </w:pPr>
            <w:r>
              <w:rPr>
                <w:color w:val="231F20"/>
                <w:sz w:val="18"/>
              </w:rPr>
              <w:t>1BR</w:t>
            </w:r>
          </w:p>
        </w:tc>
        <w:tc>
          <w:tcPr>
            <w:tcW w:w="1235" w:type="dxa"/>
          </w:tcPr>
          <w:p>
            <w:pPr>
              <w:pStyle w:val="TableParagraph"/>
              <w:spacing w:line="180" w:lineRule="exact"/>
              <w:ind w:left="275"/>
              <w:rPr>
                <w:sz w:val="18"/>
              </w:rPr>
            </w:pPr>
            <w:r>
              <w:rPr>
                <w:color w:val="231F20"/>
                <w:sz w:val="18"/>
              </w:rPr>
              <w:t>3 + 1 Bath</w:t>
            </w:r>
          </w:p>
        </w:tc>
        <w:tc>
          <w:tcPr>
            <w:tcW w:w="1364" w:type="dxa"/>
          </w:tcPr>
          <w:p>
            <w:pPr>
              <w:pStyle w:val="TableParagraph"/>
              <w:spacing w:line="180" w:lineRule="exact"/>
              <w:ind w:right="304"/>
              <w:jc w:val="right"/>
              <w:rPr>
                <w:sz w:val="18"/>
              </w:rPr>
            </w:pPr>
            <w:r>
              <w:rPr>
                <w:color w:val="231F20"/>
                <w:sz w:val="18"/>
              </w:rPr>
              <w:t>706</w:t>
            </w:r>
          </w:p>
        </w:tc>
        <w:tc>
          <w:tcPr>
            <w:tcW w:w="1218" w:type="dxa"/>
          </w:tcPr>
          <w:p>
            <w:pPr>
              <w:pStyle w:val="TableParagraph"/>
              <w:spacing w:line="180" w:lineRule="exact"/>
              <w:ind w:right="106"/>
              <w:jc w:val="right"/>
              <w:rPr>
                <w:sz w:val="18"/>
              </w:rPr>
            </w:pPr>
            <w:r>
              <w:rPr>
                <w:color w:val="231F20"/>
                <w:sz w:val="18"/>
              </w:rPr>
              <w:t>800.00</w:t>
            </w:r>
          </w:p>
        </w:tc>
        <w:tc>
          <w:tcPr>
            <w:tcW w:w="1196" w:type="dxa"/>
          </w:tcPr>
          <w:p>
            <w:pPr>
              <w:pStyle w:val="TableParagraph"/>
              <w:spacing w:line="180" w:lineRule="exact"/>
              <w:ind w:left="372" w:right="373"/>
              <w:jc w:val="center"/>
              <w:rPr>
                <w:sz w:val="18"/>
              </w:rPr>
            </w:pPr>
            <w:r>
              <w:rPr>
                <w:color w:val="231F20"/>
                <w:sz w:val="18"/>
              </w:rPr>
              <w:t>0.262</w:t>
            </w:r>
          </w:p>
        </w:tc>
      </w:tr>
      <w:tr>
        <w:trPr>
          <w:trHeight w:val="182" w:hRule="atLeast"/>
        </w:trPr>
        <w:tc>
          <w:tcPr>
            <w:tcW w:w="900" w:type="dxa"/>
          </w:tcPr>
          <w:p>
            <w:pPr>
              <w:pStyle w:val="TableParagraph"/>
              <w:spacing w:line="240" w:lineRule="auto"/>
              <w:rPr>
                <w:rFonts w:ascii="Times New Roman"/>
                <w:sz w:val="12"/>
              </w:rPr>
            </w:pPr>
          </w:p>
        </w:tc>
        <w:tc>
          <w:tcPr>
            <w:tcW w:w="1835" w:type="dxa"/>
          </w:tcPr>
          <w:p>
            <w:pPr>
              <w:pStyle w:val="TableParagraph"/>
              <w:spacing w:line="240" w:lineRule="auto"/>
              <w:rPr>
                <w:rFonts w:ascii="Times New Roman"/>
                <w:sz w:val="12"/>
              </w:rPr>
            </w:pPr>
          </w:p>
        </w:tc>
        <w:tc>
          <w:tcPr>
            <w:tcW w:w="724" w:type="dxa"/>
          </w:tcPr>
          <w:p>
            <w:pPr>
              <w:pStyle w:val="TableParagraph"/>
              <w:spacing w:line="160" w:lineRule="exact" w:before="2"/>
              <w:ind w:left="181"/>
              <w:rPr>
                <w:sz w:val="18"/>
              </w:rPr>
            </w:pPr>
            <w:r>
              <w:rPr>
                <w:color w:val="231F20"/>
                <w:sz w:val="18"/>
              </w:rPr>
              <w:t>*</w:t>
            </w:r>
          </w:p>
        </w:tc>
        <w:tc>
          <w:tcPr>
            <w:tcW w:w="1107" w:type="dxa"/>
          </w:tcPr>
          <w:p>
            <w:pPr>
              <w:pStyle w:val="TableParagraph"/>
              <w:spacing w:line="240" w:lineRule="auto"/>
              <w:rPr>
                <w:rFonts w:ascii="Times New Roman"/>
                <w:sz w:val="12"/>
              </w:rPr>
            </w:pPr>
          </w:p>
        </w:tc>
        <w:tc>
          <w:tcPr>
            <w:tcW w:w="1235" w:type="dxa"/>
          </w:tcPr>
          <w:p>
            <w:pPr>
              <w:pStyle w:val="TableParagraph"/>
              <w:spacing w:line="240" w:lineRule="auto"/>
              <w:rPr>
                <w:rFonts w:ascii="Times New Roman"/>
                <w:sz w:val="12"/>
              </w:rPr>
            </w:pPr>
          </w:p>
        </w:tc>
        <w:tc>
          <w:tcPr>
            <w:tcW w:w="1364" w:type="dxa"/>
          </w:tcPr>
          <w:p>
            <w:pPr>
              <w:pStyle w:val="TableParagraph"/>
              <w:spacing w:line="240" w:lineRule="auto"/>
              <w:rPr>
                <w:rFonts w:ascii="Times New Roman"/>
                <w:sz w:val="12"/>
              </w:rPr>
            </w:pPr>
          </w:p>
        </w:tc>
        <w:tc>
          <w:tcPr>
            <w:tcW w:w="1218" w:type="dxa"/>
          </w:tcPr>
          <w:p>
            <w:pPr>
              <w:pStyle w:val="TableParagraph"/>
              <w:spacing w:line="240" w:lineRule="auto"/>
              <w:rPr>
                <w:rFonts w:ascii="Times New Roman"/>
                <w:sz w:val="12"/>
              </w:rPr>
            </w:pPr>
          </w:p>
        </w:tc>
        <w:tc>
          <w:tcPr>
            <w:tcW w:w="1196" w:type="dxa"/>
          </w:tcPr>
          <w:p>
            <w:pPr>
              <w:pStyle w:val="TableParagraph"/>
              <w:spacing w:line="240" w:lineRule="auto"/>
              <w:rPr>
                <w:rFonts w:ascii="Times New Roman"/>
                <w:sz w:val="12"/>
              </w:rPr>
            </w:pPr>
          </w:p>
        </w:tc>
      </w:tr>
      <w:tr>
        <w:trPr>
          <w:trHeight w:val="200" w:hRule="atLeast"/>
        </w:trPr>
        <w:tc>
          <w:tcPr>
            <w:tcW w:w="3459" w:type="dxa"/>
            <w:gridSpan w:val="3"/>
          </w:tcPr>
          <w:p>
            <w:pPr>
              <w:pStyle w:val="TableParagraph"/>
              <w:tabs>
                <w:tab w:pos="1958" w:val="left" w:leader="none"/>
                <w:tab w:pos="2916" w:val="left" w:leader="none"/>
              </w:tabs>
              <w:spacing w:line="180" w:lineRule="exact"/>
              <w:ind w:left="108"/>
              <w:rPr>
                <w:sz w:val="18"/>
              </w:rPr>
            </w:pPr>
            <w:r>
              <w:rPr>
                <w:color w:val="231F20"/>
                <w:sz w:val="18"/>
              </w:rPr>
              <w:t>"</w:t>
              <w:tab/>
              <w:t>"</w:t>
              <w:tab/>
              <w:t>3J</w:t>
            </w:r>
          </w:p>
        </w:tc>
        <w:tc>
          <w:tcPr>
            <w:tcW w:w="1107" w:type="dxa"/>
          </w:tcPr>
          <w:p>
            <w:pPr>
              <w:pStyle w:val="TableParagraph"/>
              <w:spacing w:line="180" w:lineRule="exact"/>
              <w:ind w:right="274"/>
              <w:jc w:val="right"/>
              <w:rPr>
                <w:sz w:val="18"/>
              </w:rPr>
            </w:pPr>
            <w:r>
              <w:rPr>
                <w:color w:val="231F20"/>
                <w:sz w:val="18"/>
              </w:rPr>
              <w:t>1BR</w:t>
            </w:r>
          </w:p>
        </w:tc>
        <w:tc>
          <w:tcPr>
            <w:tcW w:w="1235" w:type="dxa"/>
          </w:tcPr>
          <w:p>
            <w:pPr>
              <w:pStyle w:val="TableParagraph"/>
              <w:spacing w:line="180" w:lineRule="exact"/>
              <w:ind w:left="275"/>
              <w:rPr>
                <w:sz w:val="18"/>
              </w:rPr>
            </w:pPr>
            <w:r>
              <w:rPr>
                <w:color w:val="231F20"/>
                <w:sz w:val="18"/>
              </w:rPr>
              <w:t>3 + 1 Bath</w:t>
            </w:r>
          </w:p>
        </w:tc>
        <w:tc>
          <w:tcPr>
            <w:tcW w:w="1364" w:type="dxa"/>
          </w:tcPr>
          <w:p>
            <w:pPr>
              <w:pStyle w:val="TableParagraph"/>
              <w:spacing w:line="180" w:lineRule="exact"/>
              <w:ind w:right="304"/>
              <w:jc w:val="right"/>
              <w:rPr>
                <w:sz w:val="18"/>
              </w:rPr>
            </w:pPr>
            <w:r>
              <w:rPr>
                <w:color w:val="231F20"/>
                <w:sz w:val="18"/>
              </w:rPr>
              <w:t>706</w:t>
            </w:r>
          </w:p>
        </w:tc>
        <w:tc>
          <w:tcPr>
            <w:tcW w:w="1218" w:type="dxa"/>
          </w:tcPr>
          <w:p>
            <w:pPr>
              <w:pStyle w:val="TableParagraph"/>
              <w:spacing w:line="180" w:lineRule="exact"/>
              <w:ind w:right="106"/>
              <w:jc w:val="right"/>
              <w:rPr>
                <w:sz w:val="18"/>
              </w:rPr>
            </w:pPr>
            <w:r>
              <w:rPr>
                <w:color w:val="231F20"/>
                <w:sz w:val="18"/>
              </w:rPr>
              <w:t>800.00</w:t>
            </w:r>
          </w:p>
        </w:tc>
        <w:tc>
          <w:tcPr>
            <w:tcW w:w="1196" w:type="dxa"/>
          </w:tcPr>
          <w:p>
            <w:pPr>
              <w:pStyle w:val="TableParagraph"/>
              <w:spacing w:line="180" w:lineRule="exact"/>
              <w:ind w:left="372" w:right="373"/>
              <w:jc w:val="center"/>
              <w:rPr>
                <w:sz w:val="18"/>
              </w:rPr>
            </w:pPr>
            <w:r>
              <w:rPr>
                <w:color w:val="231F20"/>
                <w:sz w:val="18"/>
              </w:rPr>
              <w:t>0.262</w:t>
            </w:r>
          </w:p>
        </w:tc>
      </w:tr>
      <w:tr>
        <w:trPr>
          <w:trHeight w:val="220" w:hRule="atLeast"/>
        </w:trPr>
        <w:tc>
          <w:tcPr>
            <w:tcW w:w="3459" w:type="dxa"/>
            <w:gridSpan w:val="3"/>
          </w:tcPr>
          <w:p>
            <w:pPr>
              <w:pStyle w:val="TableParagraph"/>
              <w:tabs>
                <w:tab w:pos="1958" w:val="left" w:leader="none"/>
                <w:tab w:pos="2916" w:val="left" w:leader="none"/>
              </w:tabs>
              <w:spacing w:line="201" w:lineRule="exact"/>
              <w:ind w:left="108"/>
              <w:rPr>
                <w:sz w:val="18"/>
              </w:rPr>
            </w:pPr>
            <w:r>
              <w:rPr>
                <w:color w:val="231F20"/>
                <w:sz w:val="18"/>
              </w:rPr>
              <w:t>"</w:t>
              <w:tab/>
              <w:t>"</w:t>
              <w:tab/>
              <w:t>3K</w:t>
            </w:r>
          </w:p>
        </w:tc>
        <w:tc>
          <w:tcPr>
            <w:tcW w:w="1107" w:type="dxa"/>
          </w:tcPr>
          <w:p>
            <w:pPr>
              <w:pStyle w:val="TableParagraph"/>
              <w:spacing w:line="201" w:lineRule="exact"/>
              <w:ind w:right="274"/>
              <w:jc w:val="right"/>
              <w:rPr>
                <w:sz w:val="18"/>
              </w:rPr>
            </w:pPr>
            <w:r>
              <w:rPr>
                <w:color w:val="231F20"/>
                <w:sz w:val="18"/>
              </w:rPr>
              <w:t>1BR</w:t>
            </w:r>
          </w:p>
        </w:tc>
        <w:tc>
          <w:tcPr>
            <w:tcW w:w="1235" w:type="dxa"/>
          </w:tcPr>
          <w:p>
            <w:pPr>
              <w:pStyle w:val="TableParagraph"/>
              <w:spacing w:line="201" w:lineRule="exact"/>
              <w:ind w:left="275"/>
              <w:rPr>
                <w:sz w:val="18"/>
              </w:rPr>
            </w:pPr>
            <w:r>
              <w:rPr>
                <w:color w:val="231F20"/>
                <w:sz w:val="18"/>
              </w:rPr>
              <w:t>3 + 1 Bath</w:t>
            </w:r>
          </w:p>
        </w:tc>
        <w:tc>
          <w:tcPr>
            <w:tcW w:w="1364" w:type="dxa"/>
          </w:tcPr>
          <w:p>
            <w:pPr>
              <w:pStyle w:val="TableParagraph"/>
              <w:spacing w:line="201" w:lineRule="exact"/>
              <w:ind w:right="304"/>
              <w:jc w:val="right"/>
              <w:rPr>
                <w:sz w:val="18"/>
              </w:rPr>
            </w:pPr>
            <w:r>
              <w:rPr>
                <w:color w:val="231F20"/>
                <w:sz w:val="18"/>
              </w:rPr>
              <w:t>706</w:t>
            </w:r>
          </w:p>
        </w:tc>
        <w:tc>
          <w:tcPr>
            <w:tcW w:w="1218" w:type="dxa"/>
          </w:tcPr>
          <w:p>
            <w:pPr>
              <w:pStyle w:val="TableParagraph"/>
              <w:spacing w:line="201" w:lineRule="exact"/>
              <w:ind w:right="106"/>
              <w:jc w:val="right"/>
              <w:rPr>
                <w:sz w:val="18"/>
              </w:rPr>
            </w:pPr>
            <w:r>
              <w:rPr>
                <w:color w:val="231F20"/>
                <w:sz w:val="18"/>
              </w:rPr>
              <w:t>800.00</w:t>
            </w:r>
          </w:p>
        </w:tc>
        <w:tc>
          <w:tcPr>
            <w:tcW w:w="1196" w:type="dxa"/>
          </w:tcPr>
          <w:p>
            <w:pPr>
              <w:pStyle w:val="TableParagraph"/>
              <w:spacing w:line="201" w:lineRule="exact"/>
              <w:ind w:left="372" w:right="373"/>
              <w:jc w:val="center"/>
              <w:rPr>
                <w:sz w:val="18"/>
              </w:rPr>
            </w:pPr>
            <w:r>
              <w:rPr>
                <w:color w:val="231F20"/>
                <w:sz w:val="18"/>
              </w:rPr>
              <w:t>0.262</w:t>
            </w:r>
          </w:p>
        </w:tc>
      </w:tr>
      <w:tr>
        <w:trPr>
          <w:trHeight w:val="219" w:hRule="atLeast"/>
        </w:trPr>
        <w:tc>
          <w:tcPr>
            <w:tcW w:w="3459" w:type="dxa"/>
            <w:gridSpan w:val="3"/>
          </w:tcPr>
          <w:p>
            <w:pPr>
              <w:pStyle w:val="TableParagraph"/>
              <w:tabs>
                <w:tab w:pos="1958" w:val="left" w:leader="none"/>
                <w:tab w:pos="2916" w:val="left" w:leader="none"/>
              </w:tabs>
              <w:ind w:left="108"/>
              <w:rPr>
                <w:sz w:val="18"/>
              </w:rPr>
            </w:pPr>
            <w:r>
              <w:rPr>
                <w:color w:val="231F20"/>
                <w:sz w:val="18"/>
              </w:rPr>
              <w:t>"</w:t>
              <w:tab/>
              <w:t>"</w:t>
              <w:tab/>
              <w:t>3L</w:t>
            </w:r>
          </w:p>
        </w:tc>
        <w:tc>
          <w:tcPr>
            <w:tcW w:w="1107" w:type="dxa"/>
          </w:tcPr>
          <w:p>
            <w:pPr>
              <w:pStyle w:val="TableParagraph"/>
              <w:ind w:right="274"/>
              <w:jc w:val="right"/>
              <w:rPr>
                <w:sz w:val="18"/>
              </w:rPr>
            </w:pPr>
            <w:r>
              <w:rPr>
                <w:color w:val="231F20"/>
                <w:sz w:val="18"/>
              </w:rPr>
              <w:t>1BR</w:t>
            </w:r>
          </w:p>
        </w:tc>
        <w:tc>
          <w:tcPr>
            <w:tcW w:w="1235" w:type="dxa"/>
          </w:tcPr>
          <w:p>
            <w:pPr>
              <w:pStyle w:val="TableParagraph"/>
              <w:ind w:left="275"/>
              <w:rPr>
                <w:sz w:val="18"/>
              </w:rPr>
            </w:pPr>
            <w:r>
              <w:rPr>
                <w:color w:val="231F20"/>
                <w:sz w:val="18"/>
              </w:rPr>
              <w:t>3 + 1 Bath</w:t>
            </w:r>
          </w:p>
        </w:tc>
        <w:tc>
          <w:tcPr>
            <w:tcW w:w="1364" w:type="dxa"/>
          </w:tcPr>
          <w:p>
            <w:pPr>
              <w:pStyle w:val="TableParagraph"/>
              <w:ind w:right="304"/>
              <w:jc w:val="right"/>
              <w:rPr>
                <w:sz w:val="18"/>
              </w:rPr>
            </w:pPr>
            <w:r>
              <w:rPr>
                <w:color w:val="231F20"/>
                <w:sz w:val="18"/>
              </w:rPr>
              <w:t>756</w:t>
            </w:r>
          </w:p>
        </w:tc>
        <w:tc>
          <w:tcPr>
            <w:tcW w:w="1218" w:type="dxa"/>
          </w:tcPr>
          <w:p>
            <w:pPr>
              <w:pStyle w:val="TableParagraph"/>
              <w:ind w:right="106"/>
              <w:jc w:val="right"/>
              <w:rPr>
                <w:sz w:val="18"/>
              </w:rPr>
            </w:pPr>
            <w:r>
              <w:rPr>
                <w:color w:val="231F20"/>
                <w:sz w:val="18"/>
              </w:rPr>
              <w:t>800.00</w:t>
            </w:r>
          </w:p>
        </w:tc>
        <w:tc>
          <w:tcPr>
            <w:tcW w:w="1196" w:type="dxa"/>
          </w:tcPr>
          <w:p>
            <w:pPr>
              <w:pStyle w:val="TableParagraph"/>
              <w:ind w:left="372" w:right="373"/>
              <w:jc w:val="center"/>
              <w:rPr>
                <w:sz w:val="18"/>
              </w:rPr>
            </w:pPr>
            <w:r>
              <w:rPr>
                <w:color w:val="231F20"/>
                <w:sz w:val="18"/>
              </w:rPr>
              <w:t>0.262</w:t>
            </w:r>
          </w:p>
        </w:tc>
      </w:tr>
      <w:tr>
        <w:trPr>
          <w:trHeight w:val="199" w:hRule="atLeast"/>
        </w:trPr>
        <w:tc>
          <w:tcPr>
            <w:tcW w:w="3459" w:type="dxa"/>
            <w:gridSpan w:val="3"/>
          </w:tcPr>
          <w:p>
            <w:pPr>
              <w:pStyle w:val="TableParagraph"/>
              <w:tabs>
                <w:tab w:pos="1958" w:val="left" w:leader="none"/>
                <w:tab w:pos="2916" w:val="left" w:leader="none"/>
              </w:tabs>
              <w:spacing w:line="179" w:lineRule="exact"/>
              <w:ind w:left="108"/>
              <w:rPr>
                <w:sz w:val="18"/>
              </w:rPr>
            </w:pPr>
            <w:r>
              <w:rPr>
                <w:color w:val="231F20"/>
                <w:sz w:val="18"/>
              </w:rPr>
              <w:t>"</w:t>
              <w:tab/>
              <w:t>"</w:t>
              <w:tab/>
              <w:t>3M</w:t>
            </w:r>
          </w:p>
        </w:tc>
        <w:tc>
          <w:tcPr>
            <w:tcW w:w="1107" w:type="dxa"/>
          </w:tcPr>
          <w:p>
            <w:pPr>
              <w:pStyle w:val="TableParagraph"/>
              <w:spacing w:line="179" w:lineRule="exact"/>
              <w:ind w:right="274"/>
              <w:jc w:val="right"/>
              <w:rPr>
                <w:sz w:val="18"/>
              </w:rPr>
            </w:pPr>
            <w:r>
              <w:rPr>
                <w:color w:val="231F20"/>
                <w:sz w:val="18"/>
              </w:rPr>
              <w:t>2BR</w:t>
            </w:r>
          </w:p>
        </w:tc>
        <w:tc>
          <w:tcPr>
            <w:tcW w:w="1235" w:type="dxa"/>
          </w:tcPr>
          <w:p>
            <w:pPr>
              <w:pStyle w:val="TableParagraph"/>
              <w:spacing w:line="179" w:lineRule="exact"/>
              <w:ind w:left="275"/>
              <w:rPr>
                <w:sz w:val="18"/>
              </w:rPr>
            </w:pPr>
            <w:r>
              <w:rPr>
                <w:color w:val="231F20"/>
                <w:sz w:val="18"/>
              </w:rPr>
              <w:t>4 + 1 Bath</w:t>
            </w:r>
          </w:p>
        </w:tc>
        <w:tc>
          <w:tcPr>
            <w:tcW w:w="1364" w:type="dxa"/>
          </w:tcPr>
          <w:p>
            <w:pPr>
              <w:pStyle w:val="TableParagraph"/>
              <w:spacing w:line="179" w:lineRule="exact"/>
              <w:ind w:right="304"/>
              <w:jc w:val="right"/>
              <w:rPr>
                <w:sz w:val="18"/>
              </w:rPr>
            </w:pPr>
            <w:r>
              <w:rPr>
                <w:color w:val="231F20"/>
                <w:sz w:val="18"/>
              </w:rPr>
              <w:t>948</w:t>
            </w:r>
          </w:p>
        </w:tc>
        <w:tc>
          <w:tcPr>
            <w:tcW w:w="1218" w:type="dxa"/>
          </w:tcPr>
          <w:p>
            <w:pPr>
              <w:pStyle w:val="TableParagraph"/>
              <w:spacing w:line="179" w:lineRule="exact"/>
              <w:ind w:right="106"/>
              <w:jc w:val="right"/>
              <w:rPr>
                <w:sz w:val="18"/>
              </w:rPr>
            </w:pPr>
            <w:r>
              <w:rPr>
                <w:color w:val="231F20"/>
                <w:sz w:val="18"/>
              </w:rPr>
              <w:t>950.00</w:t>
            </w:r>
          </w:p>
        </w:tc>
        <w:tc>
          <w:tcPr>
            <w:tcW w:w="1196" w:type="dxa"/>
          </w:tcPr>
          <w:p>
            <w:pPr>
              <w:pStyle w:val="TableParagraph"/>
              <w:spacing w:line="179" w:lineRule="exact"/>
              <w:ind w:left="372" w:right="373"/>
              <w:jc w:val="center"/>
              <w:rPr>
                <w:sz w:val="18"/>
              </w:rPr>
            </w:pPr>
            <w:r>
              <w:rPr>
                <w:color w:val="231F20"/>
                <w:sz w:val="18"/>
              </w:rPr>
              <w:t>0.310</w:t>
            </w:r>
          </w:p>
        </w:tc>
      </w:tr>
    </w:tbl>
    <w:p>
      <w:pPr>
        <w:spacing w:after="0" w:line="179" w:lineRule="exact"/>
        <w:jc w:val="center"/>
        <w:rPr>
          <w:sz w:val="18"/>
        </w:rPr>
        <w:sectPr>
          <w:pgSz w:w="12240" w:h="15840"/>
          <w:pgMar w:header="0" w:footer="868" w:top="1400" w:bottom="106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957"/>
        <w:gridCol w:w="919"/>
        <w:gridCol w:w="684"/>
        <w:gridCol w:w="1108"/>
        <w:gridCol w:w="1296"/>
        <w:gridCol w:w="1330"/>
        <w:gridCol w:w="1193"/>
        <w:gridCol w:w="1196"/>
      </w:tblGrid>
      <w:tr>
        <w:trPr>
          <w:trHeight w:val="200" w:hRule="atLeast"/>
        </w:trPr>
        <w:tc>
          <w:tcPr>
            <w:tcW w:w="5864" w:type="dxa"/>
            <w:gridSpan w:val="6"/>
            <w:vMerge w:val="restart"/>
          </w:tcPr>
          <w:p>
            <w:pPr>
              <w:pStyle w:val="TableParagraph"/>
              <w:spacing w:line="240" w:lineRule="auto"/>
              <w:rPr>
                <w:rFonts w:ascii="Times New Roman"/>
                <w:sz w:val="18"/>
              </w:rPr>
            </w:pPr>
          </w:p>
        </w:tc>
        <w:tc>
          <w:tcPr>
            <w:tcW w:w="1330" w:type="dxa"/>
          </w:tcPr>
          <w:p>
            <w:pPr>
              <w:pStyle w:val="TableParagraph"/>
              <w:spacing w:line="181" w:lineRule="exact"/>
              <w:ind w:left="163"/>
              <w:rPr>
                <w:sz w:val="20"/>
              </w:rPr>
            </w:pPr>
            <w:r>
              <w:rPr>
                <w:color w:val="231F20"/>
                <w:sz w:val="20"/>
              </w:rPr>
              <w:t>Approximate</w:t>
            </w:r>
          </w:p>
        </w:tc>
        <w:tc>
          <w:tcPr>
            <w:tcW w:w="2389" w:type="dxa"/>
            <w:gridSpan w:val="2"/>
            <w:vMerge w:val="restart"/>
          </w:tcPr>
          <w:p>
            <w:pPr>
              <w:pStyle w:val="TableParagraph"/>
              <w:spacing w:line="240" w:lineRule="auto"/>
              <w:rPr>
                <w:rFonts w:ascii="Times New Roman"/>
                <w:sz w:val="18"/>
              </w:rPr>
            </w:pPr>
          </w:p>
        </w:tc>
      </w:tr>
      <w:tr>
        <w:trPr>
          <w:trHeight w:val="200" w:hRule="atLeast"/>
        </w:trPr>
        <w:tc>
          <w:tcPr>
            <w:tcW w:w="5864" w:type="dxa"/>
            <w:gridSpan w:val="6"/>
            <w:vMerge/>
            <w:tcBorders>
              <w:top w:val="nil"/>
            </w:tcBorders>
          </w:tcPr>
          <w:p>
            <w:pPr>
              <w:rPr>
                <w:sz w:val="2"/>
                <w:szCs w:val="2"/>
              </w:rPr>
            </w:pPr>
          </w:p>
        </w:tc>
        <w:tc>
          <w:tcPr>
            <w:tcW w:w="1330" w:type="dxa"/>
          </w:tcPr>
          <w:p>
            <w:pPr>
              <w:pStyle w:val="TableParagraph"/>
              <w:spacing w:line="181" w:lineRule="exact"/>
              <w:ind w:left="163"/>
              <w:rPr>
                <w:sz w:val="20"/>
              </w:rPr>
            </w:pPr>
            <w:r>
              <w:rPr>
                <w:color w:val="231F20"/>
                <w:sz w:val="20"/>
              </w:rPr>
              <w:t>Square</w:t>
            </w:r>
          </w:p>
        </w:tc>
        <w:tc>
          <w:tcPr>
            <w:tcW w:w="2389" w:type="dxa"/>
            <w:gridSpan w:val="2"/>
            <w:vMerge/>
            <w:tcBorders>
              <w:top w:val="nil"/>
            </w:tcBorders>
          </w:tcPr>
          <w:p>
            <w:pPr>
              <w:rPr>
                <w:sz w:val="2"/>
                <w:szCs w:val="2"/>
              </w:rPr>
            </w:pPr>
          </w:p>
        </w:tc>
      </w:tr>
      <w:tr>
        <w:trPr>
          <w:trHeight w:val="199" w:hRule="atLeast"/>
        </w:trPr>
        <w:tc>
          <w:tcPr>
            <w:tcW w:w="5864" w:type="dxa"/>
            <w:gridSpan w:val="6"/>
            <w:vMerge/>
            <w:tcBorders>
              <w:top w:val="nil"/>
            </w:tcBorders>
          </w:tcPr>
          <w:p>
            <w:pPr>
              <w:rPr>
                <w:sz w:val="2"/>
                <w:szCs w:val="2"/>
              </w:rPr>
            </w:pPr>
          </w:p>
        </w:tc>
        <w:tc>
          <w:tcPr>
            <w:tcW w:w="1330" w:type="dxa"/>
          </w:tcPr>
          <w:p>
            <w:pPr>
              <w:pStyle w:val="TableParagraph"/>
              <w:spacing w:line="179" w:lineRule="exact"/>
              <w:ind w:left="163"/>
              <w:rPr>
                <w:sz w:val="20"/>
              </w:rPr>
            </w:pPr>
            <w:r>
              <w:rPr>
                <w:color w:val="231F20"/>
                <w:sz w:val="20"/>
              </w:rPr>
              <w:t>Footage Not</w:t>
            </w:r>
          </w:p>
        </w:tc>
        <w:tc>
          <w:tcPr>
            <w:tcW w:w="1193" w:type="dxa"/>
          </w:tcPr>
          <w:p>
            <w:pPr>
              <w:pStyle w:val="TableParagraph"/>
              <w:spacing w:line="240" w:lineRule="auto"/>
              <w:rPr>
                <w:rFonts w:ascii="Times New Roman"/>
                <w:sz w:val="12"/>
              </w:rPr>
            </w:pPr>
          </w:p>
        </w:tc>
        <w:tc>
          <w:tcPr>
            <w:tcW w:w="1196" w:type="dxa"/>
          </w:tcPr>
          <w:p>
            <w:pPr>
              <w:pStyle w:val="TableParagraph"/>
              <w:spacing w:line="179" w:lineRule="exact"/>
              <w:ind w:left="103"/>
              <w:rPr>
                <w:sz w:val="20"/>
              </w:rPr>
            </w:pPr>
            <w:r>
              <w:rPr>
                <w:color w:val="231F20"/>
                <w:sz w:val="20"/>
              </w:rPr>
              <w:t>Percentage</w:t>
            </w:r>
          </w:p>
        </w:tc>
      </w:tr>
      <w:tr>
        <w:trPr>
          <w:trHeight w:val="200" w:hRule="atLeast"/>
        </w:trPr>
        <w:tc>
          <w:tcPr>
            <w:tcW w:w="900" w:type="dxa"/>
          </w:tcPr>
          <w:p>
            <w:pPr>
              <w:pStyle w:val="TableParagraph"/>
              <w:spacing w:line="180" w:lineRule="exact"/>
              <w:ind w:left="108"/>
              <w:rPr>
                <w:sz w:val="20"/>
              </w:rPr>
            </w:pPr>
            <w:r>
              <w:rPr>
                <w:color w:val="231F20"/>
                <w:sz w:val="20"/>
              </w:rPr>
              <w:t>Apt.</w:t>
            </w:r>
          </w:p>
        </w:tc>
        <w:tc>
          <w:tcPr>
            <w:tcW w:w="1876" w:type="dxa"/>
            <w:gridSpan w:val="2"/>
          </w:tcPr>
          <w:p>
            <w:pPr>
              <w:pStyle w:val="TableParagraph"/>
              <w:spacing w:line="180" w:lineRule="exact"/>
              <w:ind w:left="388"/>
              <w:rPr>
                <w:sz w:val="20"/>
              </w:rPr>
            </w:pPr>
            <w:r>
              <w:rPr>
                <w:color w:val="231F20"/>
                <w:sz w:val="20"/>
              </w:rPr>
              <w:t>Apartment</w:t>
            </w:r>
          </w:p>
        </w:tc>
        <w:tc>
          <w:tcPr>
            <w:tcW w:w="684" w:type="dxa"/>
          </w:tcPr>
          <w:p>
            <w:pPr>
              <w:pStyle w:val="TableParagraph"/>
              <w:spacing w:line="240" w:lineRule="auto"/>
              <w:rPr>
                <w:rFonts w:ascii="Times New Roman"/>
                <w:sz w:val="12"/>
              </w:rPr>
            </w:pPr>
          </w:p>
        </w:tc>
        <w:tc>
          <w:tcPr>
            <w:tcW w:w="1108" w:type="dxa"/>
          </w:tcPr>
          <w:p>
            <w:pPr>
              <w:pStyle w:val="TableParagraph"/>
              <w:spacing w:line="240" w:lineRule="auto"/>
              <w:rPr>
                <w:rFonts w:ascii="Times New Roman"/>
                <w:sz w:val="12"/>
              </w:rPr>
            </w:pPr>
          </w:p>
        </w:tc>
        <w:tc>
          <w:tcPr>
            <w:tcW w:w="1296" w:type="dxa"/>
          </w:tcPr>
          <w:p>
            <w:pPr>
              <w:pStyle w:val="TableParagraph"/>
              <w:spacing w:line="240" w:lineRule="auto"/>
              <w:rPr>
                <w:rFonts w:ascii="Times New Roman"/>
                <w:sz w:val="12"/>
              </w:rPr>
            </w:pPr>
          </w:p>
        </w:tc>
        <w:tc>
          <w:tcPr>
            <w:tcW w:w="1330" w:type="dxa"/>
          </w:tcPr>
          <w:p>
            <w:pPr>
              <w:pStyle w:val="TableParagraph"/>
              <w:spacing w:line="180" w:lineRule="exact"/>
              <w:ind w:left="163"/>
              <w:rPr>
                <w:sz w:val="20"/>
              </w:rPr>
            </w:pPr>
            <w:r>
              <w:rPr>
                <w:color w:val="231F20"/>
                <w:sz w:val="20"/>
              </w:rPr>
              <w:t>Including</w:t>
            </w:r>
          </w:p>
        </w:tc>
        <w:tc>
          <w:tcPr>
            <w:tcW w:w="1193" w:type="dxa"/>
          </w:tcPr>
          <w:p>
            <w:pPr>
              <w:pStyle w:val="TableParagraph"/>
              <w:spacing w:line="240" w:lineRule="auto"/>
              <w:rPr>
                <w:rFonts w:ascii="Times New Roman"/>
                <w:sz w:val="12"/>
              </w:rPr>
            </w:pPr>
          </w:p>
        </w:tc>
        <w:tc>
          <w:tcPr>
            <w:tcW w:w="1196" w:type="dxa"/>
          </w:tcPr>
          <w:p>
            <w:pPr>
              <w:pStyle w:val="TableParagraph"/>
              <w:spacing w:line="180" w:lineRule="exact"/>
              <w:ind w:left="103"/>
              <w:rPr>
                <w:sz w:val="20"/>
              </w:rPr>
            </w:pPr>
            <w:r>
              <w:rPr>
                <w:color w:val="231F20"/>
                <w:sz w:val="20"/>
              </w:rPr>
              <w:t>of</w:t>
            </w:r>
          </w:p>
        </w:tc>
      </w:tr>
      <w:tr>
        <w:trPr>
          <w:trHeight w:val="200" w:hRule="atLeast"/>
        </w:trPr>
        <w:tc>
          <w:tcPr>
            <w:tcW w:w="900" w:type="dxa"/>
          </w:tcPr>
          <w:p>
            <w:pPr>
              <w:pStyle w:val="TableParagraph"/>
              <w:spacing w:line="180" w:lineRule="exact"/>
              <w:ind w:left="108"/>
              <w:rPr>
                <w:sz w:val="20"/>
              </w:rPr>
            </w:pPr>
            <w:r>
              <w:rPr>
                <w:color w:val="231F20"/>
                <w:sz w:val="20"/>
              </w:rPr>
              <w:t>Bldg.</w:t>
            </w:r>
          </w:p>
        </w:tc>
        <w:tc>
          <w:tcPr>
            <w:tcW w:w="1876" w:type="dxa"/>
            <w:gridSpan w:val="2"/>
          </w:tcPr>
          <w:p>
            <w:pPr>
              <w:pStyle w:val="TableParagraph"/>
              <w:spacing w:line="180" w:lineRule="exact"/>
              <w:ind w:left="388"/>
              <w:rPr>
                <w:sz w:val="20"/>
              </w:rPr>
            </w:pPr>
            <w:r>
              <w:rPr>
                <w:color w:val="231F20"/>
                <w:sz w:val="20"/>
              </w:rPr>
              <w:t>Building</w:t>
            </w:r>
          </w:p>
        </w:tc>
        <w:tc>
          <w:tcPr>
            <w:tcW w:w="684" w:type="dxa"/>
          </w:tcPr>
          <w:p>
            <w:pPr>
              <w:pStyle w:val="TableParagraph"/>
              <w:spacing w:line="180" w:lineRule="exact"/>
              <w:ind w:left="140"/>
              <w:rPr>
                <w:sz w:val="20"/>
              </w:rPr>
            </w:pPr>
            <w:r>
              <w:rPr>
                <w:color w:val="231F20"/>
                <w:sz w:val="20"/>
              </w:rPr>
              <w:t>Apt.</w:t>
            </w:r>
          </w:p>
        </w:tc>
        <w:tc>
          <w:tcPr>
            <w:tcW w:w="1108" w:type="dxa"/>
          </w:tcPr>
          <w:p>
            <w:pPr>
              <w:pStyle w:val="TableParagraph"/>
              <w:spacing w:line="240" w:lineRule="auto"/>
              <w:rPr>
                <w:rFonts w:ascii="Times New Roman"/>
                <w:sz w:val="12"/>
              </w:rPr>
            </w:pPr>
          </w:p>
        </w:tc>
        <w:tc>
          <w:tcPr>
            <w:tcW w:w="1296" w:type="dxa"/>
          </w:tcPr>
          <w:p>
            <w:pPr>
              <w:pStyle w:val="TableParagraph"/>
              <w:spacing w:line="240" w:lineRule="auto"/>
              <w:rPr>
                <w:rFonts w:ascii="Times New Roman"/>
                <w:sz w:val="12"/>
              </w:rPr>
            </w:pPr>
          </w:p>
        </w:tc>
        <w:tc>
          <w:tcPr>
            <w:tcW w:w="1330" w:type="dxa"/>
          </w:tcPr>
          <w:p>
            <w:pPr>
              <w:pStyle w:val="TableParagraph"/>
              <w:spacing w:line="180" w:lineRule="exact"/>
              <w:ind w:left="163"/>
              <w:rPr>
                <w:sz w:val="20"/>
              </w:rPr>
            </w:pPr>
            <w:r>
              <w:rPr>
                <w:color w:val="231F20"/>
                <w:sz w:val="20"/>
              </w:rPr>
              <w:t>Balcony or</w:t>
            </w:r>
          </w:p>
        </w:tc>
        <w:tc>
          <w:tcPr>
            <w:tcW w:w="1193" w:type="dxa"/>
          </w:tcPr>
          <w:p>
            <w:pPr>
              <w:pStyle w:val="TableParagraph"/>
              <w:spacing w:line="180" w:lineRule="exact"/>
              <w:ind w:left="105"/>
              <w:rPr>
                <w:sz w:val="20"/>
              </w:rPr>
            </w:pPr>
            <w:r>
              <w:rPr>
                <w:color w:val="231F20"/>
                <w:sz w:val="20"/>
              </w:rPr>
              <w:t>Declared</w:t>
            </w:r>
          </w:p>
        </w:tc>
        <w:tc>
          <w:tcPr>
            <w:tcW w:w="1196" w:type="dxa"/>
          </w:tcPr>
          <w:p>
            <w:pPr>
              <w:pStyle w:val="TableParagraph"/>
              <w:spacing w:line="180" w:lineRule="exact"/>
              <w:ind w:left="103"/>
              <w:rPr>
                <w:sz w:val="20"/>
              </w:rPr>
            </w:pPr>
            <w:r>
              <w:rPr>
                <w:color w:val="231F20"/>
                <w:sz w:val="20"/>
              </w:rPr>
              <w:t>Undivided</w:t>
            </w:r>
          </w:p>
        </w:tc>
      </w:tr>
      <w:tr>
        <w:trPr>
          <w:trHeight w:val="247" w:hRule="atLeast"/>
        </w:trPr>
        <w:tc>
          <w:tcPr>
            <w:tcW w:w="900" w:type="dxa"/>
            <w:tcBorders>
              <w:bottom w:val="single" w:sz="4" w:space="0" w:color="000000"/>
            </w:tcBorders>
          </w:tcPr>
          <w:p>
            <w:pPr>
              <w:pStyle w:val="TableParagraph"/>
              <w:spacing w:line="194" w:lineRule="exact"/>
              <w:ind w:left="108"/>
              <w:rPr>
                <w:sz w:val="20"/>
              </w:rPr>
            </w:pPr>
            <w:r>
              <w:rPr>
                <w:color w:val="231F20"/>
                <w:sz w:val="20"/>
              </w:rPr>
              <w:t>No.</w:t>
            </w:r>
          </w:p>
        </w:tc>
        <w:tc>
          <w:tcPr>
            <w:tcW w:w="1876" w:type="dxa"/>
            <w:gridSpan w:val="2"/>
            <w:tcBorders>
              <w:bottom w:val="single" w:sz="4" w:space="0" w:color="000000"/>
            </w:tcBorders>
          </w:tcPr>
          <w:p>
            <w:pPr>
              <w:pStyle w:val="TableParagraph"/>
              <w:spacing w:line="194" w:lineRule="exact"/>
              <w:ind w:left="388"/>
              <w:rPr>
                <w:sz w:val="20"/>
              </w:rPr>
            </w:pPr>
            <w:r>
              <w:rPr>
                <w:color w:val="231F20"/>
                <w:sz w:val="20"/>
              </w:rPr>
              <w:t>Address</w:t>
            </w:r>
          </w:p>
        </w:tc>
        <w:tc>
          <w:tcPr>
            <w:tcW w:w="684" w:type="dxa"/>
            <w:tcBorders>
              <w:bottom w:val="single" w:sz="4" w:space="0" w:color="000000"/>
            </w:tcBorders>
          </w:tcPr>
          <w:p>
            <w:pPr>
              <w:pStyle w:val="TableParagraph"/>
              <w:spacing w:line="194" w:lineRule="exact"/>
              <w:ind w:left="140"/>
              <w:rPr>
                <w:sz w:val="20"/>
              </w:rPr>
            </w:pPr>
            <w:r>
              <w:rPr>
                <w:color w:val="231F20"/>
                <w:sz w:val="20"/>
              </w:rPr>
              <w:t>No.</w:t>
            </w:r>
          </w:p>
        </w:tc>
        <w:tc>
          <w:tcPr>
            <w:tcW w:w="1108" w:type="dxa"/>
            <w:tcBorders>
              <w:bottom w:val="single" w:sz="4" w:space="0" w:color="000000"/>
            </w:tcBorders>
          </w:tcPr>
          <w:p>
            <w:pPr>
              <w:pStyle w:val="TableParagraph"/>
              <w:spacing w:line="194" w:lineRule="exact"/>
              <w:ind w:left="202"/>
              <w:rPr>
                <w:sz w:val="20"/>
              </w:rPr>
            </w:pPr>
            <w:r>
              <w:rPr>
                <w:color w:val="231F20"/>
                <w:sz w:val="20"/>
              </w:rPr>
              <w:t>Type</w:t>
            </w:r>
          </w:p>
        </w:tc>
        <w:tc>
          <w:tcPr>
            <w:tcW w:w="1296" w:type="dxa"/>
            <w:tcBorders>
              <w:bottom w:val="single" w:sz="4" w:space="0" w:color="000000"/>
            </w:tcBorders>
          </w:tcPr>
          <w:p>
            <w:pPr>
              <w:pStyle w:val="TableParagraph"/>
              <w:spacing w:line="194" w:lineRule="exact"/>
              <w:ind w:left="273"/>
              <w:rPr>
                <w:sz w:val="20"/>
              </w:rPr>
            </w:pPr>
            <w:r>
              <w:rPr>
                <w:color w:val="231F20"/>
                <w:sz w:val="20"/>
              </w:rPr>
              <w:t>Rooms</w:t>
            </w:r>
          </w:p>
        </w:tc>
        <w:tc>
          <w:tcPr>
            <w:tcW w:w="1330" w:type="dxa"/>
            <w:tcBorders>
              <w:bottom w:val="single" w:sz="4" w:space="0" w:color="000000"/>
            </w:tcBorders>
          </w:tcPr>
          <w:p>
            <w:pPr>
              <w:pStyle w:val="TableParagraph"/>
              <w:spacing w:line="194" w:lineRule="exact"/>
              <w:ind w:left="163"/>
              <w:rPr>
                <w:sz w:val="20"/>
              </w:rPr>
            </w:pPr>
            <w:r>
              <w:rPr>
                <w:color w:val="231F20"/>
                <w:sz w:val="20"/>
              </w:rPr>
              <w:t>Patio</w:t>
            </w:r>
          </w:p>
        </w:tc>
        <w:tc>
          <w:tcPr>
            <w:tcW w:w="1193" w:type="dxa"/>
            <w:tcBorders>
              <w:bottom w:val="single" w:sz="4" w:space="0" w:color="000000"/>
            </w:tcBorders>
          </w:tcPr>
          <w:p>
            <w:pPr>
              <w:pStyle w:val="TableParagraph"/>
              <w:spacing w:line="194" w:lineRule="exact"/>
              <w:ind w:left="105"/>
              <w:rPr>
                <w:sz w:val="20"/>
              </w:rPr>
            </w:pPr>
            <w:r>
              <w:rPr>
                <w:color w:val="231F20"/>
                <w:sz w:val="20"/>
              </w:rPr>
              <w:t>Value</w:t>
            </w:r>
          </w:p>
        </w:tc>
        <w:tc>
          <w:tcPr>
            <w:tcW w:w="1196" w:type="dxa"/>
            <w:tcBorders>
              <w:bottom w:val="single" w:sz="4" w:space="0" w:color="000000"/>
            </w:tcBorders>
          </w:tcPr>
          <w:p>
            <w:pPr>
              <w:pStyle w:val="TableParagraph"/>
              <w:spacing w:line="194" w:lineRule="exact"/>
              <w:ind w:left="103"/>
              <w:rPr>
                <w:sz w:val="20"/>
              </w:rPr>
            </w:pPr>
            <w:r>
              <w:rPr>
                <w:color w:val="231F20"/>
                <w:sz w:val="20"/>
              </w:rPr>
              <w:t>Interest</w:t>
            </w:r>
          </w:p>
        </w:tc>
      </w:tr>
      <w:tr>
        <w:trPr>
          <w:trHeight w:val="236" w:hRule="atLeast"/>
        </w:trPr>
        <w:tc>
          <w:tcPr>
            <w:tcW w:w="900" w:type="dxa"/>
            <w:tcBorders>
              <w:top w:val="single" w:sz="4" w:space="0" w:color="000000"/>
            </w:tcBorders>
          </w:tcPr>
          <w:p>
            <w:pPr>
              <w:pStyle w:val="TableParagraph"/>
              <w:spacing w:line="212" w:lineRule="exact"/>
              <w:ind w:left="108"/>
              <w:rPr>
                <w:sz w:val="18"/>
              </w:rPr>
            </w:pPr>
            <w:r>
              <w:rPr>
                <w:color w:val="231F20"/>
                <w:sz w:val="18"/>
              </w:rPr>
              <w:t>G1</w:t>
            </w:r>
          </w:p>
        </w:tc>
        <w:tc>
          <w:tcPr>
            <w:tcW w:w="1876" w:type="dxa"/>
            <w:gridSpan w:val="2"/>
            <w:tcBorders>
              <w:top w:val="single" w:sz="4" w:space="0" w:color="000000"/>
            </w:tcBorders>
          </w:tcPr>
          <w:p>
            <w:pPr>
              <w:pStyle w:val="TableParagraph"/>
              <w:spacing w:line="212" w:lineRule="exact"/>
              <w:ind w:left="455"/>
              <w:rPr>
                <w:sz w:val="18"/>
              </w:rPr>
            </w:pPr>
            <w:r>
              <w:rPr>
                <w:color w:val="231F20"/>
                <w:sz w:val="18"/>
              </w:rPr>
              <w:t>6423 Colony Way</w:t>
            </w:r>
          </w:p>
        </w:tc>
        <w:tc>
          <w:tcPr>
            <w:tcW w:w="684" w:type="dxa"/>
            <w:tcBorders>
              <w:top w:val="single" w:sz="4" w:space="0" w:color="000000"/>
            </w:tcBorders>
          </w:tcPr>
          <w:p>
            <w:pPr>
              <w:pStyle w:val="TableParagraph"/>
              <w:spacing w:line="212" w:lineRule="exact"/>
              <w:ind w:left="140"/>
              <w:rPr>
                <w:sz w:val="18"/>
              </w:rPr>
            </w:pPr>
            <w:r>
              <w:rPr>
                <w:color w:val="231F20"/>
                <w:sz w:val="18"/>
              </w:rPr>
              <w:t>1A</w:t>
            </w:r>
          </w:p>
        </w:tc>
        <w:tc>
          <w:tcPr>
            <w:tcW w:w="1108" w:type="dxa"/>
            <w:tcBorders>
              <w:top w:val="single" w:sz="4" w:space="0" w:color="000000"/>
            </w:tcBorders>
          </w:tcPr>
          <w:p>
            <w:pPr>
              <w:pStyle w:val="TableParagraph"/>
              <w:spacing w:line="212" w:lineRule="exact"/>
              <w:ind w:right="277"/>
              <w:jc w:val="right"/>
              <w:rPr>
                <w:sz w:val="18"/>
              </w:rPr>
            </w:pPr>
            <w:r>
              <w:rPr>
                <w:color w:val="231F20"/>
                <w:sz w:val="18"/>
              </w:rPr>
              <w:t>2BR</w:t>
            </w:r>
          </w:p>
        </w:tc>
        <w:tc>
          <w:tcPr>
            <w:tcW w:w="1296" w:type="dxa"/>
            <w:tcBorders>
              <w:top w:val="single" w:sz="4" w:space="0" w:color="000000"/>
            </w:tcBorders>
          </w:tcPr>
          <w:p>
            <w:pPr>
              <w:pStyle w:val="TableParagraph"/>
              <w:spacing w:line="212" w:lineRule="exact"/>
              <w:ind w:left="273"/>
              <w:rPr>
                <w:sz w:val="18"/>
              </w:rPr>
            </w:pPr>
            <w:r>
              <w:rPr>
                <w:color w:val="231F20"/>
                <w:sz w:val="18"/>
              </w:rPr>
              <w:t>4 + 1 Bath</w:t>
            </w:r>
          </w:p>
        </w:tc>
        <w:tc>
          <w:tcPr>
            <w:tcW w:w="1330" w:type="dxa"/>
            <w:tcBorders>
              <w:top w:val="single" w:sz="4" w:space="0" w:color="000000"/>
            </w:tcBorders>
          </w:tcPr>
          <w:p>
            <w:pPr>
              <w:pStyle w:val="TableParagraph"/>
              <w:spacing w:line="212" w:lineRule="exact"/>
              <w:ind w:left="720"/>
              <w:rPr>
                <w:sz w:val="18"/>
              </w:rPr>
            </w:pPr>
            <w:r>
              <w:rPr>
                <w:color w:val="231F20"/>
                <w:sz w:val="18"/>
              </w:rPr>
              <w:t>960</w:t>
            </w:r>
          </w:p>
        </w:tc>
        <w:tc>
          <w:tcPr>
            <w:tcW w:w="1193" w:type="dxa"/>
            <w:tcBorders>
              <w:top w:val="single" w:sz="4" w:space="0" w:color="000000"/>
            </w:tcBorders>
          </w:tcPr>
          <w:p>
            <w:pPr>
              <w:pStyle w:val="TableParagraph"/>
              <w:spacing w:line="212" w:lineRule="exact"/>
              <w:ind w:right="110"/>
              <w:jc w:val="right"/>
              <w:rPr>
                <w:sz w:val="18"/>
              </w:rPr>
            </w:pPr>
            <w:r>
              <w:rPr>
                <w:color w:val="231F20"/>
                <w:sz w:val="18"/>
              </w:rPr>
              <w:t>$950.00</w:t>
            </w:r>
          </w:p>
        </w:tc>
        <w:tc>
          <w:tcPr>
            <w:tcW w:w="1196" w:type="dxa"/>
            <w:tcBorders>
              <w:top w:val="single" w:sz="4" w:space="0" w:color="000000"/>
            </w:tcBorders>
          </w:tcPr>
          <w:p>
            <w:pPr>
              <w:pStyle w:val="TableParagraph"/>
              <w:spacing w:line="212" w:lineRule="exact"/>
              <w:ind w:left="386"/>
              <w:rPr>
                <w:sz w:val="18"/>
              </w:rPr>
            </w:pPr>
            <w:r>
              <w:rPr>
                <w:color w:val="231F20"/>
                <w:sz w:val="18"/>
              </w:rPr>
              <w:t>0.310</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1B</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1C</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1D</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1E</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1F</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1G</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6" w:type="dxa"/>
            <w:gridSpan w:val="2"/>
          </w:tcPr>
          <w:p>
            <w:pPr>
              <w:pStyle w:val="TableParagraph"/>
              <w:spacing w:line="179" w:lineRule="exact"/>
              <w:ind w:left="312"/>
              <w:jc w:val="center"/>
              <w:rPr>
                <w:sz w:val="18"/>
              </w:rPr>
            </w:pPr>
            <w:r>
              <w:rPr>
                <w:color w:val="231F20"/>
                <w:sz w:val="18"/>
              </w:rPr>
              <w:t>"</w:t>
            </w:r>
          </w:p>
        </w:tc>
        <w:tc>
          <w:tcPr>
            <w:tcW w:w="684" w:type="dxa"/>
          </w:tcPr>
          <w:p>
            <w:pPr>
              <w:pStyle w:val="TableParagraph"/>
              <w:spacing w:line="179" w:lineRule="exact"/>
              <w:ind w:left="140"/>
              <w:rPr>
                <w:sz w:val="18"/>
              </w:rPr>
            </w:pPr>
            <w:r>
              <w:rPr>
                <w:color w:val="231F20"/>
                <w:sz w:val="18"/>
              </w:rPr>
              <w:t>1H</w:t>
            </w:r>
          </w:p>
        </w:tc>
        <w:tc>
          <w:tcPr>
            <w:tcW w:w="1108" w:type="dxa"/>
          </w:tcPr>
          <w:p>
            <w:pPr>
              <w:pStyle w:val="TableParagraph"/>
              <w:spacing w:line="179" w:lineRule="exact"/>
              <w:ind w:right="276"/>
              <w:jc w:val="right"/>
              <w:rPr>
                <w:sz w:val="18"/>
              </w:rPr>
            </w:pPr>
            <w:r>
              <w:rPr>
                <w:color w:val="231F20"/>
                <w:sz w:val="18"/>
              </w:rPr>
              <w:t>1BR</w:t>
            </w:r>
          </w:p>
        </w:tc>
        <w:tc>
          <w:tcPr>
            <w:tcW w:w="1296" w:type="dxa"/>
          </w:tcPr>
          <w:p>
            <w:pPr>
              <w:pStyle w:val="TableParagraph"/>
              <w:spacing w:line="179" w:lineRule="exact"/>
              <w:ind w:left="273"/>
              <w:rPr>
                <w:sz w:val="18"/>
              </w:rPr>
            </w:pPr>
            <w:r>
              <w:rPr>
                <w:color w:val="231F20"/>
                <w:sz w:val="18"/>
              </w:rPr>
              <w:t>3 + 1 Bath</w:t>
            </w:r>
          </w:p>
        </w:tc>
        <w:tc>
          <w:tcPr>
            <w:tcW w:w="1330" w:type="dxa"/>
          </w:tcPr>
          <w:p>
            <w:pPr>
              <w:pStyle w:val="TableParagraph"/>
              <w:spacing w:line="179" w:lineRule="exact"/>
              <w:ind w:left="720"/>
              <w:rPr>
                <w:sz w:val="18"/>
              </w:rPr>
            </w:pPr>
            <w:r>
              <w:rPr>
                <w:color w:val="231F20"/>
                <w:sz w:val="18"/>
              </w:rPr>
              <w:t>706</w:t>
            </w:r>
          </w:p>
        </w:tc>
        <w:tc>
          <w:tcPr>
            <w:tcW w:w="1193" w:type="dxa"/>
          </w:tcPr>
          <w:p>
            <w:pPr>
              <w:pStyle w:val="TableParagraph"/>
              <w:spacing w:line="179" w:lineRule="exact"/>
              <w:ind w:right="110"/>
              <w:jc w:val="right"/>
              <w:rPr>
                <w:sz w:val="18"/>
              </w:rPr>
            </w:pPr>
            <w:r>
              <w:rPr>
                <w:color w:val="231F20"/>
                <w:sz w:val="18"/>
              </w:rPr>
              <w:t>800.00</w:t>
            </w:r>
          </w:p>
        </w:tc>
        <w:tc>
          <w:tcPr>
            <w:tcW w:w="1196" w:type="dxa"/>
          </w:tcPr>
          <w:p>
            <w:pPr>
              <w:pStyle w:val="TableParagraph"/>
              <w:spacing w:line="179" w:lineRule="exact"/>
              <w:ind w:left="386"/>
              <w:rPr>
                <w:sz w:val="18"/>
              </w:rPr>
            </w:pPr>
            <w:r>
              <w:rPr>
                <w:color w:val="231F20"/>
                <w:sz w:val="18"/>
              </w:rPr>
              <w:t>0.262</w:t>
            </w:r>
          </w:p>
        </w:tc>
      </w:tr>
      <w:tr>
        <w:trPr>
          <w:trHeight w:val="184" w:hRule="atLeast"/>
        </w:trPr>
        <w:tc>
          <w:tcPr>
            <w:tcW w:w="900" w:type="dxa"/>
          </w:tcPr>
          <w:p>
            <w:pPr>
              <w:pStyle w:val="TableParagraph"/>
              <w:spacing w:line="240" w:lineRule="auto"/>
              <w:rPr>
                <w:rFonts w:ascii="Times New Roman"/>
                <w:sz w:val="12"/>
              </w:rPr>
            </w:pPr>
          </w:p>
        </w:tc>
        <w:tc>
          <w:tcPr>
            <w:tcW w:w="1876" w:type="dxa"/>
            <w:gridSpan w:val="2"/>
          </w:tcPr>
          <w:p>
            <w:pPr>
              <w:pStyle w:val="TableParagraph"/>
              <w:spacing w:line="240" w:lineRule="auto"/>
              <w:rPr>
                <w:rFonts w:ascii="Times New Roman"/>
                <w:sz w:val="12"/>
              </w:rPr>
            </w:pPr>
          </w:p>
        </w:tc>
        <w:tc>
          <w:tcPr>
            <w:tcW w:w="684" w:type="dxa"/>
          </w:tcPr>
          <w:p>
            <w:pPr>
              <w:pStyle w:val="TableParagraph"/>
              <w:spacing w:line="165" w:lineRule="exact"/>
              <w:ind w:left="140"/>
              <w:rPr>
                <w:sz w:val="18"/>
              </w:rPr>
            </w:pPr>
            <w:r>
              <w:rPr>
                <w:color w:val="231F20"/>
                <w:sz w:val="18"/>
              </w:rPr>
              <w:t>*</w:t>
            </w:r>
          </w:p>
        </w:tc>
        <w:tc>
          <w:tcPr>
            <w:tcW w:w="1108" w:type="dxa"/>
          </w:tcPr>
          <w:p>
            <w:pPr>
              <w:pStyle w:val="TableParagraph"/>
              <w:spacing w:line="240" w:lineRule="auto"/>
              <w:rPr>
                <w:rFonts w:ascii="Times New Roman"/>
                <w:sz w:val="12"/>
              </w:rPr>
            </w:pPr>
          </w:p>
        </w:tc>
        <w:tc>
          <w:tcPr>
            <w:tcW w:w="1296" w:type="dxa"/>
          </w:tcPr>
          <w:p>
            <w:pPr>
              <w:pStyle w:val="TableParagraph"/>
              <w:spacing w:line="240" w:lineRule="auto"/>
              <w:rPr>
                <w:rFonts w:ascii="Times New Roman"/>
                <w:sz w:val="12"/>
              </w:rPr>
            </w:pPr>
          </w:p>
        </w:tc>
        <w:tc>
          <w:tcPr>
            <w:tcW w:w="1330" w:type="dxa"/>
          </w:tcPr>
          <w:p>
            <w:pPr>
              <w:pStyle w:val="TableParagraph"/>
              <w:spacing w:line="240" w:lineRule="auto"/>
              <w:rPr>
                <w:rFonts w:ascii="Times New Roman"/>
                <w:sz w:val="12"/>
              </w:rPr>
            </w:pPr>
          </w:p>
        </w:tc>
        <w:tc>
          <w:tcPr>
            <w:tcW w:w="1193" w:type="dxa"/>
          </w:tcPr>
          <w:p>
            <w:pPr>
              <w:pStyle w:val="TableParagraph"/>
              <w:spacing w:line="240" w:lineRule="auto"/>
              <w:rPr>
                <w:rFonts w:ascii="Times New Roman"/>
                <w:sz w:val="12"/>
              </w:rPr>
            </w:pPr>
          </w:p>
        </w:tc>
        <w:tc>
          <w:tcPr>
            <w:tcW w:w="1196" w:type="dxa"/>
          </w:tcPr>
          <w:p>
            <w:pPr>
              <w:pStyle w:val="TableParagraph"/>
              <w:spacing w:line="240" w:lineRule="auto"/>
              <w:rPr>
                <w:rFonts w:ascii="Times New Roman"/>
                <w:sz w:val="12"/>
              </w:rPr>
            </w:pPr>
          </w:p>
        </w:tc>
      </w:tr>
      <w:tr>
        <w:trPr>
          <w:trHeight w:val="199" w:hRule="atLeast"/>
        </w:trPr>
        <w:tc>
          <w:tcPr>
            <w:tcW w:w="3460" w:type="dxa"/>
            <w:gridSpan w:val="4"/>
          </w:tcPr>
          <w:p>
            <w:pPr>
              <w:pStyle w:val="TableParagraph"/>
              <w:tabs>
                <w:tab w:pos="1958" w:val="left" w:leader="none"/>
                <w:tab w:pos="2916" w:val="left" w:leader="none"/>
              </w:tabs>
              <w:spacing w:line="174" w:lineRule="exact"/>
              <w:ind w:left="108"/>
              <w:rPr>
                <w:sz w:val="18"/>
              </w:rPr>
            </w:pPr>
            <w:r>
              <w:rPr>
                <w:color w:val="231F20"/>
                <w:sz w:val="18"/>
              </w:rPr>
              <w:t>"</w:t>
              <w:tab/>
              <w:t>"</w:t>
              <w:tab/>
              <w:t>1J</w:t>
            </w:r>
          </w:p>
        </w:tc>
        <w:tc>
          <w:tcPr>
            <w:tcW w:w="1108" w:type="dxa"/>
          </w:tcPr>
          <w:p>
            <w:pPr>
              <w:pStyle w:val="TableParagraph"/>
              <w:spacing w:line="174" w:lineRule="exact"/>
              <w:ind w:right="276"/>
              <w:jc w:val="right"/>
              <w:rPr>
                <w:sz w:val="18"/>
              </w:rPr>
            </w:pPr>
            <w:r>
              <w:rPr>
                <w:color w:val="231F20"/>
                <w:sz w:val="18"/>
              </w:rPr>
              <w:t>1BR</w:t>
            </w:r>
          </w:p>
        </w:tc>
        <w:tc>
          <w:tcPr>
            <w:tcW w:w="1296" w:type="dxa"/>
          </w:tcPr>
          <w:p>
            <w:pPr>
              <w:pStyle w:val="TableParagraph"/>
              <w:spacing w:line="174" w:lineRule="exact"/>
              <w:ind w:left="273"/>
              <w:rPr>
                <w:sz w:val="18"/>
              </w:rPr>
            </w:pPr>
            <w:r>
              <w:rPr>
                <w:color w:val="231F20"/>
                <w:sz w:val="18"/>
              </w:rPr>
              <w:t>3 + 1 Bath</w:t>
            </w:r>
          </w:p>
        </w:tc>
        <w:tc>
          <w:tcPr>
            <w:tcW w:w="1330" w:type="dxa"/>
          </w:tcPr>
          <w:p>
            <w:pPr>
              <w:pStyle w:val="TableParagraph"/>
              <w:spacing w:line="174" w:lineRule="exact"/>
              <w:ind w:left="720"/>
              <w:rPr>
                <w:sz w:val="18"/>
              </w:rPr>
            </w:pPr>
            <w:r>
              <w:rPr>
                <w:color w:val="231F20"/>
                <w:sz w:val="18"/>
              </w:rPr>
              <w:t>706</w:t>
            </w:r>
          </w:p>
        </w:tc>
        <w:tc>
          <w:tcPr>
            <w:tcW w:w="1193" w:type="dxa"/>
          </w:tcPr>
          <w:p>
            <w:pPr>
              <w:pStyle w:val="TableParagraph"/>
              <w:spacing w:line="174" w:lineRule="exact"/>
              <w:ind w:right="110"/>
              <w:jc w:val="right"/>
              <w:rPr>
                <w:sz w:val="18"/>
              </w:rPr>
            </w:pPr>
            <w:r>
              <w:rPr>
                <w:color w:val="231F20"/>
                <w:sz w:val="18"/>
              </w:rPr>
              <w:t>800.00</w:t>
            </w:r>
          </w:p>
        </w:tc>
        <w:tc>
          <w:tcPr>
            <w:tcW w:w="1196" w:type="dxa"/>
          </w:tcPr>
          <w:p>
            <w:pPr>
              <w:pStyle w:val="TableParagraph"/>
              <w:spacing w:line="174"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3" w:lineRule="exact"/>
              <w:ind w:left="108"/>
              <w:rPr>
                <w:sz w:val="18"/>
              </w:rPr>
            </w:pPr>
            <w:r>
              <w:rPr>
                <w:color w:val="231F20"/>
                <w:sz w:val="18"/>
              </w:rPr>
              <w:t>"</w:t>
              <w:tab/>
              <w:t>"</w:t>
              <w:tab/>
              <w:t>1K</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21" w:hRule="atLeast"/>
        </w:trPr>
        <w:tc>
          <w:tcPr>
            <w:tcW w:w="3460" w:type="dxa"/>
            <w:gridSpan w:val="4"/>
          </w:tcPr>
          <w:p>
            <w:pPr>
              <w:pStyle w:val="TableParagraph"/>
              <w:tabs>
                <w:tab w:pos="1958" w:val="left" w:leader="none"/>
                <w:tab w:pos="2916" w:val="left" w:leader="none"/>
              </w:tabs>
              <w:spacing w:line="195" w:lineRule="exact"/>
              <w:ind w:left="108"/>
              <w:rPr>
                <w:sz w:val="18"/>
              </w:rPr>
            </w:pPr>
            <w:r>
              <w:rPr>
                <w:color w:val="231F20"/>
                <w:sz w:val="18"/>
              </w:rPr>
              <w:t>"</w:t>
              <w:tab/>
              <w:t>"</w:t>
              <w:tab/>
              <w:t>1L</w:t>
            </w:r>
          </w:p>
        </w:tc>
        <w:tc>
          <w:tcPr>
            <w:tcW w:w="1108" w:type="dxa"/>
          </w:tcPr>
          <w:p>
            <w:pPr>
              <w:pStyle w:val="TableParagraph"/>
              <w:spacing w:line="195" w:lineRule="exact"/>
              <w:ind w:right="276"/>
              <w:jc w:val="right"/>
              <w:rPr>
                <w:sz w:val="18"/>
              </w:rPr>
            </w:pPr>
            <w:r>
              <w:rPr>
                <w:color w:val="231F20"/>
                <w:sz w:val="18"/>
              </w:rPr>
              <w:t>1BR</w:t>
            </w:r>
          </w:p>
        </w:tc>
        <w:tc>
          <w:tcPr>
            <w:tcW w:w="1296" w:type="dxa"/>
          </w:tcPr>
          <w:p>
            <w:pPr>
              <w:pStyle w:val="TableParagraph"/>
              <w:spacing w:line="195" w:lineRule="exact"/>
              <w:ind w:left="273"/>
              <w:rPr>
                <w:sz w:val="18"/>
              </w:rPr>
            </w:pPr>
            <w:r>
              <w:rPr>
                <w:color w:val="231F20"/>
                <w:sz w:val="18"/>
              </w:rPr>
              <w:t>3 + 1 Bath</w:t>
            </w:r>
          </w:p>
        </w:tc>
        <w:tc>
          <w:tcPr>
            <w:tcW w:w="1330" w:type="dxa"/>
          </w:tcPr>
          <w:p>
            <w:pPr>
              <w:pStyle w:val="TableParagraph"/>
              <w:spacing w:line="195" w:lineRule="exact"/>
              <w:ind w:left="720"/>
              <w:rPr>
                <w:sz w:val="18"/>
              </w:rPr>
            </w:pPr>
            <w:r>
              <w:rPr>
                <w:color w:val="231F20"/>
                <w:sz w:val="18"/>
              </w:rPr>
              <w:t>756</w:t>
            </w:r>
          </w:p>
        </w:tc>
        <w:tc>
          <w:tcPr>
            <w:tcW w:w="1193" w:type="dxa"/>
          </w:tcPr>
          <w:p>
            <w:pPr>
              <w:pStyle w:val="TableParagraph"/>
              <w:spacing w:line="195" w:lineRule="exact"/>
              <w:ind w:right="110"/>
              <w:jc w:val="right"/>
              <w:rPr>
                <w:sz w:val="18"/>
              </w:rPr>
            </w:pPr>
            <w:r>
              <w:rPr>
                <w:color w:val="231F20"/>
                <w:sz w:val="18"/>
              </w:rPr>
              <w:t>800.00</w:t>
            </w:r>
          </w:p>
        </w:tc>
        <w:tc>
          <w:tcPr>
            <w:tcW w:w="1196" w:type="dxa"/>
          </w:tcPr>
          <w:p>
            <w:pPr>
              <w:pStyle w:val="TableParagraph"/>
              <w:spacing w:line="195" w:lineRule="exact"/>
              <w:ind w:left="386"/>
              <w:rPr>
                <w:sz w:val="18"/>
              </w:rPr>
            </w:pPr>
            <w:r>
              <w:rPr>
                <w:color w:val="231F20"/>
                <w:sz w:val="18"/>
              </w:rPr>
              <w:t>0.262</w:t>
            </w:r>
          </w:p>
        </w:tc>
      </w:tr>
      <w:tr>
        <w:trPr>
          <w:trHeight w:val="291" w:hRule="atLeast"/>
        </w:trPr>
        <w:tc>
          <w:tcPr>
            <w:tcW w:w="3460" w:type="dxa"/>
            <w:gridSpan w:val="4"/>
          </w:tcPr>
          <w:p>
            <w:pPr>
              <w:pStyle w:val="TableParagraph"/>
              <w:tabs>
                <w:tab w:pos="1958" w:val="left" w:leader="none"/>
                <w:tab w:pos="2916" w:val="left" w:leader="none"/>
              </w:tabs>
              <w:spacing w:line="194" w:lineRule="exact"/>
              <w:ind w:left="108"/>
              <w:rPr>
                <w:sz w:val="18"/>
              </w:rPr>
            </w:pPr>
            <w:r>
              <w:rPr>
                <w:color w:val="231F20"/>
                <w:sz w:val="18"/>
              </w:rPr>
              <w:t>"</w:t>
              <w:tab/>
              <w:t>"</w:t>
              <w:tab/>
              <w:t>1M</w:t>
            </w:r>
          </w:p>
        </w:tc>
        <w:tc>
          <w:tcPr>
            <w:tcW w:w="1108" w:type="dxa"/>
          </w:tcPr>
          <w:p>
            <w:pPr>
              <w:pStyle w:val="TableParagraph"/>
              <w:spacing w:line="194" w:lineRule="exact"/>
              <w:ind w:right="277"/>
              <w:jc w:val="right"/>
              <w:rPr>
                <w:sz w:val="18"/>
              </w:rPr>
            </w:pPr>
            <w:r>
              <w:rPr>
                <w:color w:val="231F20"/>
                <w:sz w:val="18"/>
              </w:rPr>
              <w:t>2BR</w:t>
            </w:r>
          </w:p>
        </w:tc>
        <w:tc>
          <w:tcPr>
            <w:tcW w:w="1296" w:type="dxa"/>
          </w:tcPr>
          <w:p>
            <w:pPr>
              <w:pStyle w:val="TableParagraph"/>
              <w:spacing w:line="194" w:lineRule="exact"/>
              <w:ind w:left="273"/>
              <w:rPr>
                <w:sz w:val="18"/>
              </w:rPr>
            </w:pPr>
            <w:r>
              <w:rPr>
                <w:color w:val="231F20"/>
                <w:sz w:val="18"/>
              </w:rPr>
              <w:t>4 + 1 Bath</w:t>
            </w:r>
          </w:p>
        </w:tc>
        <w:tc>
          <w:tcPr>
            <w:tcW w:w="1330" w:type="dxa"/>
          </w:tcPr>
          <w:p>
            <w:pPr>
              <w:pStyle w:val="TableParagraph"/>
              <w:spacing w:line="194" w:lineRule="exact"/>
              <w:ind w:left="720"/>
              <w:rPr>
                <w:sz w:val="18"/>
              </w:rPr>
            </w:pPr>
            <w:r>
              <w:rPr>
                <w:color w:val="231F20"/>
                <w:sz w:val="18"/>
              </w:rPr>
              <w:t>948</w:t>
            </w:r>
          </w:p>
        </w:tc>
        <w:tc>
          <w:tcPr>
            <w:tcW w:w="1193" w:type="dxa"/>
          </w:tcPr>
          <w:p>
            <w:pPr>
              <w:pStyle w:val="TableParagraph"/>
              <w:spacing w:line="194" w:lineRule="exact"/>
              <w:ind w:right="110"/>
              <w:jc w:val="right"/>
              <w:rPr>
                <w:sz w:val="18"/>
              </w:rPr>
            </w:pPr>
            <w:r>
              <w:rPr>
                <w:color w:val="231F20"/>
                <w:sz w:val="18"/>
              </w:rPr>
              <w:t>950.00</w:t>
            </w:r>
          </w:p>
        </w:tc>
        <w:tc>
          <w:tcPr>
            <w:tcW w:w="1196" w:type="dxa"/>
          </w:tcPr>
          <w:p>
            <w:pPr>
              <w:pStyle w:val="TableParagraph"/>
              <w:spacing w:line="194" w:lineRule="exact"/>
              <w:ind w:left="386"/>
              <w:rPr>
                <w:sz w:val="18"/>
              </w:rPr>
            </w:pPr>
            <w:r>
              <w:rPr>
                <w:color w:val="231F20"/>
                <w:sz w:val="18"/>
              </w:rPr>
              <w:t>0.310</w:t>
            </w:r>
          </w:p>
        </w:tc>
      </w:tr>
      <w:tr>
        <w:trPr>
          <w:trHeight w:val="291" w:hRule="atLeast"/>
        </w:trPr>
        <w:tc>
          <w:tcPr>
            <w:tcW w:w="3460" w:type="dxa"/>
            <w:gridSpan w:val="4"/>
          </w:tcPr>
          <w:p>
            <w:pPr>
              <w:pStyle w:val="TableParagraph"/>
              <w:tabs>
                <w:tab w:pos="1958" w:val="left" w:leader="none"/>
                <w:tab w:pos="2916" w:val="left" w:leader="none"/>
              </w:tabs>
              <w:spacing w:line="240" w:lineRule="auto" w:before="45"/>
              <w:ind w:left="108"/>
              <w:rPr>
                <w:sz w:val="18"/>
              </w:rPr>
            </w:pPr>
            <w:r>
              <w:rPr>
                <w:color w:val="231F20"/>
                <w:sz w:val="18"/>
              </w:rPr>
              <w:t>"</w:t>
              <w:tab/>
              <w:t>"</w:t>
              <w:tab/>
              <w:t>2A</w:t>
            </w:r>
          </w:p>
        </w:tc>
        <w:tc>
          <w:tcPr>
            <w:tcW w:w="1108" w:type="dxa"/>
          </w:tcPr>
          <w:p>
            <w:pPr>
              <w:pStyle w:val="TableParagraph"/>
              <w:spacing w:line="240" w:lineRule="auto" w:before="45"/>
              <w:ind w:right="277"/>
              <w:jc w:val="right"/>
              <w:rPr>
                <w:sz w:val="18"/>
              </w:rPr>
            </w:pPr>
            <w:r>
              <w:rPr>
                <w:color w:val="231F20"/>
                <w:sz w:val="18"/>
              </w:rPr>
              <w:t>2BR</w:t>
            </w:r>
          </w:p>
        </w:tc>
        <w:tc>
          <w:tcPr>
            <w:tcW w:w="1296" w:type="dxa"/>
          </w:tcPr>
          <w:p>
            <w:pPr>
              <w:pStyle w:val="TableParagraph"/>
              <w:spacing w:line="240" w:lineRule="auto" w:before="45"/>
              <w:ind w:left="273"/>
              <w:rPr>
                <w:sz w:val="18"/>
              </w:rPr>
            </w:pPr>
            <w:r>
              <w:rPr>
                <w:color w:val="231F20"/>
                <w:sz w:val="18"/>
              </w:rPr>
              <w:t>4 + 1 Bath</w:t>
            </w:r>
          </w:p>
        </w:tc>
        <w:tc>
          <w:tcPr>
            <w:tcW w:w="1330" w:type="dxa"/>
          </w:tcPr>
          <w:p>
            <w:pPr>
              <w:pStyle w:val="TableParagraph"/>
              <w:spacing w:line="240" w:lineRule="auto" w:before="45"/>
              <w:ind w:left="720"/>
              <w:rPr>
                <w:sz w:val="18"/>
              </w:rPr>
            </w:pPr>
            <w:r>
              <w:rPr>
                <w:color w:val="231F20"/>
                <w:sz w:val="18"/>
              </w:rPr>
              <w:t>960</w:t>
            </w:r>
          </w:p>
        </w:tc>
        <w:tc>
          <w:tcPr>
            <w:tcW w:w="1193" w:type="dxa"/>
          </w:tcPr>
          <w:p>
            <w:pPr>
              <w:pStyle w:val="TableParagraph"/>
              <w:spacing w:line="240" w:lineRule="auto" w:before="45"/>
              <w:ind w:right="110"/>
              <w:jc w:val="right"/>
              <w:rPr>
                <w:sz w:val="18"/>
              </w:rPr>
            </w:pPr>
            <w:r>
              <w:rPr>
                <w:color w:val="231F20"/>
                <w:sz w:val="18"/>
              </w:rPr>
              <w:t>950.00</w:t>
            </w:r>
          </w:p>
        </w:tc>
        <w:tc>
          <w:tcPr>
            <w:tcW w:w="1196" w:type="dxa"/>
          </w:tcPr>
          <w:p>
            <w:pPr>
              <w:pStyle w:val="TableParagraph"/>
              <w:spacing w:line="240" w:lineRule="auto" w:before="45"/>
              <w:ind w:left="386"/>
              <w:rPr>
                <w:sz w:val="18"/>
              </w:rPr>
            </w:pPr>
            <w:r>
              <w:rPr>
                <w:color w:val="231F20"/>
                <w:sz w:val="18"/>
              </w:rPr>
              <w:t>0.310</w:t>
            </w:r>
          </w:p>
        </w:tc>
      </w:tr>
      <w:tr>
        <w:trPr>
          <w:trHeight w:val="219" w:hRule="atLeast"/>
        </w:trPr>
        <w:tc>
          <w:tcPr>
            <w:tcW w:w="3460" w:type="dxa"/>
            <w:gridSpan w:val="4"/>
          </w:tcPr>
          <w:p>
            <w:pPr>
              <w:pStyle w:val="TableParagraph"/>
              <w:tabs>
                <w:tab w:pos="1958" w:val="left" w:leader="none"/>
                <w:tab w:pos="2916" w:val="left" w:leader="none"/>
              </w:tabs>
              <w:spacing w:line="194" w:lineRule="exact"/>
              <w:ind w:left="108"/>
              <w:rPr>
                <w:sz w:val="18"/>
              </w:rPr>
            </w:pPr>
            <w:r>
              <w:rPr>
                <w:color w:val="231F20"/>
                <w:sz w:val="18"/>
              </w:rPr>
              <w:t>"</w:t>
              <w:tab/>
              <w:t>"</w:t>
              <w:tab/>
              <w:t>2B</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3" w:lineRule="exact"/>
              <w:ind w:left="108"/>
              <w:rPr>
                <w:sz w:val="18"/>
              </w:rPr>
            </w:pPr>
            <w:r>
              <w:rPr>
                <w:color w:val="231F20"/>
                <w:sz w:val="18"/>
              </w:rPr>
              <w:t>"</w:t>
              <w:tab/>
              <w:t>"</w:t>
              <w:tab/>
              <w:t>2C</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4" w:lineRule="exact"/>
              <w:ind w:left="108"/>
              <w:rPr>
                <w:sz w:val="18"/>
              </w:rPr>
            </w:pPr>
            <w:r>
              <w:rPr>
                <w:color w:val="231F20"/>
                <w:sz w:val="18"/>
              </w:rPr>
              <w:t>"</w:t>
              <w:tab/>
              <w:t>"</w:t>
              <w:tab/>
              <w:t>2D</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3" w:lineRule="exact"/>
              <w:ind w:left="108"/>
              <w:rPr>
                <w:sz w:val="18"/>
              </w:rPr>
            </w:pPr>
            <w:r>
              <w:rPr>
                <w:color w:val="231F20"/>
                <w:sz w:val="18"/>
              </w:rPr>
              <w:t>"</w:t>
              <w:tab/>
              <w:t>"</w:t>
              <w:tab/>
              <w:t>2E</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4" w:lineRule="exact"/>
              <w:ind w:left="108"/>
              <w:rPr>
                <w:sz w:val="18"/>
              </w:rPr>
            </w:pPr>
            <w:r>
              <w:rPr>
                <w:color w:val="231F20"/>
                <w:sz w:val="18"/>
              </w:rPr>
              <w:t>"</w:t>
              <w:tab/>
              <w:t>"</w:t>
              <w:tab/>
              <w:t>2F</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3460" w:type="dxa"/>
            <w:gridSpan w:val="4"/>
          </w:tcPr>
          <w:p>
            <w:pPr>
              <w:pStyle w:val="TableParagraph"/>
              <w:tabs>
                <w:tab w:pos="1958" w:val="left" w:leader="none"/>
                <w:tab w:pos="2916" w:val="left" w:leader="none"/>
              </w:tabs>
              <w:spacing w:line="193" w:lineRule="exact"/>
              <w:ind w:left="108"/>
              <w:rPr>
                <w:sz w:val="18"/>
              </w:rPr>
            </w:pPr>
            <w:r>
              <w:rPr>
                <w:color w:val="231F20"/>
                <w:sz w:val="18"/>
              </w:rPr>
              <w:t>"</w:t>
              <w:tab/>
              <w:t>"</w:t>
              <w:tab/>
              <w:t>2G</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00" w:hRule="atLeast"/>
        </w:trPr>
        <w:tc>
          <w:tcPr>
            <w:tcW w:w="3460" w:type="dxa"/>
            <w:gridSpan w:val="4"/>
          </w:tcPr>
          <w:p>
            <w:pPr>
              <w:pStyle w:val="TableParagraph"/>
              <w:tabs>
                <w:tab w:pos="1958" w:val="left" w:leader="none"/>
                <w:tab w:pos="2916" w:val="left" w:leader="none"/>
              </w:tabs>
              <w:spacing w:line="180" w:lineRule="exact"/>
              <w:ind w:left="108"/>
              <w:rPr>
                <w:sz w:val="18"/>
              </w:rPr>
            </w:pPr>
            <w:r>
              <w:rPr>
                <w:color w:val="231F20"/>
                <w:sz w:val="18"/>
              </w:rPr>
              <w:t>"</w:t>
              <w:tab/>
              <w:t>"</w:t>
              <w:tab/>
              <w:t>2H</w:t>
            </w:r>
          </w:p>
        </w:tc>
        <w:tc>
          <w:tcPr>
            <w:tcW w:w="1108" w:type="dxa"/>
          </w:tcPr>
          <w:p>
            <w:pPr>
              <w:pStyle w:val="TableParagraph"/>
              <w:spacing w:line="180" w:lineRule="exact"/>
              <w:ind w:right="276"/>
              <w:jc w:val="right"/>
              <w:rPr>
                <w:sz w:val="18"/>
              </w:rPr>
            </w:pPr>
            <w:r>
              <w:rPr>
                <w:color w:val="231F20"/>
                <w:sz w:val="18"/>
              </w:rPr>
              <w:t>1BR</w:t>
            </w:r>
          </w:p>
        </w:tc>
        <w:tc>
          <w:tcPr>
            <w:tcW w:w="1296" w:type="dxa"/>
          </w:tcPr>
          <w:p>
            <w:pPr>
              <w:pStyle w:val="TableParagraph"/>
              <w:spacing w:line="180" w:lineRule="exact"/>
              <w:ind w:left="273"/>
              <w:rPr>
                <w:sz w:val="18"/>
              </w:rPr>
            </w:pPr>
            <w:r>
              <w:rPr>
                <w:color w:val="231F20"/>
                <w:sz w:val="18"/>
              </w:rPr>
              <w:t>3 + 1 Bath</w:t>
            </w:r>
          </w:p>
        </w:tc>
        <w:tc>
          <w:tcPr>
            <w:tcW w:w="1330" w:type="dxa"/>
          </w:tcPr>
          <w:p>
            <w:pPr>
              <w:pStyle w:val="TableParagraph"/>
              <w:spacing w:line="180" w:lineRule="exact"/>
              <w:ind w:left="720"/>
              <w:rPr>
                <w:sz w:val="18"/>
              </w:rPr>
            </w:pPr>
            <w:r>
              <w:rPr>
                <w:color w:val="231F20"/>
                <w:sz w:val="18"/>
              </w:rPr>
              <w:t>706</w:t>
            </w:r>
          </w:p>
        </w:tc>
        <w:tc>
          <w:tcPr>
            <w:tcW w:w="1193" w:type="dxa"/>
          </w:tcPr>
          <w:p>
            <w:pPr>
              <w:pStyle w:val="TableParagraph"/>
              <w:spacing w:line="180" w:lineRule="exact"/>
              <w:ind w:right="110"/>
              <w:jc w:val="right"/>
              <w:rPr>
                <w:sz w:val="18"/>
              </w:rPr>
            </w:pPr>
            <w:r>
              <w:rPr>
                <w:color w:val="231F20"/>
                <w:sz w:val="18"/>
              </w:rPr>
              <w:t>800.00</w:t>
            </w:r>
          </w:p>
        </w:tc>
        <w:tc>
          <w:tcPr>
            <w:tcW w:w="1196" w:type="dxa"/>
          </w:tcPr>
          <w:p>
            <w:pPr>
              <w:pStyle w:val="TableParagraph"/>
              <w:spacing w:line="180" w:lineRule="exact"/>
              <w:ind w:left="386"/>
              <w:rPr>
                <w:sz w:val="18"/>
              </w:rPr>
            </w:pPr>
            <w:r>
              <w:rPr>
                <w:color w:val="231F20"/>
                <w:sz w:val="18"/>
              </w:rPr>
              <w:t>0.262</w:t>
            </w:r>
          </w:p>
        </w:tc>
      </w:tr>
      <w:tr>
        <w:trPr>
          <w:trHeight w:val="202" w:hRule="atLeast"/>
        </w:trPr>
        <w:tc>
          <w:tcPr>
            <w:tcW w:w="1857" w:type="dxa"/>
            <w:gridSpan w:val="2"/>
          </w:tcPr>
          <w:p>
            <w:pPr>
              <w:pStyle w:val="TableParagraph"/>
              <w:spacing w:line="240" w:lineRule="auto"/>
              <w:rPr>
                <w:rFonts w:ascii="Times New Roman"/>
                <w:sz w:val="14"/>
              </w:rPr>
            </w:pPr>
          </w:p>
        </w:tc>
        <w:tc>
          <w:tcPr>
            <w:tcW w:w="919" w:type="dxa"/>
          </w:tcPr>
          <w:p>
            <w:pPr>
              <w:pStyle w:val="TableParagraph"/>
              <w:spacing w:line="240" w:lineRule="auto"/>
              <w:rPr>
                <w:rFonts w:ascii="Times New Roman"/>
                <w:sz w:val="14"/>
              </w:rPr>
            </w:pPr>
          </w:p>
        </w:tc>
        <w:tc>
          <w:tcPr>
            <w:tcW w:w="684" w:type="dxa"/>
          </w:tcPr>
          <w:p>
            <w:pPr>
              <w:pStyle w:val="TableParagraph"/>
              <w:spacing w:line="183" w:lineRule="exact"/>
              <w:ind w:left="140"/>
              <w:rPr>
                <w:sz w:val="18"/>
              </w:rPr>
            </w:pPr>
            <w:r>
              <w:rPr>
                <w:color w:val="231F20"/>
                <w:sz w:val="18"/>
              </w:rPr>
              <w:t>*</w:t>
            </w:r>
          </w:p>
        </w:tc>
        <w:tc>
          <w:tcPr>
            <w:tcW w:w="1108"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40" w:lineRule="auto"/>
              <w:rPr>
                <w:rFonts w:ascii="Times New Roman"/>
                <w:sz w:val="14"/>
              </w:rPr>
            </w:pP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181" w:hRule="atLeast"/>
        </w:trPr>
        <w:tc>
          <w:tcPr>
            <w:tcW w:w="1857" w:type="dxa"/>
            <w:gridSpan w:val="2"/>
          </w:tcPr>
          <w:p>
            <w:pPr>
              <w:pStyle w:val="TableParagraph"/>
              <w:spacing w:line="156" w:lineRule="exact"/>
              <w:ind w:left="108"/>
              <w:rPr>
                <w:sz w:val="18"/>
              </w:rPr>
            </w:pPr>
            <w:r>
              <w:rPr>
                <w:color w:val="231F20"/>
                <w:sz w:val="18"/>
              </w:rPr>
              <w:t>"</w:t>
            </w:r>
          </w:p>
        </w:tc>
        <w:tc>
          <w:tcPr>
            <w:tcW w:w="919" w:type="dxa"/>
          </w:tcPr>
          <w:p>
            <w:pPr>
              <w:pStyle w:val="TableParagraph"/>
              <w:spacing w:line="156" w:lineRule="exact"/>
              <w:ind w:left="101"/>
              <w:rPr>
                <w:sz w:val="18"/>
              </w:rPr>
            </w:pPr>
            <w:r>
              <w:rPr>
                <w:color w:val="231F20"/>
                <w:sz w:val="18"/>
              </w:rPr>
              <w:t>"</w:t>
            </w:r>
          </w:p>
        </w:tc>
        <w:tc>
          <w:tcPr>
            <w:tcW w:w="684" w:type="dxa"/>
          </w:tcPr>
          <w:p>
            <w:pPr>
              <w:pStyle w:val="TableParagraph"/>
              <w:spacing w:line="156" w:lineRule="exact"/>
              <w:ind w:left="140"/>
              <w:rPr>
                <w:sz w:val="18"/>
              </w:rPr>
            </w:pPr>
            <w:r>
              <w:rPr>
                <w:color w:val="231F20"/>
                <w:sz w:val="18"/>
              </w:rPr>
              <w:t>2J</w:t>
            </w:r>
          </w:p>
        </w:tc>
        <w:tc>
          <w:tcPr>
            <w:tcW w:w="1108" w:type="dxa"/>
          </w:tcPr>
          <w:p>
            <w:pPr>
              <w:pStyle w:val="TableParagraph"/>
              <w:spacing w:line="156" w:lineRule="exact"/>
              <w:ind w:right="276"/>
              <w:jc w:val="right"/>
              <w:rPr>
                <w:sz w:val="18"/>
              </w:rPr>
            </w:pPr>
            <w:r>
              <w:rPr>
                <w:color w:val="231F20"/>
                <w:sz w:val="18"/>
              </w:rPr>
              <w:t>1BR</w:t>
            </w:r>
          </w:p>
        </w:tc>
        <w:tc>
          <w:tcPr>
            <w:tcW w:w="1296" w:type="dxa"/>
          </w:tcPr>
          <w:p>
            <w:pPr>
              <w:pStyle w:val="TableParagraph"/>
              <w:spacing w:line="156" w:lineRule="exact"/>
              <w:ind w:left="273"/>
              <w:rPr>
                <w:sz w:val="18"/>
              </w:rPr>
            </w:pPr>
            <w:r>
              <w:rPr>
                <w:color w:val="231F20"/>
                <w:sz w:val="18"/>
              </w:rPr>
              <w:t>3 + 1 Bath</w:t>
            </w:r>
          </w:p>
        </w:tc>
        <w:tc>
          <w:tcPr>
            <w:tcW w:w="1330" w:type="dxa"/>
          </w:tcPr>
          <w:p>
            <w:pPr>
              <w:pStyle w:val="TableParagraph"/>
              <w:spacing w:line="156" w:lineRule="exact"/>
              <w:ind w:left="720"/>
              <w:rPr>
                <w:sz w:val="18"/>
              </w:rPr>
            </w:pPr>
            <w:r>
              <w:rPr>
                <w:color w:val="231F20"/>
                <w:sz w:val="18"/>
              </w:rPr>
              <w:t>706</w:t>
            </w:r>
          </w:p>
        </w:tc>
        <w:tc>
          <w:tcPr>
            <w:tcW w:w="1193" w:type="dxa"/>
          </w:tcPr>
          <w:p>
            <w:pPr>
              <w:pStyle w:val="TableParagraph"/>
              <w:spacing w:line="156" w:lineRule="exact"/>
              <w:ind w:right="110"/>
              <w:jc w:val="right"/>
              <w:rPr>
                <w:sz w:val="18"/>
              </w:rPr>
            </w:pPr>
            <w:r>
              <w:rPr>
                <w:color w:val="231F20"/>
                <w:sz w:val="18"/>
              </w:rPr>
              <w:t>800.00</w:t>
            </w:r>
          </w:p>
        </w:tc>
        <w:tc>
          <w:tcPr>
            <w:tcW w:w="1196" w:type="dxa"/>
          </w:tcPr>
          <w:p>
            <w:pPr>
              <w:pStyle w:val="TableParagraph"/>
              <w:spacing w:line="156" w:lineRule="exact"/>
              <w:ind w:left="386"/>
              <w:rPr>
                <w:sz w:val="18"/>
              </w:rPr>
            </w:pPr>
            <w:r>
              <w:rPr>
                <w:color w:val="231F20"/>
                <w:sz w:val="18"/>
              </w:rPr>
              <w:t>0.262</w:t>
            </w:r>
          </w:p>
        </w:tc>
      </w:tr>
      <w:tr>
        <w:trPr>
          <w:trHeight w:val="219"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2K</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2L</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756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91"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2M</w:t>
            </w:r>
          </w:p>
        </w:tc>
        <w:tc>
          <w:tcPr>
            <w:tcW w:w="1108" w:type="dxa"/>
          </w:tcPr>
          <w:p>
            <w:pPr>
              <w:pStyle w:val="TableParagraph"/>
              <w:spacing w:line="193" w:lineRule="exact"/>
              <w:ind w:right="277"/>
              <w:jc w:val="right"/>
              <w:rPr>
                <w:sz w:val="18"/>
              </w:rPr>
            </w:pPr>
            <w:r>
              <w:rPr>
                <w:color w:val="231F20"/>
                <w:sz w:val="18"/>
              </w:rPr>
              <w:t>2BR</w:t>
            </w:r>
          </w:p>
        </w:tc>
        <w:tc>
          <w:tcPr>
            <w:tcW w:w="1296" w:type="dxa"/>
          </w:tcPr>
          <w:p>
            <w:pPr>
              <w:pStyle w:val="TableParagraph"/>
              <w:spacing w:line="193" w:lineRule="exact"/>
              <w:ind w:left="273"/>
              <w:rPr>
                <w:sz w:val="18"/>
              </w:rPr>
            </w:pPr>
            <w:r>
              <w:rPr>
                <w:color w:val="231F20"/>
                <w:sz w:val="18"/>
              </w:rPr>
              <w:t>4 + 1 Bath</w:t>
            </w:r>
          </w:p>
        </w:tc>
        <w:tc>
          <w:tcPr>
            <w:tcW w:w="1330" w:type="dxa"/>
          </w:tcPr>
          <w:p>
            <w:pPr>
              <w:pStyle w:val="TableParagraph"/>
              <w:spacing w:line="193" w:lineRule="exact"/>
              <w:ind w:left="720"/>
              <w:rPr>
                <w:sz w:val="18"/>
              </w:rPr>
            </w:pPr>
            <w:r>
              <w:rPr>
                <w:color w:val="231F20"/>
                <w:sz w:val="18"/>
              </w:rPr>
              <w:t>948</w:t>
            </w:r>
          </w:p>
        </w:tc>
        <w:tc>
          <w:tcPr>
            <w:tcW w:w="1193" w:type="dxa"/>
          </w:tcPr>
          <w:p>
            <w:pPr>
              <w:pStyle w:val="TableParagraph"/>
              <w:spacing w:line="193" w:lineRule="exact"/>
              <w:ind w:right="110"/>
              <w:jc w:val="right"/>
              <w:rPr>
                <w:sz w:val="18"/>
              </w:rPr>
            </w:pPr>
            <w:r>
              <w:rPr>
                <w:color w:val="231F20"/>
                <w:sz w:val="18"/>
              </w:rPr>
              <w:t>950.00</w:t>
            </w:r>
          </w:p>
        </w:tc>
        <w:tc>
          <w:tcPr>
            <w:tcW w:w="1196" w:type="dxa"/>
          </w:tcPr>
          <w:p>
            <w:pPr>
              <w:pStyle w:val="TableParagraph"/>
              <w:spacing w:line="193" w:lineRule="exact"/>
              <w:ind w:left="386"/>
              <w:rPr>
                <w:sz w:val="18"/>
              </w:rPr>
            </w:pPr>
            <w:r>
              <w:rPr>
                <w:color w:val="231F20"/>
                <w:sz w:val="18"/>
              </w:rPr>
              <w:t>0.310</w:t>
            </w:r>
          </w:p>
        </w:tc>
      </w:tr>
      <w:tr>
        <w:trPr>
          <w:trHeight w:val="291" w:hRule="atLeast"/>
        </w:trPr>
        <w:tc>
          <w:tcPr>
            <w:tcW w:w="1857" w:type="dxa"/>
            <w:gridSpan w:val="2"/>
          </w:tcPr>
          <w:p>
            <w:pPr>
              <w:pStyle w:val="TableParagraph"/>
              <w:spacing w:line="240" w:lineRule="auto" w:before="47"/>
              <w:ind w:left="108"/>
              <w:rPr>
                <w:sz w:val="18"/>
              </w:rPr>
            </w:pPr>
            <w:r>
              <w:rPr>
                <w:color w:val="231F20"/>
                <w:sz w:val="18"/>
              </w:rPr>
              <w:t>"</w:t>
            </w:r>
          </w:p>
        </w:tc>
        <w:tc>
          <w:tcPr>
            <w:tcW w:w="919" w:type="dxa"/>
          </w:tcPr>
          <w:p>
            <w:pPr>
              <w:pStyle w:val="TableParagraph"/>
              <w:spacing w:line="240" w:lineRule="auto" w:before="47"/>
              <w:ind w:left="101"/>
              <w:rPr>
                <w:sz w:val="18"/>
              </w:rPr>
            </w:pPr>
            <w:r>
              <w:rPr>
                <w:color w:val="231F20"/>
                <w:sz w:val="18"/>
              </w:rPr>
              <w:t>"</w:t>
            </w:r>
          </w:p>
        </w:tc>
        <w:tc>
          <w:tcPr>
            <w:tcW w:w="684" w:type="dxa"/>
          </w:tcPr>
          <w:p>
            <w:pPr>
              <w:pStyle w:val="TableParagraph"/>
              <w:spacing w:line="240" w:lineRule="auto" w:before="47"/>
              <w:ind w:left="140"/>
              <w:rPr>
                <w:sz w:val="18"/>
              </w:rPr>
            </w:pPr>
            <w:r>
              <w:rPr>
                <w:color w:val="231F20"/>
                <w:sz w:val="18"/>
              </w:rPr>
              <w:t>3A</w:t>
            </w:r>
          </w:p>
        </w:tc>
        <w:tc>
          <w:tcPr>
            <w:tcW w:w="1108" w:type="dxa"/>
          </w:tcPr>
          <w:p>
            <w:pPr>
              <w:pStyle w:val="TableParagraph"/>
              <w:spacing w:line="240" w:lineRule="auto" w:before="47"/>
              <w:ind w:right="277"/>
              <w:jc w:val="right"/>
              <w:rPr>
                <w:sz w:val="18"/>
              </w:rPr>
            </w:pPr>
            <w:r>
              <w:rPr>
                <w:color w:val="231F20"/>
                <w:sz w:val="18"/>
              </w:rPr>
              <w:t>2BR</w:t>
            </w:r>
          </w:p>
        </w:tc>
        <w:tc>
          <w:tcPr>
            <w:tcW w:w="1296" w:type="dxa"/>
          </w:tcPr>
          <w:p>
            <w:pPr>
              <w:pStyle w:val="TableParagraph"/>
              <w:spacing w:line="240" w:lineRule="auto" w:before="47"/>
              <w:ind w:left="273"/>
              <w:rPr>
                <w:sz w:val="18"/>
              </w:rPr>
            </w:pPr>
            <w:r>
              <w:rPr>
                <w:color w:val="231F20"/>
                <w:sz w:val="18"/>
              </w:rPr>
              <w:t>4 + 1 Bath</w:t>
            </w:r>
          </w:p>
        </w:tc>
        <w:tc>
          <w:tcPr>
            <w:tcW w:w="1330" w:type="dxa"/>
          </w:tcPr>
          <w:p>
            <w:pPr>
              <w:pStyle w:val="TableParagraph"/>
              <w:spacing w:line="240" w:lineRule="auto" w:before="47"/>
              <w:ind w:left="720"/>
              <w:rPr>
                <w:sz w:val="18"/>
              </w:rPr>
            </w:pPr>
            <w:r>
              <w:rPr>
                <w:color w:val="231F20"/>
                <w:sz w:val="18"/>
              </w:rPr>
              <w:t>960</w:t>
            </w:r>
          </w:p>
        </w:tc>
        <w:tc>
          <w:tcPr>
            <w:tcW w:w="1193" w:type="dxa"/>
          </w:tcPr>
          <w:p>
            <w:pPr>
              <w:pStyle w:val="TableParagraph"/>
              <w:spacing w:line="240" w:lineRule="auto" w:before="47"/>
              <w:ind w:right="110"/>
              <w:jc w:val="right"/>
              <w:rPr>
                <w:sz w:val="18"/>
              </w:rPr>
            </w:pPr>
            <w:r>
              <w:rPr>
                <w:color w:val="231F20"/>
                <w:sz w:val="18"/>
              </w:rPr>
              <w:t>950.00</w:t>
            </w:r>
          </w:p>
        </w:tc>
        <w:tc>
          <w:tcPr>
            <w:tcW w:w="1196" w:type="dxa"/>
          </w:tcPr>
          <w:p>
            <w:pPr>
              <w:pStyle w:val="TableParagraph"/>
              <w:spacing w:line="240" w:lineRule="auto" w:before="47"/>
              <w:ind w:left="386"/>
              <w:rPr>
                <w:sz w:val="18"/>
              </w:rPr>
            </w:pPr>
            <w:r>
              <w:rPr>
                <w:color w:val="231F20"/>
                <w:sz w:val="18"/>
              </w:rPr>
              <w:t>0.310</w:t>
            </w:r>
          </w:p>
        </w:tc>
      </w:tr>
      <w:tr>
        <w:trPr>
          <w:trHeight w:val="219"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3B</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3C</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3D</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20"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3E</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3F</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3G</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706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19"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3H</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181" w:hRule="atLeast"/>
        </w:trPr>
        <w:tc>
          <w:tcPr>
            <w:tcW w:w="1857" w:type="dxa"/>
            <w:gridSpan w:val="2"/>
          </w:tcPr>
          <w:p>
            <w:pPr>
              <w:pStyle w:val="TableParagraph"/>
              <w:spacing w:line="240" w:lineRule="auto"/>
              <w:rPr>
                <w:rFonts w:ascii="Times New Roman"/>
                <w:sz w:val="12"/>
              </w:rPr>
            </w:pPr>
          </w:p>
        </w:tc>
        <w:tc>
          <w:tcPr>
            <w:tcW w:w="919" w:type="dxa"/>
          </w:tcPr>
          <w:p>
            <w:pPr>
              <w:pStyle w:val="TableParagraph"/>
              <w:spacing w:line="240" w:lineRule="auto"/>
              <w:rPr>
                <w:rFonts w:ascii="Times New Roman"/>
                <w:sz w:val="12"/>
              </w:rPr>
            </w:pPr>
          </w:p>
        </w:tc>
        <w:tc>
          <w:tcPr>
            <w:tcW w:w="684" w:type="dxa"/>
          </w:tcPr>
          <w:p>
            <w:pPr>
              <w:pStyle w:val="TableParagraph"/>
              <w:spacing w:line="161" w:lineRule="exact"/>
              <w:ind w:left="140"/>
              <w:rPr>
                <w:sz w:val="18"/>
              </w:rPr>
            </w:pPr>
            <w:r>
              <w:rPr>
                <w:color w:val="231F20"/>
                <w:sz w:val="18"/>
              </w:rPr>
              <w:t>*</w:t>
            </w:r>
          </w:p>
        </w:tc>
        <w:tc>
          <w:tcPr>
            <w:tcW w:w="1108" w:type="dxa"/>
          </w:tcPr>
          <w:p>
            <w:pPr>
              <w:pStyle w:val="TableParagraph"/>
              <w:spacing w:line="161" w:lineRule="exact"/>
              <w:ind w:right="277"/>
              <w:jc w:val="right"/>
              <w:rPr>
                <w:sz w:val="18"/>
              </w:rPr>
            </w:pPr>
            <w:r>
              <w:rPr>
                <w:color w:val="231F20"/>
                <w:sz w:val="18"/>
              </w:rPr>
              <w:t>1BR</w:t>
            </w:r>
          </w:p>
        </w:tc>
        <w:tc>
          <w:tcPr>
            <w:tcW w:w="1296" w:type="dxa"/>
          </w:tcPr>
          <w:p>
            <w:pPr>
              <w:pStyle w:val="TableParagraph"/>
              <w:spacing w:line="240" w:lineRule="auto"/>
              <w:rPr>
                <w:rFonts w:ascii="Times New Roman"/>
                <w:sz w:val="12"/>
              </w:rPr>
            </w:pPr>
          </w:p>
        </w:tc>
        <w:tc>
          <w:tcPr>
            <w:tcW w:w="1330" w:type="dxa"/>
          </w:tcPr>
          <w:p>
            <w:pPr>
              <w:pStyle w:val="TableParagraph"/>
              <w:spacing w:line="240" w:lineRule="auto"/>
              <w:rPr>
                <w:rFonts w:ascii="Times New Roman"/>
                <w:sz w:val="12"/>
              </w:rPr>
            </w:pPr>
          </w:p>
        </w:tc>
        <w:tc>
          <w:tcPr>
            <w:tcW w:w="1193" w:type="dxa"/>
          </w:tcPr>
          <w:p>
            <w:pPr>
              <w:pStyle w:val="TableParagraph"/>
              <w:spacing w:line="240" w:lineRule="auto"/>
              <w:rPr>
                <w:rFonts w:ascii="Times New Roman"/>
                <w:sz w:val="12"/>
              </w:rPr>
            </w:pPr>
          </w:p>
        </w:tc>
        <w:tc>
          <w:tcPr>
            <w:tcW w:w="1196" w:type="dxa"/>
          </w:tcPr>
          <w:p>
            <w:pPr>
              <w:pStyle w:val="TableParagraph"/>
              <w:spacing w:line="240" w:lineRule="auto"/>
              <w:rPr>
                <w:rFonts w:ascii="Times New Roman"/>
                <w:sz w:val="12"/>
              </w:rPr>
            </w:pPr>
          </w:p>
        </w:tc>
      </w:tr>
      <w:tr>
        <w:trPr>
          <w:trHeight w:val="182" w:hRule="atLeast"/>
        </w:trPr>
        <w:tc>
          <w:tcPr>
            <w:tcW w:w="1857" w:type="dxa"/>
            <w:gridSpan w:val="2"/>
          </w:tcPr>
          <w:p>
            <w:pPr>
              <w:pStyle w:val="TableParagraph"/>
              <w:spacing w:line="156" w:lineRule="exact"/>
              <w:ind w:left="108"/>
              <w:rPr>
                <w:sz w:val="18"/>
              </w:rPr>
            </w:pPr>
            <w:r>
              <w:rPr>
                <w:color w:val="231F20"/>
                <w:sz w:val="18"/>
              </w:rPr>
              <w:t>"</w:t>
            </w:r>
          </w:p>
        </w:tc>
        <w:tc>
          <w:tcPr>
            <w:tcW w:w="919" w:type="dxa"/>
          </w:tcPr>
          <w:p>
            <w:pPr>
              <w:pStyle w:val="TableParagraph"/>
              <w:spacing w:line="156" w:lineRule="exact"/>
              <w:ind w:left="101"/>
              <w:rPr>
                <w:sz w:val="18"/>
              </w:rPr>
            </w:pPr>
            <w:r>
              <w:rPr>
                <w:color w:val="231F20"/>
                <w:sz w:val="18"/>
              </w:rPr>
              <w:t>"</w:t>
            </w:r>
          </w:p>
        </w:tc>
        <w:tc>
          <w:tcPr>
            <w:tcW w:w="684" w:type="dxa"/>
          </w:tcPr>
          <w:p>
            <w:pPr>
              <w:pStyle w:val="TableParagraph"/>
              <w:spacing w:line="156" w:lineRule="exact"/>
              <w:ind w:left="140"/>
              <w:rPr>
                <w:sz w:val="18"/>
              </w:rPr>
            </w:pPr>
            <w:r>
              <w:rPr>
                <w:color w:val="231F20"/>
                <w:sz w:val="18"/>
              </w:rPr>
              <w:t>3J</w:t>
            </w:r>
          </w:p>
        </w:tc>
        <w:tc>
          <w:tcPr>
            <w:tcW w:w="1108" w:type="dxa"/>
          </w:tcPr>
          <w:p>
            <w:pPr>
              <w:pStyle w:val="TableParagraph"/>
              <w:spacing w:line="156" w:lineRule="exact"/>
              <w:ind w:right="276"/>
              <w:jc w:val="right"/>
              <w:rPr>
                <w:sz w:val="18"/>
              </w:rPr>
            </w:pPr>
            <w:r>
              <w:rPr>
                <w:color w:val="231F20"/>
                <w:sz w:val="18"/>
              </w:rPr>
              <w:t>1BR</w:t>
            </w:r>
          </w:p>
        </w:tc>
        <w:tc>
          <w:tcPr>
            <w:tcW w:w="1296" w:type="dxa"/>
          </w:tcPr>
          <w:p>
            <w:pPr>
              <w:pStyle w:val="TableParagraph"/>
              <w:spacing w:line="156" w:lineRule="exact"/>
              <w:ind w:left="273"/>
              <w:rPr>
                <w:sz w:val="18"/>
              </w:rPr>
            </w:pPr>
            <w:r>
              <w:rPr>
                <w:color w:val="231F20"/>
                <w:sz w:val="18"/>
              </w:rPr>
              <w:t>3 + 1 Bath</w:t>
            </w:r>
          </w:p>
        </w:tc>
        <w:tc>
          <w:tcPr>
            <w:tcW w:w="1330" w:type="dxa"/>
          </w:tcPr>
          <w:p>
            <w:pPr>
              <w:pStyle w:val="TableParagraph"/>
              <w:spacing w:line="156" w:lineRule="exact"/>
              <w:ind w:left="720"/>
              <w:rPr>
                <w:sz w:val="18"/>
              </w:rPr>
            </w:pPr>
            <w:r>
              <w:rPr>
                <w:color w:val="231F20"/>
                <w:sz w:val="18"/>
              </w:rPr>
              <w:t>706</w:t>
            </w:r>
          </w:p>
        </w:tc>
        <w:tc>
          <w:tcPr>
            <w:tcW w:w="1193" w:type="dxa"/>
          </w:tcPr>
          <w:p>
            <w:pPr>
              <w:pStyle w:val="TableParagraph"/>
              <w:spacing w:line="156" w:lineRule="exact"/>
              <w:ind w:right="110"/>
              <w:jc w:val="right"/>
              <w:rPr>
                <w:sz w:val="18"/>
              </w:rPr>
            </w:pPr>
            <w:r>
              <w:rPr>
                <w:color w:val="231F20"/>
                <w:sz w:val="18"/>
              </w:rPr>
              <w:t>800.00</w:t>
            </w:r>
          </w:p>
        </w:tc>
        <w:tc>
          <w:tcPr>
            <w:tcW w:w="1196" w:type="dxa"/>
          </w:tcPr>
          <w:p>
            <w:pPr>
              <w:pStyle w:val="TableParagraph"/>
              <w:spacing w:line="156" w:lineRule="exact"/>
              <w:ind w:left="386"/>
              <w:rPr>
                <w:sz w:val="18"/>
              </w:rPr>
            </w:pPr>
            <w:r>
              <w:rPr>
                <w:color w:val="231F20"/>
                <w:sz w:val="18"/>
              </w:rPr>
              <w:t>0.262</w:t>
            </w:r>
          </w:p>
        </w:tc>
      </w:tr>
      <w:tr>
        <w:trPr>
          <w:trHeight w:val="219"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3K</w:t>
            </w:r>
          </w:p>
        </w:tc>
        <w:tc>
          <w:tcPr>
            <w:tcW w:w="1108" w:type="dxa"/>
          </w:tcPr>
          <w:p>
            <w:pPr>
              <w:pStyle w:val="TableParagraph"/>
              <w:spacing w:line="194" w:lineRule="exact"/>
              <w:ind w:right="276"/>
              <w:jc w:val="right"/>
              <w:rPr>
                <w:sz w:val="18"/>
              </w:rPr>
            </w:pPr>
            <w:r>
              <w:rPr>
                <w:color w:val="231F20"/>
                <w:sz w:val="18"/>
              </w:rPr>
              <w:t>1BR</w:t>
            </w:r>
          </w:p>
        </w:tc>
        <w:tc>
          <w:tcPr>
            <w:tcW w:w="1296" w:type="dxa"/>
          </w:tcPr>
          <w:p>
            <w:pPr>
              <w:pStyle w:val="TableParagraph"/>
              <w:spacing w:line="194" w:lineRule="exact"/>
              <w:ind w:left="273"/>
              <w:rPr>
                <w:sz w:val="18"/>
              </w:rPr>
            </w:pPr>
            <w:r>
              <w:rPr>
                <w:color w:val="231F20"/>
                <w:sz w:val="18"/>
              </w:rPr>
              <w:t>3 + 1 Bath</w:t>
            </w:r>
          </w:p>
        </w:tc>
        <w:tc>
          <w:tcPr>
            <w:tcW w:w="1330" w:type="dxa"/>
          </w:tcPr>
          <w:p>
            <w:pPr>
              <w:pStyle w:val="TableParagraph"/>
              <w:spacing w:line="194" w:lineRule="exact"/>
              <w:ind w:left="720"/>
              <w:rPr>
                <w:sz w:val="18"/>
              </w:rPr>
            </w:pPr>
            <w:r>
              <w:rPr>
                <w:color w:val="231F20"/>
                <w:sz w:val="18"/>
              </w:rPr>
              <w:t>706</w:t>
            </w:r>
          </w:p>
        </w:tc>
        <w:tc>
          <w:tcPr>
            <w:tcW w:w="1193" w:type="dxa"/>
          </w:tcPr>
          <w:p>
            <w:pPr>
              <w:pStyle w:val="TableParagraph"/>
              <w:spacing w:line="194" w:lineRule="exact"/>
              <w:ind w:right="110"/>
              <w:jc w:val="right"/>
              <w:rPr>
                <w:sz w:val="18"/>
              </w:rPr>
            </w:pPr>
            <w:r>
              <w:rPr>
                <w:color w:val="231F20"/>
                <w:sz w:val="18"/>
              </w:rPr>
              <w:t>800.00</w:t>
            </w:r>
          </w:p>
        </w:tc>
        <w:tc>
          <w:tcPr>
            <w:tcW w:w="1196" w:type="dxa"/>
          </w:tcPr>
          <w:p>
            <w:pPr>
              <w:pStyle w:val="TableParagraph"/>
              <w:spacing w:line="194" w:lineRule="exact"/>
              <w:ind w:left="386"/>
              <w:rPr>
                <w:sz w:val="18"/>
              </w:rPr>
            </w:pPr>
            <w:r>
              <w:rPr>
                <w:color w:val="231F20"/>
                <w:sz w:val="18"/>
              </w:rPr>
              <w:t>0.262</w:t>
            </w:r>
          </w:p>
        </w:tc>
      </w:tr>
      <w:tr>
        <w:trPr>
          <w:trHeight w:val="219" w:hRule="atLeast"/>
        </w:trPr>
        <w:tc>
          <w:tcPr>
            <w:tcW w:w="1857" w:type="dxa"/>
            <w:gridSpan w:val="2"/>
          </w:tcPr>
          <w:p>
            <w:pPr>
              <w:pStyle w:val="TableParagraph"/>
              <w:spacing w:line="193" w:lineRule="exact"/>
              <w:ind w:left="108"/>
              <w:rPr>
                <w:sz w:val="18"/>
              </w:rPr>
            </w:pPr>
            <w:r>
              <w:rPr>
                <w:color w:val="231F20"/>
                <w:sz w:val="18"/>
              </w:rPr>
              <w:t>"</w:t>
            </w:r>
          </w:p>
        </w:tc>
        <w:tc>
          <w:tcPr>
            <w:tcW w:w="919" w:type="dxa"/>
          </w:tcPr>
          <w:p>
            <w:pPr>
              <w:pStyle w:val="TableParagraph"/>
              <w:spacing w:line="193" w:lineRule="exact"/>
              <w:ind w:left="101"/>
              <w:rPr>
                <w:sz w:val="18"/>
              </w:rPr>
            </w:pPr>
            <w:r>
              <w:rPr>
                <w:color w:val="231F20"/>
                <w:sz w:val="18"/>
              </w:rPr>
              <w:t>"</w:t>
            </w:r>
          </w:p>
        </w:tc>
        <w:tc>
          <w:tcPr>
            <w:tcW w:w="684" w:type="dxa"/>
          </w:tcPr>
          <w:p>
            <w:pPr>
              <w:pStyle w:val="TableParagraph"/>
              <w:spacing w:line="193" w:lineRule="exact"/>
              <w:ind w:left="140"/>
              <w:rPr>
                <w:sz w:val="18"/>
              </w:rPr>
            </w:pPr>
            <w:r>
              <w:rPr>
                <w:color w:val="231F20"/>
                <w:sz w:val="18"/>
              </w:rPr>
              <w:t>3L</w:t>
            </w:r>
          </w:p>
        </w:tc>
        <w:tc>
          <w:tcPr>
            <w:tcW w:w="1108" w:type="dxa"/>
          </w:tcPr>
          <w:p>
            <w:pPr>
              <w:pStyle w:val="TableParagraph"/>
              <w:spacing w:line="193" w:lineRule="exact"/>
              <w:ind w:right="276"/>
              <w:jc w:val="right"/>
              <w:rPr>
                <w:sz w:val="18"/>
              </w:rPr>
            </w:pPr>
            <w:r>
              <w:rPr>
                <w:color w:val="231F20"/>
                <w:sz w:val="18"/>
              </w:rPr>
              <w:t>1BR</w:t>
            </w:r>
          </w:p>
        </w:tc>
        <w:tc>
          <w:tcPr>
            <w:tcW w:w="1296" w:type="dxa"/>
          </w:tcPr>
          <w:p>
            <w:pPr>
              <w:pStyle w:val="TableParagraph"/>
              <w:spacing w:line="193" w:lineRule="exact"/>
              <w:ind w:left="273"/>
              <w:rPr>
                <w:sz w:val="18"/>
              </w:rPr>
            </w:pPr>
            <w:r>
              <w:rPr>
                <w:color w:val="231F20"/>
                <w:sz w:val="18"/>
              </w:rPr>
              <w:t>3 + 1 Bath</w:t>
            </w:r>
          </w:p>
        </w:tc>
        <w:tc>
          <w:tcPr>
            <w:tcW w:w="1330" w:type="dxa"/>
          </w:tcPr>
          <w:p>
            <w:pPr>
              <w:pStyle w:val="TableParagraph"/>
              <w:spacing w:line="193" w:lineRule="exact"/>
              <w:ind w:left="720"/>
              <w:rPr>
                <w:sz w:val="18"/>
              </w:rPr>
            </w:pPr>
            <w:r>
              <w:rPr>
                <w:color w:val="231F20"/>
                <w:sz w:val="18"/>
              </w:rPr>
              <w:t>756</w:t>
            </w:r>
          </w:p>
        </w:tc>
        <w:tc>
          <w:tcPr>
            <w:tcW w:w="1193" w:type="dxa"/>
          </w:tcPr>
          <w:p>
            <w:pPr>
              <w:pStyle w:val="TableParagraph"/>
              <w:spacing w:line="193" w:lineRule="exact"/>
              <w:ind w:right="110"/>
              <w:jc w:val="right"/>
              <w:rPr>
                <w:sz w:val="18"/>
              </w:rPr>
            </w:pPr>
            <w:r>
              <w:rPr>
                <w:color w:val="231F20"/>
                <w:sz w:val="18"/>
              </w:rPr>
              <w:t>800.00</w:t>
            </w:r>
          </w:p>
        </w:tc>
        <w:tc>
          <w:tcPr>
            <w:tcW w:w="1196" w:type="dxa"/>
          </w:tcPr>
          <w:p>
            <w:pPr>
              <w:pStyle w:val="TableParagraph"/>
              <w:spacing w:line="193" w:lineRule="exact"/>
              <w:ind w:left="386"/>
              <w:rPr>
                <w:sz w:val="18"/>
              </w:rPr>
            </w:pPr>
            <w:r>
              <w:rPr>
                <w:color w:val="231F20"/>
                <w:sz w:val="18"/>
              </w:rPr>
              <w:t>0.262</w:t>
            </w:r>
          </w:p>
        </w:tc>
      </w:tr>
      <w:tr>
        <w:trPr>
          <w:trHeight w:val="221" w:hRule="atLeast"/>
        </w:trPr>
        <w:tc>
          <w:tcPr>
            <w:tcW w:w="1857" w:type="dxa"/>
            <w:gridSpan w:val="2"/>
          </w:tcPr>
          <w:p>
            <w:pPr>
              <w:pStyle w:val="TableParagraph"/>
              <w:spacing w:line="194" w:lineRule="exact"/>
              <w:ind w:left="108"/>
              <w:rPr>
                <w:sz w:val="18"/>
              </w:rPr>
            </w:pPr>
            <w:r>
              <w:rPr>
                <w:color w:val="231F20"/>
                <w:sz w:val="18"/>
              </w:rPr>
              <w:t>"</w:t>
            </w:r>
          </w:p>
        </w:tc>
        <w:tc>
          <w:tcPr>
            <w:tcW w:w="919" w:type="dxa"/>
          </w:tcPr>
          <w:p>
            <w:pPr>
              <w:pStyle w:val="TableParagraph"/>
              <w:spacing w:line="194" w:lineRule="exact"/>
              <w:ind w:left="101"/>
              <w:rPr>
                <w:sz w:val="18"/>
              </w:rPr>
            </w:pPr>
            <w:r>
              <w:rPr>
                <w:color w:val="231F20"/>
                <w:sz w:val="18"/>
              </w:rPr>
              <w:t>"</w:t>
            </w:r>
          </w:p>
        </w:tc>
        <w:tc>
          <w:tcPr>
            <w:tcW w:w="684" w:type="dxa"/>
          </w:tcPr>
          <w:p>
            <w:pPr>
              <w:pStyle w:val="TableParagraph"/>
              <w:spacing w:line="194" w:lineRule="exact"/>
              <w:ind w:left="140"/>
              <w:rPr>
                <w:sz w:val="18"/>
              </w:rPr>
            </w:pPr>
            <w:r>
              <w:rPr>
                <w:color w:val="231F20"/>
                <w:sz w:val="18"/>
              </w:rPr>
              <w:t>3M</w:t>
            </w:r>
          </w:p>
        </w:tc>
        <w:tc>
          <w:tcPr>
            <w:tcW w:w="1108" w:type="dxa"/>
          </w:tcPr>
          <w:p>
            <w:pPr>
              <w:pStyle w:val="TableParagraph"/>
              <w:spacing w:line="194" w:lineRule="exact"/>
              <w:ind w:right="277"/>
              <w:jc w:val="right"/>
              <w:rPr>
                <w:sz w:val="18"/>
              </w:rPr>
            </w:pPr>
            <w:r>
              <w:rPr>
                <w:color w:val="231F20"/>
                <w:sz w:val="18"/>
              </w:rPr>
              <w:t>2BR</w:t>
            </w:r>
          </w:p>
        </w:tc>
        <w:tc>
          <w:tcPr>
            <w:tcW w:w="1296" w:type="dxa"/>
          </w:tcPr>
          <w:p>
            <w:pPr>
              <w:pStyle w:val="TableParagraph"/>
              <w:spacing w:line="194" w:lineRule="exact"/>
              <w:ind w:left="273"/>
              <w:rPr>
                <w:sz w:val="18"/>
              </w:rPr>
            </w:pPr>
            <w:r>
              <w:rPr>
                <w:color w:val="231F20"/>
                <w:sz w:val="18"/>
              </w:rPr>
              <w:t>4 + 1 Bath</w:t>
            </w:r>
          </w:p>
        </w:tc>
        <w:tc>
          <w:tcPr>
            <w:tcW w:w="1330" w:type="dxa"/>
          </w:tcPr>
          <w:p>
            <w:pPr>
              <w:pStyle w:val="TableParagraph"/>
              <w:spacing w:line="194" w:lineRule="exact"/>
              <w:ind w:left="720"/>
              <w:rPr>
                <w:sz w:val="18"/>
              </w:rPr>
            </w:pPr>
            <w:r>
              <w:rPr>
                <w:color w:val="231F20"/>
                <w:sz w:val="18"/>
              </w:rPr>
              <w:t>948</w:t>
            </w:r>
          </w:p>
        </w:tc>
        <w:tc>
          <w:tcPr>
            <w:tcW w:w="1193" w:type="dxa"/>
          </w:tcPr>
          <w:p>
            <w:pPr>
              <w:pStyle w:val="TableParagraph"/>
              <w:spacing w:line="194" w:lineRule="exact"/>
              <w:ind w:right="110"/>
              <w:jc w:val="right"/>
              <w:rPr>
                <w:sz w:val="18"/>
              </w:rPr>
            </w:pPr>
            <w:r>
              <w:rPr>
                <w:color w:val="231F20"/>
                <w:sz w:val="18"/>
              </w:rPr>
              <w:t>950.00</w:t>
            </w:r>
          </w:p>
        </w:tc>
        <w:tc>
          <w:tcPr>
            <w:tcW w:w="1196" w:type="dxa"/>
          </w:tcPr>
          <w:p>
            <w:pPr>
              <w:pStyle w:val="TableParagraph"/>
              <w:spacing w:line="194" w:lineRule="exact"/>
              <w:ind w:left="386"/>
              <w:rPr>
                <w:sz w:val="18"/>
              </w:rPr>
            </w:pPr>
            <w:r>
              <w:rPr>
                <w:color w:val="231F20"/>
                <w:sz w:val="18"/>
              </w:rPr>
              <w:t>0.310</w:t>
            </w:r>
          </w:p>
        </w:tc>
      </w:tr>
      <w:tr>
        <w:trPr>
          <w:trHeight w:val="220" w:hRule="atLeast"/>
        </w:trPr>
        <w:tc>
          <w:tcPr>
            <w:tcW w:w="1857" w:type="dxa"/>
            <w:gridSpan w:val="2"/>
          </w:tcPr>
          <w:p>
            <w:pPr>
              <w:pStyle w:val="TableParagraph"/>
              <w:spacing w:line="201" w:lineRule="exact"/>
              <w:ind w:left="108"/>
              <w:rPr>
                <w:sz w:val="20"/>
              </w:rPr>
            </w:pPr>
            <w:r>
              <w:rPr>
                <w:color w:val="231F20"/>
                <w:sz w:val="20"/>
                <w:u w:val="single" w:color="231F20"/>
              </w:rPr>
              <w:t>CLUSTER BUILDINGS</w:t>
            </w:r>
          </w:p>
        </w:tc>
        <w:tc>
          <w:tcPr>
            <w:tcW w:w="919"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8"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40" w:lineRule="auto"/>
              <w:rPr>
                <w:rFonts w:ascii="Times New Roman"/>
                <w:sz w:val="14"/>
              </w:rPr>
            </w:pP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241" w:hRule="atLeast"/>
        </w:trPr>
        <w:tc>
          <w:tcPr>
            <w:tcW w:w="900" w:type="dxa"/>
          </w:tcPr>
          <w:p>
            <w:pPr>
              <w:pStyle w:val="TableParagraph"/>
              <w:spacing w:line="215" w:lineRule="exact"/>
              <w:ind w:left="108"/>
              <w:rPr>
                <w:sz w:val="18"/>
              </w:rPr>
            </w:pPr>
            <w:r>
              <w:rPr>
                <w:color w:val="231F20"/>
                <w:sz w:val="18"/>
              </w:rPr>
              <w:t>C11</w:t>
            </w:r>
          </w:p>
        </w:tc>
        <w:tc>
          <w:tcPr>
            <w:tcW w:w="1876" w:type="dxa"/>
            <w:gridSpan w:val="2"/>
          </w:tcPr>
          <w:p>
            <w:pPr>
              <w:pStyle w:val="TableParagraph"/>
              <w:spacing w:line="215" w:lineRule="exact"/>
              <w:ind w:left="530"/>
              <w:rPr>
                <w:sz w:val="18"/>
              </w:rPr>
            </w:pPr>
            <w:r>
              <w:rPr>
                <w:color w:val="231F20"/>
                <w:sz w:val="18"/>
              </w:rPr>
              <w:t>6300 Barrie Rd.</w:t>
            </w:r>
          </w:p>
        </w:tc>
        <w:tc>
          <w:tcPr>
            <w:tcW w:w="684" w:type="dxa"/>
          </w:tcPr>
          <w:p>
            <w:pPr>
              <w:pStyle w:val="TableParagraph"/>
              <w:spacing w:line="215" w:lineRule="exact"/>
              <w:ind w:left="140"/>
              <w:rPr>
                <w:sz w:val="18"/>
              </w:rPr>
            </w:pPr>
            <w:r>
              <w:rPr>
                <w:color w:val="231F20"/>
                <w:sz w:val="18"/>
              </w:rPr>
              <w:t>1A</w:t>
            </w:r>
          </w:p>
        </w:tc>
        <w:tc>
          <w:tcPr>
            <w:tcW w:w="1108" w:type="dxa"/>
          </w:tcPr>
          <w:p>
            <w:pPr>
              <w:pStyle w:val="TableParagraph"/>
              <w:spacing w:line="215" w:lineRule="exact"/>
              <w:ind w:right="277"/>
              <w:jc w:val="right"/>
              <w:rPr>
                <w:sz w:val="18"/>
              </w:rPr>
            </w:pPr>
            <w:r>
              <w:rPr>
                <w:color w:val="231F20"/>
                <w:sz w:val="18"/>
              </w:rPr>
              <w:t>2BR</w:t>
            </w:r>
          </w:p>
        </w:tc>
        <w:tc>
          <w:tcPr>
            <w:tcW w:w="1296" w:type="dxa"/>
          </w:tcPr>
          <w:p>
            <w:pPr>
              <w:pStyle w:val="TableParagraph"/>
              <w:spacing w:line="215" w:lineRule="exact"/>
              <w:ind w:left="273"/>
              <w:rPr>
                <w:sz w:val="18"/>
              </w:rPr>
            </w:pPr>
            <w:r>
              <w:rPr>
                <w:color w:val="231F20"/>
                <w:sz w:val="18"/>
              </w:rPr>
              <w:t>4 + 1½ Bath</w:t>
            </w:r>
          </w:p>
        </w:tc>
        <w:tc>
          <w:tcPr>
            <w:tcW w:w="1330" w:type="dxa"/>
          </w:tcPr>
          <w:p>
            <w:pPr>
              <w:pStyle w:val="TableParagraph"/>
              <w:spacing w:line="215" w:lineRule="exact"/>
              <w:ind w:left="720"/>
              <w:rPr>
                <w:sz w:val="18"/>
              </w:rPr>
            </w:pPr>
            <w:r>
              <w:rPr>
                <w:color w:val="231F20"/>
                <w:sz w:val="18"/>
              </w:rPr>
              <w:t>999</w:t>
            </w:r>
          </w:p>
        </w:tc>
        <w:tc>
          <w:tcPr>
            <w:tcW w:w="1193" w:type="dxa"/>
          </w:tcPr>
          <w:p>
            <w:pPr>
              <w:pStyle w:val="TableParagraph"/>
              <w:spacing w:line="215" w:lineRule="exact"/>
              <w:ind w:right="110"/>
              <w:jc w:val="right"/>
              <w:rPr>
                <w:sz w:val="18"/>
              </w:rPr>
            </w:pPr>
            <w:r>
              <w:rPr>
                <w:color w:val="231F20"/>
                <w:sz w:val="18"/>
              </w:rPr>
              <w:t>1,000.00</w:t>
            </w:r>
          </w:p>
        </w:tc>
        <w:tc>
          <w:tcPr>
            <w:tcW w:w="1196" w:type="dxa"/>
          </w:tcPr>
          <w:p>
            <w:pPr>
              <w:pStyle w:val="TableParagraph"/>
              <w:spacing w:line="215" w:lineRule="exact"/>
              <w:ind w:left="386"/>
              <w:rPr>
                <w:sz w:val="18"/>
              </w:rPr>
            </w:pPr>
            <w:r>
              <w:rPr>
                <w:color w:val="231F20"/>
                <w:sz w:val="18"/>
              </w:rPr>
              <w:t>0.320</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1B</w:t>
            </w:r>
          </w:p>
        </w:tc>
        <w:tc>
          <w:tcPr>
            <w:tcW w:w="1108" w:type="dxa"/>
          </w:tcPr>
          <w:p>
            <w:pPr>
              <w:pStyle w:val="TableParagraph"/>
              <w:spacing w:line="194" w:lineRule="exact"/>
              <w:ind w:right="277"/>
              <w:jc w:val="right"/>
              <w:rPr>
                <w:sz w:val="18"/>
              </w:rPr>
            </w:pPr>
            <w:r>
              <w:rPr>
                <w:color w:val="231F20"/>
                <w:sz w:val="18"/>
              </w:rPr>
              <w:t>3BR</w:t>
            </w:r>
          </w:p>
        </w:tc>
        <w:tc>
          <w:tcPr>
            <w:tcW w:w="1296" w:type="dxa"/>
          </w:tcPr>
          <w:p>
            <w:pPr>
              <w:pStyle w:val="TableParagraph"/>
              <w:spacing w:line="194" w:lineRule="exact"/>
              <w:ind w:left="273"/>
              <w:rPr>
                <w:sz w:val="18"/>
              </w:rPr>
            </w:pPr>
            <w:r>
              <w:rPr>
                <w:color w:val="231F20"/>
                <w:sz w:val="18"/>
              </w:rPr>
              <w:t>5+ 2 Bath</w:t>
            </w:r>
          </w:p>
        </w:tc>
        <w:tc>
          <w:tcPr>
            <w:tcW w:w="1330" w:type="dxa"/>
          </w:tcPr>
          <w:p>
            <w:pPr>
              <w:pStyle w:val="TableParagraph"/>
              <w:spacing w:line="194" w:lineRule="exact"/>
              <w:ind w:left="583"/>
              <w:rPr>
                <w:sz w:val="18"/>
              </w:rPr>
            </w:pPr>
            <w:r>
              <w:rPr>
                <w:color w:val="231F20"/>
                <w:sz w:val="18"/>
              </w:rPr>
              <w:t>1,318</w:t>
            </w:r>
          </w:p>
        </w:tc>
        <w:tc>
          <w:tcPr>
            <w:tcW w:w="1193" w:type="dxa"/>
          </w:tcPr>
          <w:p>
            <w:pPr>
              <w:pStyle w:val="TableParagraph"/>
              <w:spacing w:line="194" w:lineRule="exact"/>
              <w:ind w:right="110"/>
              <w:jc w:val="right"/>
              <w:rPr>
                <w:sz w:val="18"/>
              </w:rPr>
            </w:pPr>
            <w:r>
              <w:rPr>
                <w:color w:val="231F20"/>
                <w:sz w:val="18"/>
              </w:rPr>
              <w:t>1,300.00</w:t>
            </w:r>
          </w:p>
        </w:tc>
        <w:tc>
          <w:tcPr>
            <w:tcW w:w="1196" w:type="dxa"/>
          </w:tcPr>
          <w:p>
            <w:pPr>
              <w:pStyle w:val="TableParagraph"/>
              <w:spacing w:line="194" w:lineRule="exact"/>
              <w:ind w:left="386"/>
              <w:rPr>
                <w:sz w:val="18"/>
              </w:rPr>
            </w:pPr>
            <w:r>
              <w:rPr>
                <w:color w:val="231F20"/>
                <w:sz w:val="18"/>
              </w:rPr>
              <w:t>0.420</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1C</w:t>
            </w:r>
          </w:p>
        </w:tc>
        <w:tc>
          <w:tcPr>
            <w:tcW w:w="1108" w:type="dxa"/>
          </w:tcPr>
          <w:p>
            <w:pPr>
              <w:pStyle w:val="TableParagraph"/>
              <w:spacing w:line="193" w:lineRule="exact"/>
              <w:ind w:right="277"/>
              <w:jc w:val="right"/>
              <w:rPr>
                <w:sz w:val="18"/>
              </w:rPr>
            </w:pPr>
            <w:r>
              <w:rPr>
                <w:color w:val="231F20"/>
                <w:sz w:val="18"/>
              </w:rPr>
              <w:t>3BR</w:t>
            </w:r>
          </w:p>
        </w:tc>
        <w:tc>
          <w:tcPr>
            <w:tcW w:w="1296" w:type="dxa"/>
          </w:tcPr>
          <w:p>
            <w:pPr>
              <w:pStyle w:val="TableParagraph"/>
              <w:spacing w:line="193" w:lineRule="exact"/>
              <w:ind w:left="273"/>
              <w:rPr>
                <w:sz w:val="18"/>
              </w:rPr>
            </w:pPr>
            <w:r>
              <w:rPr>
                <w:color w:val="231F20"/>
                <w:sz w:val="18"/>
              </w:rPr>
              <w:t>5+ 2 Bath</w:t>
            </w:r>
          </w:p>
        </w:tc>
        <w:tc>
          <w:tcPr>
            <w:tcW w:w="1330" w:type="dxa"/>
          </w:tcPr>
          <w:p>
            <w:pPr>
              <w:pStyle w:val="TableParagraph"/>
              <w:spacing w:line="193" w:lineRule="exact"/>
              <w:ind w:left="583"/>
              <w:rPr>
                <w:sz w:val="18"/>
              </w:rPr>
            </w:pPr>
            <w:r>
              <w:rPr>
                <w:color w:val="231F20"/>
                <w:sz w:val="18"/>
              </w:rPr>
              <w:t>1,338</w:t>
            </w:r>
          </w:p>
        </w:tc>
        <w:tc>
          <w:tcPr>
            <w:tcW w:w="1193" w:type="dxa"/>
          </w:tcPr>
          <w:p>
            <w:pPr>
              <w:pStyle w:val="TableParagraph"/>
              <w:spacing w:line="193" w:lineRule="exact"/>
              <w:ind w:right="110"/>
              <w:jc w:val="right"/>
              <w:rPr>
                <w:sz w:val="18"/>
              </w:rPr>
            </w:pPr>
            <w:r>
              <w:rPr>
                <w:color w:val="231F20"/>
                <w:sz w:val="18"/>
              </w:rPr>
              <w:t>1,300.00</w:t>
            </w:r>
          </w:p>
        </w:tc>
        <w:tc>
          <w:tcPr>
            <w:tcW w:w="1196" w:type="dxa"/>
          </w:tcPr>
          <w:p>
            <w:pPr>
              <w:pStyle w:val="TableParagraph"/>
              <w:spacing w:line="193" w:lineRule="exact"/>
              <w:ind w:left="386"/>
              <w:rPr>
                <w:sz w:val="18"/>
              </w:rPr>
            </w:pPr>
            <w:r>
              <w:rPr>
                <w:color w:val="231F20"/>
                <w:sz w:val="18"/>
              </w:rPr>
              <w:t>0.420</w:t>
            </w:r>
          </w:p>
        </w:tc>
      </w:tr>
      <w:tr>
        <w:trPr>
          <w:trHeight w:val="291"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1D</w:t>
            </w:r>
          </w:p>
        </w:tc>
        <w:tc>
          <w:tcPr>
            <w:tcW w:w="1108" w:type="dxa"/>
          </w:tcPr>
          <w:p>
            <w:pPr>
              <w:pStyle w:val="TableParagraph"/>
              <w:spacing w:line="194" w:lineRule="exact"/>
              <w:ind w:right="277"/>
              <w:jc w:val="right"/>
              <w:rPr>
                <w:sz w:val="18"/>
              </w:rPr>
            </w:pPr>
            <w:r>
              <w:rPr>
                <w:color w:val="231F20"/>
                <w:sz w:val="18"/>
              </w:rPr>
              <w:t>2BR</w:t>
            </w:r>
          </w:p>
        </w:tc>
        <w:tc>
          <w:tcPr>
            <w:tcW w:w="1296" w:type="dxa"/>
          </w:tcPr>
          <w:p>
            <w:pPr>
              <w:pStyle w:val="TableParagraph"/>
              <w:spacing w:line="194" w:lineRule="exact"/>
              <w:ind w:left="273"/>
              <w:rPr>
                <w:sz w:val="18"/>
              </w:rPr>
            </w:pPr>
            <w:r>
              <w:rPr>
                <w:color w:val="231F20"/>
                <w:sz w:val="18"/>
              </w:rPr>
              <w:t>4 + 1½ Bath</w:t>
            </w:r>
          </w:p>
        </w:tc>
        <w:tc>
          <w:tcPr>
            <w:tcW w:w="1330" w:type="dxa"/>
          </w:tcPr>
          <w:p>
            <w:pPr>
              <w:pStyle w:val="TableParagraph"/>
              <w:spacing w:line="194" w:lineRule="exact"/>
              <w:ind w:left="583"/>
              <w:rPr>
                <w:sz w:val="18"/>
              </w:rPr>
            </w:pPr>
            <w:r>
              <w:rPr>
                <w:color w:val="231F20"/>
                <w:sz w:val="18"/>
              </w:rPr>
              <w:t>1,012</w:t>
            </w:r>
          </w:p>
        </w:tc>
        <w:tc>
          <w:tcPr>
            <w:tcW w:w="1193" w:type="dxa"/>
          </w:tcPr>
          <w:p>
            <w:pPr>
              <w:pStyle w:val="TableParagraph"/>
              <w:spacing w:line="194" w:lineRule="exact"/>
              <w:ind w:right="110"/>
              <w:jc w:val="right"/>
              <w:rPr>
                <w:sz w:val="18"/>
              </w:rPr>
            </w:pPr>
            <w:r>
              <w:rPr>
                <w:color w:val="231F20"/>
                <w:sz w:val="18"/>
              </w:rPr>
              <w:t>1,000.00</w:t>
            </w:r>
          </w:p>
        </w:tc>
        <w:tc>
          <w:tcPr>
            <w:tcW w:w="1196" w:type="dxa"/>
          </w:tcPr>
          <w:p>
            <w:pPr>
              <w:pStyle w:val="TableParagraph"/>
              <w:spacing w:line="194" w:lineRule="exact"/>
              <w:ind w:left="386"/>
              <w:rPr>
                <w:sz w:val="18"/>
              </w:rPr>
            </w:pPr>
            <w:r>
              <w:rPr>
                <w:color w:val="231F20"/>
                <w:sz w:val="18"/>
              </w:rPr>
              <w:t>0.320</w:t>
            </w:r>
          </w:p>
        </w:tc>
      </w:tr>
      <w:tr>
        <w:trPr>
          <w:trHeight w:val="291" w:hRule="atLeast"/>
        </w:trPr>
        <w:tc>
          <w:tcPr>
            <w:tcW w:w="900" w:type="dxa"/>
          </w:tcPr>
          <w:p>
            <w:pPr>
              <w:pStyle w:val="TableParagraph"/>
              <w:spacing w:line="240" w:lineRule="auto" w:before="45"/>
              <w:ind w:left="108"/>
              <w:rPr>
                <w:sz w:val="18"/>
              </w:rPr>
            </w:pPr>
            <w:r>
              <w:rPr>
                <w:color w:val="231F20"/>
                <w:sz w:val="18"/>
              </w:rPr>
              <w:t>"</w:t>
            </w:r>
          </w:p>
        </w:tc>
        <w:tc>
          <w:tcPr>
            <w:tcW w:w="1876" w:type="dxa"/>
            <w:gridSpan w:val="2"/>
          </w:tcPr>
          <w:p>
            <w:pPr>
              <w:pStyle w:val="TableParagraph"/>
              <w:spacing w:line="240" w:lineRule="auto" w:before="45"/>
              <w:ind w:left="312"/>
              <w:jc w:val="center"/>
              <w:rPr>
                <w:sz w:val="18"/>
              </w:rPr>
            </w:pPr>
            <w:r>
              <w:rPr>
                <w:color w:val="231F20"/>
                <w:sz w:val="18"/>
              </w:rPr>
              <w:t>"</w:t>
            </w:r>
          </w:p>
        </w:tc>
        <w:tc>
          <w:tcPr>
            <w:tcW w:w="684" w:type="dxa"/>
          </w:tcPr>
          <w:p>
            <w:pPr>
              <w:pStyle w:val="TableParagraph"/>
              <w:spacing w:line="240" w:lineRule="auto" w:before="45"/>
              <w:ind w:left="140"/>
              <w:rPr>
                <w:sz w:val="18"/>
              </w:rPr>
            </w:pPr>
            <w:r>
              <w:rPr>
                <w:color w:val="231F20"/>
                <w:sz w:val="18"/>
              </w:rPr>
              <w:t>2A</w:t>
            </w:r>
          </w:p>
        </w:tc>
        <w:tc>
          <w:tcPr>
            <w:tcW w:w="1108" w:type="dxa"/>
          </w:tcPr>
          <w:p>
            <w:pPr>
              <w:pStyle w:val="TableParagraph"/>
              <w:spacing w:line="240" w:lineRule="auto" w:before="45"/>
              <w:ind w:right="277"/>
              <w:jc w:val="right"/>
              <w:rPr>
                <w:sz w:val="18"/>
              </w:rPr>
            </w:pPr>
            <w:r>
              <w:rPr>
                <w:color w:val="231F20"/>
                <w:sz w:val="18"/>
              </w:rPr>
              <w:t>2BR</w:t>
            </w:r>
          </w:p>
        </w:tc>
        <w:tc>
          <w:tcPr>
            <w:tcW w:w="1296" w:type="dxa"/>
          </w:tcPr>
          <w:p>
            <w:pPr>
              <w:pStyle w:val="TableParagraph"/>
              <w:spacing w:line="240" w:lineRule="auto" w:before="45"/>
              <w:ind w:left="273"/>
              <w:rPr>
                <w:sz w:val="18"/>
              </w:rPr>
            </w:pPr>
            <w:r>
              <w:rPr>
                <w:color w:val="231F20"/>
                <w:sz w:val="18"/>
              </w:rPr>
              <w:t>4 + 1½ Bath</w:t>
            </w:r>
          </w:p>
        </w:tc>
        <w:tc>
          <w:tcPr>
            <w:tcW w:w="1330" w:type="dxa"/>
          </w:tcPr>
          <w:p>
            <w:pPr>
              <w:pStyle w:val="TableParagraph"/>
              <w:spacing w:line="240" w:lineRule="auto" w:before="45"/>
              <w:ind w:left="583"/>
              <w:rPr>
                <w:sz w:val="18"/>
              </w:rPr>
            </w:pPr>
            <w:r>
              <w:rPr>
                <w:color w:val="231F20"/>
                <w:sz w:val="18"/>
              </w:rPr>
              <w:t>1,036</w:t>
            </w:r>
          </w:p>
        </w:tc>
        <w:tc>
          <w:tcPr>
            <w:tcW w:w="1193" w:type="dxa"/>
          </w:tcPr>
          <w:p>
            <w:pPr>
              <w:pStyle w:val="TableParagraph"/>
              <w:spacing w:line="240" w:lineRule="auto" w:before="45"/>
              <w:ind w:right="110"/>
              <w:jc w:val="right"/>
              <w:rPr>
                <w:sz w:val="18"/>
              </w:rPr>
            </w:pPr>
            <w:r>
              <w:rPr>
                <w:color w:val="231F20"/>
                <w:sz w:val="18"/>
              </w:rPr>
              <w:t>1,000.00</w:t>
            </w:r>
          </w:p>
        </w:tc>
        <w:tc>
          <w:tcPr>
            <w:tcW w:w="1196" w:type="dxa"/>
          </w:tcPr>
          <w:p>
            <w:pPr>
              <w:pStyle w:val="TableParagraph"/>
              <w:spacing w:line="240" w:lineRule="auto" w:before="45"/>
              <w:ind w:left="386"/>
              <w:rPr>
                <w:sz w:val="18"/>
              </w:rPr>
            </w:pPr>
            <w:r>
              <w:rPr>
                <w:color w:val="231F20"/>
                <w:sz w:val="18"/>
              </w:rPr>
              <w:t>0.320</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2B</w:t>
            </w:r>
          </w:p>
        </w:tc>
        <w:tc>
          <w:tcPr>
            <w:tcW w:w="1108" w:type="dxa"/>
          </w:tcPr>
          <w:p>
            <w:pPr>
              <w:pStyle w:val="TableParagraph"/>
              <w:spacing w:line="194" w:lineRule="exact"/>
              <w:ind w:right="277"/>
              <w:jc w:val="right"/>
              <w:rPr>
                <w:sz w:val="18"/>
              </w:rPr>
            </w:pPr>
            <w:r>
              <w:rPr>
                <w:color w:val="231F20"/>
                <w:sz w:val="18"/>
              </w:rPr>
              <w:t>2BR</w:t>
            </w:r>
          </w:p>
        </w:tc>
        <w:tc>
          <w:tcPr>
            <w:tcW w:w="1296" w:type="dxa"/>
          </w:tcPr>
          <w:p>
            <w:pPr>
              <w:pStyle w:val="TableParagraph"/>
              <w:spacing w:line="194" w:lineRule="exact"/>
              <w:ind w:left="273"/>
              <w:rPr>
                <w:sz w:val="18"/>
              </w:rPr>
            </w:pPr>
            <w:r>
              <w:rPr>
                <w:color w:val="231F20"/>
                <w:sz w:val="18"/>
              </w:rPr>
              <w:t>4 + 1½ Bath</w:t>
            </w:r>
          </w:p>
        </w:tc>
        <w:tc>
          <w:tcPr>
            <w:tcW w:w="1330" w:type="dxa"/>
          </w:tcPr>
          <w:p>
            <w:pPr>
              <w:pStyle w:val="TableParagraph"/>
              <w:spacing w:line="194" w:lineRule="exact"/>
              <w:ind w:left="583"/>
              <w:rPr>
                <w:sz w:val="18"/>
              </w:rPr>
            </w:pPr>
            <w:r>
              <w:rPr>
                <w:color w:val="231F20"/>
                <w:sz w:val="18"/>
              </w:rPr>
              <w:t>1,036</w:t>
            </w:r>
          </w:p>
        </w:tc>
        <w:tc>
          <w:tcPr>
            <w:tcW w:w="1193" w:type="dxa"/>
          </w:tcPr>
          <w:p>
            <w:pPr>
              <w:pStyle w:val="TableParagraph"/>
              <w:spacing w:line="194" w:lineRule="exact"/>
              <w:ind w:right="110"/>
              <w:jc w:val="right"/>
              <w:rPr>
                <w:sz w:val="18"/>
              </w:rPr>
            </w:pPr>
            <w:r>
              <w:rPr>
                <w:color w:val="231F20"/>
                <w:sz w:val="18"/>
              </w:rPr>
              <w:t>1,000.00</w:t>
            </w:r>
          </w:p>
        </w:tc>
        <w:tc>
          <w:tcPr>
            <w:tcW w:w="1196" w:type="dxa"/>
          </w:tcPr>
          <w:p>
            <w:pPr>
              <w:pStyle w:val="TableParagraph"/>
              <w:spacing w:line="194" w:lineRule="exact"/>
              <w:ind w:left="386"/>
              <w:rPr>
                <w:sz w:val="18"/>
              </w:rPr>
            </w:pPr>
            <w:r>
              <w:rPr>
                <w:color w:val="231F20"/>
                <w:sz w:val="18"/>
              </w:rPr>
              <w:t>0.320</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2C</w:t>
            </w:r>
          </w:p>
        </w:tc>
        <w:tc>
          <w:tcPr>
            <w:tcW w:w="1108" w:type="dxa"/>
          </w:tcPr>
          <w:p>
            <w:pPr>
              <w:pStyle w:val="TableParagraph"/>
              <w:spacing w:line="193" w:lineRule="exact"/>
              <w:ind w:right="277"/>
              <w:jc w:val="right"/>
              <w:rPr>
                <w:sz w:val="18"/>
              </w:rPr>
            </w:pPr>
            <w:r>
              <w:rPr>
                <w:color w:val="231F20"/>
                <w:sz w:val="18"/>
              </w:rPr>
              <w:t>2BR</w:t>
            </w:r>
          </w:p>
        </w:tc>
        <w:tc>
          <w:tcPr>
            <w:tcW w:w="1296" w:type="dxa"/>
          </w:tcPr>
          <w:p>
            <w:pPr>
              <w:pStyle w:val="TableParagraph"/>
              <w:spacing w:line="193" w:lineRule="exact"/>
              <w:ind w:left="273"/>
              <w:rPr>
                <w:sz w:val="18"/>
              </w:rPr>
            </w:pPr>
            <w:r>
              <w:rPr>
                <w:color w:val="231F20"/>
                <w:sz w:val="18"/>
              </w:rPr>
              <w:t>4 + 1½ Bath</w:t>
            </w:r>
          </w:p>
        </w:tc>
        <w:tc>
          <w:tcPr>
            <w:tcW w:w="1330" w:type="dxa"/>
          </w:tcPr>
          <w:p>
            <w:pPr>
              <w:pStyle w:val="TableParagraph"/>
              <w:spacing w:line="193" w:lineRule="exact"/>
              <w:ind w:left="583"/>
              <w:rPr>
                <w:sz w:val="18"/>
              </w:rPr>
            </w:pPr>
            <w:r>
              <w:rPr>
                <w:color w:val="231F20"/>
                <w:sz w:val="18"/>
              </w:rPr>
              <w:t>1,036</w:t>
            </w:r>
          </w:p>
        </w:tc>
        <w:tc>
          <w:tcPr>
            <w:tcW w:w="1193" w:type="dxa"/>
          </w:tcPr>
          <w:p>
            <w:pPr>
              <w:pStyle w:val="TableParagraph"/>
              <w:spacing w:line="193" w:lineRule="exact"/>
              <w:ind w:right="110"/>
              <w:jc w:val="right"/>
              <w:rPr>
                <w:sz w:val="18"/>
              </w:rPr>
            </w:pPr>
            <w:r>
              <w:rPr>
                <w:color w:val="231F20"/>
                <w:sz w:val="18"/>
              </w:rPr>
              <w:t>1,000.00</w:t>
            </w:r>
          </w:p>
        </w:tc>
        <w:tc>
          <w:tcPr>
            <w:tcW w:w="1196" w:type="dxa"/>
          </w:tcPr>
          <w:p>
            <w:pPr>
              <w:pStyle w:val="TableParagraph"/>
              <w:spacing w:line="193" w:lineRule="exact"/>
              <w:ind w:left="386"/>
              <w:rPr>
                <w:sz w:val="18"/>
              </w:rPr>
            </w:pPr>
            <w:r>
              <w:rPr>
                <w:color w:val="231F20"/>
                <w:sz w:val="18"/>
              </w:rPr>
              <w:t>0.320</w:t>
            </w:r>
          </w:p>
        </w:tc>
      </w:tr>
      <w:tr>
        <w:trPr>
          <w:trHeight w:val="292"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2D</w:t>
            </w:r>
          </w:p>
        </w:tc>
        <w:tc>
          <w:tcPr>
            <w:tcW w:w="1108" w:type="dxa"/>
          </w:tcPr>
          <w:p>
            <w:pPr>
              <w:pStyle w:val="TableParagraph"/>
              <w:spacing w:line="194" w:lineRule="exact"/>
              <w:ind w:right="277"/>
              <w:jc w:val="right"/>
              <w:rPr>
                <w:sz w:val="18"/>
              </w:rPr>
            </w:pPr>
            <w:r>
              <w:rPr>
                <w:color w:val="231F20"/>
                <w:sz w:val="18"/>
              </w:rPr>
              <w:t>2BR</w:t>
            </w:r>
          </w:p>
        </w:tc>
        <w:tc>
          <w:tcPr>
            <w:tcW w:w="1296" w:type="dxa"/>
          </w:tcPr>
          <w:p>
            <w:pPr>
              <w:pStyle w:val="TableParagraph"/>
              <w:spacing w:line="194" w:lineRule="exact"/>
              <w:ind w:left="273"/>
              <w:rPr>
                <w:sz w:val="18"/>
              </w:rPr>
            </w:pPr>
            <w:r>
              <w:rPr>
                <w:color w:val="231F20"/>
                <w:sz w:val="18"/>
              </w:rPr>
              <w:t>4 + 1½ Bath</w:t>
            </w:r>
          </w:p>
        </w:tc>
        <w:tc>
          <w:tcPr>
            <w:tcW w:w="1330" w:type="dxa"/>
          </w:tcPr>
          <w:p>
            <w:pPr>
              <w:pStyle w:val="TableParagraph"/>
              <w:spacing w:line="194" w:lineRule="exact"/>
              <w:ind w:left="583"/>
              <w:rPr>
                <w:sz w:val="18"/>
              </w:rPr>
            </w:pPr>
            <w:r>
              <w:rPr>
                <w:color w:val="231F20"/>
                <w:sz w:val="18"/>
              </w:rPr>
              <w:t>1,036</w:t>
            </w:r>
          </w:p>
        </w:tc>
        <w:tc>
          <w:tcPr>
            <w:tcW w:w="1193" w:type="dxa"/>
          </w:tcPr>
          <w:p>
            <w:pPr>
              <w:pStyle w:val="TableParagraph"/>
              <w:spacing w:line="194" w:lineRule="exact"/>
              <w:ind w:right="110"/>
              <w:jc w:val="right"/>
              <w:rPr>
                <w:sz w:val="18"/>
              </w:rPr>
            </w:pPr>
            <w:r>
              <w:rPr>
                <w:color w:val="231F20"/>
                <w:sz w:val="18"/>
              </w:rPr>
              <w:t>1,000.00</w:t>
            </w:r>
          </w:p>
        </w:tc>
        <w:tc>
          <w:tcPr>
            <w:tcW w:w="1196" w:type="dxa"/>
          </w:tcPr>
          <w:p>
            <w:pPr>
              <w:pStyle w:val="TableParagraph"/>
              <w:spacing w:line="194" w:lineRule="exact"/>
              <w:ind w:left="386"/>
              <w:rPr>
                <w:sz w:val="18"/>
              </w:rPr>
            </w:pPr>
            <w:r>
              <w:rPr>
                <w:color w:val="231F20"/>
                <w:sz w:val="18"/>
              </w:rPr>
              <w:t>0.320</w:t>
            </w:r>
          </w:p>
        </w:tc>
      </w:tr>
      <w:tr>
        <w:trPr>
          <w:trHeight w:val="291" w:hRule="atLeast"/>
        </w:trPr>
        <w:tc>
          <w:tcPr>
            <w:tcW w:w="900" w:type="dxa"/>
          </w:tcPr>
          <w:p>
            <w:pPr>
              <w:pStyle w:val="TableParagraph"/>
              <w:spacing w:line="240" w:lineRule="auto" w:before="46"/>
              <w:ind w:left="108"/>
              <w:rPr>
                <w:sz w:val="18"/>
              </w:rPr>
            </w:pPr>
            <w:r>
              <w:rPr>
                <w:color w:val="231F20"/>
                <w:sz w:val="18"/>
              </w:rPr>
              <w:t>C12</w:t>
            </w:r>
          </w:p>
        </w:tc>
        <w:tc>
          <w:tcPr>
            <w:tcW w:w="1876" w:type="dxa"/>
            <w:gridSpan w:val="2"/>
          </w:tcPr>
          <w:p>
            <w:pPr>
              <w:pStyle w:val="TableParagraph"/>
              <w:spacing w:line="240" w:lineRule="auto" w:before="46"/>
              <w:ind w:left="530"/>
              <w:rPr>
                <w:sz w:val="18"/>
              </w:rPr>
            </w:pPr>
            <w:r>
              <w:rPr>
                <w:color w:val="231F20"/>
                <w:sz w:val="18"/>
              </w:rPr>
              <w:t>6304 Barrie Rd.</w:t>
            </w:r>
          </w:p>
        </w:tc>
        <w:tc>
          <w:tcPr>
            <w:tcW w:w="684" w:type="dxa"/>
          </w:tcPr>
          <w:p>
            <w:pPr>
              <w:pStyle w:val="TableParagraph"/>
              <w:spacing w:line="240" w:lineRule="auto" w:before="46"/>
              <w:ind w:left="140"/>
              <w:rPr>
                <w:sz w:val="18"/>
              </w:rPr>
            </w:pPr>
            <w:r>
              <w:rPr>
                <w:color w:val="231F20"/>
                <w:sz w:val="18"/>
              </w:rPr>
              <w:t>1A</w:t>
            </w:r>
          </w:p>
        </w:tc>
        <w:tc>
          <w:tcPr>
            <w:tcW w:w="1108" w:type="dxa"/>
          </w:tcPr>
          <w:p>
            <w:pPr>
              <w:pStyle w:val="TableParagraph"/>
              <w:spacing w:line="240" w:lineRule="auto" w:before="46"/>
              <w:ind w:right="277"/>
              <w:jc w:val="right"/>
              <w:rPr>
                <w:sz w:val="18"/>
              </w:rPr>
            </w:pPr>
            <w:r>
              <w:rPr>
                <w:color w:val="231F20"/>
                <w:sz w:val="18"/>
              </w:rPr>
              <w:t>3BR</w:t>
            </w:r>
          </w:p>
        </w:tc>
        <w:tc>
          <w:tcPr>
            <w:tcW w:w="1296" w:type="dxa"/>
          </w:tcPr>
          <w:p>
            <w:pPr>
              <w:pStyle w:val="TableParagraph"/>
              <w:spacing w:line="240" w:lineRule="auto" w:before="46"/>
              <w:ind w:left="273"/>
              <w:rPr>
                <w:sz w:val="18"/>
              </w:rPr>
            </w:pPr>
            <w:r>
              <w:rPr>
                <w:color w:val="231F20"/>
                <w:sz w:val="18"/>
              </w:rPr>
              <w:t>5+ 2 Bath</w:t>
            </w:r>
          </w:p>
        </w:tc>
        <w:tc>
          <w:tcPr>
            <w:tcW w:w="1330" w:type="dxa"/>
          </w:tcPr>
          <w:p>
            <w:pPr>
              <w:pStyle w:val="TableParagraph"/>
              <w:spacing w:line="240" w:lineRule="auto" w:before="46"/>
              <w:ind w:left="583"/>
              <w:rPr>
                <w:sz w:val="18"/>
              </w:rPr>
            </w:pPr>
            <w:r>
              <w:rPr>
                <w:color w:val="231F20"/>
                <w:sz w:val="18"/>
              </w:rPr>
              <w:t>1,338</w:t>
            </w:r>
          </w:p>
        </w:tc>
        <w:tc>
          <w:tcPr>
            <w:tcW w:w="1193" w:type="dxa"/>
          </w:tcPr>
          <w:p>
            <w:pPr>
              <w:pStyle w:val="TableParagraph"/>
              <w:spacing w:line="240" w:lineRule="auto" w:before="46"/>
              <w:ind w:right="110"/>
              <w:jc w:val="right"/>
              <w:rPr>
                <w:sz w:val="18"/>
              </w:rPr>
            </w:pPr>
            <w:r>
              <w:rPr>
                <w:color w:val="231F20"/>
                <w:sz w:val="18"/>
              </w:rPr>
              <w:t>1,300.00</w:t>
            </w:r>
          </w:p>
        </w:tc>
        <w:tc>
          <w:tcPr>
            <w:tcW w:w="1196" w:type="dxa"/>
          </w:tcPr>
          <w:p>
            <w:pPr>
              <w:pStyle w:val="TableParagraph"/>
              <w:spacing w:line="240" w:lineRule="auto" w:before="46"/>
              <w:ind w:left="386"/>
              <w:rPr>
                <w:sz w:val="18"/>
              </w:rPr>
            </w:pPr>
            <w:r>
              <w:rPr>
                <w:color w:val="231F20"/>
                <w:sz w:val="18"/>
              </w:rPr>
              <w:t>0.420</w:t>
            </w:r>
          </w:p>
        </w:tc>
      </w:tr>
      <w:tr>
        <w:trPr>
          <w:trHeight w:val="219" w:hRule="atLeast"/>
        </w:trPr>
        <w:tc>
          <w:tcPr>
            <w:tcW w:w="900" w:type="dxa"/>
          </w:tcPr>
          <w:p>
            <w:pPr>
              <w:pStyle w:val="TableParagraph"/>
              <w:spacing w:line="193" w:lineRule="exact"/>
              <w:ind w:left="108"/>
              <w:rPr>
                <w:sz w:val="18"/>
              </w:rPr>
            </w:pPr>
            <w:r>
              <w:rPr>
                <w:color w:val="231F20"/>
                <w:sz w:val="18"/>
              </w:rPr>
              <w:t>"</w:t>
            </w:r>
          </w:p>
        </w:tc>
        <w:tc>
          <w:tcPr>
            <w:tcW w:w="1876" w:type="dxa"/>
            <w:gridSpan w:val="2"/>
          </w:tcPr>
          <w:p>
            <w:pPr>
              <w:pStyle w:val="TableParagraph"/>
              <w:spacing w:line="193" w:lineRule="exact"/>
              <w:ind w:left="312"/>
              <w:jc w:val="center"/>
              <w:rPr>
                <w:sz w:val="18"/>
              </w:rPr>
            </w:pPr>
            <w:r>
              <w:rPr>
                <w:color w:val="231F20"/>
                <w:sz w:val="18"/>
              </w:rPr>
              <w:t>"</w:t>
            </w:r>
          </w:p>
        </w:tc>
        <w:tc>
          <w:tcPr>
            <w:tcW w:w="684" w:type="dxa"/>
          </w:tcPr>
          <w:p>
            <w:pPr>
              <w:pStyle w:val="TableParagraph"/>
              <w:spacing w:line="193" w:lineRule="exact"/>
              <w:ind w:left="140"/>
              <w:rPr>
                <w:sz w:val="18"/>
              </w:rPr>
            </w:pPr>
            <w:r>
              <w:rPr>
                <w:color w:val="231F20"/>
                <w:sz w:val="18"/>
              </w:rPr>
              <w:t>2B</w:t>
            </w:r>
          </w:p>
        </w:tc>
        <w:tc>
          <w:tcPr>
            <w:tcW w:w="1108" w:type="dxa"/>
          </w:tcPr>
          <w:p>
            <w:pPr>
              <w:pStyle w:val="TableParagraph"/>
              <w:spacing w:line="193" w:lineRule="exact"/>
              <w:ind w:right="277"/>
              <w:jc w:val="right"/>
              <w:rPr>
                <w:sz w:val="18"/>
              </w:rPr>
            </w:pPr>
            <w:r>
              <w:rPr>
                <w:color w:val="231F20"/>
                <w:sz w:val="18"/>
              </w:rPr>
              <w:t>3BR</w:t>
            </w:r>
          </w:p>
        </w:tc>
        <w:tc>
          <w:tcPr>
            <w:tcW w:w="1296" w:type="dxa"/>
          </w:tcPr>
          <w:p>
            <w:pPr>
              <w:pStyle w:val="TableParagraph"/>
              <w:spacing w:line="193" w:lineRule="exact"/>
              <w:ind w:left="273"/>
              <w:rPr>
                <w:sz w:val="18"/>
              </w:rPr>
            </w:pPr>
            <w:r>
              <w:rPr>
                <w:color w:val="231F20"/>
                <w:sz w:val="18"/>
              </w:rPr>
              <w:t>5+ 2 Bath</w:t>
            </w:r>
          </w:p>
        </w:tc>
        <w:tc>
          <w:tcPr>
            <w:tcW w:w="1330" w:type="dxa"/>
          </w:tcPr>
          <w:p>
            <w:pPr>
              <w:pStyle w:val="TableParagraph"/>
              <w:spacing w:line="193" w:lineRule="exact"/>
              <w:ind w:left="583"/>
              <w:rPr>
                <w:sz w:val="18"/>
              </w:rPr>
            </w:pPr>
            <w:r>
              <w:rPr>
                <w:color w:val="231F20"/>
                <w:sz w:val="18"/>
              </w:rPr>
              <w:t>1,338</w:t>
            </w:r>
          </w:p>
        </w:tc>
        <w:tc>
          <w:tcPr>
            <w:tcW w:w="1193" w:type="dxa"/>
          </w:tcPr>
          <w:p>
            <w:pPr>
              <w:pStyle w:val="TableParagraph"/>
              <w:spacing w:line="193" w:lineRule="exact"/>
              <w:ind w:right="110"/>
              <w:jc w:val="right"/>
              <w:rPr>
                <w:sz w:val="18"/>
              </w:rPr>
            </w:pPr>
            <w:r>
              <w:rPr>
                <w:color w:val="231F20"/>
                <w:sz w:val="18"/>
              </w:rPr>
              <w:t>1,300.00</w:t>
            </w:r>
          </w:p>
        </w:tc>
        <w:tc>
          <w:tcPr>
            <w:tcW w:w="1196" w:type="dxa"/>
          </w:tcPr>
          <w:p>
            <w:pPr>
              <w:pStyle w:val="TableParagraph"/>
              <w:spacing w:line="193" w:lineRule="exact"/>
              <w:ind w:left="386"/>
              <w:rPr>
                <w:sz w:val="18"/>
              </w:rPr>
            </w:pPr>
            <w:r>
              <w:rPr>
                <w:color w:val="231F20"/>
                <w:sz w:val="18"/>
              </w:rPr>
              <w:t>0.420</w:t>
            </w:r>
          </w:p>
        </w:tc>
      </w:tr>
      <w:tr>
        <w:trPr>
          <w:trHeight w:val="219" w:hRule="atLeast"/>
        </w:trPr>
        <w:tc>
          <w:tcPr>
            <w:tcW w:w="900" w:type="dxa"/>
          </w:tcPr>
          <w:p>
            <w:pPr>
              <w:pStyle w:val="TableParagraph"/>
              <w:spacing w:line="194" w:lineRule="exact"/>
              <w:ind w:left="108"/>
              <w:rPr>
                <w:sz w:val="18"/>
              </w:rPr>
            </w:pPr>
            <w:r>
              <w:rPr>
                <w:color w:val="231F20"/>
                <w:sz w:val="18"/>
              </w:rPr>
              <w:t>"</w:t>
            </w:r>
          </w:p>
        </w:tc>
        <w:tc>
          <w:tcPr>
            <w:tcW w:w="1876" w:type="dxa"/>
            <w:gridSpan w:val="2"/>
          </w:tcPr>
          <w:p>
            <w:pPr>
              <w:pStyle w:val="TableParagraph"/>
              <w:spacing w:line="194" w:lineRule="exact"/>
              <w:ind w:left="312"/>
              <w:jc w:val="center"/>
              <w:rPr>
                <w:sz w:val="18"/>
              </w:rPr>
            </w:pPr>
            <w:r>
              <w:rPr>
                <w:color w:val="231F20"/>
                <w:sz w:val="18"/>
              </w:rPr>
              <w:t>"</w:t>
            </w:r>
          </w:p>
        </w:tc>
        <w:tc>
          <w:tcPr>
            <w:tcW w:w="684" w:type="dxa"/>
          </w:tcPr>
          <w:p>
            <w:pPr>
              <w:pStyle w:val="TableParagraph"/>
              <w:spacing w:line="194" w:lineRule="exact"/>
              <w:ind w:left="140"/>
              <w:rPr>
                <w:sz w:val="18"/>
              </w:rPr>
            </w:pPr>
            <w:r>
              <w:rPr>
                <w:color w:val="231F20"/>
                <w:sz w:val="18"/>
              </w:rPr>
              <w:t>1C</w:t>
            </w:r>
          </w:p>
        </w:tc>
        <w:tc>
          <w:tcPr>
            <w:tcW w:w="1108" w:type="dxa"/>
          </w:tcPr>
          <w:p>
            <w:pPr>
              <w:pStyle w:val="TableParagraph"/>
              <w:spacing w:line="194" w:lineRule="exact"/>
              <w:ind w:right="277"/>
              <w:jc w:val="right"/>
              <w:rPr>
                <w:sz w:val="18"/>
              </w:rPr>
            </w:pPr>
            <w:r>
              <w:rPr>
                <w:color w:val="231F20"/>
                <w:sz w:val="18"/>
              </w:rPr>
              <w:t>3BR</w:t>
            </w:r>
          </w:p>
        </w:tc>
        <w:tc>
          <w:tcPr>
            <w:tcW w:w="1296" w:type="dxa"/>
          </w:tcPr>
          <w:p>
            <w:pPr>
              <w:pStyle w:val="TableParagraph"/>
              <w:spacing w:line="194" w:lineRule="exact"/>
              <w:ind w:left="273"/>
              <w:rPr>
                <w:sz w:val="18"/>
              </w:rPr>
            </w:pPr>
            <w:r>
              <w:rPr>
                <w:color w:val="231F20"/>
                <w:sz w:val="18"/>
              </w:rPr>
              <w:t>5+ 2 Bath</w:t>
            </w:r>
          </w:p>
        </w:tc>
        <w:tc>
          <w:tcPr>
            <w:tcW w:w="1330" w:type="dxa"/>
          </w:tcPr>
          <w:p>
            <w:pPr>
              <w:pStyle w:val="TableParagraph"/>
              <w:spacing w:line="194" w:lineRule="exact"/>
              <w:ind w:left="583"/>
              <w:rPr>
                <w:sz w:val="18"/>
              </w:rPr>
            </w:pPr>
            <w:r>
              <w:rPr>
                <w:color w:val="231F20"/>
                <w:sz w:val="18"/>
              </w:rPr>
              <w:t>1,318</w:t>
            </w:r>
          </w:p>
        </w:tc>
        <w:tc>
          <w:tcPr>
            <w:tcW w:w="1193" w:type="dxa"/>
          </w:tcPr>
          <w:p>
            <w:pPr>
              <w:pStyle w:val="TableParagraph"/>
              <w:spacing w:line="194" w:lineRule="exact"/>
              <w:ind w:right="110"/>
              <w:jc w:val="right"/>
              <w:rPr>
                <w:sz w:val="18"/>
              </w:rPr>
            </w:pPr>
            <w:r>
              <w:rPr>
                <w:color w:val="231F20"/>
                <w:sz w:val="18"/>
              </w:rPr>
              <w:t>1,300.00</w:t>
            </w:r>
          </w:p>
        </w:tc>
        <w:tc>
          <w:tcPr>
            <w:tcW w:w="1196" w:type="dxa"/>
          </w:tcPr>
          <w:p>
            <w:pPr>
              <w:pStyle w:val="TableParagraph"/>
              <w:spacing w:line="194" w:lineRule="exact"/>
              <w:ind w:left="386"/>
              <w:rPr>
                <w:sz w:val="18"/>
              </w:rPr>
            </w:pPr>
            <w:r>
              <w:rPr>
                <w:color w:val="231F20"/>
                <w:sz w:val="18"/>
              </w:rPr>
              <w:t>0.420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6" w:type="dxa"/>
            <w:gridSpan w:val="2"/>
          </w:tcPr>
          <w:p>
            <w:pPr>
              <w:pStyle w:val="TableParagraph"/>
              <w:spacing w:line="179" w:lineRule="exact"/>
              <w:ind w:left="312"/>
              <w:jc w:val="center"/>
              <w:rPr>
                <w:sz w:val="18"/>
              </w:rPr>
            </w:pPr>
            <w:r>
              <w:rPr>
                <w:color w:val="231F20"/>
                <w:sz w:val="18"/>
              </w:rPr>
              <w:t>"</w:t>
            </w:r>
          </w:p>
        </w:tc>
        <w:tc>
          <w:tcPr>
            <w:tcW w:w="684" w:type="dxa"/>
          </w:tcPr>
          <w:p>
            <w:pPr>
              <w:pStyle w:val="TableParagraph"/>
              <w:spacing w:line="179" w:lineRule="exact"/>
              <w:ind w:left="140"/>
              <w:rPr>
                <w:sz w:val="18"/>
              </w:rPr>
            </w:pPr>
            <w:r>
              <w:rPr>
                <w:color w:val="231F20"/>
                <w:sz w:val="18"/>
              </w:rPr>
              <w:t>1D</w:t>
            </w:r>
          </w:p>
        </w:tc>
        <w:tc>
          <w:tcPr>
            <w:tcW w:w="1108" w:type="dxa"/>
          </w:tcPr>
          <w:p>
            <w:pPr>
              <w:pStyle w:val="TableParagraph"/>
              <w:spacing w:line="179" w:lineRule="exact"/>
              <w:ind w:right="277"/>
              <w:jc w:val="right"/>
              <w:rPr>
                <w:sz w:val="18"/>
              </w:rPr>
            </w:pPr>
            <w:r>
              <w:rPr>
                <w:color w:val="231F20"/>
                <w:sz w:val="18"/>
              </w:rPr>
              <w:t>3BR</w:t>
            </w:r>
          </w:p>
        </w:tc>
        <w:tc>
          <w:tcPr>
            <w:tcW w:w="1296" w:type="dxa"/>
          </w:tcPr>
          <w:p>
            <w:pPr>
              <w:pStyle w:val="TableParagraph"/>
              <w:spacing w:line="179" w:lineRule="exact"/>
              <w:ind w:left="273"/>
              <w:rPr>
                <w:sz w:val="18"/>
              </w:rPr>
            </w:pPr>
            <w:r>
              <w:rPr>
                <w:color w:val="231F20"/>
                <w:sz w:val="18"/>
              </w:rPr>
              <w:t>5+ 2 Bath</w:t>
            </w:r>
          </w:p>
        </w:tc>
        <w:tc>
          <w:tcPr>
            <w:tcW w:w="1330" w:type="dxa"/>
          </w:tcPr>
          <w:p>
            <w:pPr>
              <w:pStyle w:val="TableParagraph"/>
              <w:spacing w:line="179" w:lineRule="exact"/>
              <w:ind w:left="583"/>
              <w:rPr>
                <w:sz w:val="18"/>
              </w:rPr>
            </w:pPr>
            <w:r>
              <w:rPr>
                <w:color w:val="231F20"/>
                <w:sz w:val="18"/>
              </w:rPr>
              <w:t>1,318</w:t>
            </w:r>
          </w:p>
        </w:tc>
        <w:tc>
          <w:tcPr>
            <w:tcW w:w="1193" w:type="dxa"/>
          </w:tcPr>
          <w:p>
            <w:pPr>
              <w:pStyle w:val="TableParagraph"/>
              <w:spacing w:line="179" w:lineRule="exact"/>
              <w:ind w:right="110"/>
              <w:jc w:val="right"/>
              <w:rPr>
                <w:sz w:val="18"/>
              </w:rPr>
            </w:pPr>
            <w:r>
              <w:rPr>
                <w:color w:val="231F20"/>
                <w:sz w:val="18"/>
              </w:rPr>
              <w:t>1,300.00</w:t>
            </w:r>
          </w:p>
        </w:tc>
        <w:tc>
          <w:tcPr>
            <w:tcW w:w="1196" w:type="dxa"/>
          </w:tcPr>
          <w:p>
            <w:pPr>
              <w:pStyle w:val="TableParagraph"/>
              <w:spacing w:line="179" w:lineRule="exact"/>
              <w:ind w:left="386"/>
              <w:rPr>
                <w:sz w:val="18"/>
              </w:rPr>
            </w:pPr>
            <w:r>
              <w:rPr>
                <w:color w:val="231F20"/>
                <w:sz w:val="18"/>
              </w:rPr>
              <w:t>0.420</w:t>
            </w:r>
          </w:p>
        </w:tc>
      </w:tr>
    </w:tbl>
    <w:p>
      <w:pPr>
        <w:spacing w:after="0" w:line="179" w:lineRule="exact"/>
        <w:rPr>
          <w:sz w:val="18"/>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35"/>
        <w:gridCol w:w="724"/>
        <w:gridCol w:w="1107"/>
        <w:gridCol w:w="1295"/>
        <w:gridCol w:w="1329"/>
        <w:gridCol w:w="1192"/>
        <w:gridCol w:w="1195"/>
      </w:tblGrid>
      <w:tr>
        <w:trPr>
          <w:trHeight w:val="210" w:hRule="atLeast"/>
        </w:trPr>
        <w:tc>
          <w:tcPr>
            <w:tcW w:w="5861" w:type="dxa"/>
            <w:gridSpan w:val="5"/>
            <w:vMerge w:val="restart"/>
          </w:tcPr>
          <w:p>
            <w:pPr>
              <w:pStyle w:val="TableParagraph"/>
              <w:spacing w:line="240" w:lineRule="auto"/>
              <w:rPr>
                <w:rFonts w:ascii="Times New Roman"/>
                <w:sz w:val="18"/>
              </w:rPr>
            </w:pPr>
          </w:p>
        </w:tc>
        <w:tc>
          <w:tcPr>
            <w:tcW w:w="1329" w:type="dxa"/>
          </w:tcPr>
          <w:p>
            <w:pPr>
              <w:pStyle w:val="TableParagraph"/>
              <w:spacing w:line="190" w:lineRule="exact"/>
              <w:ind w:left="166"/>
              <w:rPr>
                <w:sz w:val="20"/>
              </w:rPr>
            </w:pPr>
            <w:r>
              <w:rPr>
                <w:color w:val="231F20"/>
                <w:sz w:val="20"/>
              </w:rPr>
              <w:t>Approximate</w:t>
            </w:r>
          </w:p>
        </w:tc>
        <w:tc>
          <w:tcPr>
            <w:tcW w:w="2387" w:type="dxa"/>
            <w:gridSpan w:val="2"/>
            <w:vMerge w:val="restart"/>
          </w:tcPr>
          <w:p>
            <w:pPr>
              <w:pStyle w:val="TableParagraph"/>
              <w:spacing w:line="240" w:lineRule="auto"/>
              <w:rPr>
                <w:rFonts w:ascii="Times New Roman"/>
                <w:sz w:val="18"/>
              </w:rPr>
            </w:pPr>
          </w:p>
        </w:tc>
      </w:tr>
      <w:tr>
        <w:trPr>
          <w:trHeight w:val="220" w:hRule="atLeast"/>
        </w:trPr>
        <w:tc>
          <w:tcPr>
            <w:tcW w:w="5861" w:type="dxa"/>
            <w:gridSpan w:val="5"/>
            <w:vMerge/>
            <w:tcBorders>
              <w:top w:val="nil"/>
            </w:tcBorders>
          </w:tcPr>
          <w:p>
            <w:pPr>
              <w:rPr>
                <w:sz w:val="2"/>
                <w:szCs w:val="2"/>
              </w:rPr>
            </w:pPr>
          </w:p>
        </w:tc>
        <w:tc>
          <w:tcPr>
            <w:tcW w:w="1329" w:type="dxa"/>
          </w:tcPr>
          <w:p>
            <w:pPr>
              <w:pStyle w:val="TableParagraph"/>
              <w:spacing w:line="201" w:lineRule="exact"/>
              <w:ind w:left="166"/>
              <w:rPr>
                <w:sz w:val="20"/>
              </w:rPr>
            </w:pPr>
            <w:r>
              <w:rPr>
                <w:color w:val="231F20"/>
                <w:sz w:val="20"/>
              </w:rPr>
              <w:t>Square</w:t>
            </w:r>
          </w:p>
        </w:tc>
        <w:tc>
          <w:tcPr>
            <w:tcW w:w="2387" w:type="dxa"/>
            <w:gridSpan w:val="2"/>
            <w:vMerge/>
            <w:tcBorders>
              <w:top w:val="nil"/>
            </w:tcBorders>
          </w:tcPr>
          <w:p>
            <w:pPr>
              <w:rPr>
                <w:sz w:val="2"/>
                <w:szCs w:val="2"/>
              </w:rPr>
            </w:pPr>
          </w:p>
        </w:tc>
      </w:tr>
      <w:tr>
        <w:trPr>
          <w:trHeight w:val="219" w:hRule="atLeast"/>
        </w:trPr>
        <w:tc>
          <w:tcPr>
            <w:tcW w:w="5861" w:type="dxa"/>
            <w:gridSpan w:val="5"/>
            <w:vMerge/>
            <w:tcBorders>
              <w:top w:val="nil"/>
            </w:tcBorders>
          </w:tcPr>
          <w:p>
            <w:pPr>
              <w:rPr>
                <w:sz w:val="2"/>
                <w:szCs w:val="2"/>
              </w:rPr>
            </w:pPr>
          </w:p>
        </w:tc>
        <w:tc>
          <w:tcPr>
            <w:tcW w:w="1329" w:type="dxa"/>
          </w:tcPr>
          <w:p>
            <w:pPr>
              <w:pStyle w:val="TableParagraph"/>
              <w:ind w:left="166"/>
              <w:rPr>
                <w:sz w:val="20"/>
              </w:rPr>
            </w:pPr>
            <w:r>
              <w:rPr>
                <w:color w:val="231F20"/>
                <w:sz w:val="20"/>
              </w:rPr>
              <w:t>Footage Not</w:t>
            </w:r>
          </w:p>
        </w:tc>
        <w:tc>
          <w:tcPr>
            <w:tcW w:w="1192" w:type="dxa"/>
          </w:tcPr>
          <w:p>
            <w:pPr>
              <w:pStyle w:val="TableParagraph"/>
              <w:spacing w:line="240" w:lineRule="auto"/>
              <w:rPr>
                <w:rFonts w:ascii="Times New Roman"/>
                <w:sz w:val="14"/>
              </w:rPr>
            </w:pPr>
          </w:p>
        </w:tc>
        <w:tc>
          <w:tcPr>
            <w:tcW w:w="1195" w:type="dxa"/>
          </w:tcPr>
          <w:p>
            <w:pPr>
              <w:pStyle w:val="TableParagraph"/>
              <w:ind w:left="108"/>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35" w:type="dxa"/>
          </w:tcPr>
          <w:p>
            <w:pPr>
              <w:pStyle w:val="TableParagraph"/>
              <w:ind w:left="388"/>
              <w:rPr>
                <w:sz w:val="20"/>
              </w:rPr>
            </w:pPr>
            <w:r>
              <w:rPr>
                <w:color w:val="231F20"/>
                <w:sz w:val="20"/>
              </w:rPr>
              <w:t>Apartment</w:t>
            </w:r>
          </w:p>
        </w:tc>
        <w:tc>
          <w:tcPr>
            <w:tcW w:w="72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ind w:left="166"/>
              <w:rPr>
                <w:sz w:val="20"/>
              </w:rPr>
            </w:pPr>
            <w:r>
              <w:rPr>
                <w:color w:val="231F20"/>
                <w:sz w:val="20"/>
              </w:rPr>
              <w:t>Including</w:t>
            </w:r>
          </w:p>
        </w:tc>
        <w:tc>
          <w:tcPr>
            <w:tcW w:w="1192" w:type="dxa"/>
          </w:tcPr>
          <w:p>
            <w:pPr>
              <w:pStyle w:val="TableParagraph"/>
              <w:spacing w:line="240" w:lineRule="auto"/>
              <w:rPr>
                <w:rFonts w:ascii="Times New Roman"/>
                <w:sz w:val="14"/>
              </w:rPr>
            </w:pPr>
          </w:p>
        </w:tc>
        <w:tc>
          <w:tcPr>
            <w:tcW w:w="1195" w:type="dxa"/>
          </w:tcPr>
          <w:p>
            <w:pPr>
              <w:pStyle w:val="TableParagraph"/>
              <w:ind w:left="108"/>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35" w:type="dxa"/>
          </w:tcPr>
          <w:p>
            <w:pPr>
              <w:pStyle w:val="TableParagraph"/>
              <w:spacing w:line="201" w:lineRule="exact"/>
              <w:ind w:left="388"/>
              <w:rPr>
                <w:sz w:val="20"/>
              </w:rPr>
            </w:pPr>
            <w:r>
              <w:rPr>
                <w:color w:val="231F20"/>
                <w:sz w:val="20"/>
              </w:rPr>
              <w:t>Building</w:t>
            </w:r>
          </w:p>
        </w:tc>
        <w:tc>
          <w:tcPr>
            <w:tcW w:w="724" w:type="dxa"/>
          </w:tcPr>
          <w:p>
            <w:pPr>
              <w:pStyle w:val="TableParagraph"/>
              <w:spacing w:line="201" w:lineRule="exact"/>
              <w:ind w:left="181"/>
              <w:rPr>
                <w:sz w:val="20"/>
              </w:rPr>
            </w:pPr>
            <w:r>
              <w:rPr>
                <w:color w:val="231F20"/>
                <w:sz w:val="20"/>
              </w:rPr>
              <w:t>Apt.</w:t>
            </w:r>
          </w:p>
        </w:tc>
        <w:tc>
          <w:tcPr>
            <w:tcW w:w="1107"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spacing w:line="201" w:lineRule="exact"/>
              <w:ind w:left="166"/>
              <w:rPr>
                <w:sz w:val="20"/>
              </w:rPr>
            </w:pPr>
            <w:r>
              <w:rPr>
                <w:color w:val="231F20"/>
                <w:sz w:val="20"/>
              </w:rPr>
              <w:t>Balcony or</w:t>
            </w:r>
          </w:p>
        </w:tc>
        <w:tc>
          <w:tcPr>
            <w:tcW w:w="1192" w:type="dxa"/>
          </w:tcPr>
          <w:p>
            <w:pPr>
              <w:pStyle w:val="TableParagraph"/>
              <w:spacing w:line="201" w:lineRule="exact"/>
              <w:ind w:left="109"/>
              <w:rPr>
                <w:sz w:val="20"/>
              </w:rPr>
            </w:pPr>
            <w:r>
              <w:rPr>
                <w:color w:val="231F20"/>
                <w:sz w:val="20"/>
              </w:rPr>
              <w:t>Declared</w:t>
            </w:r>
          </w:p>
        </w:tc>
        <w:tc>
          <w:tcPr>
            <w:tcW w:w="1195" w:type="dxa"/>
          </w:tcPr>
          <w:p>
            <w:pPr>
              <w:pStyle w:val="TableParagraph"/>
              <w:spacing w:line="201" w:lineRule="exact"/>
              <w:ind w:left="108"/>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35" w:type="dxa"/>
            <w:tcBorders>
              <w:bottom w:val="single" w:sz="4" w:space="0" w:color="000000"/>
            </w:tcBorders>
          </w:tcPr>
          <w:p>
            <w:pPr>
              <w:pStyle w:val="TableParagraph"/>
              <w:spacing w:line="214" w:lineRule="exact"/>
              <w:ind w:left="388"/>
              <w:rPr>
                <w:sz w:val="20"/>
              </w:rPr>
            </w:pPr>
            <w:r>
              <w:rPr>
                <w:color w:val="231F20"/>
                <w:sz w:val="20"/>
              </w:rPr>
              <w:t>Address</w:t>
            </w:r>
          </w:p>
        </w:tc>
        <w:tc>
          <w:tcPr>
            <w:tcW w:w="724" w:type="dxa"/>
            <w:tcBorders>
              <w:bottom w:val="single" w:sz="4" w:space="0" w:color="000000"/>
            </w:tcBorders>
          </w:tcPr>
          <w:p>
            <w:pPr>
              <w:pStyle w:val="TableParagraph"/>
              <w:spacing w:line="214" w:lineRule="exact"/>
              <w:ind w:left="181"/>
              <w:rPr>
                <w:sz w:val="20"/>
              </w:rPr>
            </w:pPr>
            <w:r>
              <w:rPr>
                <w:color w:val="231F20"/>
                <w:sz w:val="20"/>
              </w:rPr>
              <w:t>No.</w:t>
            </w:r>
          </w:p>
        </w:tc>
        <w:tc>
          <w:tcPr>
            <w:tcW w:w="1107" w:type="dxa"/>
            <w:tcBorders>
              <w:bottom w:val="single" w:sz="4" w:space="0" w:color="000000"/>
            </w:tcBorders>
          </w:tcPr>
          <w:p>
            <w:pPr>
              <w:pStyle w:val="TableParagraph"/>
              <w:spacing w:line="214" w:lineRule="exact"/>
              <w:ind w:left="203"/>
              <w:rPr>
                <w:sz w:val="20"/>
              </w:rPr>
            </w:pPr>
            <w:r>
              <w:rPr>
                <w:color w:val="231F20"/>
                <w:sz w:val="20"/>
              </w:rPr>
              <w:t>Type</w:t>
            </w:r>
          </w:p>
        </w:tc>
        <w:tc>
          <w:tcPr>
            <w:tcW w:w="1295" w:type="dxa"/>
            <w:tcBorders>
              <w:bottom w:val="single" w:sz="4" w:space="0" w:color="000000"/>
            </w:tcBorders>
          </w:tcPr>
          <w:p>
            <w:pPr>
              <w:pStyle w:val="TableParagraph"/>
              <w:spacing w:line="214" w:lineRule="exact"/>
              <w:ind w:left="275"/>
              <w:rPr>
                <w:sz w:val="20"/>
              </w:rPr>
            </w:pPr>
            <w:r>
              <w:rPr>
                <w:color w:val="231F20"/>
                <w:sz w:val="20"/>
              </w:rPr>
              <w:t>Rooms</w:t>
            </w:r>
          </w:p>
        </w:tc>
        <w:tc>
          <w:tcPr>
            <w:tcW w:w="1329" w:type="dxa"/>
            <w:tcBorders>
              <w:bottom w:val="single" w:sz="4" w:space="0" w:color="000000"/>
            </w:tcBorders>
          </w:tcPr>
          <w:p>
            <w:pPr>
              <w:pStyle w:val="TableParagraph"/>
              <w:spacing w:line="214" w:lineRule="exact"/>
              <w:ind w:left="166"/>
              <w:rPr>
                <w:sz w:val="20"/>
              </w:rPr>
            </w:pPr>
            <w:r>
              <w:rPr>
                <w:color w:val="231F20"/>
                <w:sz w:val="20"/>
              </w:rPr>
              <w:t>Patio</w:t>
            </w:r>
          </w:p>
        </w:tc>
        <w:tc>
          <w:tcPr>
            <w:tcW w:w="1192" w:type="dxa"/>
            <w:tcBorders>
              <w:bottom w:val="single" w:sz="4" w:space="0" w:color="000000"/>
            </w:tcBorders>
          </w:tcPr>
          <w:p>
            <w:pPr>
              <w:pStyle w:val="TableParagraph"/>
              <w:spacing w:line="214" w:lineRule="exact"/>
              <w:ind w:left="109"/>
              <w:rPr>
                <w:sz w:val="20"/>
              </w:rPr>
            </w:pPr>
            <w:r>
              <w:rPr>
                <w:color w:val="231F20"/>
                <w:sz w:val="20"/>
              </w:rPr>
              <w:t>Value</w:t>
            </w:r>
          </w:p>
        </w:tc>
        <w:tc>
          <w:tcPr>
            <w:tcW w:w="1195" w:type="dxa"/>
            <w:tcBorders>
              <w:bottom w:val="single" w:sz="4" w:space="0" w:color="000000"/>
            </w:tcBorders>
          </w:tcPr>
          <w:p>
            <w:pPr>
              <w:pStyle w:val="TableParagraph"/>
              <w:spacing w:line="214" w:lineRule="exact"/>
              <w:ind w:left="108"/>
              <w:rPr>
                <w:sz w:val="20"/>
              </w:rPr>
            </w:pPr>
            <w:r>
              <w:rPr>
                <w:color w:val="231F20"/>
                <w:sz w:val="20"/>
              </w:rPr>
              <w:t>Interest</w:t>
            </w:r>
          </w:p>
        </w:tc>
      </w:tr>
      <w:tr>
        <w:trPr>
          <w:trHeight w:val="236" w:hRule="atLeast"/>
        </w:trPr>
        <w:tc>
          <w:tcPr>
            <w:tcW w:w="900" w:type="dxa"/>
            <w:tcBorders>
              <w:top w:val="single" w:sz="4" w:space="0" w:color="000000"/>
            </w:tcBorders>
          </w:tcPr>
          <w:p>
            <w:pPr>
              <w:pStyle w:val="TableParagraph"/>
              <w:spacing w:line="216" w:lineRule="exact" w:before="1"/>
              <w:ind w:left="108"/>
              <w:rPr>
                <w:sz w:val="18"/>
              </w:rPr>
            </w:pPr>
            <w:r>
              <w:rPr>
                <w:color w:val="231F20"/>
                <w:sz w:val="18"/>
              </w:rPr>
              <w:t>C12</w:t>
            </w:r>
          </w:p>
        </w:tc>
        <w:tc>
          <w:tcPr>
            <w:tcW w:w="1835" w:type="dxa"/>
            <w:tcBorders>
              <w:top w:val="single" w:sz="4" w:space="0" w:color="000000"/>
            </w:tcBorders>
          </w:tcPr>
          <w:p>
            <w:pPr>
              <w:pStyle w:val="TableParagraph"/>
              <w:spacing w:line="216" w:lineRule="exact" w:before="1"/>
              <w:ind w:right="179"/>
              <w:jc w:val="right"/>
              <w:rPr>
                <w:sz w:val="18"/>
              </w:rPr>
            </w:pPr>
            <w:r>
              <w:rPr>
                <w:color w:val="231F20"/>
                <w:sz w:val="18"/>
              </w:rPr>
              <w:t>6304 Barrie Rd.</w:t>
            </w:r>
          </w:p>
        </w:tc>
        <w:tc>
          <w:tcPr>
            <w:tcW w:w="724" w:type="dxa"/>
            <w:tcBorders>
              <w:top w:val="single" w:sz="4" w:space="0" w:color="000000"/>
            </w:tcBorders>
          </w:tcPr>
          <w:p>
            <w:pPr>
              <w:pStyle w:val="TableParagraph"/>
              <w:spacing w:line="216" w:lineRule="exact" w:before="1"/>
              <w:ind w:left="181"/>
              <w:rPr>
                <w:sz w:val="18"/>
              </w:rPr>
            </w:pPr>
            <w:r>
              <w:rPr>
                <w:color w:val="231F20"/>
                <w:sz w:val="18"/>
              </w:rPr>
              <w:t>2A</w:t>
            </w:r>
          </w:p>
        </w:tc>
        <w:tc>
          <w:tcPr>
            <w:tcW w:w="1107" w:type="dxa"/>
            <w:tcBorders>
              <w:top w:val="single" w:sz="4" w:space="0" w:color="000000"/>
            </w:tcBorders>
          </w:tcPr>
          <w:p>
            <w:pPr>
              <w:pStyle w:val="TableParagraph"/>
              <w:spacing w:line="216" w:lineRule="exact" w:before="1"/>
              <w:ind w:right="275"/>
              <w:jc w:val="right"/>
              <w:rPr>
                <w:sz w:val="18"/>
              </w:rPr>
            </w:pPr>
            <w:r>
              <w:rPr>
                <w:color w:val="231F20"/>
                <w:sz w:val="18"/>
              </w:rPr>
              <w:t>2BR</w:t>
            </w:r>
          </w:p>
        </w:tc>
        <w:tc>
          <w:tcPr>
            <w:tcW w:w="1295" w:type="dxa"/>
            <w:tcBorders>
              <w:top w:val="single" w:sz="4" w:space="0" w:color="000000"/>
            </w:tcBorders>
          </w:tcPr>
          <w:p>
            <w:pPr>
              <w:pStyle w:val="TableParagraph"/>
              <w:spacing w:line="216" w:lineRule="exact" w:before="1"/>
              <w:ind w:left="275"/>
              <w:rPr>
                <w:sz w:val="18"/>
              </w:rPr>
            </w:pPr>
            <w:r>
              <w:rPr>
                <w:color w:val="231F20"/>
                <w:sz w:val="18"/>
              </w:rPr>
              <w:t>4 + 1½ Bath</w:t>
            </w:r>
          </w:p>
        </w:tc>
        <w:tc>
          <w:tcPr>
            <w:tcW w:w="1329" w:type="dxa"/>
            <w:tcBorders>
              <w:top w:val="single" w:sz="4" w:space="0" w:color="000000"/>
            </w:tcBorders>
          </w:tcPr>
          <w:p>
            <w:pPr>
              <w:pStyle w:val="TableParagraph"/>
              <w:spacing w:line="216" w:lineRule="exact" w:before="1"/>
              <w:ind w:left="586"/>
              <w:rPr>
                <w:sz w:val="18"/>
              </w:rPr>
            </w:pPr>
            <w:r>
              <w:rPr>
                <w:color w:val="231F20"/>
                <w:sz w:val="18"/>
              </w:rPr>
              <w:t>1,036</w:t>
            </w:r>
          </w:p>
        </w:tc>
        <w:tc>
          <w:tcPr>
            <w:tcW w:w="1192" w:type="dxa"/>
            <w:tcBorders>
              <w:top w:val="single" w:sz="4" w:space="0" w:color="000000"/>
            </w:tcBorders>
          </w:tcPr>
          <w:p>
            <w:pPr>
              <w:pStyle w:val="TableParagraph"/>
              <w:spacing w:line="216" w:lineRule="exact" w:before="1"/>
              <w:ind w:right="105"/>
              <w:jc w:val="right"/>
              <w:rPr>
                <w:sz w:val="18"/>
              </w:rPr>
            </w:pPr>
            <w:r>
              <w:rPr>
                <w:color w:val="231F20"/>
                <w:sz w:val="18"/>
              </w:rPr>
              <w:t>$1,000.00</w:t>
            </w:r>
          </w:p>
        </w:tc>
        <w:tc>
          <w:tcPr>
            <w:tcW w:w="1195" w:type="dxa"/>
            <w:tcBorders>
              <w:top w:val="single" w:sz="4" w:space="0" w:color="000000"/>
            </w:tcBorders>
          </w:tcPr>
          <w:p>
            <w:pPr>
              <w:pStyle w:val="TableParagraph"/>
              <w:spacing w:line="216" w:lineRule="exact" w:before="1"/>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2C</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35" w:type="dxa"/>
          </w:tcPr>
          <w:p>
            <w:pPr>
              <w:pStyle w:val="TableParagraph"/>
              <w:spacing w:line="203" w:lineRule="exact"/>
              <w:ind w:left="353"/>
              <w:jc w:val="center"/>
              <w:rPr>
                <w:sz w:val="18"/>
              </w:rPr>
            </w:pPr>
            <w:r>
              <w:rPr>
                <w:color w:val="231F20"/>
                <w:sz w:val="18"/>
              </w:rPr>
              <w:t>"</w:t>
            </w:r>
          </w:p>
        </w:tc>
        <w:tc>
          <w:tcPr>
            <w:tcW w:w="724" w:type="dxa"/>
          </w:tcPr>
          <w:p>
            <w:pPr>
              <w:pStyle w:val="TableParagraph"/>
              <w:spacing w:line="203" w:lineRule="exact"/>
              <w:ind w:left="181"/>
              <w:rPr>
                <w:sz w:val="18"/>
              </w:rPr>
            </w:pPr>
            <w:r>
              <w:rPr>
                <w:color w:val="231F20"/>
                <w:sz w:val="18"/>
              </w:rPr>
              <w:t>2D</w:t>
            </w:r>
          </w:p>
        </w:tc>
        <w:tc>
          <w:tcPr>
            <w:tcW w:w="1107" w:type="dxa"/>
          </w:tcPr>
          <w:p>
            <w:pPr>
              <w:pStyle w:val="TableParagraph"/>
              <w:spacing w:line="203" w:lineRule="exact"/>
              <w:ind w:right="275"/>
              <w:jc w:val="right"/>
              <w:rPr>
                <w:sz w:val="18"/>
              </w:rPr>
            </w:pPr>
            <w:r>
              <w:rPr>
                <w:color w:val="231F20"/>
                <w:sz w:val="18"/>
              </w:rPr>
              <w:t>2BR</w:t>
            </w:r>
          </w:p>
        </w:tc>
        <w:tc>
          <w:tcPr>
            <w:tcW w:w="1295" w:type="dxa"/>
          </w:tcPr>
          <w:p>
            <w:pPr>
              <w:pStyle w:val="TableParagraph"/>
              <w:spacing w:line="203" w:lineRule="exact"/>
              <w:ind w:left="275"/>
              <w:rPr>
                <w:sz w:val="18"/>
              </w:rPr>
            </w:pPr>
            <w:r>
              <w:rPr>
                <w:color w:val="231F20"/>
                <w:sz w:val="18"/>
              </w:rPr>
              <w:t>4 + 1½ Bath</w:t>
            </w:r>
          </w:p>
        </w:tc>
        <w:tc>
          <w:tcPr>
            <w:tcW w:w="1329" w:type="dxa"/>
          </w:tcPr>
          <w:p>
            <w:pPr>
              <w:pStyle w:val="TableParagraph"/>
              <w:spacing w:line="203" w:lineRule="exact"/>
              <w:ind w:left="586"/>
              <w:rPr>
                <w:sz w:val="18"/>
              </w:rPr>
            </w:pPr>
            <w:r>
              <w:rPr>
                <w:color w:val="231F20"/>
                <w:sz w:val="18"/>
              </w:rPr>
              <w:t>1,036</w:t>
            </w:r>
          </w:p>
        </w:tc>
        <w:tc>
          <w:tcPr>
            <w:tcW w:w="1192" w:type="dxa"/>
          </w:tcPr>
          <w:p>
            <w:pPr>
              <w:pStyle w:val="TableParagraph"/>
              <w:spacing w:line="203" w:lineRule="exact"/>
              <w:ind w:right="105"/>
              <w:jc w:val="right"/>
              <w:rPr>
                <w:sz w:val="18"/>
              </w:rPr>
            </w:pPr>
            <w:r>
              <w:rPr>
                <w:color w:val="231F20"/>
                <w:sz w:val="18"/>
              </w:rPr>
              <w:t>1,000.00</w:t>
            </w:r>
          </w:p>
        </w:tc>
        <w:tc>
          <w:tcPr>
            <w:tcW w:w="1195" w:type="dxa"/>
          </w:tcPr>
          <w:p>
            <w:pPr>
              <w:pStyle w:val="TableParagraph"/>
              <w:spacing w:line="203" w:lineRule="exact"/>
              <w:ind w:left="391"/>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C13</w:t>
            </w:r>
          </w:p>
        </w:tc>
        <w:tc>
          <w:tcPr>
            <w:tcW w:w="1835" w:type="dxa"/>
          </w:tcPr>
          <w:p>
            <w:pPr>
              <w:pStyle w:val="TableParagraph"/>
              <w:spacing w:line="216" w:lineRule="exact" w:before="56"/>
              <w:ind w:right="179"/>
              <w:jc w:val="right"/>
              <w:rPr>
                <w:sz w:val="18"/>
              </w:rPr>
            </w:pPr>
            <w:r>
              <w:rPr>
                <w:color w:val="231F20"/>
                <w:sz w:val="18"/>
              </w:rPr>
              <w:t>6308 Barrie Rd.</w:t>
            </w:r>
          </w:p>
        </w:tc>
        <w:tc>
          <w:tcPr>
            <w:tcW w:w="724" w:type="dxa"/>
          </w:tcPr>
          <w:p>
            <w:pPr>
              <w:pStyle w:val="TableParagraph"/>
              <w:spacing w:line="216" w:lineRule="exact" w:before="56"/>
              <w:ind w:left="181"/>
              <w:rPr>
                <w:sz w:val="18"/>
              </w:rPr>
            </w:pPr>
            <w:r>
              <w:rPr>
                <w:color w:val="231F20"/>
                <w:sz w:val="18"/>
              </w:rPr>
              <w:t>1A</w:t>
            </w:r>
          </w:p>
        </w:tc>
        <w:tc>
          <w:tcPr>
            <w:tcW w:w="1107" w:type="dxa"/>
          </w:tcPr>
          <w:p>
            <w:pPr>
              <w:pStyle w:val="TableParagraph"/>
              <w:spacing w:line="216" w:lineRule="exact" w:before="56"/>
              <w:ind w:right="275"/>
              <w:jc w:val="right"/>
              <w:rPr>
                <w:sz w:val="18"/>
              </w:rPr>
            </w:pPr>
            <w:r>
              <w:rPr>
                <w:color w:val="231F20"/>
                <w:sz w:val="18"/>
              </w:rPr>
              <w:t>3BR</w:t>
            </w:r>
          </w:p>
        </w:tc>
        <w:tc>
          <w:tcPr>
            <w:tcW w:w="1295" w:type="dxa"/>
          </w:tcPr>
          <w:p>
            <w:pPr>
              <w:pStyle w:val="TableParagraph"/>
              <w:spacing w:line="216" w:lineRule="exact" w:before="56"/>
              <w:ind w:left="275"/>
              <w:rPr>
                <w:sz w:val="18"/>
              </w:rPr>
            </w:pPr>
            <w:r>
              <w:rPr>
                <w:color w:val="231F20"/>
                <w:sz w:val="18"/>
              </w:rPr>
              <w:t>5 + 2 Bath</w:t>
            </w:r>
          </w:p>
        </w:tc>
        <w:tc>
          <w:tcPr>
            <w:tcW w:w="1329" w:type="dxa"/>
          </w:tcPr>
          <w:p>
            <w:pPr>
              <w:pStyle w:val="TableParagraph"/>
              <w:spacing w:line="216" w:lineRule="exact" w:before="56"/>
              <w:ind w:left="586"/>
              <w:rPr>
                <w:sz w:val="18"/>
              </w:rPr>
            </w:pPr>
            <w:r>
              <w:rPr>
                <w:color w:val="231F20"/>
                <w:sz w:val="18"/>
              </w:rPr>
              <w:t>1,338</w:t>
            </w:r>
          </w:p>
        </w:tc>
        <w:tc>
          <w:tcPr>
            <w:tcW w:w="1192" w:type="dxa"/>
          </w:tcPr>
          <w:p>
            <w:pPr>
              <w:pStyle w:val="TableParagraph"/>
              <w:spacing w:line="216" w:lineRule="exact" w:before="56"/>
              <w:ind w:right="105"/>
              <w:jc w:val="right"/>
              <w:rPr>
                <w:sz w:val="18"/>
              </w:rPr>
            </w:pPr>
            <w:r>
              <w:rPr>
                <w:color w:val="231F20"/>
                <w:sz w:val="18"/>
              </w:rPr>
              <w:t>1,300.00</w:t>
            </w:r>
          </w:p>
        </w:tc>
        <w:tc>
          <w:tcPr>
            <w:tcW w:w="1195" w:type="dxa"/>
          </w:tcPr>
          <w:p>
            <w:pPr>
              <w:pStyle w:val="TableParagraph"/>
              <w:spacing w:line="216" w:lineRule="exact" w:before="56"/>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1B</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1,338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1,318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35" w:type="dxa"/>
          </w:tcPr>
          <w:p>
            <w:pPr>
              <w:pStyle w:val="TableParagraph"/>
              <w:spacing w:line="203" w:lineRule="exact"/>
              <w:ind w:left="353"/>
              <w:jc w:val="center"/>
              <w:rPr>
                <w:sz w:val="18"/>
              </w:rPr>
            </w:pPr>
            <w:r>
              <w:rPr>
                <w:color w:val="231F20"/>
                <w:sz w:val="18"/>
              </w:rPr>
              <w:t>"</w:t>
            </w:r>
          </w:p>
        </w:tc>
        <w:tc>
          <w:tcPr>
            <w:tcW w:w="724" w:type="dxa"/>
          </w:tcPr>
          <w:p>
            <w:pPr>
              <w:pStyle w:val="TableParagraph"/>
              <w:spacing w:line="203" w:lineRule="exact"/>
              <w:ind w:left="181"/>
              <w:rPr>
                <w:sz w:val="18"/>
              </w:rPr>
            </w:pPr>
            <w:r>
              <w:rPr>
                <w:color w:val="231F20"/>
                <w:sz w:val="18"/>
              </w:rPr>
              <w:t>1D</w:t>
            </w:r>
          </w:p>
        </w:tc>
        <w:tc>
          <w:tcPr>
            <w:tcW w:w="1107" w:type="dxa"/>
          </w:tcPr>
          <w:p>
            <w:pPr>
              <w:pStyle w:val="TableParagraph"/>
              <w:spacing w:line="203" w:lineRule="exact"/>
              <w:ind w:right="275"/>
              <w:jc w:val="right"/>
              <w:rPr>
                <w:sz w:val="18"/>
              </w:rPr>
            </w:pPr>
            <w:r>
              <w:rPr>
                <w:color w:val="231F20"/>
                <w:sz w:val="18"/>
              </w:rPr>
              <w:t>3BR</w:t>
            </w:r>
          </w:p>
        </w:tc>
        <w:tc>
          <w:tcPr>
            <w:tcW w:w="1295" w:type="dxa"/>
          </w:tcPr>
          <w:p>
            <w:pPr>
              <w:pStyle w:val="TableParagraph"/>
              <w:spacing w:line="203" w:lineRule="exact"/>
              <w:ind w:left="275"/>
              <w:rPr>
                <w:sz w:val="18"/>
              </w:rPr>
            </w:pPr>
            <w:r>
              <w:rPr>
                <w:color w:val="231F20"/>
                <w:sz w:val="18"/>
              </w:rPr>
              <w:t>5 + 2 Bath</w:t>
            </w:r>
          </w:p>
        </w:tc>
        <w:tc>
          <w:tcPr>
            <w:tcW w:w="1329" w:type="dxa"/>
          </w:tcPr>
          <w:p>
            <w:pPr>
              <w:pStyle w:val="TableParagraph"/>
              <w:spacing w:line="203" w:lineRule="exact"/>
              <w:ind w:left="586"/>
              <w:rPr>
                <w:sz w:val="18"/>
              </w:rPr>
            </w:pPr>
            <w:r>
              <w:rPr>
                <w:color w:val="231F20"/>
                <w:sz w:val="18"/>
              </w:rPr>
              <w:t>1,318</w:t>
            </w:r>
          </w:p>
        </w:tc>
        <w:tc>
          <w:tcPr>
            <w:tcW w:w="1192" w:type="dxa"/>
          </w:tcPr>
          <w:p>
            <w:pPr>
              <w:pStyle w:val="TableParagraph"/>
              <w:spacing w:line="203" w:lineRule="exact"/>
              <w:ind w:right="105"/>
              <w:jc w:val="right"/>
              <w:rPr>
                <w:sz w:val="18"/>
              </w:rPr>
            </w:pPr>
            <w:r>
              <w:rPr>
                <w:color w:val="231F20"/>
                <w:sz w:val="18"/>
              </w:rPr>
              <w:t>1,300.00</w:t>
            </w:r>
          </w:p>
        </w:tc>
        <w:tc>
          <w:tcPr>
            <w:tcW w:w="1195" w:type="dxa"/>
          </w:tcPr>
          <w:p>
            <w:pPr>
              <w:pStyle w:val="TableParagraph"/>
              <w:spacing w:line="203" w:lineRule="exact"/>
              <w:ind w:left="391"/>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35" w:type="dxa"/>
          </w:tcPr>
          <w:p>
            <w:pPr>
              <w:pStyle w:val="TableParagraph"/>
              <w:spacing w:line="216" w:lineRule="exact" w:before="56"/>
              <w:ind w:left="353"/>
              <w:jc w:val="center"/>
              <w:rPr>
                <w:sz w:val="18"/>
              </w:rPr>
            </w:pPr>
            <w:r>
              <w:rPr>
                <w:color w:val="231F20"/>
                <w:sz w:val="18"/>
              </w:rPr>
              <w:t>"</w:t>
            </w:r>
          </w:p>
        </w:tc>
        <w:tc>
          <w:tcPr>
            <w:tcW w:w="724" w:type="dxa"/>
          </w:tcPr>
          <w:p>
            <w:pPr>
              <w:pStyle w:val="TableParagraph"/>
              <w:spacing w:line="216" w:lineRule="exact" w:before="56"/>
              <w:ind w:left="181"/>
              <w:rPr>
                <w:sz w:val="18"/>
              </w:rPr>
            </w:pPr>
            <w:r>
              <w:rPr>
                <w:color w:val="231F20"/>
                <w:sz w:val="18"/>
              </w:rPr>
              <w:t>2A</w:t>
            </w:r>
          </w:p>
        </w:tc>
        <w:tc>
          <w:tcPr>
            <w:tcW w:w="1107" w:type="dxa"/>
          </w:tcPr>
          <w:p>
            <w:pPr>
              <w:pStyle w:val="TableParagraph"/>
              <w:spacing w:line="216" w:lineRule="exact" w:before="56"/>
              <w:ind w:right="275"/>
              <w:jc w:val="right"/>
              <w:rPr>
                <w:sz w:val="18"/>
              </w:rPr>
            </w:pPr>
            <w:r>
              <w:rPr>
                <w:color w:val="231F20"/>
                <w:sz w:val="18"/>
              </w:rPr>
              <w:t>2BR</w:t>
            </w:r>
          </w:p>
        </w:tc>
        <w:tc>
          <w:tcPr>
            <w:tcW w:w="1295" w:type="dxa"/>
          </w:tcPr>
          <w:p>
            <w:pPr>
              <w:pStyle w:val="TableParagraph"/>
              <w:spacing w:line="216" w:lineRule="exact" w:before="56"/>
              <w:ind w:left="275"/>
              <w:rPr>
                <w:sz w:val="18"/>
              </w:rPr>
            </w:pPr>
            <w:r>
              <w:rPr>
                <w:color w:val="231F20"/>
                <w:sz w:val="18"/>
              </w:rPr>
              <w:t>4 + 1½ Bath</w:t>
            </w:r>
          </w:p>
        </w:tc>
        <w:tc>
          <w:tcPr>
            <w:tcW w:w="1329" w:type="dxa"/>
          </w:tcPr>
          <w:p>
            <w:pPr>
              <w:pStyle w:val="TableParagraph"/>
              <w:spacing w:line="216" w:lineRule="exact" w:before="56"/>
              <w:ind w:left="586"/>
              <w:rPr>
                <w:sz w:val="18"/>
              </w:rPr>
            </w:pPr>
            <w:r>
              <w:rPr>
                <w:color w:val="231F20"/>
                <w:sz w:val="18"/>
              </w:rPr>
              <w:t>1,036</w:t>
            </w:r>
          </w:p>
        </w:tc>
        <w:tc>
          <w:tcPr>
            <w:tcW w:w="1192" w:type="dxa"/>
          </w:tcPr>
          <w:p>
            <w:pPr>
              <w:pStyle w:val="TableParagraph"/>
              <w:spacing w:line="216" w:lineRule="exact" w:before="56"/>
              <w:ind w:right="105"/>
              <w:jc w:val="right"/>
              <w:rPr>
                <w:sz w:val="18"/>
              </w:rPr>
            </w:pPr>
            <w:r>
              <w:rPr>
                <w:color w:val="231F20"/>
                <w:sz w:val="18"/>
              </w:rPr>
              <w:t>1,000.00</w:t>
            </w:r>
          </w:p>
        </w:tc>
        <w:tc>
          <w:tcPr>
            <w:tcW w:w="1195" w:type="dxa"/>
          </w:tcPr>
          <w:p>
            <w:pPr>
              <w:pStyle w:val="TableParagraph"/>
              <w:spacing w:line="216" w:lineRule="exact" w:before="56"/>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35" w:type="dxa"/>
          </w:tcPr>
          <w:p>
            <w:pPr>
              <w:pStyle w:val="TableParagraph"/>
              <w:spacing w:line="201" w:lineRule="exact"/>
              <w:ind w:left="353"/>
              <w:jc w:val="center"/>
              <w:rPr>
                <w:sz w:val="18"/>
              </w:rPr>
            </w:pPr>
            <w:r>
              <w:rPr>
                <w:color w:val="231F20"/>
                <w:sz w:val="18"/>
              </w:rPr>
              <w:t>"</w:t>
            </w:r>
          </w:p>
        </w:tc>
        <w:tc>
          <w:tcPr>
            <w:tcW w:w="724" w:type="dxa"/>
          </w:tcPr>
          <w:p>
            <w:pPr>
              <w:pStyle w:val="TableParagraph"/>
              <w:spacing w:line="201" w:lineRule="exact"/>
              <w:ind w:left="181"/>
              <w:rPr>
                <w:sz w:val="18"/>
              </w:rPr>
            </w:pPr>
            <w:r>
              <w:rPr>
                <w:color w:val="231F20"/>
                <w:sz w:val="18"/>
              </w:rPr>
              <w:t>2C</w:t>
            </w:r>
          </w:p>
        </w:tc>
        <w:tc>
          <w:tcPr>
            <w:tcW w:w="1107" w:type="dxa"/>
          </w:tcPr>
          <w:p>
            <w:pPr>
              <w:pStyle w:val="TableParagraph"/>
              <w:spacing w:line="201" w:lineRule="exact"/>
              <w:ind w:right="275"/>
              <w:jc w:val="right"/>
              <w:rPr>
                <w:sz w:val="18"/>
              </w:rPr>
            </w:pPr>
            <w:r>
              <w:rPr>
                <w:color w:val="231F20"/>
                <w:sz w:val="18"/>
              </w:rPr>
              <w:t>2BR</w:t>
            </w:r>
          </w:p>
        </w:tc>
        <w:tc>
          <w:tcPr>
            <w:tcW w:w="1295" w:type="dxa"/>
          </w:tcPr>
          <w:p>
            <w:pPr>
              <w:pStyle w:val="TableParagraph"/>
              <w:spacing w:line="201" w:lineRule="exact"/>
              <w:ind w:left="275"/>
              <w:rPr>
                <w:sz w:val="18"/>
              </w:rPr>
            </w:pPr>
            <w:r>
              <w:rPr>
                <w:color w:val="231F20"/>
                <w:sz w:val="18"/>
              </w:rPr>
              <w:t>4 + 1½ Bath</w:t>
            </w:r>
          </w:p>
        </w:tc>
        <w:tc>
          <w:tcPr>
            <w:tcW w:w="1329" w:type="dxa"/>
          </w:tcPr>
          <w:p>
            <w:pPr>
              <w:pStyle w:val="TableParagraph"/>
              <w:spacing w:line="201" w:lineRule="exact"/>
              <w:ind w:left="586"/>
              <w:rPr>
                <w:sz w:val="18"/>
              </w:rPr>
            </w:pPr>
            <w:r>
              <w:rPr>
                <w:color w:val="231F20"/>
                <w:sz w:val="18"/>
              </w:rPr>
              <w:t>1,036</w:t>
            </w:r>
          </w:p>
        </w:tc>
        <w:tc>
          <w:tcPr>
            <w:tcW w:w="1192" w:type="dxa"/>
          </w:tcPr>
          <w:p>
            <w:pPr>
              <w:pStyle w:val="TableParagraph"/>
              <w:spacing w:line="201" w:lineRule="exact"/>
              <w:ind w:right="105"/>
              <w:jc w:val="right"/>
              <w:rPr>
                <w:sz w:val="18"/>
              </w:rPr>
            </w:pPr>
            <w:r>
              <w:rPr>
                <w:color w:val="231F20"/>
                <w:sz w:val="18"/>
              </w:rPr>
              <w:t>1,000.00</w:t>
            </w:r>
          </w:p>
        </w:tc>
        <w:tc>
          <w:tcPr>
            <w:tcW w:w="1195" w:type="dxa"/>
          </w:tcPr>
          <w:p>
            <w:pPr>
              <w:pStyle w:val="TableParagraph"/>
              <w:spacing w:line="201" w:lineRule="exact"/>
              <w:ind w:left="391"/>
              <w:rPr>
                <w:sz w:val="18"/>
              </w:rPr>
            </w:pPr>
            <w:r>
              <w:rPr>
                <w:color w:val="231F20"/>
                <w:sz w:val="18"/>
              </w:rPr>
              <w:t>0.320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35" w:type="dxa"/>
          </w:tcPr>
          <w:p>
            <w:pPr>
              <w:pStyle w:val="TableParagraph"/>
              <w:spacing w:line="204" w:lineRule="exact"/>
              <w:ind w:left="353"/>
              <w:jc w:val="center"/>
              <w:rPr>
                <w:sz w:val="18"/>
              </w:rPr>
            </w:pPr>
            <w:r>
              <w:rPr>
                <w:color w:val="231F20"/>
                <w:sz w:val="18"/>
              </w:rPr>
              <w:t>"</w:t>
            </w:r>
          </w:p>
        </w:tc>
        <w:tc>
          <w:tcPr>
            <w:tcW w:w="724" w:type="dxa"/>
          </w:tcPr>
          <w:p>
            <w:pPr>
              <w:pStyle w:val="TableParagraph"/>
              <w:spacing w:line="204" w:lineRule="exact"/>
              <w:ind w:left="181"/>
              <w:rPr>
                <w:sz w:val="18"/>
              </w:rPr>
            </w:pPr>
            <w:r>
              <w:rPr>
                <w:color w:val="231F20"/>
                <w:sz w:val="18"/>
              </w:rPr>
              <w:t>2D</w:t>
            </w:r>
          </w:p>
        </w:tc>
        <w:tc>
          <w:tcPr>
            <w:tcW w:w="1107" w:type="dxa"/>
          </w:tcPr>
          <w:p>
            <w:pPr>
              <w:pStyle w:val="TableParagraph"/>
              <w:spacing w:line="204" w:lineRule="exact"/>
              <w:ind w:right="275"/>
              <w:jc w:val="right"/>
              <w:rPr>
                <w:sz w:val="18"/>
              </w:rPr>
            </w:pPr>
            <w:r>
              <w:rPr>
                <w:color w:val="231F20"/>
                <w:sz w:val="18"/>
              </w:rPr>
              <w:t>2BR</w:t>
            </w:r>
          </w:p>
        </w:tc>
        <w:tc>
          <w:tcPr>
            <w:tcW w:w="1295" w:type="dxa"/>
          </w:tcPr>
          <w:p>
            <w:pPr>
              <w:pStyle w:val="TableParagraph"/>
              <w:spacing w:line="204" w:lineRule="exact"/>
              <w:ind w:left="275"/>
              <w:rPr>
                <w:sz w:val="18"/>
              </w:rPr>
            </w:pPr>
            <w:r>
              <w:rPr>
                <w:color w:val="231F20"/>
                <w:sz w:val="18"/>
              </w:rPr>
              <w:t>4 + 1½ Bath</w:t>
            </w:r>
          </w:p>
        </w:tc>
        <w:tc>
          <w:tcPr>
            <w:tcW w:w="1329" w:type="dxa"/>
          </w:tcPr>
          <w:p>
            <w:pPr>
              <w:pStyle w:val="TableParagraph"/>
              <w:spacing w:line="204" w:lineRule="exact"/>
              <w:ind w:left="586"/>
              <w:rPr>
                <w:sz w:val="18"/>
              </w:rPr>
            </w:pPr>
            <w:r>
              <w:rPr>
                <w:color w:val="231F20"/>
                <w:sz w:val="18"/>
              </w:rPr>
              <w:t>1,036</w:t>
            </w:r>
          </w:p>
        </w:tc>
        <w:tc>
          <w:tcPr>
            <w:tcW w:w="1192" w:type="dxa"/>
          </w:tcPr>
          <w:p>
            <w:pPr>
              <w:pStyle w:val="TableParagraph"/>
              <w:spacing w:line="204" w:lineRule="exact"/>
              <w:ind w:right="105"/>
              <w:jc w:val="right"/>
              <w:rPr>
                <w:sz w:val="18"/>
              </w:rPr>
            </w:pPr>
            <w:r>
              <w:rPr>
                <w:color w:val="231F20"/>
                <w:sz w:val="18"/>
              </w:rPr>
              <w:t>1,000.00</w:t>
            </w:r>
          </w:p>
        </w:tc>
        <w:tc>
          <w:tcPr>
            <w:tcW w:w="1195" w:type="dxa"/>
          </w:tcPr>
          <w:p>
            <w:pPr>
              <w:pStyle w:val="TableParagraph"/>
              <w:spacing w:line="204" w:lineRule="exact"/>
              <w:ind w:left="391"/>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C17</w:t>
            </w:r>
          </w:p>
        </w:tc>
        <w:tc>
          <w:tcPr>
            <w:tcW w:w="1835" w:type="dxa"/>
          </w:tcPr>
          <w:p>
            <w:pPr>
              <w:pStyle w:val="TableParagraph"/>
              <w:spacing w:line="217" w:lineRule="exact" w:before="55"/>
              <w:ind w:right="179"/>
              <w:jc w:val="right"/>
              <w:rPr>
                <w:sz w:val="18"/>
              </w:rPr>
            </w:pPr>
            <w:r>
              <w:rPr>
                <w:color w:val="231F20"/>
                <w:sz w:val="18"/>
              </w:rPr>
              <w:t>6312 Barrie Rd.</w:t>
            </w:r>
          </w:p>
        </w:tc>
        <w:tc>
          <w:tcPr>
            <w:tcW w:w="724" w:type="dxa"/>
          </w:tcPr>
          <w:p>
            <w:pPr>
              <w:pStyle w:val="TableParagraph"/>
              <w:spacing w:line="217" w:lineRule="exact" w:before="55"/>
              <w:ind w:left="181"/>
              <w:rPr>
                <w:sz w:val="18"/>
              </w:rPr>
            </w:pPr>
            <w:r>
              <w:rPr>
                <w:color w:val="231F20"/>
                <w:sz w:val="18"/>
              </w:rPr>
              <w:t>1A</w:t>
            </w:r>
          </w:p>
        </w:tc>
        <w:tc>
          <w:tcPr>
            <w:tcW w:w="1107" w:type="dxa"/>
          </w:tcPr>
          <w:p>
            <w:pPr>
              <w:pStyle w:val="TableParagraph"/>
              <w:spacing w:line="217" w:lineRule="exact" w:before="55"/>
              <w:ind w:right="274"/>
              <w:jc w:val="right"/>
              <w:rPr>
                <w:sz w:val="18"/>
              </w:rPr>
            </w:pPr>
            <w:r>
              <w:rPr>
                <w:color w:val="231F20"/>
                <w:sz w:val="18"/>
              </w:rPr>
              <w:t>2BR</w:t>
            </w:r>
          </w:p>
        </w:tc>
        <w:tc>
          <w:tcPr>
            <w:tcW w:w="1295" w:type="dxa"/>
          </w:tcPr>
          <w:p>
            <w:pPr>
              <w:pStyle w:val="TableParagraph"/>
              <w:spacing w:line="217" w:lineRule="exact" w:before="55"/>
              <w:ind w:left="275"/>
              <w:rPr>
                <w:sz w:val="18"/>
              </w:rPr>
            </w:pPr>
            <w:r>
              <w:rPr>
                <w:color w:val="231F20"/>
                <w:sz w:val="18"/>
              </w:rPr>
              <w:t>4 + 1½ Bath</w:t>
            </w:r>
          </w:p>
        </w:tc>
        <w:tc>
          <w:tcPr>
            <w:tcW w:w="1329" w:type="dxa"/>
          </w:tcPr>
          <w:p>
            <w:pPr>
              <w:pStyle w:val="TableParagraph"/>
              <w:spacing w:line="217" w:lineRule="exact" w:before="55"/>
              <w:ind w:left="723"/>
              <w:rPr>
                <w:sz w:val="18"/>
              </w:rPr>
            </w:pPr>
            <w:r>
              <w:rPr>
                <w:color w:val="231F20"/>
                <w:sz w:val="18"/>
              </w:rPr>
              <w:t>999</w:t>
            </w:r>
          </w:p>
        </w:tc>
        <w:tc>
          <w:tcPr>
            <w:tcW w:w="1192" w:type="dxa"/>
          </w:tcPr>
          <w:p>
            <w:pPr>
              <w:pStyle w:val="TableParagraph"/>
              <w:spacing w:line="217" w:lineRule="exact" w:before="55"/>
              <w:ind w:right="105"/>
              <w:jc w:val="right"/>
              <w:rPr>
                <w:sz w:val="18"/>
              </w:rPr>
            </w:pPr>
            <w:r>
              <w:rPr>
                <w:color w:val="231F20"/>
                <w:sz w:val="18"/>
              </w:rPr>
              <w:t>1,000.00</w:t>
            </w:r>
          </w:p>
        </w:tc>
        <w:tc>
          <w:tcPr>
            <w:tcW w:w="1195" w:type="dxa"/>
          </w:tcPr>
          <w:p>
            <w:pPr>
              <w:pStyle w:val="TableParagraph"/>
              <w:spacing w:line="217" w:lineRule="exact" w:before="55"/>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1B</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1,318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1,338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35" w:type="dxa"/>
          </w:tcPr>
          <w:p>
            <w:pPr>
              <w:pStyle w:val="TableParagraph"/>
              <w:spacing w:line="204" w:lineRule="exact"/>
              <w:ind w:left="353"/>
              <w:jc w:val="center"/>
              <w:rPr>
                <w:sz w:val="18"/>
              </w:rPr>
            </w:pPr>
            <w:r>
              <w:rPr>
                <w:color w:val="231F20"/>
                <w:sz w:val="18"/>
              </w:rPr>
              <w:t>"</w:t>
            </w:r>
          </w:p>
        </w:tc>
        <w:tc>
          <w:tcPr>
            <w:tcW w:w="724" w:type="dxa"/>
          </w:tcPr>
          <w:p>
            <w:pPr>
              <w:pStyle w:val="TableParagraph"/>
              <w:spacing w:line="204" w:lineRule="exact"/>
              <w:ind w:left="181"/>
              <w:rPr>
                <w:sz w:val="18"/>
              </w:rPr>
            </w:pPr>
            <w:r>
              <w:rPr>
                <w:color w:val="231F20"/>
                <w:sz w:val="18"/>
              </w:rPr>
              <w:t>1D</w:t>
            </w:r>
          </w:p>
        </w:tc>
        <w:tc>
          <w:tcPr>
            <w:tcW w:w="1107" w:type="dxa"/>
          </w:tcPr>
          <w:p>
            <w:pPr>
              <w:pStyle w:val="TableParagraph"/>
              <w:spacing w:line="204" w:lineRule="exact"/>
              <w:ind w:right="274"/>
              <w:jc w:val="right"/>
              <w:rPr>
                <w:sz w:val="18"/>
              </w:rPr>
            </w:pPr>
            <w:r>
              <w:rPr>
                <w:color w:val="231F20"/>
                <w:sz w:val="18"/>
              </w:rPr>
              <w:t>2BR</w:t>
            </w:r>
          </w:p>
        </w:tc>
        <w:tc>
          <w:tcPr>
            <w:tcW w:w="1295" w:type="dxa"/>
          </w:tcPr>
          <w:p>
            <w:pPr>
              <w:pStyle w:val="TableParagraph"/>
              <w:spacing w:line="204" w:lineRule="exact"/>
              <w:ind w:left="275"/>
              <w:rPr>
                <w:sz w:val="18"/>
              </w:rPr>
            </w:pPr>
            <w:r>
              <w:rPr>
                <w:color w:val="231F20"/>
                <w:sz w:val="18"/>
              </w:rPr>
              <w:t>4 + 2 Bath</w:t>
            </w:r>
          </w:p>
        </w:tc>
        <w:tc>
          <w:tcPr>
            <w:tcW w:w="1329" w:type="dxa"/>
          </w:tcPr>
          <w:p>
            <w:pPr>
              <w:pStyle w:val="TableParagraph"/>
              <w:spacing w:line="204" w:lineRule="exact"/>
              <w:ind w:left="586"/>
              <w:rPr>
                <w:sz w:val="18"/>
              </w:rPr>
            </w:pPr>
            <w:r>
              <w:rPr>
                <w:color w:val="231F20"/>
                <w:sz w:val="18"/>
              </w:rPr>
              <w:t>1,012</w:t>
            </w:r>
          </w:p>
        </w:tc>
        <w:tc>
          <w:tcPr>
            <w:tcW w:w="1192" w:type="dxa"/>
          </w:tcPr>
          <w:p>
            <w:pPr>
              <w:pStyle w:val="TableParagraph"/>
              <w:spacing w:line="204" w:lineRule="exact"/>
              <w:ind w:right="105"/>
              <w:jc w:val="right"/>
              <w:rPr>
                <w:sz w:val="18"/>
              </w:rPr>
            </w:pPr>
            <w:r>
              <w:rPr>
                <w:color w:val="231F20"/>
                <w:sz w:val="18"/>
              </w:rPr>
              <w:t>1,000.00</w:t>
            </w:r>
          </w:p>
        </w:tc>
        <w:tc>
          <w:tcPr>
            <w:tcW w:w="1195" w:type="dxa"/>
          </w:tcPr>
          <w:p>
            <w:pPr>
              <w:pStyle w:val="TableParagraph"/>
              <w:spacing w:line="204" w:lineRule="exact"/>
              <w:ind w:left="391"/>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w:t>
            </w:r>
          </w:p>
        </w:tc>
        <w:tc>
          <w:tcPr>
            <w:tcW w:w="1835" w:type="dxa"/>
          </w:tcPr>
          <w:p>
            <w:pPr>
              <w:pStyle w:val="TableParagraph"/>
              <w:spacing w:line="217" w:lineRule="exact" w:before="55"/>
              <w:ind w:left="353"/>
              <w:jc w:val="center"/>
              <w:rPr>
                <w:sz w:val="18"/>
              </w:rPr>
            </w:pPr>
            <w:r>
              <w:rPr>
                <w:color w:val="231F20"/>
                <w:sz w:val="18"/>
              </w:rPr>
              <w:t>"</w:t>
            </w:r>
          </w:p>
        </w:tc>
        <w:tc>
          <w:tcPr>
            <w:tcW w:w="724" w:type="dxa"/>
          </w:tcPr>
          <w:p>
            <w:pPr>
              <w:pStyle w:val="TableParagraph"/>
              <w:spacing w:line="217" w:lineRule="exact" w:before="55"/>
              <w:ind w:left="181"/>
              <w:rPr>
                <w:sz w:val="18"/>
              </w:rPr>
            </w:pPr>
            <w:r>
              <w:rPr>
                <w:color w:val="231F20"/>
                <w:sz w:val="18"/>
              </w:rPr>
              <w:t>2A</w:t>
            </w:r>
          </w:p>
        </w:tc>
        <w:tc>
          <w:tcPr>
            <w:tcW w:w="1107" w:type="dxa"/>
          </w:tcPr>
          <w:p>
            <w:pPr>
              <w:pStyle w:val="TableParagraph"/>
              <w:spacing w:line="217" w:lineRule="exact" w:before="55"/>
              <w:ind w:right="275"/>
              <w:jc w:val="right"/>
              <w:rPr>
                <w:sz w:val="18"/>
              </w:rPr>
            </w:pPr>
            <w:r>
              <w:rPr>
                <w:color w:val="231F20"/>
                <w:sz w:val="18"/>
              </w:rPr>
              <w:t>2BR</w:t>
            </w:r>
          </w:p>
        </w:tc>
        <w:tc>
          <w:tcPr>
            <w:tcW w:w="1295" w:type="dxa"/>
          </w:tcPr>
          <w:p>
            <w:pPr>
              <w:pStyle w:val="TableParagraph"/>
              <w:spacing w:line="217" w:lineRule="exact" w:before="55"/>
              <w:ind w:left="275"/>
              <w:rPr>
                <w:sz w:val="18"/>
              </w:rPr>
            </w:pPr>
            <w:r>
              <w:rPr>
                <w:color w:val="231F20"/>
                <w:sz w:val="18"/>
              </w:rPr>
              <w:t>4 + 2 Bath</w:t>
            </w:r>
          </w:p>
        </w:tc>
        <w:tc>
          <w:tcPr>
            <w:tcW w:w="1329" w:type="dxa"/>
          </w:tcPr>
          <w:p>
            <w:pPr>
              <w:pStyle w:val="TableParagraph"/>
              <w:spacing w:line="217" w:lineRule="exact" w:before="55"/>
              <w:ind w:left="586"/>
              <w:rPr>
                <w:sz w:val="18"/>
              </w:rPr>
            </w:pPr>
            <w:r>
              <w:rPr>
                <w:color w:val="231F20"/>
                <w:sz w:val="18"/>
              </w:rPr>
              <w:t>1,036</w:t>
            </w:r>
          </w:p>
        </w:tc>
        <w:tc>
          <w:tcPr>
            <w:tcW w:w="1192" w:type="dxa"/>
          </w:tcPr>
          <w:p>
            <w:pPr>
              <w:pStyle w:val="TableParagraph"/>
              <w:spacing w:line="217" w:lineRule="exact" w:before="55"/>
              <w:ind w:right="105"/>
              <w:jc w:val="right"/>
              <w:rPr>
                <w:sz w:val="18"/>
              </w:rPr>
            </w:pPr>
            <w:r>
              <w:rPr>
                <w:color w:val="231F20"/>
                <w:sz w:val="18"/>
              </w:rPr>
              <w:t>1,000.00</w:t>
            </w:r>
          </w:p>
        </w:tc>
        <w:tc>
          <w:tcPr>
            <w:tcW w:w="1195" w:type="dxa"/>
          </w:tcPr>
          <w:p>
            <w:pPr>
              <w:pStyle w:val="TableParagraph"/>
              <w:spacing w:line="217" w:lineRule="exact" w:before="55"/>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+ 2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2C</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+ 2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92" w:hRule="atLeast"/>
        </w:trPr>
        <w:tc>
          <w:tcPr>
            <w:tcW w:w="900" w:type="dxa"/>
          </w:tcPr>
          <w:p>
            <w:pPr>
              <w:pStyle w:val="TableParagraph"/>
              <w:spacing w:line="204" w:lineRule="exact"/>
              <w:ind w:left="108"/>
              <w:rPr>
                <w:sz w:val="18"/>
              </w:rPr>
            </w:pPr>
            <w:r>
              <w:rPr>
                <w:color w:val="231F20"/>
                <w:sz w:val="18"/>
              </w:rPr>
              <w:t>"</w:t>
            </w:r>
          </w:p>
        </w:tc>
        <w:tc>
          <w:tcPr>
            <w:tcW w:w="1835" w:type="dxa"/>
          </w:tcPr>
          <w:p>
            <w:pPr>
              <w:pStyle w:val="TableParagraph"/>
              <w:spacing w:line="204" w:lineRule="exact"/>
              <w:ind w:left="353"/>
              <w:jc w:val="center"/>
              <w:rPr>
                <w:sz w:val="18"/>
              </w:rPr>
            </w:pPr>
            <w:r>
              <w:rPr>
                <w:color w:val="231F20"/>
                <w:sz w:val="18"/>
              </w:rPr>
              <w:t>"</w:t>
            </w:r>
          </w:p>
        </w:tc>
        <w:tc>
          <w:tcPr>
            <w:tcW w:w="724" w:type="dxa"/>
          </w:tcPr>
          <w:p>
            <w:pPr>
              <w:pStyle w:val="TableParagraph"/>
              <w:spacing w:line="204" w:lineRule="exact"/>
              <w:ind w:left="181"/>
              <w:rPr>
                <w:sz w:val="18"/>
              </w:rPr>
            </w:pPr>
            <w:r>
              <w:rPr>
                <w:color w:val="231F20"/>
                <w:sz w:val="18"/>
              </w:rPr>
              <w:t>2D</w:t>
            </w:r>
          </w:p>
        </w:tc>
        <w:tc>
          <w:tcPr>
            <w:tcW w:w="1107" w:type="dxa"/>
          </w:tcPr>
          <w:p>
            <w:pPr>
              <w:pStyle w:val="TableParagraph"/>
              <w:spacing w:line="204" w:lineRule="exact"/>
              <w:ind w:right="275"/>
              <w:jc w:val="right"/>
              <w:rPr>
                <w:sz w:val="18"/>
              </w:rPr>
            </w:pPr>
            <w:r>
              <w:rPr>
                <w:color w:val="231F20"/>
                <w:sz w:val="18"/>
              </w:rPr>
              <w:t>2BR</w:t>
            </w:r>
          </w:p>
        </w:tc>
        <w:tc>
          <w:tcPr>
            <w:tcW w:w="1295" w:type="dxa"/>
          </w:tcPr>
          <w:p>
            <w:pPr>
              <w:pStyle w:val="TableParagraph"/>
              <w:spacing w:line="204" w:lineRule="exact"/>
              <w:ind w:left="275"/>
              <w:rPr>
                <w:sz w:val="18"/>
              </w:rPr>
            </w:pPr>
            <w:r>
              <w:rPr>
                <w:color w:val="231F20"/>
                <w:sz w:val="18"/>
              </w:rPr>
              <w:t>4 + 2 Bath</w:t>
            </w:r>
          </w:p>
        </w:tc>
        <w:tc>
          <w:tcPr>
            <w:tcW w:w="1329" w:type="dxa"/>
          </w:tcPr>
          <w:p>
            <w:pPr>
              <w:pStyle w:val="TableParagraph"/>
              <w:spacing w:line="204" w:lineRule="exact"/>
              <w:ind w:left="586"/>
              <w:rPr>
                <w:sz w:val="18"/>
              </w:rPr>
            </w:pPr>
            <w:r>
              <w:rPr>
                <w:color w:val="231F20"/>
                <w:sz w:val="18"/>
              </w:rPr>
              <w:t>1,036</w:t>
            </w:r>
          </w:p>
        </w:tc>
        <w:tc>
          <w:tcPr>
            <w:tcW w:w="1192" w:type="dxa"/>
          </w:tcPr>
          <w:p>
            <w:pPr>
              <w:pStyle w:val="TableParagraph"/>
              <w:spacing w:line="204" w:lineRule="exact"/>
              <w:ind w:right="105"/>
              <w:jc w:val="right"/>
              <w:rPr>
                <w:sz w:val="18"/>
              </w:rPr>
            </w:pPr>
            <w:r>
              <w:rPr>
                <w:color w:val="231F20"/>
                <w:sz w:val="18"/>
              </w:rPr>
              <w:t>1,000.00</w:t>
            </w:r>
          </w:p>
        </w:tc>
        <w:tc>
          <w:tcPr>
            <w:tcW w:w="1195" w:type="dxa"/>
          </w:tcPr>
          <w:p>
            <w:pPr>
              <w:pStyle w:val="TableParagraph"/>
              <w:spacing w:line="204" w:lineRule="exact"/>
              <w:ind w:left="391"/>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C16</w:t>
            </w:r>
          </w:p>
        </w:tc>
        <w:tc>
          <w:tcPr>
            <w:tcW w:w="1835" w:type="dxa"/>
          </w:tcPr>
          <w:p>
            <w:pPr>
              <w:pStyle w:val="TableParagraph"/>
              <w:spacing w:line="216" w:lineRule="exact" w:before="56"/>
              <w:ind w:right="179"/>
              <w:jc w:val="right"/>
              <w:rPr>
                <w:sz w:val="18"/>
              </w:rPr>
            </w:pPr>
            <w:r>
              <w:rPr>
                <w:color w:val="231F20"/>
                <w:sz w:val="18"/>
              </w:rPr>
              <w:t>6316 Barrie Rd.</w:t>
            </w:r>
          </w:p>
        </w:tc>
        <w:tc>
          <w:tcPr>
            <w:tcW w:w="724" w:type="dxa"/>
          </w:tcPr>
          <w:p>
            <w:pPr>
              <w:pStyle w:val="TableParagraph"/>
              <w:spacing w:line="216" w:lineRule="exact" w:before="56"/>
              <w:ind w:left="181"/>
              <w:rPr>
                <w:sz w:val="18"/>
              </w:rPr>
            </w:pPr>
            <w:r>
              <w:rPr>
                <w:color w:val="231F20"/>
                <w:sz w:val="18"/>
              </w:rPr>
              <w:t>1A</w:t>
            </w:r>
          </w:p>
        </w:tc>
        <w:tc>
          <w:tcPr>
            <w:tcW w:w="1107" w:type="dxa"/>
          </w:tcPr>
          <w:p>
            <w:pPr>
              <w:pStyle w:val="TableParagraph"/>
              <w:spacing w:line="216" w:lineRule="exact" w:before="56"/>
              <w:ind w:right="275"/>
              <w:jc w:val="right"/>
              <w:rPr>
                <w:sz w:val="18"/>
              </w:rPr>
            </w:pPr>
            <w:r>
              <w:rPr>
                <w:color w:val="231F20"/>
                <w:sz w:val="18"/>
              </w:rPr>
              <w:t>3BR</w:t>
            </w:r>
          </w:p>
        </w:tc>
        <w:tc>
          <w:tcPr>
            <w:tcW w:w="1295" w:type="dxa"/>
          </w:tcPr>
          <w:p>
            <w:pPr>
              <w:pStyle w:val="TableParagraph"/>
              <w:spacing w:line="216" w:lineRule="exact" w:before="56"/>
              <w:ind w:left="275"/>
              <w:rPr>
                <w:sz w:val="18"/>
              </w:rPr>
            </w:pPr>
            <w:r>
              <w:rPr>
                <w:color w:val="231F20"/>
                <w:sz w:val="18"/>
              </w:rPr>
              <w:t>5 + 2 Bath</w:t>
            </w:r>
          </w:p>
        </w:tc>
        <w:tc>
          <w:tcPr>
            <w:tcW w:w="1329" w:type="dxa"/>
          </w:tcPr>
          <w:p>
            <w:pPr>
              <w:pStyle w:val="TableParagraph"/>
              <w:spacing w:line="216" w:lineRule="exact" w:before="56"/>
              <w:ind w:left="586"/>
              <w:rPr>
                <w:sz w:val="18"/>
              </w:rPr>
            </w:pPr>
            <w:r>
              <w:rPr>
                <w:color w:val="231F20"/>
                <w:sz w:val="18"/>
              </w:rPr>
              <w:t>1,338</w:t>
            </w:r>
          </w:p>
        </w:tc>
        <w:tc>
          <w:tcPr>
            <w:tcW w:w="1192" w:type="dxa"/>
          </w:tcPr>
          <w:p>
            <w:pPr>
              <w:pStyle w:val="TableParagraph"/>
              <w:spacing w:line="216" w:lineRule="exact" w:before="56"/>
              <w:ind w:right="105"/>
              <w:jc w:val="right"/>
              <w:rPr>
                <w:sz w:val="18"/>
              </w:rPr>
            </w:pPr>
            <w:r>
              <w:rPr>
                <w:color w:val="231F20"/>
                <w:sz w:val="18"/>
              </w:rPr>
              <w:t>1,300.00</w:t>
            </w:r>
          </w:p>
        </w:tc>
        <w:tc>
          <w:tcPr>
            <w:tcW w:w="1195" w:type="dxa"/>
          </w:tcPr>
          <w:p>
            <w:pPr>
              <w:pStyle w:val="TableParagraph"/>
              <w:spacing w:line="216" w:lineRule="exact" w:before="56"/>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1B</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1,338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1,318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35" w:type="dxa"/>
          </w:tcPr>
          <w:p>
            <w:pPr>
              <w:pStyle w:val="TableParagraph"/>
              <w:spacing w:line="203" w:lineRule="exact"/>
              <w:ind w:left="353"/>
              <w:jc w:val="center"/>
              <w:rPr>
                <w:sz w:val="18"/>
              </w:rPr>
            </w:pPr>
            <w:r>
              <w:rPr>
                <w:color w:val="231F20"/>
                <w:sz w:val="18"/>
              </w:rPr>
              <w:t>"</w:t>
            </w:r>
          </w:p>
        </w:tc>
        <w:tc>
          <w:tcPr>
            <w:tcW w:w="724" w:type="dxa"/>
          </w:tcPr>
          <w:p>
            <w:pPr>
              <w:pStyle w:val="TableParagraph"/>
              <w:spacing w:line="203" w:lineRule="exact"/>
              <w:ind w:left="181"/>
              <w:rPr>
                <w:sz w:val="18"/>
              </w:rPr>
            </w:pPr>
            <w:r>
              <w:rPr>
                <w:color w:val="231F20"/>
                <w:sz w:val="18"/>
              </w:rPr>
              <w:t>1D</w:t>
            </w:r>
          </w:p>
        </w:tc>
        <w:tc>
          <w:tcPr>
            <w:tcW w:w="1107" w:type="dxa"/>
          </w:tcPr>
          <w:p>
            <w:pPr>
              <w:pStyle w:val="TableParagraph"/>
              <w:spacing w:line="203" w:lineRule="exact"/>
              <w:ind w:right="275"/>
              <w:jc w:val="right"/>
              <w:rPr>
                <w:sz w:val="18"/>
              </w:rPr>
            </w:pPr>
            <w:r>
              <w:rPr>
                <w:color w:val="231F20"/>
                <w:sz w:val="18"/>
              </w:rPr>
              <w:t>3BR</w:t>
            </w:r>
          </w:p>
        </w:tc>
        <w:tc>
          <w:tcPr>
            <w:tcW w:w="1295" w:type="dxa"/>
          </w:tcPr>
          <w:p>
            <w:pPr>
              <w:pStyle w:val="TableParagraph"/>
              <w:spacing w:line="203" w:lineRule="exact"/>
              <w:ind w:left="275"/>
              <w:rPr>
                <w:sz w:val="18"/>
              </w:rPr>
            </w:pPr>
            <w:r>
              <w:rPr>
                <w:color w:val="231F20"/>
                <w:sz w:val="18"/>
              </w:rPr>
              <w:t>5 + 2 Bath</w:t>
            </w:r>
          </w:p>
        </w:tc>
        <w:tc>
          <w:tcPr>
            <w:tcW w:w="1329" w:type="dxa"/>
          </w:tcPr>
          <w:p>
            <w:pPr>
              <w:pStyle w:val="TableParagraph"/>
              <w:spacing w:line="203" w:lineRule="exact"/>
              <w:ind w:left="586"/>
              <w:rPr>
                <w:sz w:val="18"/>
              </w:rPr>
            </w:pPr>
            <w:r>
              <w:rPr>
                <w:color w:val="231F20"/>
                <w:sz w:val="18"/>
              </w:rPr>
              <w:t>1,318</w:t>
            </w:r>
          </w:p>
        </w:tc>
        <w:tc>
          <w:tcPr>
            <w:tcW w:w="1192" w:type="dxa"/>
          </w:tcPr>
          <w:p>
            <w:pPr>
              <w:pStyle w:val="TableParagraph"/>
              <w:spacing w:line="203" w:lineRule="exact"/>
              <w:ind w:right="105"/>
              <w:jc w:val="right"/>
              <w:rPr>
                <w:sz w:val="18"/>
              </w:rPr>
            </w:pPr>
            <w:r>
              <w:rPr>
                <w:color w:val="231F20"/>
                <w:sz w:val="18"/>
              </w:rPr>
              <w:t>1,300.00</w:t>
            </w:r>
          </w:p>
        </w:tc>
        <w:tc>
          <w:tcPr>
            <w:tcW w:w="1195" w:type="dxa"/>
          </w:tcPr>
          <w:p>
            <w:pPr>
              <w:pStyle w:val="TableParagraph"/>
              <w:spacing w:line="203" w:lineRule="exact"/>
              <w:ind w:left="391"/>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35" w:type="dxa"/>
          </w:tcPr>
          <w:p>
            <w:pPr>
              <w:pStyle w:val="TableParagraph"/>
              <w:spacing w:line="216" w:lineRule="exact" w:before="56"/>
              <w:ind w:left="353"/>
              <w:jc w:val="center"/>
              <w:rPr>
                <w:sz w:val="18"/>
              </w:rPr>
            </w:pPr>
            <w:r>
              <w:rPr>
                <w:color w:val="231F20"/>
                <w:sz w:val="18"/>
              </w:rPr>
              <w:t>"</w:t>
            </w:r>
          </w:p>
        </w:tc>
        <w:tc>
          <w:tcPr>
            <w:tcW w:w="724" w:type="dxa"/>
          </w:tcPr>
          <w:p>
            <w:pPr>
              <w:pStyle w:val="TableParagraph"/>
              <w:spacing w:line="216" w:lineRule="exact" w:before="56"/>
              <w:ind w:left="181"/>
              <w:rPr>
                <w:sz w:val="18"/>
              </w:rPr>
            </w:pPr>
            <w:r>
              <w:rPr>
                <w:color w:val="231F20"/>
                <w:sz w:val="18"/>
              </w:rPr>
              <w:t>2A</w:t>
            </w:r>
          </w:p>
        </w:tc>
        <w:tc>
          <w:tcPr>
            <w:tcW w:w="1107" w:type="dxa"/>
          </w:tcPr>
          <w:p>
            <w:pPr>
              <w:pStyle w:val="TableParagraph"/>
              <w:spacing w:line="216" w:lineRule="exact" w:before="56"/>
              <w:ind w:right="275"/>
              <w:jc w:val="right"/>
              <w:rPr>
                <w:sz w:val="18"/>
              </w:rPr>
            </w:pPr>
            <w:r>
              <w:rPr>
                <w:color w:val="231F20"/>
                <w:sz w:val="18"/>
              </w:rPr>
              <w:t>2BR</w:t>
            </w:r>
          </w:p>
        </w:tc>
        <w:tc>
          <w:tcPr>
            <w:tcW w:w="1295" w:type="dxa"/>
          </w:tcPr>
          <w:p>
            <w:pPr>
              <w:pStyle w:val="TableParagraph"/>
              <w:spacing w:line="216" w:lineRule="exact" w:before="56"/>
              <w:ind w:left="275"/>
              <w:rPr>
                <w:sz w:val="18"/>
              </w:rPr>
            </w:pPr>
            <w:r>
              <w:rPr>
                <w:color w:val="231F20"/>
                <w:sz w:val="18"/>
              </w:rPr>
              <w:t>4 + 1½ Bath</w:t>
            </w:r>
          </w:p>
        </w:tc>
        <w:tc>
          <w:tcPr>
            <w:tcW w:w="1329" w:type="dxa"/>
          </w:tcPr>
          <w:p>
            <w:pPr>
              <w:pStyle w:val="TableParagraph"/>
              <w:spacing w:line="216" w:lineRule="exact" w:before="56"/>
              <w:ind w:left="586"/>
              <w:rPr>
                <w:sz w:val="18"/>
              </w:rPr>
            </w:pPr>
            <w:r>
              <w:rPr>
                <w:color w:val="231F20"/>
                <w:sz w:val="18"/>
              </w:rPr>
              <w:t>1,036</w:t>
            </w:r>
          </w:p>
        </w:tc>
        <w:tc>
          <w:tcPr>
            <w:tcW w:w="1192" w:type="dxa"/>
          </w:tcPr>
          <w:p>
            <w:pPr>
              <w:pStyle w:val="TableParagraph"/>
              <w:spacing w:line="216" w:lineRule="exact" w:before="56"/>
              <w:ind w:right="105"/>
              <w:jc w:val="right"/>
              <w:rPr>
                <w:sz w:val="18"/>
              </w:rPr>
            </w:pPr>
            <w:r>
              <w:rPr>
                <w:color w:val="231F20"/>
                <w:sz w:val="18"/>
              </w:rPr>
              <w:t>1,000.00</w:t>
            </w:r>
          </w:p>
        </w:tc>
        <w:tc>
          <w:tcPr>
            <w:tcW w:w="1195" w:type="dxa"/>
          </w:tcPr>
          <w:p>
            <w:pPr>
              <w:pStyle w:val="TableParagraph"/>
              <w:spacing w:line="216" w:lineRule="exact" w:before="56"/>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2C</w:t>
            </w:r>
          </w:p>
        </w:tc>
        <w:tc>
          <w:tcPr>
            <w:tcW w:w="1107" w:type="dxa"/>
          </w:tcPr>
          <w:p>
            <w:pPr>
              <w:pStyle w:val="TableParagraph"/>
              <w:ind w:right="274"/>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35" w:type="dxa"/>
          </w:tcPr>
          <w:p>
            <w:pPr>
              <w:pStyle w:val="TableParagraph"/>
              <w:spacing w:line="203" w:lineRule="exact"/>
              <w:ind w:left="353"/>
              <w:jc w:val="center"/>
              <w:rPr>
                <w:sz w:val="18"/>
              </w:rPr>
            </w:pPr>
            <w:r>
              <w:rPr>
                <w:color w:val="231F20"/>
                <w:sz w:val="18"/>
              </w:rPr>
              <w:t>"</w:t>
            </w:r>
          </w:p>
        </w:tc>
        <w:tc>
          <w:tcPr>
            <w:tcW w:w="724" w:type="dxa"/>
          </w:tcPr>
          <w:p>
            <w:pPr>
              <w:pStyle w:val="TableParagraph"/>
              <w:spacing w:line="203" w:lineRule="exact"/>
              <w:ind w:left="181"/>
              <w:rPr>
                <w:sz w:val="18"/>
              </w:rPr>
            </w:pPr>
            <w:r>
              <w:rPr>
                <w:color w:val="231F20"/>
                <w:sz w:val="18"/>
              </w:rPr>
              <w:t>2D</w:t>
            </w:r>
          </w:p>
        </w:tc>
        <w:tc>
          <w:tcPr>
            <w:tcW w:w="1107" w:type="dxa"/>
          </w:tcPr>
          <w:p>
            <w:pPr>
              <w:pStyle w:val="TableParagraph"/>
              <w:spacing w:line="203" w:lineRule="exact"/>
              <w:ind w:right="275"/>
              <w:jc w:val="right"/>
              <w:rPr>
                <w:sz w:val="18"/>
              </w:rPr>
            </w:pPr>
            <w:r>
              <w:rPr>
                <w:color w:val="231F20"/>
                <w:sz w:val="18"/>
              </w:rPr>
              <w:t>2BR</w:t>
            </w:r>
          </w:p>
        </w:tc>
        <w:tc>
          <w:tcPr>
            <w:tcW w:w="1295" w:type="dxa"/>
          </w:tcPr>
          <w:p>
            <w:pPr>
              <w:pStyle w:val="TableParagraph"/>
              <w:spacing w:line="203" w:lineRule="exact"/>
              <w:ind w:left="275"/>
              <w:rPr>
                <w:sz w:val="18"/>
              </w:rPr>
            </w:pPr>
            <w:r>
              <w:rPr>
                <w:color w:val="231F20"/>
                <w:sz w:val="18"/>
              </w:rPr>
              <w:t>4 + 1½ Bath</w:t>
            </w:r>
          </w:p>
        </w:tc>
        <w:tc>
          <w:tcPr>
            <w:tcW w:w="1329" w:type="dxa"/>
          </w:tcPr>
          <w:p>
            <w:pPr>
              <w:pStyle w:val="TableParagraph"/>
              <w:spacing w:line="203" w:lineRule="exact"/>
              <w:ind w:left="586"/>
              <w:rPr>
                <w:sz w:val="18"/>
              </w:rPr>
            </w:pPr>
            <w:r>
              <w:rPr>
                <w:color w:val="231F20"/>
                <w:sz w:val="18"/>
              </w:rPr>
              <w:t>1,036</w:t>
            </w:r>
          </w:p>
        </w:tc>
        <w:tc>
          <w:tcPr>
            <w:tcW w:w="1192" w:type="dxa"/>
          </w:tcPr>
          <w:p>
            <w:pPr>
              <w:pStyle w:val="TableParagraph"/>
              <w:spacing w:line="203" w:lineRule="exact"/>
              <w:ind w:right="105"/>
              <w:jc w:val="right"/>
              <w:rPr>
                <w:sz w:val="18"/>
              </w:rPr>
            </w:pPr>
            <w:r>
              <w:rPr>
                <w:color w:val="231F20"/>
                <w:sz w:val="18"/>
              </w:rPr>
              <w:t>1,000.00</w:t>
            </w:r>
          </w:p>
        </w:tc>
        <w:tc>
          <w:tcPr>
            <w:tcW w:w="1195" w:type="dxa"/>
          </w:tcPr>
          <w:p>
            <w:pPr>
              <w:pStyle w:val="TableParagraph"/>
              <w:spacing w:line="203" w:lineRule="exact"/>
              <w:ind w:left="391"/>
              <w:rPr>
                <w:sz w:val="18"/>
              </w:rPr>
            </w:pPr>
            <w:r>
              <w:rPr>
                <w:color w:val="231F20"/>
                <w:sz w:val="18"/>
              </w:rPr>
              <w:t>0.320</w:t>
            </w:r>
          </w:p>
        </w:tc>
      </w:tr>
      <w:tr>
        <w:trPr>
          <w:trHeight w:val="292" w:hRule="atLeast"/>
        </w:trPr>
        <w:tc>
          <w:tcPr>
            <w:tcW w:w="900" w:type="dxa"/>
          </w:tcPr>
          <w:p>
            <w:pPr>
              <w:pStyle w:val="TableParagraph"/>
              <w:spacing w:line="217" w:lineRule="exact" w:before="56"/>
              <w:ind w:left="108"/>
              <w:rPr>
                <w:sz w:val="18"/>
              </w:rPr>
            </w:pPr>
            <w:r>
              <w:rPr>
                <w:color w:val="231F20"/>
                <w:sz w:val="18"/>
              </w:rPr>
              <w:t>C15</w:t>
            </w:r>
          </w:p>
        </w:tc>
        <w:tc>
          <w:tcPr>
            <w:tcW w:w="1835" w:type="dxa"/>
          </w:tcPr>
          <w:p>
            <w:pPr>
              <w:pStyle w:val="TableParagraph"/>
              <w:spacing w:line="217" w:lineRule="exact" w:before="56"/>
              <w:ind w:right="179"/>
              <w:jc w:val="right"/>
              <w:rPr>
                <w:sz w:val="18"/>
              </w:rPr>
            </w:pPr>
            <w:r>
              <w:rPr>
                <w:color w:val="231F20"/>
                <w:sz w:val="18"/>
              </w:rPr>
              <w:t>6320 Barrie Rd.</w:t>
            </w:r>
          </w:p>
        </w:tc>
        <w:tc>
          <w:tcPr>
            <w:tcW w:w="724" w:type="dxa"/>
          </w:tcPr>
          <w:p>
            <w:pPr>
              <w:pStyle w:val="TableParagraph"/>
              <w:spacing w:line="217" w:lineRule="exact" w:before="56"/>
              <w:ind w:left="181"/>
              <w:rPr>
                <w:sz w:val="18"/>
              </w:rPr>
            </w:pPr>
            <w:r>
              <w:rPr>
                <w:color w:val="231F20"/>
                <w:sz w:val="18"/>
              </w:rPr>
              <w:t>1A</w:t>
            </w:r>
          </w:p>
        </w:tc>
        <w:tc>
          <w:tcPr>
            <w:tcW w:w="1107" w:type="dxa"/>
          </w:tcPr>
          <w:p>
            <w:pPr>
              <w:pStyle w:val="TableParagraph"/>
              <w:spacing w:line="217" w:lineRule="exact" w:before="56"/>
              <w:ind w:right="275"/>
              <w:jc w:val="right"/>
              <w:rPr>
                <w:sz w:val="18"/>
              </w:rPr>
            </w:pPr>
            <w:r>
              <w:rPr>
                <w:color w:val="231F20"/>
                <w:sz w:val="18"/>
              </w:rPr>
              <w:t>3BR</w:t>
            </w:r>
          </w:p>
        </w:tc>
        <w:tc>
          <w:tcPr>
            <w:tcW w:w="1295" w:type="dxa"/>
          </w:tcPr>
          <w:p>
            <w:pPr>
              <w:pStyle w:val="TableParagraph"/>
              <w:spacing w:line="217" w:lineRule="exact" w:before="56"/>
              <w:ind w:left="275"/>
              <w:rPr>
                <w:sz w:val="18"/>
              </w:rPr>
            </w:pPr>
            <w:r>
              <w:rPr>
                <w:color w:val="231F20"/>
                <w:sz w:val="18"/>
              </w:rPr>
              <w:t>5 + 2 Bath</w:t>
            </w:r>
          </w:p>
        </w:tc>
        <w:tc>
          <w:tcPr>
            <w:tcW w:w="1329" w:type="dxa"/>
          </w:tcPr>
          <w:p>
            <w:pPr>
              <w:pStyle w:val="TableParagraph"/>
              <w:spacing w:line="217" w:lineRule="exact" w:before="56"/>
              <w:ind w:left="586"/>
              <w:rPr>
                <w:sz w:val="18"/>
              </w:rPr>
            </w:pPr>
            <w:r>
              <w:rPr>
                <w:color w:val="231F20"/>
                <w:sz w:val="18"/>
              </w:rPr>
              <w:t>1,338</w:t>
            </w:r>
          </w:p>
        </w:tc>
        <w:tc>
          <w:tcPr>
            <w:tcW w:w="1192" w:type="dxa"/>
          </w:tcPr>
          <w:p>
            <w:pPr>
              <w:pStyle w:val="TableParagraph"/>
              <w:spacing w:line="217" w:lineRule="exact" w:before="56"/>
              <w:ind w:right="105"/>
              <w:jc w:val="right"/>
              <w:rPr>
                <w:sz w:val="18"/>
              </w:rPr>
            </w:pPr>
            <w:r>
              <w:rPr>
                <w:color w:val="231F20"/>
                <w:sz w:val="18"/>
              </w:rPr>
              <w:t>1,300.00</w:t>
            </w:r>
          </w:p>
        </w:tc>
        <w:tc>
          <w:tcPr>
            <w:tcW w:w="1195" w:type="dxa"/>
          </w:tcPr>
          <w:p>
            <w:pPr>
              <w:pStyle w:val="TableParagraph"/>
              <w:spacing w:line="217" w:lineRule="exact" w:before="56"/>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1B</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1,338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1,318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35" w:type="dxa"/>
          </w:tcPr>
          <w:p>
            <w:pPr>
              <w:pStyle w:val="TableParagraph"/>
              <w:spacing w:line="204" w:lineRule="exact"/>
              <w:ind w:left="353"/>
              <w:jc w:val="center"/>
              <w:rPr>
                <w:sz w:val="18"/>
              </w:rPr>
            </w:pPr>
            <w:r>
              <w:rPr>
                <w:color w:val="231F20"/>
                <w:sz w:val="18"/>
              </w:rPr>
              <w:t>"</w:t>
            </w:r>
          </w:p>
        </w:tc>
        <w:tc>
          <w:tcPr>
            <w:tcW w:w="724" w:type="dxa"/>
          </w:tcPr>
          <w:p>
            <w:pPr>
              <w:pStyle w:val="TableParagraph"/>
              <w:spacing w:line="204" w:lineRule="exact"/>
              <w:ind w:left="181"/>
              <w:rPr>
                <w:sz w:val="18"/>
              </w:rPr>
            </w:pPr>
            <w:r>
              <w:rPr>
                <w:color w:val="231F20"/>
                <w:sz w:val="18"/>
              </w:rPr>
              <w:t>1D</w:t>
            </w:r>
          </w:p>
        </w:tc>
        <w:tc>
          <w:tcPr>
            <w:tcW w:w="1107" w:type="dxa"/>
          </w:tcPr>
          <w:p>
            <w:pPr>
              <w:pStyle w:val="TableParagraph"/>
              <w:spacing w:line="204" w:lineRule="exact"/>
              <w:ind w:right="275"/>
              <w:jc w:val="right"/>
              <w:rPr>
                <w:sz w:val="18"/>
              </w:rPr>
            </w:pPr>
            <w:r>
              <w:rPr>
                <w:color w:val="231F20"/>
                <w:sz w:val="18"/>
              </w:rPr>
              <w:t>3BR</w:t>
            </w:r>
          </w:p>
        </w:tc>
        <w:tc>
          <w:tcPr>
            <w:tcW w:w="1295" w:type="dxa"/>
          </w:tcPr>
          <w:p>
            <w:pPr>
              <w:pStyle w:val="TableParagraph"/>
              <w:spacing w:line="204" w:lineRule="exact"/>
              <w:ind w:left="275"/>
              <w:rPr>
                <w:sz w:val="18"/>
              </w:rPr>
            </w:pPr>
            <w:r>
              <w:rPr>
                <w:color w:val="231F20"/>
                <w:sz w:val="18"/>
              </w:rPr>
              <w:t>5 + 2 Bath</w:t>
            </w:r>
          </w:p>
        </w:tc>
        <w:tc>
          <w:tcPr>
            <w:tcW w:w="1329" w:type="dxa"/>
          </w:tcPr>
          <w:p>
            <w:pPr>
              <w:pStyle w:val="TableParagraph"/>
              <w:spacing w:line="204" w:lineRule="exact"/>
              <w:ind w:left="586"/>
              <w:rPr>
                <w:sz w:val="18"/>
              </w:rPr>
            </w:pPr>
            <w:r>
              <w:rPr>
                <w:color w:val="231F20"/>
                <w:sz w:val="18"/>
              </w:rPr>
              <w:t>1,318</w:t>
            </w:r>
          </w:p>
        </w:tc>
        <w:tc>
          <w:tcPr>
            <w:tcW w:w="1192" w:type="dxa"/>
          </w:tcPr>
          <w:p>
            <w:pPr>
              <w:pStyle w:val="TableParagraph"/>
              <w:spacing w:line="204" w:lineRule="exact"/>
              <w:ind w:right="105"/>
              <w:jc w:val="right"/>
              <w:rPr>
                <w:sz w:val="18"/>
              </w:rPr>
            </w:pPr>
            <w:r>
              <w:rPr>
                <w:color w:val="231F20"/>
                <w:sz w:val="18"/>
              </w:rPr>
              <w:t>1,300.00</w:t>
            </w:r>
          </w:p>
        </w:tc>
        <w:tc>
          <w:tcPr>
            <w:tcW w:w="1195" w:type="dxa"/>
          </w:tcPr>
          <w:p>
            <w:pPr>
              <w:pStyle w:val="TableParagraph"/>
              <w:spacing w:line="204" w:lineRule="exact"/>
              <w:ind w:left="391"/>
              <w:rPr>
                <w:sz w:val="18"/>
              </w:rPr>
            </w:pPr>
            <w:r>
              <w:rPr>
                <w:color w:val="231F20"/>
                <w:sz w:val="18"/>
              </w:rPr>
              <w:t>0.420</w:t>
            </w:r>
          </w:p>
        </w:tc>
      </w:tr>
      <w:tr>
        <w:trPr>
          <w:trHeight w:val="291" w:hRule="atLeast"/>
        </w:trPr>
        <w:tc>
          <w:tcPr>
            <w:tcW w:w="900" w:type="dxa"/>
          </w:tcPr>
          <w:p>
            <w:pPr>
              <w:pStyle w:val="TableParagraph"/>
              <w:spacing w:line="217" w:lineRule="exact" w:before="55"/>
              <w:ind w:left="108"/>
              <w:rPr>
                <w:sz w:val="18"/>
              </w:rPr>
            </w:pPr>
            <w:r>
              <w:rPr>
                <w:color w:val="231F20"/>
                <w:sz w:val="18"/>
              </w:rPr>
              <w:t>"</w:t>
            </w:r>
          </w:p>
        </w:tc>
        <w:tc>
          <w:tcPr>
            <w:tcW w:w="1835" w:type="dxa"/>
          </w:tcPr>
          <w:p>
            <w:pPr>
              <w:pStyle w:val="TableParagraph"/>
              <w:spacing w:line="217" w:lineRule="exact" w:before="55"/>
              <w:ind w:left="353"/>
              <w:jc w:val="center"/>
              <w:rPr>
                <w:sz w:val="18"/>
              </w:rPr>
            </w:pPr>
            <w:r>
              <w:rPr>
                <w:color w:val="231F20"/>
                <w:sz w:val="18"/>
              </w:rPr>
              <w:t>"</w:t>
            </w:r>
          </w:p>
        </w:tc>
        <w:tc>
          <w:tcPr>
            <w:tcW w:w="724" w:type="dxa"/>
          </w:tcPr>
          <w:p>
            <w:pPr>
              <w:pStyle w:val="TableParagraph"/>
              <w:spacing w:line="217" w:lineRule="exact" w:before="55"/>
              <w:ind w:left="181"/>
              <w:rPr>
                <w:sz w:val="18"/>
              </w:rPr>
            </w:pPr>
            <w:r>
              <w:rPr>
                <w:color w:val="231F20"/>
                <w:sz w:val="18"/>
              </w:rPr>
              <w:t>2A</w:t>
            </w:r>
          </w:p>
        </w:tc>
        <w:tc>
          <w:tcPr>
            <w:tcW w:w="1107" w:type="dxa"/>
          </w:tcPr>
          <w:p>
            <w:pPr>
              <w:pStyle w:val="TableParagraph"/>
              <w:spacing w:line="217" w:lineRule="exact" w:before="55"/>
              <w:ind w:right="275"/>
              <w:jc w:val="right"/>
              <w:rPr>
                <w:sz w:val="18"/>
              </w:rPr>
            </w:pPr>
            <w:r>
              <w:rPr>
                <w:color w:val="231F20"/>
                <w:sz w:val="18"/>
              </w:rPr>
              <w:t>2BR</w:t>
            </w:r>
          </w:p>
        </w:tc>
        <w:tc>
          <w:tcPr>
            <w:tcW w:w="1295" w:type="dxa"/>
          </w:tcPr>
          <w:p>
            <w:pPr>
              <w:pStyle w:val="TableParagraph"/>
              <w:spacing w:line="217" w:lineRule="exact" w:before="55"/>
              <w:ind w:left="275"/>
              <w:rPr>
                <w:sz w:val="18"/>
              </w:rPr>
            </w:pPr>
            <w:r>
              <w:rPr>
                <w:color w:val="231F20"/>
                <w:sz w:val="18"/>
              </w:rPr>
              <w:t>4 + 1½ Bath</w:t>
            </w:r>
          </w:p>
        </w:tc>
        <w:tc>
          <w:tcPr>
            <w:tcW w:w="1329" w:type="dxa"/>
          </w:tcPr>
          <w:p>
            <w:pPr>
              <w:pStyle w:val="TableParagraph"/>
              <w:spacing w:line="217" w:lineRule="exact" w:before="55"/>
              <w:ind w:left="586"/>
              <w:rPr>
                <w:sz w:val="18"/>
              </w:rPr>
            </w:pPr>
            <w:r>
              <w:rPr>
                <w:color w:val="231F20"/>
                <w:sz w:val="18"/>
              </w:rPr>
              <w:t>1,036</w:t>
            </w:r>
          </w:p>
        </w:tc>
        <w:tc>
          <w:tcPr>
            <w:tcW w:w="1192" w:type="dxa"/>
          </w:tcPr>
          <w:p>
            <w:pPr>
              <w:pStyle w:val="TableParagraph"/>
              <w:spacing w:line="217" w:lineRule="exact" w:before="55"/>
              <w:ind w:right="105"/>
              <w:jc w:val="right"/>
              <w:rPr>
                <w:sz w:val="18"/>
              </w:rPr>
            </w:pPr>
            <w:r>
              <w:rPr>
                <w:color w:val="231F20"/>
                <w:sz w:val="18"/>
              </w:rPr>
              <w:t>1,000.00</w:t>
            </w:r>
          </w:p>
        </w:tc>
        <w:tc>
          <w:tcPr>
            <w:tcW w:w="1195" w:type="dxa"/>
          </w:tcPr>
          <w:p>
            <w:pPr>
              <w:pStyle w:val="TableParagraph"/>
              <w:spacing w:line="217" w:lineRule="exact" w:before="55"/>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2C</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35" w:type="dxa"/>
          </w:tcPr>
          <w:p>
            <w:pPr>
              <w:pStyle w:val="TableParagraph"/>
              <w:spacing w:line="204" w:lineRule="exact"/>
              <w:ind w:left="353"/>
              <w:jc w:val="center"/>
              <w:rPr>
                <w:sz w:val="18"/>
              </w:rPr>
            </w:pPr>
            <w:r>
              <w:rPr>
                <w:color w:val="231F20"/>
                <w:sz w:val="18"/>
              </w:rPr>
              <w:t>"</w:t>
            </w:r>
          </w:p>
        </w:tc>
        <w:tc>
          <w:tcPr>
            <w:tcW w:w="724" w:type="dxa"/>
          </w:tcPr>
          <w:p>
            <w:pPr>
              <w:pStyle w:val="TableParagraph"/>
              <w:spacing w:line="204" w:lineRule="exact"/>
              <w:ind w:left="181"/>
              <w:rPr>
                <w:sz w:val="18"/>
              </w:rPr>
            </w:pPr>
            <w:r>
              <w:rPr>
                <w:color w:val="231F20"/>
                <w:sz w:val="18"/>
              </w:rPr>
              <w:t>2D</w:t>
            </w:r>
          </w:p>
        </w:tc>
        <w:tc>
          <w:tcPr>
            <w:tcW w:w="1107" w:type="dxa"/>
          </w:tcPr>
          <w:p>
            <w:pPr>
              <w:pStyle w:val="TableParagraph"/>
              <w:spacing w:line="204" w:lineRule="exact"/>
              <w:ind w:right="275"/>
              <w:jc w:val="right"/>
              <w:rPr>
                <w:sz w:val="18"/>
              </w:rPr>
            </w:pPr>
            <w:r>
              <w:rPr>
                <w:color w:val="231F20"/>
                <w:sz w:val="18"/>
              </w:rPr>
              <w:t>2BR</w:t>
            </w:r>
          </w:p>
        </w:tc>
        <w:tc>
          <w:tcPr>
            <w:tcW w:w="1295" w:type="dxa"/>
          </w:tcPr>
          <w:p>
            <w:pPr>
              <w:pStyle w:val="TableParagraph"/>
              <w:spacing w:line="204" w:lineRule="exact"/>
              <w:ind w:left="275"/>
              <w:rPr>
                <w:sz w:val="18"/>
              </w:rPr>
            </w:pPr>
            <w:r>
              <w:rPr>
                <w:color w:val="231F20"/>
                <w:sz w:val="18"/>
              </w:rPr>
              <w:t>4 + 1½ Bath</w:t>
            </w:r>
          </w:p>
        </w:tc>
        <w:tc>
          <w:tcPr>
            <w:tcW w:w="1329" w:type="dxa"/>
          </w:tcPr>
          <w:p>
            <w:pPr>
              <w:pStyle w:val="TableParagraph"/>
              <w:spacing w:line="204" w:lineRule="exact"/>
              <w:ind w:left="586"/>
              <w:rPr>
                <w:sz w:val="18"/>
              </w:rPr>
            </w:pPr>
            <w:r>
              <w:rPr>
                <w:color w:val="231F20"/>
                <w:sz w:val="18"/>
              </w:rPr>
              <w:t>1,036</w:t>
            </w:r>
          </w:p>
        </w:tc>
        <w:tc>
          <w:tcPr>
            <w:tcW w:w="1192" w:type="dxa"/>
          </w:tcPr>
          <w:p>
            <w:pPr>
              <w:pStyle w:val="TableParagraph"/>
              <w:spacing w:line="204" w:lineRule="exact"/>
              <w:ind w:right="105"/>
              <w:jc w:val="right"/>
              <w:rPr>
                <w:sz w:val="18"/>
              </w:rPr>
            </w:pPr>
            <w:r>
              <w:rPr>
                <w:color w:val="231F20"/>
                <w:sz w:val="18"/>
              </w:rPr>
              <w:t>1,000.00</w:t>
            </w:r>
          </w:p>
        </w:tc>
        <w:tc>
          <w:tcPr>
            <w:tcW w:w="1195" w:type="dxa"/>
          </w:tcPr>
          <w:p>
            <w:pPr>
              <w:pStyle w:val="TableParagraph"/>
              <w:spacing w:line="204" w:lineRule="exact"/>
              <w:ind w:left="391"/>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C14</w:t>
            </w:r>
          </w:p>
        </w:tc>
        <w:tc>
          <w:tcPr>
            <w:tcW w:w="1835" w:type="dxa"/>
          </w:tcPr>
          <w:p>
            <w:pPr>
              <w:pStyle w:val="TableParagraph"/>
              <w:spacing w:line="217" w:lineRule="exact" w:before="55"/>
              <w:ind w:right="179"/>
              <w:jc w:val="right"/>
              <w:rPr>
                <w:sz w:val="18"/>
              </w:rPr>
            </w:pPr>
            <w:r>
              <w:rPr>
                <w:color w:val="231F20"/>
                <w:sz w:val="18"/>
              </w:rPr>
              <w:t>6324 Barrie Rd.</w:t>
            </w:r>
          </w:p>
        </w:tc>
        <w:tc>
          <w:tcPr>
            <w:tcW w:w="724" w:type="dxa"/>
          </w:tcPr>
          <w:p>
            <w:pPr>
              <w:pStyle w:val="TableParagraph"/>
              <w:spacing w:line="217" w:lineRule="exact" w:before="55"/>
              <w:ind w:left="181"/>
              <w:rPr>
                <w:sz w:val="18"/>
              </w:rPr>
            </w:pPr>
            <w:r>
              <w:rPr>
                <w:color w:val="231F20"/>
                <w:sz w:val="18"/>
              </w:rPr>
              <w:t>1A</w:t>
            </w:r>
          </w:p>
        </w:tc>
        <w:tc>
          <w:tcPr>
            <w:tcW w:w="1107" w:type="dxa"/>
          </w:tcPr>
          <w:p>
            <w:pPr>
              <w:pStyle w:val="TableParagraph"/>
              <w:spacing w:line="217" w:lineRule="exact" w:before="55"/>
              <w:ind w:right="275"/>
              <w:jc w:val="right"/>
              <w:rPr>
                <w:sz w:val="18"/>
              </w:rPr>
            </w:pPr>
            <w:r>
              <w:rPr>
                <w:color w:val="231F20"/>
                <w:sz w:val="18"/>
              </w:rPr>
              <w:t>3BR</w:t>
            </w:r>
          </w:p>
        </w:tc>
        <w:tc>
          <w:tcPr>
            <w:tcW w:w="1295" w:type="dxa"/>
          </w:tcPr>
          <w:p>
            <w:pPr>
              <w:pStyle w:val="TableParagraph"/>
              <w:spacing w:line="217" w:lineRule="exact" w:before="55"/>
              <w:ind w:left="275"/>
              <w:rPr>
                <w:sz w:val="18"/>
              </w:rPr>
            </w:pPr>
            <w:r>
              <w:rPr>
                <w:color w:val="231F20"/>
                <w:sz w:val="18"/>
              </w:rPr>
              <w:t>5 + 2 Bath</w:t>
            </w:r>
          </w:p>
        </w:tc>
        <w:tc>
          <w:tcPr>
            <w:tcW w:w="1329" w:type="dxa"/>
          </w:tcPr>
          <w:p>
            <w:pPr>
              <w:pStyle w:val="TableParagraph"/>
              <w:spacing w:line="217" w:lineRule="exact" w:before="55"/>
              <w:ind w:left="586"/>
              <w:rPr>
                <w:sz w:val="18"/>
              </w:rPr>
            </w:pPr>
            <w:r>
              <w:rPr>
                <w:color w:val="231F20"/>
                <w:sz w:val="18"/>
              </w:rPr>
              <w:t>1,318</w:t>
            </w:r>
          </w:p>
        </w:tc>
        <w:tc>
          <w:tcPr>
            <w:tcW w:w="1192" w:type="dxa"/>
          </w:tcPr>
          <w:p>
            <w:pPr>
              <w:pStyle w:val="TableParagraph"/>
              <w:spacing w:line="217" w:lineRule="exact" w:before="55"/>
              <w:ind w:right="105"/>
              <w:jc w:val="right"/>
              <w:rPr>
                <w:sz w:val="18"/>
              </w:rPr>
            </w:pPr>
            <w:r>
              <w:rPr>
                <w:color w:val="231F20"/>
                <w:sz w:val="18"/>
              </w:rPr>
              <w:t>1,300.00</w:t>
            </w:r>
          </w:p>
        </w:tc>
        <w:tc>
          <w:tcPr>
            <w:tcW w:w="1195" w:type="dxa"/>
          </w:tcPr>
          <w:p>
            <w:pPr>
              <w:pStyle w:val="TableParagraph"/>
              <w:spacing w:line="217" w:lineRule="exact" w:before="55"/>
              <w:ind w:left="391"/>
              <w:rPr>
                <w:sz w:val="18"/>
              </w:rPr>
            </w:pPr>
            <w:r>
              <w:rPr>
                <w:color w:val="231F20"/>
                <w:sz w:val="18"/>
              </w:rPr>
              <w:t>0.420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35" w:type="dxa"/>
          </w:tcPr>
          <w:p>
            <w:pPr>
              <w:pStyle w:val="TableParagraph"/>
              <w:spacing w:line="201" w:lineRule="exact"/>
              <w:ind w:left="353"/>
              <w:jc w:val="center"/>
              <w:rPr>
                <w:sz w:val="18"/>
              </w:rPr>
            </w:pPr>
            <w:r>
              <w:rPr>
                <w:color w:val="231F20"/>
                <w:sz w:val="18"/>
              </w:rPr>
              <w:t>"</w:t>
            </w:r>
          </w:p>
        </w:tc>
        <w:tc>
          <w:tcPr>
            <w:tcW w:w="724" w:type="dxa"/>
          </w:tcPr>
          <w:p>
            <w:pPr>
              <w:pStyle w:val="TableParagraph"/>
              <w:spacing w:line="201" w:lineRule="exact"/>
              <w:ind w:left="181"/>
              <w:rPr>
                <w:sz w:val="18"/>
              </w:rPr>
            </w:pPr>
            <w:r>
              <w:rPr>
                <w:color w:val="231F20"/>
                <w:sz w:val="18"/>
              </w:rPr>
              <w:t>1B</w:t>
            </w:r>
          </w:p>
        </w:tc>
        <w:tc>
          <w:tcPr>
            <w:tcW w:w="1107" w:type="dxa"/>
          </w:tcPr>
          <w:p>
            <w:pPr>
              <w:pStyle w:val="TableParagraph"/>
              <w:spacing w:line="201" w:lineRule="exact"/>
              <w:ind w:right="275"/>
              <w:jc w:val="right"/>
              <w:rPr>
                <w:sz w:val="18"/>
              </w:rPr>
            </w:pPr>
            <w:r>
              <w:rPr>
                <w:color w:val="231F20"/>
                <w:sz w:val="18"/>
              </w:rPr>
              <w:t>3BR</w:t>
            </w:r>
          </w:p>
        </w:tc>
        <w:tc>
          <w:tcPr>
            <w:tcW w:w="1295" w:type="dxa"/>
          </w:tcPr>
          <w:p>
            <w:pPr>
              <w:pStyle w:val="TableParagraph"/>
              <w:spacing w:line="201" w:lineRule="exact"/>
              <w:ind w:left="275"/>
              <w:rPr>
                <w:sz w:val="18"/>
              </w:rPr>
            </w:pPr>
            <w:r>
              <w:rPr>
                <w:color w:val="231F20"/>
                <w:sz w:val="18"/>
              </w:rPr>
              <w:t>5 + 2 Bath</w:t>
            </w:r>
          </w:p>
        </w:tc>
        <w:tc>
          <w:tcPr>
            <w:tcW w:w="1329" w:type="dxa"/>
          </w:tcPr>
          <w:p>
            <w:pPr>
              <w:pStyle w:val="TableParagraph"/>
              <w:spacing w:line="201" w:lineRule="exact"/>
              <w:ind w:left="586"/>
              <w:rPr>
                <w:sz w:val="18"/>
              </w:rPr>
            </w:pPr>
            <w:r>
              <w:rPr>
                <w:color w:val="231F20"/>
                <w:sz w:val="18"/>
              </w:rPr>
              <w:t>1,318</w:t>
            </w:r>
          </w:p>
        </w:tc>
        <w:tc>
          <w:tcPr>
            <w:tcW w:w="1192" w:type="dxa"/>
          </w:tcPr>
          <w:p>
            <w:pPr>
              <w:pStyle w:val="TableParagraph"/>
              <w:spacing w:line="201" w:lineRule="exact"/>
              <w:ind w:right="105"/>
              <w:jc w:val="right"/>
              <w:rPr>
                <w:sz w:val="18"/>
              </w:rPr>
            </w:pPr>
            <w:r>
              <w:rPr>
                <w:color w:val="231F20"/>
                <w:sz w:val="18"/>
              </w:rPr>
              <w:t>1,300.00</w:t>
            </w:r>
          </w:p>
        </w:tc>
        <w:tc>
          <w:tcPr>
            <w:tcW w:w="1195" w:type="dxa"/>
          </w:tcPr>
          <w:p>
            <w:pPr>
              <w:pStyle w:val="TableParagraph"/>
              <w:spacing w:line="201" w:lineRule="exact"/>
              <w:ind w:left="391"/>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1C</w:t>
            </w:r>
          </w:p>
        </w:tc>
        <w:tc>
          <w:tcPr>
            <w:tcW w:w="1107" w:type="dxa"/>
          </w:tcPr>
          <w:p>
            <w:pPr>
              <w:pStyle w:val="TableParagraph"/>
              <w:ind w:right="275"/>
              <w:jc w:val="right"/>
              <w:rPr>
                <w:sz w:val="18"/>
              </w:rPr>
            </w:pPr>
            <w:r>
              <w:rPr>
                <w:color w:val="231F20"/>
                <w:sz w:val="18"/>
              </w:rPr>
              <w:t>3BR</w:t>
            </w:r>
          </w:p>
        </w:tc>
        <w:tc>
          <w:tcPr>
            <w:tcW w:w="1295" w:type="dxa"/>
          </w:tcPr>
          <w:p>
            <w:pPr>
              <w:pStyle w:val="TableParagraph"/>
              <w:ind w:left="275"/>
              <w:rPr>
                <w:sz w:val="18"/>
              </w:rPr>
            </w:pPr>
            <w:r>
              <w:rPr>
                <w:color w:val="231F20"/>
                <w:sz w:val="18"/>
              </w:rPr>
              <w:t>5 + 2 Bath</w:t>
            </w:r>
          </w:p>
        </w:tc>
        <w:tc>
          <w:tcPr>
            <w:tcW w:w="1329" w:type="dxa"/>
          </w:tcPr>
          <w:p>
            <w:pPr>
              <w:pStyle w:val="TableParagraph"/>
              <w:ind w:left="586"/>
              <w:rPr>
                <w:sz w:val="18"/>
              </w:rPr>
            </w:pPr>
            <w:r>
              <w:rPr>
                <w:color w:val="231F20"/>
                <w:sz w:val="18"/>
              </w:rPr>
              <w:t>1,338</w:t>
            </w:r>
          </w:p>
        </w:tc>
        <w:tc>
          <w:tcPr>
            <w:tcW w:w="1192" w:type="dxa"/>
          </w:tcPr>
          <w:p>
            <w:pPr>
              <w:pStyle w:val="TableParagraph"/>
              <w:ind w:right="105"/>
              <w:jc w:val="right"/>
              <w:rPr>
                <w:sz w:val="18"/>
              </w:rPr>
            </w:pPr>
            <w:r>
              <w:rPr>
                <w:color w:val="231F20"/>
                <w:sz w:val="18"/>
              </w:rPr>
              <w:t>1,300.00</w:t>
            </w:r>
          </w:p>
        </w:tc>
        <w:tc>
          <w:tcPr>
            <w:tcW w:w="1195" w:type="dxa"/>
          </w:tcPr>
          <w:p>
            <w:pPr>
              <w:pStyle w:val="TableParagraph"/>
              <w:ind w:left="391"/>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35" w:type="dxa"/>
          </w:tcPr>
          <w:p>
            <w:pPr>
              <w:pStyle w:val="TableParagraph"/>
              <w:spacing w:line="203" w:lineRule="exact"/>
              <w:ind w:left="353"/>
              <w:jc w:val="center"/>
              <w:rPr>
                <w:sz w:val="18"/>
              </w:rPr>
            </w:pPr>
            <w:r>
              <w:rPr>
                <w:color w:val="231F20"/>
                <w:sz w:val="18"/>
              </w:rPr>
              <w:t>"</w:t>
            </w:r>
          </w:p>
        </w:tc>
        <w:tc>
          <w:tcPr>
            <w:tcW w:w="724" w:type="dxa"/>
          </w:tcPr>
          <w:p>
            <w:pPr>
              <w:pStyle w:val="TableParagraph"/>
              <w:spacing w:line="203" w:lineRule="exact"/>
              <w:ind w:left="181"/>
              <w:rPr>
                <w:sz w:val="18"/>
              </w:rPr>
            </w:pPr>
            <w:r>
              <w:rPr>
                <w:color w:val="231F20"/>
                <w:sz w:val="18"/>
              </w:rPr>
              <w:t>1D</w:t>
            </w:r>
          </w:p>
        </w:tc>
        <w:tc>
          <w:tcPr>
            <w:tcW w:w="1107" w:type="dxa"/>
          </w:tcPr>
          <w:p>
            <w:pPr>
              <w:pStyle w:val="TableParagraph"/>
              <w:spacing w:line="203" w:lineRule="exact"/>
              <w:ind w:right="275"/>
              <w:jc w:val="right"/>
              <w:rPr>
                <w:sz w:val="18"/>
              </w:rPr>
            </w:pPr>
            <w:r>
              <w:rPr>
                <w:color w:val="231F20"/>
                <w:sz w:val="18"/>
              </w:rPr>
              <w:t>3BR</w:t>
            </w:r>
          </w:p>
        </w:tc>
        <w:tc>
          <w:tcPr>
            <w:tcW w:w="1295" w:type="dxa"/>
          </w:tcPr>
          <w:p>
            <w:pPr>
              <w:pStyle w:val="TableParagraph"/>
              <w:spacing w:line="203" w:lineRule="exact"/>
              <w:ind w:left="275"/>
              <w:rPr>
                <w:sz w:val="18"/>
              </w:rPr>
            </w:pPr>
            <w:r>
              <w:rPr>
                <w:color w:val="231F20"/>
                <w:sz w:val="18"/>
              </w:rPr>
              <w:t>5 + 2 Bath</w:t>
            </w:r>
          </w:p>
        </w:tc>
        <w:tc>
          <w:tcPr>
            <w:tcW w:w="1329" w:type="dxa"/>
          </w:tcPr>
          <w:p>
            <w:pPr>
              <w:pStyle w:val="TableParagraph"/>
              <w:spacing w:line="203" w:lineRule="exact"/>
              <w:ind w:left="586"/>
              <w:rPr>
                <w:sz w:val="18"/>
              </w:rPr>
            </w:pPr>
            <w:r>
              <w:rPr>
                <w:color w:val="231F20"/>
                <w:sz w:val="18"/>
              </w:rPr>
              <w:t>1,338</w:t>
            </w:r>
          </w:p>
        </w:tc>
        <w:tc>
          <w:tcPr>
            <w:tcW w:w="1192" w:type="dxa"/>
          </w:tcPr>
          <w:p>
            <w:pPr>
              <w:pStyle w:val="TableParagraph"/>
              <w:spacing w:line="203" w:lineRule="exact"/>
              <w:ind w:right="105"/>
              <w:jc w:val="right"/>
              <w:rPr>
                <w:sz w:val="18"/>
              </w:rPr>
            </w:pPr>
            <w:r>
              <w:rPr>
                <w:color w:val="231F20"/>
                <w:sz w:val="18"/>
              </w:rPr>
              <w:t>1,300.00</w:t>
            </w:r>
          </w:p>
        </w:tc>
        <w:tc>
          <w:tcPr>
            <w:tcW w:w="1195" w:type="dxa"/>
          </w:tcPr>
          <w:p>
            <w:pPr>
              <w:pStyle w:val="TableParagraph"/>
              <w:spacing w:line="203" w:lineRule="exact"/>
              <w:ind w:left="391"/>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35" w:type="dxa"/>
          </w:tcPr>
          <w:p>
            <w:pPr>
              <w:pStyle w:val="TableParagraph"/>
              <w:spacing w:line="216" w:lineRule="exact" w:before="56"/>
              <w:ind w:left="353"/>
              <w:jc w:val="center"/>
              <w:rPr>
                <w:sz w:val="18"/>
              </w:rPr>
            </w:pPr>
            <w:r>
              <w:rPr>
                <w:color w:val="231F20"/>
                <w:sz w:val="18"/>
              </w:rPr>
              <w:t>"</w:t>
            </w:r>
          </w:p>
        </w:tc>
        <w:tc>
          <w:tcPr>
            <w:tcW w:w="724" w:type="dxa"/>
          </w:tcPr>
          <w:p>
            <w:pPr>
              <w:pStyle w:val="TableParagraph"/>
              <w:spacing w:line="216" w:lineRule="exact" w:before="56"/>
              <w:ind w:left="181"/>
              <w:rPr>
                <w:sz w:val="18"/>
              </w:rPr>
            </w:pPr>
            <w:r>
              <w:rPr>
                <w:color w:val="231F20"/>
                <w:sz w:val="18"/>
              </w:rPr>
              <w:t>2A</w:t>
            </w:r>
          </w:p>
        </w:tc>
        <w:tc>
          <w:tcPr>
            <w:tcW w:w="1107" w:type="dxa"/>
          </w:tcPr>
          <w:p>
            <w:pPr>
              <w:pStyle w:val="TableParagraph"/>
              <w:spacing w:line="216" w:lineRule="exact" w:before="56"/>
              <w:ind w:right="275"/>
              <w:jc w:val="right"/>
              <w:rPr>
                <w:sz w:val="18"/>
              </w:rPr>
            </w:pPr>
            <w:r>
              <w:rPr>
                <w:color w:val="231F20"/>
                <w:sz w:val="18"/>
              </w:rPr>
              <w:t>2BR</w:t>
            </w:r>
          </w:p>
        </w:tc>
        <w:tc>
          <w:tcPr>
            <w:tcW w:w="1295" w:type="dxa"/>
          </w:tcPr>
          <w:p>
            <w:pPr>
              <w:pStyle w:val="TableParagraph"/>
              <w:spacing w:line="216" w:lineRule="exact" w:before="56"/>
              <w:ind w:left="275"/>
              <w:rPr>
                <w:sz w:val="18"/>
              </w:rPr>
            </w:pPr>
            <w:r>
              <w:rPr>
                <w:color w:val="231F20"/>
                <w:sz w:val="18"/>
              </w:rPr>
              <w:t>4 + 1½ Bath</w:t>
            </w:r>
          </w:p>
        </w:tc>
        <w:tc>
          <w:tcPr>
            <w:tcW w:w="1329" w:type="dxa"/>
          </w:tcPr>
          <w:p>
            <w:pPr>
              <w:pStyle w:val="TableParagraph"/>
              <w:spacing w:line="216" w:lineRule="exact" w:before="56"/>
              <w:ind w:left="586"/>
              <w:rPr>
                <w:sz w:val="18"/>
              </w:rPr>
            </w:pPr>
            <w:r>
              <w:rPr>
                <w:color w:val="231F20"/>
                <w:sz w:val="18"/>
              </w:rPr>
              <w:t>1,036</w:t>
            </w:r>
          </w:p>
        </w:tc>
        <w:tc>
          <w:tcPr>
            <w:tcW w:w="1192" w:type="dxa"/>
          </w:tcPr>
          <w:p>
            <w:pPr>
              <w:pStyle w:val="TableParagraph"/>
              <w:spacing w:line="216" w:lineRule="exact" w:before="56"/>
              <w:ind w:right="105"/>
              <w:jc w:val="right"/>
              <w:rPr>
                <w:sz w:val="18"/>
              </w:rPr>
            </w:pPr>
            <w:r>
              <w:rPr>
                <w:color w:val="231F20"/>
                <w:sz w:val="18"/>
              </w:rPr>
              <w:t>1,000.00</w:t>
            </w:r>
          </w:p>
        </w:tc>
        <w:tc>
          <w:tcPr>
            <w:tcW w:w="1195" w:type="dxa"/>
          </w:tcPr>
          <w:p>
            <w:pPr>
              <w:pStyle w:val="TableParagraph"/>
              <w:spacing w:line="216" w:lineRule="exact" w:before="56"/>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2B</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35" w:type="dxa"/>
          </w:tcPr>
          <w:p>
            <w:pPr>
              <w:pStyle w:val="TableParagraph"/>
              <w:ind w:left="353"/>
              <w:jc w:val="center"/>
              <w:rPr>
                <w:sz w:val="18"/>
              </w:rPr>
            </w:pPr>
            <w:r>
              <w:rPr>
                <w:color w:val="231F20"/>
                <w:sz w:val="18"/>
              </w:rPr>
              <w:t>"</w:t>
            </w:r>
          </w:p>
        </w:tc>
        <w:tc>
          <w:tcPr>
            <w:tcW w:w="724" w:type="dxa"/>
          </w:tcPr>
          <w:p>
            <w:pPr>
              <w:pStyle w:val="TableParagraph"/>
              <w:ind w:left="181"/>
              <w:rPr>
                <w:sz w:val="18"/>
              </w:rPr>
            </w:pPr>
            <w:r>
              <w:rPr>
                <w:color w:val="231F20"/>
                <w:sz w:val="18"/>
              </w:rPr>
              <w:t>2C</w:t>
            </w:r>
          </w:p>
        </w:tc>
        <w:tc>
          <w:tcPr>
            <w:tcW w:w="1107" w:type="dxa"/>
          </w:tcPr>
          <w:p>
            <w:pPr>
              <w:pStyle w:val="TableParagraph"/>
              <w:ind w:right="275"/>
              <w:jc w:val="right"/>
              <w:rPr>
                <w:sz w:val="18"/>
              </w:rPr>
            </w:pPr>
            <w:r>
              <w:rPr>
                <w:color w:val="231F20"/>
                <w:sz w:val="18"/>
              </w:rPr>
              <w:t>2BR</w:t>
            </w:r>
          </w:p>
        </w:tc>
        <w:tc>
          <w:tcPr>
            <w:tcW w:w="1295" w:type="dxa"/>
          </w:tcPr>
          <w:p>
            <w:pPr>
              <w:pStyle w:val="TableParagraph"/>
              <w:ind w:left="275"/>
              <w:rPr>
                <w:sz w:val="18"/>
              </w:rPr>
            </w:pPr>
            <w:r>
              <w:rPr>
                <w:color w:val="231F20"/>
                <w:sz w:val="18"/>
              </w:rPr>
              <w:t>4 + 1½ Bath</w:t>
            </w:r>
          </w:p>
        </w:tc>
        <w:tc>
          <w:tcPr>
            <w:tcW w:w="1329" w:type="dxa"/>
          </w:tcPr>
          <w:p>
            <w:pPr>
              <w:pStyle w:val="TableParagraph"/>
              <w:ind w:left="586"/>
              <w:rPr>
                <w:sz w:val="18"/>
              </w:rPr>
            </w:pPr>
            <w:r>
              <w:rPr>
                <w:color w:val="231F20"/>
                <w:sz w:val="18"/>
              </w:rPr>
              <w:t>1,036</w:t>
            </w:r>
          </w:p>
        </w:tc>
        <w:tc>
          <w:tcPr>
            <w:tcW w:w="1192" w:type="dxa"/>
          </w:tcPr>
          <w:p>
            <w:pPr>
              <w:pStyle w:val="TableParagraph"/>
              <w:ind w:right="105"/>
              <w:jc w:val="right"/>
              <w:rPr>
                <w:sz w:val="18"/>
              </w:rPr>
            </w:pPr>
            <w:r>
              <w:rPr>
                <w:color w:val="231F20"/>
                <w:sz w:val="18"/>
              </w:rPr>
              <w:t>1,000.00</w:t>
            </w:r>
          </w:p>
        </w:tc>
        <w:tc>
          <w:tcPr>
            <w:tcW w:w="1195" w:type="dxa"/>
          </w:tcPr>
          <w:p>
            <w:pPr>
              <w:pStyle w:val="TableParagraph"/>
              <w:ind w:left="391"/>
              <w:rPr>
                <w:sz w:val="18"/>
              </w:rPr>
            </w:pPr>
            <w:r>
              <w:rPr>
                <w:color w:val="231F20"/>
                <w:sz w:val="18"/>
              </w:rPr>
              <w:t>0.320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35" w:type="dxa"/>
          </w:tcPr>
          <w:p>
            <w:pPr>
              <w:pStyle w:val="TableParagraph"/>
              <w:spacing w:line="179" w:lineRule="exact"/>
              <w:ind w:left="353"/>
              <w:jc w:val="center"/>
              <w:rPr>
                <w:sz w:val="18"/>
              </w:rPr>
            </w:pPr>
            <w:r>
              <w:rPr>
                <w:color w:val="231F20"/>
                <w:sz w:val="18"/>
              </w:rPr>
              <w:t>"</w:t>
            </w:r>
          </w:p>
        </w:tc>
        <w:tc>
          <w:tcPr>
            <w:tcW w:w="724" w:type="dxa"/>
          </w:tcPr>
          <w:p>
            <w:pPr>
              <w:pStyle w:val="TableParagraph"/>
              <w:spacing w:line="179" w:lineRule="exact"/>
              <w:ind w:left="181"/>
              <w:rPr>
                <w:sz w:val="18"/>
              </w:rPr>
            </w:pPr>
            <w:r>
              <w:rPr>
                <w:color w:val="231F20"/>
                <w:sz w:val="18"/>
              </w:rPr>
              <w:t>2D</w:t>
            </w:r>
          </w:p>
        </w:tc>
        <w:tc>
          <w:tcPr>
            <w:tcW w:w="1107" w:type="dxa"/>
          </w:tcPr>
          <w:p>
            <w:pPr>
              <w:pStyle w:val="TableParagraph"/>
              <w:spacing w:line="179" w:lineRule="exact"/>
              <w:ind w:right="275"/>
              <w:jc w:val="right"/>
              <w:rPr>
                <w:sz w:val="18"/>
              </w:rPr>
            </w:pPr>
            <w:r>
              <w:rPr>
                <w:color w:val="231F20"/>
                <w:sz w:val="18"/>
              </w:rPr>
              <w:t>2BR</w:t>
            </w:r>
          </w:p>
        </w:tc>
        <w:tc>
          <w:tcPr>
            <w:tcW w:w="1295" w:type="dxa"/>
          </w:tcPr>
          <w:p>
            <w:pPr>
              <w:pStyle w:val="TableParagraph"/>
              <w:spacing w:line="179" w:lineRule="exact"/>
              <w:ind w:left="275"/>
              <w:rPr>
                <w:sz w:val="18"/>
              </w:rPr>
            </w:pPr>
            <w:r>
              <w:rPr>
                <w:color w:val="231F20"/>
                <w:sz w:val="18"/>
              </w:rPr>
              <w:t>4 + 1½ Bath</w:t>
            </w:r>
          </w:p>
        </w:tc>
        <w:tc>
          <w:tcPr>
            <w:tcW w:w="1329" w:type="dxa"/>
          </w:tcPr>
          <w:p>
            <w:pPr>
              <w:pStyle w:val="TableParagraph"/>
              <w:spacing w:line="179" w:lineRule="exact"/>
              <w:ind w:left="586"/>
              <w:rPr>
                <w:sz w:val="18"/>
              </w:rPr>
            </w:pPr>
            <w:r>
              <w:rPr>
                <w:color w:val="231F20"/>
                <w:sz w:val="18"/>
              </w:rPr>
              <w:t>1,036</w:t>
            </w:r>
          </w:p>
        </w:tc>
        <w:tc>
          <w:tcPr>
            <w:tcW w:w="1192" w:type="dxa"/>
          </w:tcPr>
          <w:p>
            <w:pPr>
              <w:pStyle w:val="TableParagraph"/>
              <w:spacing w:line="179" w:lineRule="exact"/>
              <w:ind w:right="105"/>
              <w:jc w:val="right"/>
              <w:rPr>
                <w:sz w:val="18"/>
              </w:rPr>
            </w:pPr>
            <w:r>
              <w:rPr>
                <w:color w:val="231F20"/>
                <w:sz w:val="18"/>
              </w:rPr>
              <w:t>1,000.00</w:t>
            </w:r>
          </w:p>
        </w:tc>
        <w:tc>
          <w:tcPr>
            <w:tcW w:w="1195" w:type="dxa"/>
          </w:tcPr>
          <w:p>
            <w:pPr>
              <w:pStyle w:val="TableParagraph"/>
              <w:spacing w:line="179" w:lineRule="exact"/>
              <w:ind w:left="391"/>
              <w:rPr>
                <w:sz w:val="18"/>
              </w:rPr>
            </w:pPr>
            <w:r>
              <w:rPr>
                <w:color w:val="231F20"/>
                <w:sz w:val="18"/>
              </w:rPr>
              <w:t>0.320</w:t>
            </w:r>
          </w:p>
        </w:tc>
      </w:tr>
    </w:tbl>
    <w:p>
      <w:pPr>
        <w:rPr>
          <w:sz w:val="2"/>
          <w:szCs w:val="2"/>
        </w:rPr>
      </w:pPr>
      <w:r>
        <w:rPr/>
        <w:drawing>
          <wp:anchor distT="0" distB="0" distL="0" distR="0" allowOverlap="1" layoutInCell="1" locked="0" behindDoc="1" simplePos="0" relativeHeight="241659904">
            <wp:simplePos x="0" y="0"/>
            <wp:positionH relativeFrom="page">
              <wp:posOffset>846124</wp:posOffset>
            </wp:positionH>
            <wp:positionV relativeFrom="page">
              <wp:posOffset>1803146</wp:posOffset>
            </wp:positionV>
            <wp:extent cx="6082296" cy="6096"/>
            <wp:effectExtent l="0" t="0" r="0" b="0"/>
            <wp:wrapNone/>
            <wp:docPr id="9" name="image5.png"/>
            <wp:cNvGraphicFramePr>
              <a:graphicFrameLocks noChangeAspect="1"/>
            </wp:cNvGraphicFramePr>
            <a:graphic>
              <a:graphicData uri="http://schemas.openxmlformats.org/drawingml/2006/picture">
                <pic:pic>
                  <pic:nvPicPr>
                    <pic:cNvPr id="10" name="image5.png"/>
                    <pic:cNvPicPr/>
                  </pic:nvPicPr>
                  <pic:blipFill>
                    <a:blip r:embed="rId14" cstate="print"/>
                    <a:stretch>
                      <a:fillRect/>
                    </a:stretch>
                  </pic:blipFill>
                  <pic:spPr>
                    <a:xfrm>
                      <a:off x="0" y="0"/>
                      <a:ext cx="6082296" cy="6096"/>
                    </a:xfrm>
                    <a:prstGeom prst="rect">
                      <a:avLst/>
                    </a:prstGeom>
                  </pic:spPr>
                </pic:pic>
              </a:graphicData>
            </a:graphic>
          </wp:anchor>
        </w:drawing>
      </w:r>
    </w:p>
    <w:p>
      <w:pPr>
        <w:spacing w:after="0"/>
        <w:rPr>
          <w:sz w:val="2"/>
          <w:szCs w:val="2"/>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76"/>
        <w:gridCol w:w="684"/>
        <w:gridCol w:w="1107"/>
        <w:gridCol w:w="1296"/>
        <w:gridCol w:w="1330"/>
        <w:gridCol w:w="1193"/>
        <w:gridCol w:w="1196"/>
      </w:tblGrid>
      <w:tr>
        <w:trPr>
          <w:trHeight w:val="210"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190" w:lineRule="exact"/>
              <w:ind w:left="164"/>
              <w:rPr>
                <w:sz w:val="20"/>
              </w:rPr>
            </w:pPr>
            <w:r>
              <w:rPr>
                <w:color w:val="231F20"/>
                <w:sz w:val="20"/>
              </w:rPr>
              <w:t>Approximate</w:t>
            </w: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220"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Square</w:t>
            </w: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219"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Footage Not</w:t>
            </w:r>
          </w:p>
        </w:tc>
        <w:tc>
          <w:tcPr>
            <w:tcW w:w="1193" w:type="dxa"/>
          </w:tcPr>
          <w:p>
            <w:pPr>
              <w:pStyle w:val="TableParagraph"/>
              <w:spacing w:line="240" w:lineRule="auto"/>
              <w:rPr>
                <w:rFonts w:ascii="Times New Roman"/>
                <w:sz w:val="14"/>
              </w:rPr>
            </w:pPr>
          </w:p>
        </w:tc>
        <w:tc>
          <w:tcPr>
            <w:tcW w:w="1196" w:type="dxa"/>
          </w:tcPr>
          <w:p>
            <w:pPr>
              <w:pStyle w:val="TableParagraph"/>
              <w:ind w:left="104"/>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76" w:type="dxa"/>
          </w:tcPr>
          <w:p>
            <w:pPr>
              <w:pStyle w:val="TableParagraph"/>
              <w:ind w:left="388"/>
              <w:rPr>
                <w:sz w:val="20"/>
              </w:rPr>
            </w:pPr>
            <w:r>
              <w:rPr>
                <w:color w:val="231F20"/>
                <w:sz w:val="20"/>
              </w:rPr>
              <w:t>Apartment</w:t>
            </w: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Including</w:t>
            </w:r>
          </w:p>
        </w:tc>
        <w:tc>
          <w:tcPr>
            <w:tcW w:w="1193" w:type="dxa"/>
          </w:tcPr>
          <w:p>
            <w:pPr>
              <w:pStyle w:val="TableParagraph"/>
              <w:spacing w:line="240" w:lineRule="auto"/>
              <w:rPr>
                <w:rFonts w:ascii="Times New Roman"/>
                <w:sz w:val="14"/>
              </w:rPr>
            </w:pPr>
          </w:p>
        </w:tc>
        <w:tc>
          <w:tcPr>
            <w:tcW w:w="1196" w:type="dxa"/>
          </w:tcPr>
          <w:p>
            <w:pPr>
              <w:pStyle w:val="TableParagraph"/>
              <w:ind w:left="104"/>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76" w:type="dxa"/>
          </w:tcPr>
          <w:p>
            <w:pPr>
              <w:pStyle w:val="TableParagraph"/>
              <w:spacing w:line="201" w:lineRule="exact"/>
              <w:ind w:left="388"/>
              <w:rPr>
                <w:sz w:val="20"/>
              </w:rPr>
            </w:pPr>
            <w:r>
              <w:rPr>
                <w:color w:val="231F20"/>
                <w:sz w:val="20"/>
              </w:rPr>
              <w:t>Building</w:t>
            </w:r>
          </w:p>
        </w:tc>
        <w:tc>
          <w:tcPr>
            <w:tcW w:w="684" w:type="dxa"/>
          </w:tcPr>
          <w:p>
            <w:pPr>
              <w:pStyle w:val="TableParagraph"/>
              <w:spacing w:line="201" w:lineRule="exact"/>
              <w:ind w:left="140"/>
              <w:rPr>
                <w:sz w:val="20"/>
              </w:rPr>
            </w:pPr>
            <w:r>
              <w:rPr>
                <w:color w:val="231F20"/>
                <w:sz w:val="20"/>
              </w:rPr>
              <w:t>Apt.</w:t>
            </w: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Balcony or</w:t>
            </w:r>
          </w:p>
        </w:tc>
        <w:tc>
          <w:tcPr>
            <w:tcW w:w="1193" w:type="dxa"/>
          </w:tcPr>
          <w:p>
            <w:pPr>
              <w:pStyle w:val="TableParagraph"/>
              <w:spacing w:line="201" w:lineRule="exact"/>
              <w:ind w:left="106"/>
              <w:rPr>
                <w:sz w:val="20"/>
              </w:rPr>
            </w:pPr>
            <w:r>
              <w:rPr>
                <w:color w:val="231F20"/>
                <w:sz w:val="20"/>
              </w:rPr>
              <w:t>Declared</w:t>
            </w:r>
          </w:p>
        </w:tc>
        <w:tc>
          <w:tcPr>
            <w:tcW w:w="1196" w:type="dxa"/>
          </w:tcPr>
          <w:p>
            <w:pPr>
              <w:pStyle w:val="TableParagraph"/>
              <w:spacing w:line="201" w:lineRule="exact"/>
              <w:ind w:left="104"/>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76" w:type="dxa"/>
            <w:tcBorders>
              <w:bottom w:val="single" w:sz="4" w:space="0" w:color="000000"/>
            </w:tcBorders>
          </w:tcPr>
          <w:p>
            <w:pPr>
              <w:pStyle w:val="TableParagraph"/>
              <w:spacing w:line="214" w:lineRule="exact"/>
              <w:ind w:left="388"/>
              <w:rPr>
                <w:sz w:val="20"/>
              </w:rPr>
            </w:pPr>
            <w:r>
              <w:rPr>
                <w:color w:val="231F20"/>
                <w:sz w:val="20"/>
              </w:rPr>
              <w:t>Address</w:t>
            </w:r>
          </w:p>
        </w:tc>
        <w:tc>
          <w:tcPr>
            <w:tcW w:w="684" w:type="dxa"/>
            <w:tcBorders>
              <w:bottom w:val="single" w:sz="4" w:space="0" w:color="000000"/>
            </w:tcBorders>
          </w:tcPr>
          <w:p>
            <w:pPr>
              <w:pStyle w:val="TableParagraph"/>
              <w:spacing w:line="214" w:lineRule="exact"/>
              <w:ind w:left="140"/>
              <w:rPr>
                <w:sz w:val="20"/>
              </w:rPr>
            </w:pPr>
            <w:r>
              <w:rPr>
                <w:color w:val="231F20"/>
                <w:sz w:val="20"/>
              </w:rPr>
              <w:t>No.</w:t>
            </w:r>
          </w:p>
        </w:tc>
        <w:tc>
          <w:tcPr>
            <w:tcW w:w="1107" w:type="dxa"/>
            <w:tcBorders>
              <w:bottom w:val="single" w:sz="4" w:space="0" w:color="000000"/>
            </w:tcBorders>
          </w:tcPr>
          <w:p>
            <w:pPr>
              <w:pStyle w:val="TableParagraph"/>
              <w:spacing w:line="214" w:lineRule="exact"/>
              <w:ind w:left="202"/>
              <w:rPr>
                <w:sz w:val="20"/>
              </w:rPr>
            </w:pPr>
            <w:r>
              <w:rPr>
                <w:color w:val="231F20"/>
                <w:sz w:val="20"/>
              </w:rPr>
              <w:t>Type</w:t>
            </w:r>
          </w:p>
        </w:tc>
        <w:tc>
          <w:tcPr>
            <w:tcW w:w="1296" w:type="dxa"/>
            <w:tcBorders>
              <w:bottom w:val="single" w:sz="4" w:space="0" w:color="000000"/>
            </w:tcBorders>
          </w:tcPr>
          <w:p>
            <w:pPr>
              <w:pStyle w:val="TableParagraph"/>
              <w:spacing w:line="214" w:lineRule="exact"/>
              <w:ind w:left="274"/>
              <w:rPr>
                <w:sz w:val="20"/>
              </w:rPr>
            </w:pPr>
            <w:r>
              <w:rPr>
                <w:color w:val="231F20"/>
                <w:sz w:val="20"/>
              </w:rPr>
              <w:t>Rooms</w:t>
            </w:r>
          </w:p>
        </w:tc>
        <w:tc>
          <w:tcPr>
            <w:tcW w:w="1330" w:type="dxa"/>
            <w:tcBorders>
              <w:bottom w:val="single" w:sz="4" w:space="0" w:color="000000"/>
            </w:tcBorders>
          </w:tcPr>
          <w:p>
            <w:pPr>
              <w:pStyle w:val="TableParagraph"/>
              <w:spacing w:line="214" w:lineRule="exact"/>
              <w:ind w:left="164"/>
              <w:rPr>
                <w:sz w:val="20"/>
              </w:rPr>
            </w:pPr>
            <w:r>
              <w:rPr>
                <w:color w:val="231F20"/>
                <w:sz w:val="20"/>
              </w:rPr>
              <w:t>Patio</w:t>
            </w:r>
          </w:p>
        </w:tc>
        <w:tc>
          <w:tcPr>
            <w:tcW w:w="1193" w:type="dxa"/>
            <w:tcBorders>
              <w:bottom w:val="single" w:sz="4" w:space="0" w:color="000000"/>
            </w:tcBorders>
          </w:tcPr>
          <w:p>
            <w:pPr>
              <w:pStyle w:val="TableParagraph"/>
              <w:spacing w:line="214" w:lineRule="exact"/>
              <w:ind w:left="106"/>
              <w:rPr>
                <w:sz w:val="20"/>
              </w:rPr>
            </w:pPr>
            <w:r>
              <w:rPr>
                <w:color w:val="231F20"/>
                <w:sz w:val="20"/>
              </w:rPr>
              <w:t>Value</w:t>
            </w:r>
          </w:p>
        </w:tc>
        <w:tc>
          <w:tcPr>
            <w:tcW w:w="1196" w:type="dxa"/>
            <w:tcBorders>
              <w:bottom w:val="single" w:sz="4" w:space="0" w:color="000000"/>
            </w:tcBorders>
          </w:tcPr>
          <w:p>
            <w:pPr>
              <w:pStyle w:val="TableParagraph"/>
              <w:spacing w:line="214" w:lineRule="exact"/>
              <w:ind w:left="104"/>
              <w:rPr>
                <w:sz w:val="20"/>
              </w:rPr>
            </w:pPr>
            <w:r>
              <w:rPr>
                <w:color w:val="231F20"/>
                <w:sz w:val="20"/>
              </w:rPr>
              <w:t>Interest</w:t>
            </w:r>
          </w:p>
        </w:tc>
      </w:tr>
      <w:tr>
        <w:trPr>
          <w:trHeight w:val="236" w:hRule="atLeast"/>
        </w:trPr>
        <w:tc>
          <w:tcPr>
            <w:tcW w:w="900" w:type="dxa"/>
            <w:tcBorders>
              <w:top w:val="single" w:sz="4" w:space="0" w:color="000000"/>
            </w:tcBorders>
          </w:tcPr>
          <w:p>
            <w:pPr>
              <w:pStyle w:val="TableParagraph"/>
              <w:spacing w:line="216" w:lineRule="exact" w:before="1"/>
              <w:ind w:left="108"/>
              <w:rPr>
                <w:sz w:val="18"/>
              </w:rPr>
            </w:pPr>
            <w:r>
              <w:rPr>
                <w:color w:val="231F20"/>
                <w:sz w:val="18"/>
              </w:rPr>
              <w:t>C10</w:t>
            </w:r>
          </w:p>
        </w:tc>
        <w:tc>
          <w:tcPr>
            <w:tcW w:w="1876" w:type="dxa"/>
            <w:tcBorders>
              <w:top w:val="single" w:sz="4" w:space="0" w:color="000000"/>
            </w:tcBorders>
          </w:tcPr>
          <w:p>
            <w:pPr>
              <w:pStyle w:val="TableParagraph"/>
              <w:spacing w:line="216" w:lineRule="exact" w:before="1"/>
              <w:ind w:right="139"/>
              <w:jc w:val="right"/>
              <w:rPr>
                <w:sz w:val="18"/>
              </w:rPr>
            </w:pPr>
            <w:r>
              <w:rPr>
                <w:color w:val="231F20"/>
                <w:sz w:val="18"/>
              </w:rPr>
              <w:t>6301 Colony Way</w:t>
            </w:r>
          </w:p>
        </w:tc>
        <w:tc>
          <w:tcPr>
            <w:tcW w:w="684" w:type="dxa"/>
            <w:tcBorders>
              <w:top w:val="single" w:sz="4" w:space="0" w:color="000000"/>
            </w:tcBorders>
          </w:tcPr>
          <w:p>
            <w:pPr>
              <w:pStyle w:val="TableParagraph"/>
              <w:spacing w:line="216" w:lineRule="exact" w:before="1"/>
              <w:ind w:left="140"/>
              <w:rPr>
                <w:sz w:val="18"/>
              </w:rPr>
            </w:pPr>
            <w:r>
              <w:rPr>
                <w:color w:val="231F20"/>
                <w:sz w:val="18"/>
              </w:rPr>
              <w:t>1A</w:t>
            </w:r>
          </w:p>
        </w:tc>
        <w:tc>
          <w:tcPr>
            <w:tcW w:w="1107" w:type="dxa"/>
            <w:tcBorders>
              <w:top w:val="single" w:sz="4" w:space="0" w:color="000000"/>
            </w:tcBorders>
          </w:tcPr>
          <w:p>
            <w:pPr>
              <w:pStyle w:val="TableParagraph"/>
              <w:spacing w:line="216" w:lineRule="exact" w:before="1"/>
              <w:ind w:right="276"/>
              <w:jc w:val="right"/>
              <w:rPr>
                <w:sz w:val="18"/>
              </w:rPr>
            </w:pPr>
            <w:r>
              <w:rPr>
                <w:color w:val="231F20"/>
                <w:sz w:val="18"/>
              </w:rPr>
              <w:t>3BR</w:t>
            </w:r>
          </w:p>
        </w:tc>
        <w:tc>
          <w:tcPr>
            <w:tcW w:w="1296" w:type="dxa"/>
            <w:tcBorders>
              <w:top w:val="single" w:sz="4" w:space="0" w:color="000000"/>
            </w:tcBorders>
          </w:tcPr>
          <w:p>
            <w:pPr>
              <w:pStyle w:val="TableParagraph"/>
              <w:spacing w:line="216" w:lineRule="exact" w:before="1"/>
              <w:ind w:left="274"/>
              <w:rPr>
                <w:sz w:val="18"/>
              </w:rPr>
            </w:pPr>
            <w:r>
              <w:rPr>
                <w:color w:val="231F20"/>
                <w:sz w:val="18"/>
              </w:rPr>
              <w:t>5 + 2 Bath</w:t>
            </w:r>
          </w:p>
        </w:tc>
        <w:tc>
          <w:tcPr>
            <w:tcW w:w="1330" w:type="dxa"/>
            <w:tcBorders>
              <w:top w:val="single" w:sz="4" w:space="0" w:color="000000"/>
            </w:tcBorders>
          </w:tcPr>
          <w:p>
            <w:pPr>
              <w:pStyle w:val="TableParagraph"/>
              <w:spacing w:line="216" w:lineRule="exact" w:before="1"/>
              <w:ind w:left="584"/>
              <w:rPr>
                <w:sz w:val="18"/>
              </w:rPr>
            </w:pPr>
            <w:r>
              <w:rPr>
                <w:color w:val="231F20"/>
                <w:sz w:val="18"/>
              </w:rPr>
              <w:t>1,318</w:t>
            </w:r>
          </w:p>
        </w:tc>
        <w:tc>
          <w:tcPr>
            <w:tcW w:w="1193" w:type="dxa"/>
            <w:tcBorders>
              <w:top w:val="single" w:sz="4" w:space="0" w:color="000000"/>
            </w:tcBorders>
          </w:tcPr>
          <w:p>
            <w:pPr>
              <w:pStyle w:val="TableParagraph"/>
              <w:spacing w:line="216" w:lineRule="exact" w:before="1"/>
              <w:ind w:right="109"/>
              <w:jc w:val="right"/>
              <w:rPr>
                <w:sz w:val="18"/>
              </w:rPr>
            </w:pPr>
            <w:r>
              <w:rPr>
                <w:color w:val="231F20"/>
                <w:sz w:val="18"/>
              </w:rPr>
              <w:t>$1,300.00</w:t>
            </w:r>
          </w:p>
        </w:tc>
        <w:tc>
          <w:tcPr>
            <w:tcW w:w="1196" w:type="dxa"/>
            <w:tcBorders>
              <w:top w:val="single" w:sz="4" w:space="0" w:color="000000"/>
            </w:tcBorders>
          </w:tcPr>
          <w:p>
            <w:pPr>
              <w:pStyle w:val="TableParagraph"/>
              <w:spacing w:line="216" w:lineRule="exact" w:before="1"/>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1D</w:t>
            </w:r>
          </w:p>
        </w:tc>
        <w:tc>
          <w:tcPr>
            <w:tcW w:w="1107" w:type="dxa"/>
          </w:tcPr>
          <w:p>
            <w:pPr>
              <w:pStyle w:val="TableParagraph"/>
              <w:spacing w:line="203" w:lineRule="exact"/>
              <w:ind w:right="276"/>
              <w:jc w:val="right"/>
              <w:rPr>
                <w:sz w:val="18"/>
              </w:rPr>
            </w:pPr>
            <w:r>
              <w:rPr>
                <w:color w:val="231F20"/>
                <w:sz w:val="18"/>
              </w:rPr>
              <w:t>3BR</w:t>
            </w:r>
          </w:p>
        </w:tc>
        <w:tc>
          <w:tcPr>
            <w:tcW w:w="1296" w:type="dxa"/>
          </w:tcPr>
          <w:p>
            <w:pPr>
              <w:pStyle w:val="TableParagraph"/>
              <w:spacing w:line="203" w:lineRule="exact"/>
              <w:ind w:left="274"/>
              <w:rPr>
                <w:sz w:val="18"/>
              </w:rPr>
            </w:pPr>
            <w:r>
              <w:rPr>
                <w:color w:val="231F20"/>
                <w:sz w:val="18"/>
              </w:rPr>
              <w:t>5 + 2 Bath</w:t>
            </w:r>
          </w:p>
        </w:tc>
        <w:tc>
          <w:tcPr>
            <w:tcW w:w="1330" w:type="dxa"/>
          </w:tcPr>
          <w:p>
            <w:pPr>
              <w:pStyle w:val="TableParagraph"/>
              <w:spacing w:line="203" w:lineRule="exact"/>
              <w:ind w:left="584"/>
              <w:rPr>
                <w:sz w:val="18"/>
              </w:rPr>
            </w:pPr>
            <w:r>
              <w:rPr>
                <w:color w:val="231F20"/>
                <w:sz w:val="18"/>
              </w:rPr>
              <w:t>1,338</w:t>
            </w:r>
          </w:p>
        </w:tc>
        <w:tc>
          <w:tcPr>
            <w:tcW w:w="1193" w:type="dxa"/>
          </w:tcPr>
          <w:p>
            <w:pPr>
              <w:pStyle w:val="TableParagraph"/>
              <w:spacing w:line="203" w:lineRule="exact"/>
              <w:ind w:right="109"/>
              <w:jc w:val="right"/>
              <w:rPr>
                <w:sz w:val="18"/>
              </w:rPr>
            </w:pPr>
            <w:r>
              <w:rPr>
                <w:color w:val="231F20"/>
                <w:sz w:val="18"/>
              </w:rPr>
              <w:t>1,300.00</w:t>
            </w:r>
          </w:p>
        </w:tc>
        <w:tc>
          <w:tcPr>
            <w:tcW w:w="1196" w:type="dxa"/>
          </w:tcPr>
          <w:p>
            <w:pPr>
              <w:pStyle w:val="TableParagraph"/>
              <w:spacing w:line="203" w:lineRule="exact"/>
              <w:ind w:left="387"/>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76" w:type="dxa"/>
          </w:tcPr>
          <w:p>
            <w:pPr>
              <w:pStyle w:val="TableParagraph"/>
              <w:spacing w:line="216" w:lineRule="exact" w:before="56"/>
              <w:ind w:left="312"/>
              <w:jc w:val="center"/>
              <w:rPr>
                <w:sz w:val="18"/>
              </w:rPr>
            </w:pPr>
            <w:r>
              <w:rPr>
                <w:color w:val="231F20"/>
                <w:sz w:val="18"/>
              </w:rPr>
              <w:t>"</w:t>
            </w:r>
          </w:p>
        </w:tc>
        <w:tc>
          <w:tcPr>
            <w:tcW w:w="684" w:type="dxa"/>
          </w:tcPr>
          <w:p>
            <w:pPr>
              <w:pStyle w:val="TableParagraph"/>
              <w:spacing w:line="216" w:lineRule="exact" w:before="56"/>
              <w:ind w:left="140"/>
              <w:rPr>
                <w:sz w:val="18"/>
              </w:rPr>
            </w:pPr>
            <w:r>
              <w:rPr>
                <w:color w:val="231F20"/>
                <w:sz w:val="18"/>
              </w:rPr>
              <w:t>2A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584"/>
              <w:rPr>
                <w:sz w:val="18"/>
              </w:rPr>
            </w:pPr>
            <w:r>
              <w:rPr>
                <w:color w:val="231F20"/>
                <w:sz w:val="18"/>
              </w:rPr>
              <w:t>1,036</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2D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1,036</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C9</w:t>
            </w:r>
          </w:p>
        </w:tc>
        <w:tc>
          <w:tcPr>
            <w:tcW w:w="1876" w:type="dxa"/>
          </w:tcPr>
          <w:p>
            <w:pPr>
              <w:pStyle w:val="TableParagraph"/>
              <w:spacing w:line="216" w:lineRule="exact" w:before="56"/>
              <w:ind w:right="139"/>
              <w:jc w:val="right"/>
              <w:rPr>
                <w:sz w:val="18"/>
              </w:rPr>
            </w:pPr>
            <w:r>
              <w:rPr>
                <w:color w:val="231F20"/>
                <w:sz w:val="18"/>
              </w:rPr>
              <w:t>6305 Colony Way</w:t>
            </w:r>
          </w:p>
        </w:tc>
        <w:tc>
          <w:tcPr>
            <w:tcW w:w="684" w:type="dxa"/>
          </w:tcPr>
          <w:p>
            <w:pPr>
              <w:pStyle w:val="TableParagraph"/>
              <w:spacing w:line="216" w:lineRule="exact" w:before="56"/>
              <w:ind w:left="140"/>
              <w:rPr>
                <w:sz w:val="18"/>
              </w:rPr>
            </w:pPr>
            <w:r>
              <w:rPr>
                <w:color w:val="231F20"/>
                <w:sz w:val="18"/>
              </w:rPr>
              <w:t>1A</w:t>
            </w:r>
          </w:p>
        </w:tc>
        <w:tc>
          <w:tcPr>
            <w:tcW w:w="1107" w:type="dxa"/>
          </w:tcPr>
          <w:p>
            <w:pPr>
              <w:pStyle w:val="TableParagraph"/>
              <w:spacing w:line="216" w:lineRule="exact" w:before="56"/>
              <w:ind w:right="276"/>
              <w:jc w:val="right"/>
              <w:rPr>
                <w:sz w:val="18"/>
              </w:rPr>
            </w:pPr>
            <w:r>
              <w:rPr>
                <w:color w:val="231F20"/>
                <w:sz w:val="18"/>
              </w:rPr>
              <w:t>3BR</w:t>
            </w:r>
          </w:p>
        </w:tc>
        <w:tc>
          <w:tcPr>
            <w:tcW w:w="1296" w:type="dxa"/>
          </w:tcPr>
          <w:p>
            <w:pPr>
              <w:pStyle w:val="TableParagraph"/>
              <w:spacing w:line="216" w:lineRule="exact" w:before="56"/>
              <w:ind w:left="274"/>
              <w:rPr>
                <w:sz w:val="18"/>
              </w:rPr>
            </w:pPr>
            <w:r>
              <w:rPr>
                <w:color w:val="231F20"/>
                <w:sz w:val="18"/>
              </w:rPr>
              <w:t>5 + 2 Bath</w:t>
            </w:r>
          </w:p>
        </w:tc>
        <w:tc>
          <w:tcPr>
            <w:tcW w:w="1330" w:type="dxa"/>
          </w:tcPr>
          <w:p>
            <w:pPr>
              <w:pStyle w:val="TableParagraph"/>
              <w:spacing w:line="216" w:lineRule="exact" w:before="56"/>
              <w:ind w:left="584"/>
              <w:rPr>
                <w:sz w:val="18"/>
              </w:rPr>
            </w:pPr>
            <w:r>
              <w:rPr>
                <w:color w:val="231F20"/>
                <w:sz w:val="18"/>
              </w:rPr>
              <w:t>1,338</w:t>
            </w:r>
          </w:p>
        </w:tc>
        <w:tc>
          <w:tcPr>
            <w:tcW w:w="1193" w:type="dxa"/>
          </w:tcPr>
          <w:p>
            <w:pPr>
              <w:pStyle w:val="TableParagraph"/>
              <w:spacing w:line="216" w:lineRule="exact" w:before="56"/>
              <w:ind w:right="109"/>
              <w:jc w:val="right"/>
              <w:rPr>
                <w:sz w:val="18"/>
              </w:rPr>
            </w:pPr>
            <w:r>
              <w:rPr>
                <w:color w:val="231F20"/>
                <w:sz w:val="18"/>
              </w:rPr>
              <w:t>1,300.00</w:t>
            </w:r>
          </w:p>
        </w:tc>
        <w:tc>
          <w:tcPr>
            <w:tcW w:w="1196" w:type="dxa"/>
          </w:tcPr>
          <w:p>
            <w:pPr>
              <w:pStyle w:val="TableParagraph"/>
              <w:spacing w:line="216" w:lineRule="exact" w:before="56"/>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6" w:type="dxa"/>
          </w:tcPr>
          <w:p>
            <w:pPr>
              <w:pStyle w:val="TableParagraph"/>
              <w:spacing w:line="201" w:lineRule="exact"/>
              <w:ind w:left="312"/>
              <w:jc w:val="center"/>
              <w:rPr>
                <w:sz w:val="18"/>
              </w:rPr>
            </w:pPr>
            <w:r>
              <w:rPr>
                <w:color w:val="231F20"/>
                <w:sz w:val="18"/>
              </w:rPr>
              <w:t>"</w:t>
            </w:r>
          </w:p>
        </w:tc>
        <w:tc>
          <w:tcPr>
            <w:tcW w:w="684" w:type="dxa"/>
          </w:tcPr>
          <w:p>
            <w:pPr>
              <w:pStyle w:val="TableParagraph"/>
              <w:spacing w:line="201" w:lineRule="exact"/>
              <w:ind w:left="140"/>
              <w:rPr>
                <w:sz w:val="18"/>
              </w:rPr>
            </w:pPr>
            <w:r>
              <w:rPr>
                <w:color w:val="231F20"/>
                <w:sz w:val="18"/>
              </w:rPr>
              <w:t>1C</w:t>
            </w:r>
          </w:p>
        </w:tc>
        <w:tc>
          <w:tcPr>
            <w:tcW w:w="1107" w:type="dxa"/>
          </w:tcPr>
          <w:p>
            <w:pPr>
              <w:pStyle w:val="TableParagraph"/>
              <w:spacing w:line="201" w:lineRule="exact"/>
              <w:ind w:right="276"/>
              <w:jc w:val="right"/>
              <w:rPr>
                <w:sz w:val="18"/>
              </w:rPr>
            </w:pPr>
            <w:r>
              <w:rPr>
                <w:color w:val="231F20"/>
                <w:sz w:val="18"/>
              </w:rPr>
              <w:t>3BR</w:t>
            </w:r>
          </w:p>
        </w:tc>
        <w:tc>
          <w:tcPr>
            <w:tcW w:w="1296" w:type="dxa"/>
          </w:tcPr>
          <w:p>
            <w:pPr>
              <w:pStyle w:val="TableParagraph"/>
              <w:spacing w:line="201" w:lineRule="exact"/>
              <w:ind w:left="274"/>
              <w:rPr>
                <w:sz w:val="18"/>
              </w:rPr>
            </w:pPr>
            <w:r>
              <w:rPr>
                <w:color w:val="231F20"/>
                <w:sz w:val="18"/>
              </w:rPr>
              <w:t>5 + 2 Bath</w:t>
            </w:r>
          </w:p>
        </w:tc>
        <w:tc>
          <w:tcPr>
            <w:tcW w:w="1330" w:type="dxa"/>
          </w:tcPr>
          <w:p>
            <w:pPr>
              <w:pStyle w:val="TableParagraph"/>
              <w:spacing w:line="201" w:lineRule="exact"/>
              <w:ind w:left="584"/>
              <w:rPr>
                <w:sz w:val="18"/>
              </w:rPr>
            </w:pPr>
            <w:r>
              <w:rPr>
                <w:color w:val="231F20"/>
                <w:sz w:val="18"/>
              </w:rPr>
              <w:t>1,318</w:t>
            </w:r>
          </w:p>
        </w:tc>
        <w:tc>
          <w:tcPr>
            <w:tcW w:w="1193" w:type="dxa"/>
          </w:tcPr>
          <w:p>
            <w:pPr>
              <w:pStyle w:val="TableParagraph"/>
              <w:spacing w:line="201" w:lineRule="exact"/>
              <w:ind w:right="109"/>
              <w:jc w:val="right"/>
              <w:rPr>
                <w:sz w:val="18"/>
              </w:rPr>
            </w:pPr>
            <w:r>
              <w:rPr>
                <w:color w:val="231F20"/>
                <w:sz w:val="18"/>
              </w:rPr>
              <w:t>1,300.00</w:t>
            </w:r>
          </w:p>
        </w:tc>
        <w:tc>
          <w:tcPr>
            <w:tcW w:w="1196" w:type="dxa"/>
          </w:tcPr>
          <w:p>
            <w:pPr>
              <w:pStyle w:val="TableParagraph"/>
              <w:spacing w:line="201" w:lineRule="exact"/>
              <w:ind w:left="387"/>
              <w:rPr>
                <w:sz w:val="18"/>
              </w:rPr>
            </w:pPr>
            <w:r>
              <w:rPr>
                <w:color w:val="231F20"/>
                <w:sz w:val="18"/>
              </w:rPr>
              <w:t>0.420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1D</w:t>
            </w:r>
          </w:p>
        </w:tc>
        <w:tc>
          <w:tcPr>
            <w:tcW w:w="1107" w:type="dxa"/>
          </w:tcPr>
          <w:p>
            <w:pPr>
              <w:pStyle w:val="TableParagraph"/>
              <w:spacing w:line="204" w:lineRule="exact"/>
              <w:ind w:right="276"/>
              <w:jc w:val="right"/>
              <w:rPr>
                <w:sz w:val="18"/>
              </w:rPr>
            </w:pPr>
            <w:r>
              <w:rPr>
                <w:color w:val="231F20"/>
                <w:sz w:val="18"/>
              </w:rPr>
              <w:t>3BR</w:t>
            </w:r>
          </w:p>
        </w:tc>
        <w:tc>
          <w:tcPr>
            <w:tcW w:w="1296" w:type="dxa"/>
          </w:tcPr>
          <w:p>
            <w:pPr>
              <w:pStyle w:val="TableParagraph"/>
              <w:spacing w:line="204" w:lineRule="exact"/>
              <w:ind w:left="274"/>
              <w:rPr>
                <w:sz w:val="18"/>
              </w:rPr>
            </w:pPr>
            <w:r>
              <w:rPr>
                <w:color w:val="231F20"/>
                <w:sz w:val="18"/>
              </w:rPr>
              <w:t>5 + 2 Bath</w:t>
            </w:r>
          </w:p>
        </w:tc>
        <w:tc>
          <w:tcPr>
            <w:tcW w:w="1330" w:type="dxa"/>
          </w:tcPr>
          <w:p>
            <w:pPr>
              <w:pStyle w:val="TableParagraph"/>
              <w:spacing w:line="204" w:lineRule="exact"/>
              <w:ind w:left="584"/>
              <w:rPr>
                <w:sz w:val="18"/>
              </w:rPr>
            </w:pPr>
            <w:r>
              <w:rPr>
                <w:color w:val="231F20"/>
                <w:sz w:val="18"/>
              </w:rPr>
              <w:t>1,318</w:t>
            </w:r>
          </w:p>
        </w:tc>
        <w:tc>
          <w:tcPr>
            <w:tcW w:w="1193" w:type="dxa"/>
          </w:tcPr>
          <w:p>
            <w:pPr>
              <w:pStyle w:val="TableParagraph"/>
              <w:spacing w:line="204" w:lineRule="exact"/>
              <w:ind w:right="109"/>
              <w:jc w:val="right"/>
              <w:rPr>
                <w:sz w:val="18"/>
              </w:rPr>
            </w:pPr>
            <w:r>
              <w:rPr>
                <w:color w:val="231F20"/>
                <w:sz w:val="18"/>
              </w:rPr>
              <w:t>1,300.00</w:t>
            </w:r>
          </w:p>
        </w:tc>
        <w:tc>
          <w:tcPr>
            <w:tcW w:w="1196" w:type="dxa"/>
          </w:tcPr>
          <w:p>
            <w:pPr>
              <w:pStyle w:val="TableParagraph"/>
              <w:spacing w:line="204" w:lineRule="exact"/>
              <w:ind w:left="387"/>
              <w:rPr>
                <w:sz w:val="18"/>
              </w:rPr>
            </w:pPr>
            <w:r>
              <w:rPr>
                <w:color w:val="231F20"/>
                <w:sz w:val="18"/>
              </w:rPr>
              <w:t>0.420</w:t>
            </w:r>
          </w:p>
        </w:tc>
      </w:tr>
      <w:tr>
        <w:trPr>
          <w:trHeight w:val="291" w:hRule="atLeast"/>
        </w:trPr>
        <w:tc>
          <w:tcPr>
            <w:tcW w:w="900" w:type="dxa"/>
          </w:tcPr>
          <w:p>
            <w:pPr>
              <w:pStyle w:val="TableParagraph"/>
              <w:spacing w:line="217" w:lineRule="exact" w:before="55"/>
              <w:ind w:left="108"/>
              <w:rPr>
                <w:sz w:val="18"/>
              </w:rPr>
            </w:pPr>
            <w:r>
              <w:rPr>
                <w:color w:val="231F20"/>
                <w:sz w:val="18"/>
              </w:rPr>
              <w:t>"</w:t>
            </w:r>
          </w:p>
        </w:tc>
        <w:tc>
          <w:tcPr>
            <w:tcW w:w="1876" w:type="dxa"/>
          </w:tcPr>
          <w:p>
            <w:pPr>
              <w:pStyle w:val="TableParagraph"/>
              <w:spacing w:line="217" w:lineRule="exact" w:before="55"/>
              <w:ind w:left="312"/>
              <w:jc w:val="center"/>
              <w:rPr>
                <w:sz w:val="18"/>
              </w:rPr>
            </w:pPr>
            <w:r>
              <w:rPr>
                <w:color w:val="231F20"/>
                <w:sz w:val="18"/>
              </w:rPr>
              <w:t>"</w:t>
            </w:r>
          </w:p>
        </w:tc>
        <w:tc>
          <w:tcPr>
            <w:tcW w:w="684" w:type="dxa"/>
          </w:tcPr>
          <w:p>
            <w:pPr>
              <w:pStyle w:val="TableParagraph"/>
              <w:spacing w:line="217" w:lineRule="exact" w:before="55"/>
              <w:ind w:left="140"/>
              <w:rPr>
                <w:sz w:val="18"/>
              </w:rPr>
            </w:pPr>
            <w:r>
              <w:rPr>
                <w:color w:val="231F20"/>
                <w:sz w:val="18"/>
              </w:rPr>
              <w:t>2A</w:t>
            </w:r>
          </w:p>
        </w:tc>
        <w:tc>
          <w:tcPr>
            <w:tcW w:w="1107" w:type="dxa"/>
          </w:tcPr>
          <w:p>
            <w:pPr>
              <w:pStyle w:val="TableParagraph"/>
              <w:spacing w:line="217" w:lineRule="exact" w:before="55"/>
              <w:ind w:right="276"/>
              <w:jc w:val="right"/>
              <w:rPr>
                <w:sz w:val="18"/>
              </w:rPr>
            </w:pPr>
            <w:r>
              <w:rPr>
                <w:color w:val="231F20"/>
                <w:sz w:val="18"/>
              </w:rPr>
              <w:t>2BR</w:t>
            </w:r>
          </w:p>
        </w:tc>
        <w:tc>
          <w:tcPr>
            <w:tcW w:w="1296" w:type="dxa"/>
          </w:tcPr>
          <w:p>
            <w:pPr>
              <w:pStyle w:val="TableParagraph"/>
              <w:spacing w:line="217" w:lineRule="exact" w:before="55"/>
              <w:ind w:left="274"/>
              <w:rPr>
                <w:sz w:val="18"/>
              </w:rPr>
            </w:pPr>
            <w:r>
              <w:rPr>
                <w:color w:val="231F20"/>
                <w:sz w:val="18"/>
              </w:rPr>
              <w:t>4 + 1½ Bath</w:t>
            </w:r>
          </w:p>
        </w:tc>
        <w:tc>
          <w:tcPr>
            <w:tcW w:w="1330" w:type="dxa"/>
          </w:tcPr>
          <w:p>
            <w:pPr>
              <w:pStyle w:val="TableParagraph"/>
              <w:spacing w:line="217" w:lineRule="exact" w:before="55"/>
              <w:ind w:left="584"/>
              <w:rPr>
                <w:sz w:val="18"/>
              </w:rPr>
            </w:pPr>
            <w:r>
              <w:rPr>
                <w:color w:val="231F20"/>
                <w:sz w:val="18"/>
              </w:rPr>
              <w:t>1,036</w:t>
            </w:r>
          </w:p>
        </w:tc>
        <w:tc>
          <w:tcPr>
            <w:tcW w:w="1193" w:type="dxa"/>
          </w:tcPr>
          <w:p>
            <w:pPr>
              <w:pStyle w:val="TableParagraph"/>
              <w:spacing w:line="217" w:lineRule="exact" w:before="55"/>
              <w:ind w:right="109"/>
              <w:jc w:val="right"/>
              <w:rPr>
                <w:sz w:val="18"/>
              </w:rPr>
            </w:pPr>
            <w:r>
              <w:rPr>
                <w:color w:val="231F20"/>
                <w:sz w:val="18"/>
              </w:rPr>
              <w:t>1,000.00</w:t>
            </w:r>
          </w:p>
        </w:tc>
        <w:tc>
          <w:tcPr>
            <w:tcW w:w="1196" w:type="dxa"/>
          </w:tcPr>
          <w:p>
            <w:pPr>
              <w:pStyle w:val="TableParagraph"/>
              <w:spacing w:line="217" w:lineRule="exact" w:before="55"/>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2D</w:t>
            </w:r>
          </w:p>
        </w:tc>
        <w:tc>
          <w:tcPr>
            <w:tcW w:w="1107" w:type="dxa"/>
          </w:tcPr>
          <w:p>
            <w:pPr>
              <w:pStyle w:val="TableParagraph"/>
              <w:spacing w:line="204" w:lineRule="exact"/>
              <w:ind w:right="276"/>
              <w:jc w:val="right"/>
              <w:rPr>
                <w:sz w:val="18"/>
              </w:rPr>
            </w:pPr>
            <w:r>
              <w:rPr>
                <w:color w:val="231F20"/>
                <w:sz w:val="18"/>
              </w:rPr>
              <w:t>2BR</w:t>
            </w:r>
          </w:p>
        </w:tc>
        <w:tc>
          <w:tcPr>
            <w:tcW w:w="1296" w:type="dxa"/>
          </w:tcPr>
          <w:p>
            <w:pPr>
              <w:pStyle w:val="TableParagraph"/>
              <w:spacing w:line="204" w:lineRule="exact"/>
              <w:ind w:left="274"/>
              <w:rPr>
                <w:sz w:val="18"/>
              </w:rPr>
            </w:pPr>
            <w:r>
              <w:rPr>
                <w:color w:val="231F20"/>
                <w:sz w:val="18"/>
              </w:rPr>
              <w:t>4 + 1½ Bath</w:t>
            </w:r>
          </w:p>
        </w:tc>
        <w:tc>
          <w:tcPr>
            <w:tcW w:w="1330" w:type="dxa"/>
          </w:tcPr>
          <w:p>
            <w:pPr>
              <w:pStyle w:val="TableParagraph"/>
              <w:spacing w:line="204" w:lineRule="exact"/>
              <w:ind w:left="584"/>
              <w:rPr>
                <w:sz w:val="18"/>
              </w:rPr>
            </w:pPr>
            <w:r>
              <w:rPr>
                <w:color w:val="231F20"/>
                <w:sz w:val="18"/>
              </w:rPr>
              <w:t>1,036</w:t>
            </w:r>
          </w:p>
        </w:tc>
        <w:tc>
          <w:tcPr>
            <w:tcW w:w="1193" w:type="dxa"/>
          </w:tcPr>
          <w:p>
            <w:pPr>
              <w:pStyle w:val="TableParagraph"/>
              <w:spacing w:line="204" w:lineRule="exact"/>
              <w:ind w:right="109"/>
              <w:jc w:val="right"/>
              <w:rPr>
                <w:sz w:val="18"/>
              </w:rPr>
            </w:pPr>
            <w:r>
              <w:rPr>
                <w:color w:val="231F20"/>
                <w:sz w:val="18"/>
              </w:rPr>
              <w:t>1,000.00</w:t>
            </w:r>
          </w:p>
        </w:tc>
        <w:tc>
          <w:tcPr>
            <w:tcW w:w="1196" w:type="dxa"/>
          </w:tcPr>
          <w:p>
            <w:pPr>
              <w:pStyle w:val="TableParagraph"/>
              <w:spacing w:line="204" w:lineRule="exact"/>
              <w:ind w:left="387"/>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C8</w:t>
            </w:r>
          </w:p>
        </w:tc>
        <w:tc>
          <w:tcPr>
            <w:tcW w:w="1876" w:type="dxa"/>
          </w:tcPr>
          <w:p>
            <w:pPr>
              <w:pStyle w:val="TableParagraph"/>
              <w:spacing w:line="217" w:lineRule="exact" w:before="55"/>
              <w:ind w:right="139"/>
              <w:jc w:val="right"/>
              <w:rPr>
                <w:sz w:val="18"/>
              </w:rPr>
            </w:pPr>
            <w:r>
              <w:rPr>
                <w:color w:val="231F20"/>
                <w:sz w:val="18"/>
              </w:rPr>
              <w:t>6309 Colony Way</w:t>
            </w:r>
          </w:p>
        </w:tc>
        <w:tc>
          <w:tcPr>
            <w:tcW w:w="684" w:type="dxa"/>
          </w:tcPr>
          <w:p>
            <w:pPr>
              <w:pStyle w:val="TableParagraph"/>
              <w:spacing w:line="217" w:lineRule="exact" w:before="55"/>
              <w:ind w:left="140"/>
              <w:rPr>
                <w:sz w:val="18"/>
              </w:rPr>
            </w:pPr>
            <w:r>
              <w:rPr>
                <w:color w:val="231F20"/>
                <w:sz w:val="18"/>
              </w:rPr>
              <w:t>1A</w:t>
            </w:r>
          </w:p>
        </w:tc>
        <w:tc>
          <w:tcPr>
            <w:tcW w:w="1107" w:type="dxa"/>
          </w:tcPr>
          <w:p>
            <w:pPr>
              <w:pStyle w:val="TableParagraph"/>
              <w:spacing w:line="217" w:lineRule="exact" w:before="55"/>
              <w:ind w:right="276"/>
              <w:jc w:val="right"/>
              <w:rPr>
                <w:sz w:val="18"/>
              </w:rPr>
            </w:pPr>
            <w:r>
              <w:rPr>
                <w:color w:val="231F20"/>
                <w:sz w:val="18"/>
              </w:rPr>
              <w:t>3BR</w:t>
            </w:r>
          </w:p>
        </w:tc>
        <w:tc>
          <w:tcPr>
            <w:tcW w:w="1296" w:type="dxa"/>
          </w:tcPr>
          <w:p>
            <w:pPr>
              <w:pStyle w:val="TableParagraph"/>
              <w:spacing w:line="217" w:lineRule="exact" w:before="55"/>
              <w:ind w:left="274"/>
              <w:rPr>
                <w:sz w:val="18"/>
              </w:rPr>
            </w:pPr>
            <w:r>
              <w:rPr>
                <w:color w:val="231F20"/>
                <w:sz w:val="18"/>
              </w:rPr>
              <w:t>5 + 2 Bath</w:t>
            </w:r>
          </w:p>
        </w:tc>
        <w:tc>
          <w:tcPr>
            <w:tcW w:w="1330" w:type="dxa"/>
          </w:tcPr>
          <w:p>
            <w:pPr>
              <w:pStyle w:val="TableParagraph"/>
              <w:spacing w:line="217" w:lineRule="exact" w:before="55"/>
              <w:ind w:left="584"/>
              <w:rPr>
                <w:sz w:val="18"/>
              </w:rPr>
            </w:pPr>
            <w:r>
              <w:rPr>
                <w:color w:val="231F20"/>
                <w:sz w:val="18"/>
              </w:rPr>
              <w:t>1,338</w:t>
            </w:r>
          </w:p>
        </w:tc>
        <w:tc>
          <w:tcPr>
            <w:tcW w:w="1193" w:type="dxa"/>
          </w:tcPr>
          <w:p>
            <w:pPr>
              <w:pStyle w:val="TableParagraph"/>
              <w:spacing w:line="217" w:lineRule="exact" w:before="55"/>
              <w:ind w:right="109"/>
              <w:jc w:val="right"/>
              <w:rPr>
                <w:sz w:val="18"/>
              </w:rPr>
            </w:pPr>
            <w:r>
              <w:rPr>
                <w:color w:val="231F20"/>
                <w:sz w:val="18"/>
              </w:rPr>
              <w:t>1,300.00</w:t>
            </w:r>
          </w:p>
        </w:tc>
        <w:tc>
          <w:tcPr>
            <w:tcW w:w="1196" w:type="dxa"/>
          </w:tcPr>
          <w:p>
            <w:pPr>
              <w:pStyle w:val="TableParagraph"/>
              <w:spacing w:line="217" w:lineRule="exact" w:before="55"/>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2"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1D</w:t>
            </w:r>
          </w:p>
        </w:tc>
        <w:tc>
          <w:tcPr>
            <w:tcW w:w="1107" w:type="dxa"/>
          </w:tcPr>
          <w:p>
            <w:pPr>
              <w:pStyle w:val="TableParagraph"/>
              <w:spacing w:line="204" w:lineRule="exact"/>
              <w:ind w:right="276"/>
              <w:jc w:val="right"/>
              <w:rPr>
                <w:sz w:val="18"/>
              </w:rPr>
            </w:pPr>
            <w:r>
              <w:rPr>
                <w:color w:val="231F20"/>
                <w:sz w:val="18"/>
              </w:rPr>
              <w:t>3BR</w:t>
            </w:r>
          </w:p>
        </w:tc>
        <w:tc>
          <w:tcPr>
            <w:tcW w:w="1296" w:type="dxa"/>
          </w:tcPr>
          <w:p>
            <w:pPr>
              <w:pStyle w:val="TableParagraph"/>
              <w:spacing w:line="204" w:lineRule="exact"/>
              <w:ind w:left="274"/>
              <w:rPr>
                <w:sz w:val="18"/>
              </w:rPr>
            </w:pPr>
            <w:r>
              <w:rPr>
                <w:color w:val="231F20"/>
                <w:sz w:val="18"/>
              </w:rPr>
              <w:t>5 + 2 Bath</w:t>
            </w:r>
          </w:p>
        </w:tc>
        <w:tc>
          <w:tcPr>
            <w:tcW w:w="1330" w:type="dxa"/>
          </w:tcPr>
          <w:p>
            <w:pPr>
              <w:pStyle w:val="TableParagraph"/>
              <w:spacing w:line="204" w:lineRule="exact"/>
              <w:ind w:left="584"/>
              <w:rPr>
                <w:sz w:val="18"/>
              </w:rPr>
            </w:pPr>
            <w:r>
              <w:rPr>
                <w:color w:val="231F20"/>
                <w:sz w:val="18"/>
              </w:rPr>
              <w:t>1,318</w:t>
            </w:r>
          </w:p>
        </w:tc>
        <w:tc>
          <w:tcPr>
            <w:tcW w:w="1193" w:type="dxa"/>
          </w:tcPr>
          <w:p>
            <w:pPr>
              <w:pStyle w:val="TableParagraph"/>
              <w:spacing w:line="204" w:lineRule="exact"/>
              <w:ind w:right="109"/>
              <w:jc w:val="right"/>
              <w:rPr>
                <w:sz w:val="18"/>
              </w:rPr>
            </w:pPr>
            <w:r>
              <w:rPr>
                <w:color w:val="231F20"/>
                <w:sz w:val="18"/>
              </w:rPr>
              <w:t>1,300.00</w:t>
            </w:r>
          </w:p>
        </w:tc>
        <w:tc>
          <w:tcPr>
            <w:tcW w:w="1196" w:type="dxa"/>
          </w:tcPr>
          <w:p>
            <w:pPr>
              <w:pStyle w:val="TableParagraph"/>
              <w:spacing w:line="204" w:lineRule="exact"/>
              <w:ind w:left="387"/>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76" w:type="dxa"/>
          </w:tcPr>
          <w:p>
            <w:pPr>
              <w:pStyle w:val="TableParagraph"/>
              <w:spacing w:line="216" w:lineRule="exact" w:before="56"/>
              <w:ind w:left="312"/>
              <w:jc w:val="center"/>
              <w:rPr>
                <w:sz w:val="18"/>
              </w:rPr>
            </w:pPr>
            <w:r>
              <w:rPr>
                <w:color w:val="231F20"/>
                <w:sz w:val="18"/>
              </w:rPr>
              <w:t>"</w:t>
            </w:r>
          </w:p>
        </w:tc>
        <w:tc>
          <w:tcPr>
            <w:tcW w:w="684" w:type="dxa"/>
          </w:tcPr>
          <w:p>
            <w:pPr>
              <w:pStyle w:val="TableParagraph"/>
              <w:spacing w:line="216" w:lineRule="exact" w:before="56"/>
              <w:ind w:left="140"/>
              <w:rPr>
                <w:sz w:val="18"/>
              </w:rPr>
            </w:pPr>
            <w:r>
              <w:rPr>
                <w:color w:val="231F20"/>
                <w:sz w:val="18"/>
              </w:rPr>
              <w:t>2A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584"/>
              <w:rPr>
                <w:sz w:val="18"/>
              </w:rPr>
            </w:pPr>
            <w:r>
              <w:rPr>
                <w:color w:val="231F20"/>
                <w:sz w:val="18"/>
              </w:rPr>
              <w:t>1,036</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2D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1,036</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C7</w:t>
            </w:r>
          </w:p>
        </w:tc>
        <w:tc>
          <w:tcPr>
            <w:tcW w:w="1876" w:type="dxa"/>
          </w:tcPr>
          <w:p>
            <w:pPr>
              <w:pStyle w:val="TableParagraph"/>
              <w:spacing w:line="216" w:lineRule="exact" w:before="56"/>
              <w:ind w:right="139"/>
              <w:jc w:val="right"/>
              <w:rPr>
                <w:sz w:val="18"/>
              </w:rPr>
            </w:pPr>
            <w:r>
              <w:rPr>
                <w:color w:val="231F20"/>
                <w:sz w:val="18"/>
              </w:rPr>
              <w:t>6315 Colony Way</w:t>
            </w:r>
          </w:p>
        </w:tc>
        <w:tc>
          <w:tcPr>
            <w:tcW w:w="684" w:type="dxa"/>
          </w:tcPr>
          <w:p>
            <w:pPr>
              <w:pStyle w:val="TableParagraph"/>
              <w:spacing w:line="216" w:lineRule="exact" w:before="56"/>
              <w:ind w:left="140"/>
              <w:rPr>
                <w:sz w:val="18"/>
              </w:rPr>
            </w:pPr>
            <w:r>
              <w:rPr>
                <w:color w:val="231F20"/>
                <w:sz w:val="18"/>
              </w:rPr>
              <w:t>1A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721"/>
              <w:rPr>
                <w:sz w:val="18"/>
              </w:rPr>
            </w:pPr>
            <w:r>
              <w:rPr>
                <w:color w:val="231F20"/>
                <w:sz w:val="18"/>
              </w:rPr>
              <w:t>999</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1D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1,012</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2" w:hRule="atLeast"/>
        </w:trPr>
        <w:tc>
          <w:tcPr>
            <w:tcW w:w="900" w:type="dxa"/>
          </w:tcPr>
          <w:p>
            <w:pPr>
              <w:pStyle w:val="TableParagraph"/>
              <w:spacing w:line="217" w:lineRule="exact" w:before="56"/>
              <w:ind w:left="108"/>
              <w:rPr>
                <w:sz w:val="18"/>
              </w:rPr>
            </w:pPr>
            <w:r>
              <w:rPr>
                <w:color w:val="231F20"/>
                <w:sz w:val="18"/>
              </w:rPr>
              <w:t>"</w:t>
            </w:r>
          </w:p>
        </w:tc>
        <w:tc>
          <w:tcPr>
            <w:tcW w:w="1876" w:type="dxa"/>
          </w:tcPr>
          <w:p>
            <w:pPr>
              <w:pStyle w:val="TableParagraph"/>
              <w:spacing w:line="217" w:lineRule="exact" w:before="56"/>
              <w:ind w:left="312"/>
              <w:jc w:val="center"/>
              <w:rPr>
                <w:sz w:val="18"/>
              </w:rPr>
            </w:pPr>
            <w:r>
              <w:rPr>
                <w:color w:val="231F20"/>
                <w:sz w:val="18"/>
              </w:rPr>
              <w:t>"</w:t>
            </w:r>
          </w:p>
        </w:tc>
        <w:tc>
          <w:tcPr>
            <w:tcW w:w="684" w:type="dxa"/>
          </w:tcPr>
          <w:p>
            <w:pPr>
              <w:pStyle w:val="TableParagraph"/>
              <w:spacing w:line="217" w:lineRule="exact" w:before="56"/>
              <w:ind w:left="140"/>
              <w:rPr>
                <w:sz w:val="18"/>
              </w:rPr>
            </w:pPr>
            <w:r>
              <w:rPr>
                <w:color w:val="231F20"/>
                <w:sz w:val="18"/>
              </w:rPr>
              <w:t>2A</w:t>
            </w:r>
          </w:p>
        </w:tc>
        <w:tc>
          <w:tcPr>
            <w:tcW w:w="1107" w:type="dxa"/>
          </w:tcPr>
          <w:p>
            <w:pPr>
              <w:pStyle w:val="TableParagraph"/>
              <w:spacing w:line="217" w:lineRule="exact" w:before="56"/>
              <w:ind w:right="276"/>
              <w:jc w:val="right"/>
              <w:rPr>
                <w:sz w:val="18"/>
              </w:rPr>
            </w:pPr>
            <w:r>
              <w:rPr>
                <w:color w:val="231F20"/>
                <w:sz w:val="18"/>
              </w:rPr>
              <w:t>2BR</w:t>
            </w:r>
          </w:p>
        </w:tc>
        <w:tc>
          <w:tcPr>
            <w:tcW w:w="1296" w:type="dxa"/>
          </w:tcPr>
          <w:p>
            <w:pPr>
              <w:pStyle w:val="TableParagraph"/>
              <w:spacing w:line="217" w:lineRule="exact" w:before="56"/>
              <w:ind w:left="274"/>
              <w:rPr>
                <w:sz w:val="18"/>
              </w:rPr>
            </w:pPr>
            <w:r>
              <w:rPr>
                <w:color w:val="231F20"/>
                <w:sz w:val="18"/>
              </w:rPr>
              <w:t>4 + 1½ Bath</w:t>
            </w:r>
          </w:p>
        </w:tc>
        <w:tc>
          <w:tcPr>
            <w:tcW w:w="1330" w:type="dxa"/>
          </w:tcPr>
          <w:p>
            <w:pPr>
              <w:pStyle w:val="TableParagraph"/>
              <w:spacing w:line="217" w:lineRule="exact" w:before="56"/>
              <w:ind w:left="584"/>
              <w:rPr>
                <w:sz w:val="18"/>
              </w:rPr>
            </w:pPr>
            <w:r>
              <w:rPr>
                <w:color w:val="231F20"/>
                <w:sz w:val="18"/>
              </w:rPr>
              <w:t>1,036</w:t>
            </w:r>
          </w:p>
        </w:tc>
        <w:tc>
          <w:tcPr>
            <w:tcW w:w="1193" w:type="dxa"/>
          </w:tcPr>
          <w:p>
            <w:pPr>
              <w:pStyle w:val="TableParagraph"/>
              <w:spacing w:line="217" w:lineRule="exact" w:before="56"/>
              <w:ind w:right="109"/>
              <w:jc w:val="right"/>
              <w:rPr>
                <w:sz w:val="18"/>
              </w:rPr>
            </w:pPr>
            <w:r>
              <w:rPr>
                <w:color w:val="231F20"/>
                <w:sz w:val="18"/>
              </w:rPr>
              <w:t>1,000.00</w:t>
            </w:r>
          </w:p>
        </w:tc>
        <w:tc>
          <w:tcPr>
            <w:tcW w:w="1196" w:type="dxa"/>
          </w:tcPr>
          <w:p>
            <w:pPr>
              <w:pStyle w:val="TableParagraph"/>
              <w:spacing w:line="217"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2D</w:t>
            </w:r>
          </w:p>
        </w:tc>
        <w:tc>
          <w:tcPr>
            <w:tcW w:w="1107" w:type="dxa"/>
          </w:tcPr>
          <w:p>
            <w:pPr>
              <w:pStyle w:val="TableParagraph"/>
              <w:spacing w:line="204" w:lineRule="exact"/>
              <w:ind w:right="276"/>
              <w:jc w:val="right"/>
              <w:rPr>
                <w:sz w:val="18"/>
              </w:rPr>
            </w:pPr>
            <w:r>
              <w:rPr>
                <w:color w:val="231F20"/>
                <w:sz w:val="18"/>
              </w:rPr>
              <w:t>2BR</w:t>
            </w:r>
          </w:p>
        </w:tc>
        <w:tc>
          <w:tcPr>
            <w:tcW w:w="1296" w:type="dxa"/>
          </w:tcPr>
          <w:p>
            <w:pPr>
              <w:pStyle w:val="TableParagraph"/>
              <w:spacing w:line="204" w:lineRule="exact"/>
              <w:ind w:left="274"/>
              <w:rPr>
                <w:sz w:val="18"/>
              </w:rPr>
            </w:pPr>
            <w:r>
              <w:rPr>
                <w:color w:val="231F20"/>
                <w:sz w:val="18"/>
              </w:rPr>
              <w:t>4 + 1½ Bath</w:t>
            </w:r>
          </w:p>
        </w:tc>
        <w:tc>
          <w:tcPr>
            <w:tcW w:w="1330" w:type="dxa"/>
          </w:tcPr>
          <w:p>
            <w:pPr>
              <w:pStyle w:val="TableParagraph"/>
              <w:spacing w:line="204" w:lineRule="exact"/>
              <w:ind w:left="584"/>
              <w:rPr>
                <w:sz w:val="18"/>
              </w:rPr>
            </w:pPr>
            <w:r>
              <w:rPr>
                <w:color w:val="231F20"/>
                <w:sz w:val="18"/>
              </w:rPr>
              <w:t>1,036</w:t>
            </w:r>
          </w:p>
        </w:tc>
        <w:tc>
          <w:tcPr>
            <w:tcW w:w="1193" w:type="dxa"/>
          </w:tcPr>
          <w:p>
            <w:pPr>
              <w:pStyle w:val="TableParagraph"/>
              <w:spacing w:line="204" w:lineRule="exact"/>
              <w:ind w:right="109"/>
              <w:jc w:val="right"/>
              <w:rPr>
                <w:sz w:val="18"/>
              </w:rPr>
            </w:pPr>
            <w:r>
              <w:rPr>
                <w:color w:val="231F20"/>
                <w:sz w:val="18"/>
              </w:rPr>
              <w:t>1,000.00</w:t>
            </w:r>
          </w:p>
        </w:tc>
        <w:tc>
          <w:tcPr>
            <w:tcW w:w="1196" w:type="dxa"/>
          </w:tcPr>
          <w:p>
            <w:pPr>
              <w:pStyle w:val="TableParagraph"/>
              <w:spacing w:line="204" w:lineRule="exact"/>
              <w:ind w:left="387"/>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C6</w:t>
            </w:r>
          </w:p>
        </w:tc>
        <w:tc>
          <w:tcPr>
            <w:tcW w:w="1876" w:type="dxa"/>
          </w:tcPr>
          <w:p>
            <w:pPr>
              <w:pStyle w:val="TableParagraph"/>
              <w:spacing w:line="217" w:lineRule="exact" w:before="55"/>
              <w:ind w:right="139"/>
              <w:jc w:val="right"/>
              <w:rPr>
                <w:sz w:val="18"/>
              </w:rPr>
            </w:pPr>
            <w:r>
              <w:rPr>
                <w:color w:val="231F20"/>
                <w:sz w:val="18"/>
              </w:rPr>
              <w:t>6401 Colony Way</w:t>
            </w:r>
          </w:p>
        </w:tc>
        <w:tc>
          <w:tcPr>
            <w:tcW w:w="684" w:type="dxa"/>
          </w:tcPr>
          <w:p>
            <w:pPr>
              <w:pStyle w:val="TableParagraph"/>
              <w:spacing w:line="217" w:lineRule="exact" w:before="55"/>
              <w:ind w:left="140"/>
              <w:rPr>
                <w:sz w:val="18"/>
              </w:rPr>
            </w:pPr>
            <w:r>
              <w:rPr>
                <w:color w:val="231F20"/>
                <w:sz w:val="18"/>
              </w:rPr>
              <w:t>1A</w:t>
            </w:r>
          </w:p>
        </w:tc>
        <w:tc>
          <w:tcPr>
            <w:tcW w:w="1107" w:type="dxa"/>
          </w:tcPr>
          <w:p>
            <w:pPr>
              <w:pStyle w:val="TableParagraph"/>
              <w:spacing w:line="217" w:lineRule="exact" w:before="55"/>
              <w:ind w:right="276"/>
              <w:jc w:val="right"/>
              <w:rPr>
                <w:sz w:val="18"/>
              </w:rPr>
            </w:pPr>
            <w:r>
              <w:rPr>
                <w:color w:val="231F20"/>
                <w:sz w:val="18"/>
              </w:rPr>
              <w:t>3BR</w:t>
            </w:r>
          </w:p>
        </w:tc>
        <w:tc>
          <w:tcPr>
            <w:tcW w:w="1296" w:type="dxa"/>
          </w:tcPr>
          <w:p>
            <w:pPr>
              <w:pStyle w:val="TableParagraph"/>
              <w:spacing w:line="217" w:lineRule="exact" w:before="55"/>
              <w:ind w:left="274"/>
              <w:rPr>
                <w:sz w:val="18"/>
              </w:rPr>
            </w:pPr>
            <w:r>
              <w:rPr>
                <w:color w:val="231F20"/>
                <w:sz w:val="18"/>
              </w:rPr>
              <w:t>5 + 2 Bath</w:t>
            </w:r>
          </w:p>
        </w:tc>
        <w:tc>
          <w:tcPr>
            <w:tcW w:w="1330" w:type="dxa"/>
          </w:tcPr>
          <w:p>
            <w:pPr>
              <w:pStyle w:val="TableParagraph"/>
              <w:spacing w:line="217" w:lineRule="exact" w:before="55"/>
              <w:ind w:left="584"/>
              <w:rPr>
                <w:sz w:val="18"/>
              </w:rPr>
            </w:pPr>
            <w:r>
              <w:rPr>
                <w:color w:val="231F20"/>
                <w:sz w:val="18"/>
              </w:rPr>
              <w:t>1,338</w:t>
            </w:r>
          </w:p>
        </w:tc>
        <w:tc>
          <w:tcPr>
            <w:tcW w:w="1193" w:type="dxa"/>
          </w:tcPr>
          <w:p>
            <w:pPr>
              <w:pStyle w:val="TableParagraph"/>
              <w:spacing w:line="217" w:lineRule="exact" w:before="55"/>
              <w:ind w:right="109"/>
              <w:jc w:val="right"/>
              <w:rPr>
                <w:sz w:val="18"/>
              </w:rPr>
            </w:pPr>
            <w:r>
              <w:rPr>
                <w:color w:val="231F20"/>
                <w:sz w:val="18"/>
              </w:rPr>
              <w:t>1,300.00</w:t>
            </w:r>
          </w:p>
        </w:tc>
        <w:tc>
          <w:tcPr>
            <w:tcW w:w="1196" w:type="dxa"/>
          </w:tcPr>
          <w:p>
            <w:pPr>
              <w:pStyle w:val="TableParagraph"/>
              <w:spacing w:line="217" w:lineRule="exact" w:before="55"/>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1D</w:t>
            </w:r>
          </w:p>
        </w:tc>
        <w:tc>
          <w:tcPr>
            <w:tcW w:w="1107" w:type="dxa"/>
          </w:tcPr>
          <w:p>
            <w:pPr>
              <w:pStyle w:val="TableParagraph"/>
              <w:spacing w:line="204" w:lineRule="exact"/>
              <w:ind w:right="276"/>
              <w:jc w:val="right"/>
              <w:rPr>
                <w:sz w:val="18"/>
              </w:rPr>
            </w:pPr>
            <w:r>
              <w:rPr>
                <w:color w:val="231F20"/>
                <w:sz w:val="18"/>
              </w:rPr>
              <w:t>3BR</w:t>
            </w:r>
          </w:p>
        </w:tc>
        <w:tc>
          <w:tcPr>
            <w:tcW w:w="1296" w:type="dxa"/>
          </w:tcPr>
          <w:p>
            <w:pPr>
              <w:pStyle w:val="TableParagraph"/>
              <w:spacing w:line="204" w:lineRule="exact"/>
              <w:ind w:left="274"/>
              <w:rPr>
                <w:sz w:val="18"/>
              </w:rPr>
            </w:pPr>
            <w:r>
              <w:rPr>
                <w:color w:val="231F20"/>
                <w:sz w:val="18"/>
              </w:rPr>
              <w:t>5 + 2 Bath</w:t>
            </w:r>
          </w:p>
        </w:tc>
        <w:tc>
          <w:tcPr>
            <w:tcW w:w="1330" w:type="dxa"/>
          </w:tcPr>
          <w:p>
            <w:pPr>
              <w:pStyle w:val="TableParagraph"/>
              <w:spacing w:line="204" w:lineRule="exact"/>
              <w:ind w:left="584"/>
              <w:rPr>
                <w:sz w:val="18"/>
              </w:rPr>
            </w:pPr>
            <w:r>
              <w:rPr>
                <w:color w:val="231F20"/>
                <w:sz w:val="18"/>
              </w:rPr>
              <w:t>1,318</w:t>
            </w:r>
          </w:p>
        </w:tc>
        <w:tc>
          <w:tcPr>
            <w:tcW w:w="1193" w:type="dxa"/>
          </w:tcPr>
          <w:p>
            <w:pPr>
              <w:pStyle w:val="TableParagraph"/>
              <w:spacing w:line="204" w:lineRule="exact"/>
              <w:ind w:right="109"/>
              <w:jc w:val="right"/>
              <w:rPr>
                <w:sz w:val="18"/>
              </w:rPr>
            </w:pPr>
            <w:r>
              <w:rPr>
                <w:color w:val="231F20"/>
                <w:sz w:val="18"/>
              </w:rPr>
              <w:t>1,300.00</w:t>
            </w:r>
          </w:p>
        </w:tc>
        <w:tc>
          <w:tcPr>
            <w:tcW w:w="1196" w:type="dxa"/>
          </w:tcPr>
          <w:p>
            <w:pPr>
              <w:pStyle w:val="TableParagraph"/>
              <w:spacing w:line="204" w:lineRule="exact"/>
              <w:ind w:left="387"/>
              <w:rPr>
                <w:sz w:val="18"/>
              </w:rPr>
            </w:pPr>
            <w:r>
              <w:rPr>
                <w:color w:val="231F20"/>
                <w:sz w:val="18"/>
              </w:rPr>
              <w:t>0.420</w:t>
            </w:r>
          </w:p>
        </w:tc>
      </w:tr>
      <w:tr>
        <w:trPr>
          <w:trHeight w:val="291" w:hRule="atLeast"/>
        </w:trPr>
        <w:tc>
          <w:tcPr>
            <w:tcW w:w="900" w:type="dxa"/>
          </w:tcPr>
          <w:p>
            <w:pPr>
              <w:pStyle w:val="TableParagraph"/>
              <w:spacing w:line="217" w:lineRule="exact" w:before="55"/>
              <w:ind w:left="108"/>
              <w:rPr>
                <w:sz w:val="18"/>
              </w:rPr>
            </w:pPr>
            <w:r>
              <w:rPr>
                <w:color w:val="231F20"/>
                <w:sz w:val="18"/>
              </w:rPr>
              <w:t>"</w:t>
            </w:r>
          </w:p>
        </w:tc>
        <w:tc>
          <w:tcPr>
            <w:tcW w:w="1876" w:type="dxa"/>
          </w:tcPr>
          <w:p>
            <w:pPr>
              <w:pStyle w:val="TableParagraph"/>
              <w:spacing w:line="217" w:lineRule="exact" w:before="55"/>
              <w:ind w:left="312"/>
              <w:jc w:val="center"/>
              <w:rPr>
                <w:sz w:val="18"/>
              </w:rPr>
            </w:pPr>
            <w:r>
              <w:rPr>
                <w:color w:val="231F20"/>
                <w:sz w:val="18"/>
              </w:rPr>
              <w:t>"</w:t>
            </w:r>
          </w:p>
        </w:tc>
        <w:tc>
          <w:tcPr>
            <w:tcW w:w="684" w:type="dxa"/>
          </w:tcPr>
          <w:p>
            <w:pPr>
              <w:pStyle w:val="TableParagraph"/>
              <w:spacing w:line="217" w:lineRule="exact" w:before="55"/>
              <w:ind w:left="140"/>
              <w:rPr>
                <w:sz w:val="18"/>
              </w:rPr>
            </w:pPr>
            <w:r>
              <w:rPr>
                <w:color w:val="231F20"/>
                <w:sz w:val="18"/>
              </w:rPr>
              <w:t>2A</w:t>
            </w:r>
          </w:p>
        </w:tc>
        <w:tc>
          <w:tcPr>
            <w:tcW w:w="1107" w:type="dxa"/>
          </w:tcPr>
          <w:p>
            <w:pPr>
              <w:pStyle w:val="TableParagraph"/>
              <w:spacing w:line="217" w:lineRule="exact" w:before="55"/>
              <w:ind w:right="276"/>
              <w:jc w:val="right"/>
              <w:rPr>
                <w:sz w:val="18"/>
              </w:rPr>
            </w:pPr>
            <w:r>
              <w:rPr>
                <w:color w:val="231F20"/>
                <w:sz w:val="18"/>
              </w:rPr>
              <w:t>2BR</w:t>
            </w:r>
          </w:p>
        </w:tc>
        <w:tc>
          <w:tcPr>
            <w:tcW w:w="1296" w:type="dxa"/>
          </w:tcPr>
          <w:p>
            <w:pPr>
              <w:pStyle w:val="TableParagraph"/>
              <w:spacing w:line="217" w:lineRule="exact" w:before="55"/>
              <w:ind w:left="274"/>
              <w:rPr>
                <w:sz w:val="18"/>
              </w:rPr>
            </w:pPr>
            <w:r>
              <w:rPr>
                <w:color w:val="231F20"/>
                <w:sz w:val="18"/>
              </w:rPr>
              <w:t>4 + 1½ Bath</w:t>
            </w:r>
          </w:p>
        </w:tc>
        <w:tc>
          <w:tcPr>
            <w:tcW w:w="1330" w:type="dxa"/>
          </w:tcPr>
          <w:p>
            <w:pPr>
              <w:pStyle w:val="TableParagraph"/>
              <w:spacing w:line="217" w:lineRule="exact" w:before="55"/>
              <w:ind w:left="584"/>
              <w:rPr>
                <w:sz w:val="18"/>
              </w:rPr>
            </w:pPr>
            <w:r>
              <w:rPr>
                <w:color w:val="231F20"/>
                <w:sz w:val="18"/>
              </w:rPr>
              <w:t>1,036</w:t>
            </w:r>
          </w:p>
        </w:tc>
        <w:tc>
          <w:tcPr>
            <w:tcW w:w="1193" w:type="dxa"/>
          </w:tcPr>
          <w:p>
            <w:pPr>
              <w:pStyle w:val="TableParagraph"/>
              <w:spacing w:line="217" w:lineRule="exact" w:before="55"/>
              <w:ind w:right="109"/>
              <w:jc w:val="right"/>
              <w:rPr>
                <w:sz w:val="18"/>
              </w:rPr>
            </w:pPr>
            <w:r>
              <w:rPr>
                <w:color w:val="231F20"/>
                <w:sz w:val="18"/>
              </w:rPr>
              <w:t>1,000.00</w:t>
            </w:r>
          </w:p>
        </w:tc>
        <w:tc>
          <w:tcPr>
            <w:tcW w:w="1196" w:type="dxa"/>
          </w:tcPr>
          <w:p>
            <w:pPr>
              <w:pStyle w:val="TableParagraph"/>
              <w:spacing w:line="217" w:lineRule="exact" w:before="55"/>
              <w:ind w:left="387"/>
              <w:rPr>
                <w:sz w:val="18"/>
              </w:rPr>
            </w:pPr>
            <w:r>
              <w:rPr>
                <w:color w:val="231F20"/>
                <w:sz w:val="18"/>
              </w:rPr>
              <w:t>0.320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6" w:type="dxa"/>
          </w:tcPr>
          <w:p>
            <w:pPr>
              <w:pStyle w:val="TableParagraph"/>
              <w:spacing w:line="201" w:lineRule="exact"/>
              <w:ind w:left="312"/>
              <w:jc w:val="center"/>
              <w:rPr>
                <w:sz w:val="18"/>
              </w:rPr>
            </w:pPr>
            <w:r>
              <w:rPr>
                <w:color w:val="231F20"/>
                <w:sz w:val="18"/>
              </w:rPr>
              <w:t>"</w:t>
            </w:r>
          </w:p>
        </w:tc>
        <w:tc>
          <w:tcPr>
            <w:tcW w:w="684" w:type="dxa"/>
          </w:tcPr>
          <w:p>
            <w:pPr>
              <w:pStyle w:val="TableParagraph"/>
              <w:spacing w:line="201" w:lineRule="exact"/>
              <w:ind w:left="140"/>
              <w:rPr>
                <w:sz w:val="18"/>
              </w:rPr>
            </w:pPr>
            <w:r>
              <w:rPr>
                <w:color w:val="231F20"/>
                <w:sz w:val="18"/>
              </w:rPr>
              <w:t>2B</w:t>
            </w:r>
          </w:p>
        </w:tc>
        <w:tc>
          <w:tcPr>
            <w:tcW w:w="1107" w:type="dxa"/>
          </w:tcPr>
          <w:p>
            <w:pPr>
              <w:pStyle w:val="TableParagraph"/>
              <w:spacing w:line="201" w:lineRule="exact"/>
              <w:ind w:right="276"/>
              <w:jc w:val="right"/>
              <w:rPr>
                <w:sz w:val="18"/>
              </w:rPr>
            </w:pPr>
            <w:r>
              <w:rPr>
                <w:color w:val="231F20"/>
                <w:sz w:val="18"/>
              </w:rPr>
              <w:t>2BR</w:t>
            </w:r>
          </w:p>
        </w:tc>
        <w:tc>
          <w:tcPr>
            <w:tcW w:w="1296" w:type="dxa"/>
          </w:tcPr>
          <w:p>
            <w:pPr>
              <w:pStyle w:val="TableParagraph"/>
              <w:spacing w:line="201" w:lineRule="exact"/>
              <w:ind w:left="274"/>
              <w:rPr>
                <w:sz w:val="18"/>
              </w:rPr>
            </w:pPr>
            <w:r>
              <w:rPr>
                <w:color w:val="231F20"/>
                <w:sz w:val="18"/>
              </w:rPr>
              <w:t>4 + 1½ Bath</w:t>
            </w:r>
          </w:p>
        </w:tc>
        <w:tc>
          <w:tcPr>
            <w:tcW w:w="1330" w:type="dxa"/>
          </w:tcPr>
          <w:p>
            <w:pPr>
              <w:pStyle w:val="TableParagraph"/>
              <w:spacing w:line="201" w:lineRule="exact"/>
              <w:ind w:left="584"/>
              <w:rPr>
                <w:sz w:val="18"/>
              </w:rPr>
            </w:pPr>
            <w:r>
              <w:rPr>
                <w:color w:val="231F20"/>
                <w:sz w:val="18"/>
              </w:rPr>
              <w:t>1,036</w:t>
            </w:r>
          </w:p>
        </w:tc>
        <w:tc>
          <w:tcPr>
            <w:tcW w:w="1193" w:type="dxa"/>
          </w:tcPr>
          <w:p>
            <w:pPr>
              <w:pStyle w:val="TableParagraph"/>
              <w:spacing w:line="201" w:lineRule="exact"/>
              <w:ind w:right="109"/>
              <w:jc w:val="right"/>
              <w:rPr>
                <w:sz w:val="18"/>
              </w:rPr>
            </w:pPr>
            <w:r>
              <w:rPr>
                <w:color w:val="231F20"/>
                <w:sz w:val="18"/>
              </w:rPr>
              <w:t>1,000.00</w:t>
            </w:r>
          </w:p>
        </w:tc>
        <w:tc>
          <w:tcPr>
            <w:tcW w:w="1196" w:type="dxa"/>
          </w:tcPr>
          <w:p>
            <w:pPr>
              <w:pStyle w:val="TableParagraph"/>
              <w:spacing w:line="201" w:lineRule="exact"/>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2D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1,036</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C5</w:t>
            </w:r>
          </w:p>
        </w:tc>
        <w:tc>
          <w:tcPr>
            <w:tcW w:w="1876" w:type="dxa"/>
          </w:tcPr>
          <w:p>
            <w:pPr>
              <w:pStyle w:val="TableParagraph"/>
              <w:spacing w:line="216" w:lineRule="exact" w:before="56"/>
              <w:ind w:right="139"/>
              <w:jc w:val="right"/>
              <w:rPr>
                <w:sz w:val="18"/>
              </w:rPr>
            </w:pPr>
            <w:r>
              <w:rPr>
                <w:color w:val="231F20"/>
                <w:sz w:val="18"/>
              </w:rPr>
              <w:t>6405 Colony Way</w:t>
            </w:r>
          </w:p>
        </w:tc>
        <w:tc>
          <w:tcPr>
            <w:tcW w:w="684" w:type="dxa"/>
          </w:tcPr>
          <w:p>
            <w:pPr>
              <w:pStyle w:val="TableParagraph"/>
              <w:spacing w:line="216" w:lineRule="exact" w:before="56"/>
              <w:ind w:left="140"/>
              <w:rPr>
                <w:sz w:val="18"/>
              </w:rPr>
            </w:pPr>
            <w:r>
              <w:rPr>
                <w:color w:val="231F20"/>
                <w:sz w:val="18"/>
              </w:rPr>
              <w:t>1A</w:t>
            </w:r>
          </w:p>
        </w:tc>
        <w:tc>
          <w:tcPr>
            <w:tcW w:w="1107" w:type="dxa"/>
          </w:tcPr>
          <w:p>
            <w:pPr>
              <w:pStyle w:val="TableParagraph"/>
              <w:spacing w:line="216" w:lineRule="exact" w:before="56"/>
              <w:ind w:right="276"/>
              <w:jc w:val="right"/>
              <w:rPr>
                <w:sz w:val="18"/>
              </w:rPr>
            </w:pPr>
            <w:r>
              <w:rPr>
                <w:color w:val="231F20"/>
                <w:sz w:val="18"/>
              </w:rPr>
              <w:t>3BR</w:t>
            </w:r>
          </w:p>
        </w:tc>
        <w:tc>
          <w:tcPr>
            <w:tcW w:w="1296" w:type="dxa"/>
          </w:tcPr>
          <w:p>
            <w:pPr>
              <w:pStyle w:val="TableParagraph"/>
              <w:spacing w:line="216" w:lineRule="exact" w:before="56"/>
              <w:ind w:left="274"/>
              <w:rPr>
                <w:sz w:val="18"/>
              </w:rPr>
            </w:pPr>
            <w:r>
              <w:rPr>
                <w:color w:val="231F20"/>
                <w:sz w:val="18"/>
              </w:rPr>
              <w:t>5 + 2 Bath</w:t>
            </w:r>
          </w:p>
        </w:tc>
        <w:tc>
          <w:tcPr>
            <w:tcW w:w="1330" w:type="dxa"/>
          </w:tcPr>
          <w:p>
            <w:pPr>
              <w:pStyle w:val="TableParagraph"/>
              <w:spacing w:line="216" w:lineRule="exact" w:before="56"/>
              <w:ind w:left="584"/>
              <w:rPr>
                <w:sz w:val="18"/>
              </w:rPr>
            </w:pPr>
            <w:r>
              <w:rPr>
                <w:color w:val="231F20"/>
                <w:sz w:val="18"/>
              </w:rPr>
              <w:t>1,338</w:t>
            </w:r>
          </w:p>
        </w:tc>
        <w:tc>
          <w:tcPr>
            <w:tcW w:w="1193" w:type="dxa"/>
          </w:tcPr>
          <w:p>
            <w:pPr>
              <w:pStyle w:val="TableParagraph"/>
              <w:spacing w:line="216" w:lineRule="exact" w:before="56"/>
              <w:ind w:right="109"/>
              <w:jc w:val="right"/>
              <w:rPr>
                <w:sz w:val="18"/>
              </w:rPr>
            </w:pPr>
            <w:r>
              <w:rPr>
                <w:color w:val="231F20"/>
                <w:sz w:val="18"/>
              </w:rPr>
              <w:t>1,300.00</w:t>
            </w:r>
          </w:p>
        </w:tc>
        <w:tc>
          <w:tcPr>
            <w:tcW w:w="1196" w:type="dxa"/>
          </w:tcPr>
          <w:p>
            <w:pPr>
              <w:pStyle w:val="TableParagraph"/>
              <w:spacing w:line="216" w:lineRule="exact" w:before="56"/>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6" w:type="dxa"/>
          </w:tcPr>
          <w:p>
            <w:pPr>
              <w:pStyle w:val="TableParagraph"/>
              <w:spacing w:line="179" w:lineRule="exact"/>
              <w:ind w:left="312"/>
              <w:jc w:val="center"/>
              <w:rPr>
                <w:sz w:val="18"/>
              </w:rPr>
            </w:pPr>
            <w:r>
              <w:rPr>
                <w:color w:val="231F20"/>
                <w:sz w:val="18"/>
              </w:rPr>
              <w:t>"</w:t>
            </w:r>
          </w:p>
        </w:tc>
        <w:tc>
          <w:tcPr>
            <w:tcW w:w="684" w:type="dxa"/>
          </w:tcPr>
          <w:p>
            <w:pPr>
              <w:pStyle w:val="TableParagraph"/>
              <w:spacing w:line="179" w:lineRule="exact"/>
              <w:ind w:left="140"/>
              <w:rPr>
                <w:sz w:val="18"/>
              </w:rPr>
            </w:pPr>
            <w:r>
              <w:rPr>
                <w:color w:val="231F20"/>
                <w:sz w:val="18"/>
              </w:rPr>
              <w:t>1D</w:t>
            </w:r>
          </w:p>
        </w:tc>
        <w:tc>
          <w:tcPr>
            <w:tcW w:w="1107" w:type="dxa"/>
          </w:tcPr>
          <w:p>
            <w:pPr>
              <w:pStyle w:val="TableParagraph"/>
              <w:spacing w:line="179" w:lineRule="exact"/>
              <w:ind w:right="276"/>
              <w:jc w:val="right"/>
              <w:rPr>
                <w:sz w:val="18"/>
              </w:rPr>
            </w:pPr>
            <w:r>
              <w:rPr>
                <w:color w:val="231F20"/>
                <w:sz w:val="18"/>
              </w:rPr>
              <w:t>3BR</w:t>
            </w:r>
          </w:p>
        </w:tc>
        <w:tc>
          <w:tcPr>
            <w:tcW w:w="1296" w:type="dxa"/>
          </w:tcPr>
          <w:p>
            <w:pPr>
              <w:pStyle w:val="TableParagraph"/>
              <w:spacing w:line="179" w:lineRule="exact"/>
              <w:ind w:left="274"/>
              <w:rPr>
                <w:sz w:val="18"/>
              </w:rPr>
            </w:pPr>
            <w:r>
              <w:rPr>
                <w:color w:val="231F20"/>
                <w:sz w:val="18"/>
              </w:rPr>
              <w:t>5 + 2 Bath</w:t>
            </w:r>
          </w:p>
        </w:tc>
        <w:tc>
          <w:tcPr>
            <w:tcW w:w="1330" w:type="dxa"/>
          </w:tcPr>
          <w:p>
            <w:pPr>
              <w:pStyle w:val="TableParagraph"/>
              <w:spacing w:line="179" w:lineRule="exact"/>
              <w:ind w:left="584"/>
              <w:rPr>
                <w:sz w:val="18"/>
              </w:rPr>
            </w:pPr>
            <w:r>
              <w:rPr>
                <w:color w:val="231F20"/>
                <w:sz w:val="18"/>
              </w:rPr>
              <w:t>1,318</w:t>
            </w:r>
          </w:p>
        </w:tc>
        <w:tc>
          <w:tcPr>
            <w:tcW w:w="1193" w:type="dxa"/>
          </w:tcPr>
          <w:p>
            <w:pPr>
              <w:pStyle w:val="TableParagraph"/>
              <w:spacing w:line="179" w:lineRule="exact"/>
              <w:ind w:right="109"/>
              <w:jc w:val="right"/>
              <w:rPr>
                <w:sz w:val="18"/>
              </w:rPr>
            </w:pPr>
            <w:r>
              <w:rPr>
                <w:color w:val="231F20"/>
                <w:sz w:val="18"/>
              </w:rPr>
              <w:t>1,300.00</w:t>
            </w:r>
          </w:p>
        </w:tc>
        <w:tc>
          <w:tcPr>
            <w:tcW w:w="1196" w:type="dxa"/>
          </w:tcPr>
          <w:p>
            <w:pPr>
              <w:pStyle w:val="TableParagraph"/>
              <w:spacing w:line="179" w:lineRule="exact"/>
              <w:ind w:left="387"/>
              <w:rPr>
                <w:sz w:val="18"/>
              </w:rPr>
            </w:pPr>
            <w:r>
              <w:rPr>
                <w:color w:val="231F20"/>
                <w:sz w:val="18"/>
              </w:rPr>
              <w:t>0.420</w:t>
            </w:r>
          </w:p>
        </w:tc>
      </w:tr>
    </w:tbl>
    <w:p>
      <w:pPr>
        <w:rPr>
          <w:sz w:val="2"/>
          <w:szCs w:val="2"/>
        </w:rPr>
      </w:pPr>
      <w:r>
        <w:rPr/>
        <w:drawing>
          <wp:anchor distT="0" distB="0" distL="0" distR="0" allowOverlap="1" layoutInCell="1" locked="0" behindDoc="1" simplePos="0" relativeHeight="241660928">
            <wp:simplePos x="0" y="0"/>
            <wp:positionH relativeFrom="page">
              <wp:posOffset>846124</wp:posOffset>
            </wp:positionH>
            <wp:positionV relativeFrom="page">
              <wp:posOffset>1803146</wp:posOffset>
            </wp:positionV>
            <wp:extent cx="6082296" cy="6096"/>
            <wp:effectExtent l="0" t="0" r="0" b="0"/>
            <wp:wrapNone/>
            <wp:docPr id="11" name="image5.png"/>
            <wp:cNvGraphicFramePr>
              <a:graphicFrameLocks noChangeAspect="1"/>
            </wp:cNvGraphicFramePr>
            <a:graphic>
              <a:graphicData uri="http://schemas.openxmlformats.org/drawingml/2006/picture">
                <pic:pic>
                  <pic:nvPicPr>
                    <pic:cNvPr id="12" name="image5.png"/>
                    <pic:cNvPicPr/>
                  </pic:nvPicPr>
                  <pic:blipFill>
                    <a:blip r:embed="rId14" cstate="print"/>
                    <a:stretch>
                      <a:fillRect/>
                    </a:stretch>
                  </pic:blipFill>
                  <pic:spPr>
                    <a:xfrm>
                      <a:off x="0" y="0"/>
                      <a:ext cx="6082296" cy="6096"/>
                    </a:xfrm>
                    <a:prstGeom prst="rect">
                      <a:avLst/>
                    </a:prstGeom>
                  </pic:spPr>
                </pic:pic>
              </a:graphicData>
            </a:graphic>
          </wp:anchor>
        </w:drawing>
      </w:r>
    </w:p>
    <w:p>
      <w:pPr>
        <w:spacing w:after="0"/>
        <w:rPr>
          <w:sz w:val="2"/>
          <w:szCs w:val="2"/>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76"/>
        <w:gridCol w:w="684"/>
        <w:gridCol w:w="1107"/>
        <w:gridCol w:w="1296"/>
        <w:gridCol w:w="1330"/>
        <w:gridCol w:w="1193"/>
        <w:gridCol w:w="1196"/>
      </w:tblGrid>
      <w:tr>
        <w:trPr>
          <w:trHeight w:val="210"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190" w:lineRule="exact"/>
              <w:ind w:left="164"/>
              <w:rPr>
                <w:sz w:val="20"/>
              </w:rPr>
            </w:pPr>
            <w:r>
              <w:rPr>
                <w:color w:val="231F20"/>
                <w:sz w:val="20"/>
              </w:rPr>
              <w:t>Approximate</w:t>
            </w: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220"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Square</w:t>
            </w:r>
          </w:p>
        </w:tc>
        <w:tc>
          <w:tcPr>
            <w:tcW w:w="1193" w:type="dxa"/>
          </w:tcPr>
          <w:p>
            <w:pPr>
              <w:pStyle w:val="TableParagraph"/>
              <w:spacing w:line="240" w:lineRule="auto"/>
              <w:rPr>
                <w:rFonts w:ascii="Times New Roman"/>
                <w:sz w:val="14"/>
              </w:rPr>
            </w:pPr>
          </w:p>
        </w:tc>
        <w:tc>
          <w:tcPr>
            <w:tcW w:w="1196" w:type="dxa"/>
          </w:tcPr>
          <w:p>
            <w:pPr>
              <w:pStyle w:val="TableParagraph"/>
              <w:spacing w:line="240" w:lineRule="auto"/>
              <w:rPr>
                <w:rFonts w:ascii="Times New Roman"/>
                <w:sz w:val="14"/>
              </w:rPr>
            </w:pPr>
          </w:p>
        </w:tc>
      </w:tr>
      <w:tr>
        <w:trPr>
          <w:trHeight w:val="219" w:hRule="atLeast"/>
        </w:trPr>
        <w:tc>
          <w:tcPr>
            <w:tcW w:w="900" w:type="dxa"/>
          </w:tcPr>
          <w:p>
            <w:pPr>
              <w:pStyle w:val="TableParagraph"/>
              <w:spacing w:line="240" w:lineRule="auto"/>
              <w:rPr>
                <w:rFonts w:ascii="Times New Roman"/>
                <w:sz w:val="14"/>
              </w:rPr>
            </w:pPr>
          </w:p>
        </w:tc>
        <w:tc>
          <w:tcPr>
            <w:tcW w:w="1876" w:type="dxa"/>
          </w:tcPr>
          <w:p>
            <w:pPr>
              <w:pStyle w:val="TableParagraph"/>
              <w:spacing w:line="240" w:lineRule="auto"/>
              <w:rPr>
                <w:rFonts w:ascii="Times New Roman"/>
                <w:sz w:val="14"/>
              </w:rPr>
            </w:pP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Footage Not</w:t>
            </w:r>
          </w:p>
        </w:tc>
        <w:tc>
          <w:tcPr>
            <w:tcW w:w="1193" w:type="dxa"/>
          </w:tcPr>
          <w:p>
            <w:pPr>
              <w:pStyle w:val="TableParagraph"/>
              <w:spacing w:line="240" w:lineRule="auto"/>
              <w:rPr>
                <w:rFonts w:ascii="Times New Roman"/>
                <w:sz w:val="14"/>
              </w:rPr>
            </w:pPr>
          </w:p>
        </w:tc>
        <w:tc>
          <w:tcPr>
            <w:tcW w:w="1196" w:type="dxa"/>
          </w:tcPr>
          <w:p>
            <w:pPr>
              <w:pStyle w:val="TableParagraph"/>
              <w:ind w:left="104"/>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76" w:type="dxa"/>
          </w:tcPr>
          <w:p>
            <w:pPr>
              <w:pStyle w:val="TableParagraph"/>
              <w:ind w:left="388"/>
              <w:rPr>
                <w:sz w:val="20"/>
              </w:rPr>
            </w:pPr>
            <w:r>
              <w:rPr>
                <w:color w:val="231F20"/>
                <w:sz w:val="20"/>
              </w:rPr>
              <w:t>Apartment</w:t>
            </w:r>
          </w:p>
        </w:tc>
        <w:tc>
          <w:tcPr>
            <w:tcW w:w="684"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Including</w:t>
            </w:r>
          </w:p>
        </w:tc>
        <w:tc>
          <w:tcPr>
            <w:tcW w:w="1193" w:type="dxa"/>
          </w:tcPr>
          <w:p>
            <w:pPr>
              <w:pStyle w:val="TableParagraph"/>
              <w:spacing w:line="240" w:lineRule="auto"/>
              <w:rPr>
                <w:rFonts w:ascii="Times New Roman"/>
                <w:sz w:val="14"/>
              </w:rPr>
            </w:pPr>
          </w:p>
        </w:tc>
        <w:tc>
          <w:tcPr>
            <w:tcW w:w="1196" w:type="dxa"/>
          </w:tcPr>
          <w:p>
            <w:pPr>
              <w:pStyle w:val="TableParagraph"/>
              <w:ind w:left="104"/>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76" w:type="dxa"/>
          </w:tcPr>
          <w:p>
            <w:pPr>
              <w:pStyle w:val="TableParagraph"/>
              <w:spacing w:line="201" w:lineRule="exact"/>
              <w:ind w:left="388"/>
              <w:rPr>
                <w:sz w:val="20"/>
              </w:rPr>
            </w:pPr>
            <w:r>
              <w:rPr>
                <w:color w:val="231F20"/>
                <w:sz w:val="20"/>
              </w:rPr>
              <w:t>Building</w:t>
            </w:r>
          </w:p>
        </w:tc>
        <w:tc>
          <w:tcPr>
            <w:tcW w:w="684" w:type="dxa"/>
          </w:tcPr>
          <w:p>
            <w:pPr>
              <w:pStyle w:val="TableParagraph"/>
              <w:spacing w:line="201" w:lineRule="exact"/>
              <w:ind w:left="140"/>
              <w:rPr>
                <w:sz w:val="20"/>
              </w:rPr>
            </w:pPr>
            <w:r>
              <w:rPr>
                <w:color w:val="231F20"/>
                <w:sz w:val="20"/>
              </w:rPr>
              <w:t>Apt.</w:t>
            </w: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Balcony or</w:t>
            </w:r>
          </w:p>
        </w:tc>
        <w:tc>
          <w:tcPr>
            <w:tcW w:w="1193" w:type="dxa"/>
          </w:tcPr>
          <w:p>
            <w:pPr>
              <w:pStyle w:val="TableParagraph"/>
              <w:spacing w:line="201" w:lineRule="exact"/>
              <w:ind w:left="106"/>
              <w:rPr>
                <w:sz w:val="20"/>
              </w:rPr>
            </w:pPr>
            <w:r>
              <w:rPr>
                <w:color w:val="231F20"/>
                <w:sz w:val="20"/>
              </w:rPr>
              <w:t>Declared</w:t>
            </w:r>
          </w:p>
        </w:tc>
        <w:tc>
          <w:tcPr>
            <w:tcW w:w="1196" w:type="dxa"/>
          </w:tcPr>
          <w:p>
            <w:pPr>
              <w:pStyle w:val="TableParagraph"/>
              <w:spacing w:line="201" w:lineRule="exact"/>
              <w:ind w:left="104"/>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76" w:type="dxa"/>
            <w:tcBorders>
              <w:bottom w:val="single" w:sz="4" w:space="0" w:color="000000"/>
            </w:tcBorders>
          </w:tcPr>
          <w:p>
            <w:pPr>
              <w:pStyle w:val="TableParagraph"/>
              <w:spacing w:line="214" w:lineRule="exact"/>
              <w:ind w:left="388"/>
              <w:rPr>
                <w:sz w:val="20"/>
              </w:rPr>
            </w:pPr>
            <w:r>
              <w:rPr>
                <w:color w:val="231F20"/>
                <w:sz w:val="20"/>
              </w:rPr>
              <w:t>Address</w:t>
            </w:r>
          </w:p>
        </w:tc>
        <w:tc>
          <w:tcPr>
            <w:tcW w:w="684" w:type="dxa"/>
            <w:tcBorders>
              <w:bottom w:val="single" w:sz="4" w:space="0" w:color="000000"/>
            </w:tcBorders>
          </w:tcPr>
          <w:p>
            <w:pPr>
              <w:pStyle w:val="TableParagraph"/>
              <w:spacing w:line="214" w:lineRule="exact"/>
              <w:ind w:left="140"/>
              <w:rPr>
                <w:sz w:val="20"/>
              </w:rPr>
            </w:pPr>
            <w:r>
              <w:rPr>
                <w:color w:val="231F20"/>
                <w:sz w:val="20"/>
              </w:rPr>
              <w:t>No.</w:t>
            </w:r>
          </w:p>
        </w:tc>
        <w:tc>
          <w:tcPr>
            <w:tcW w:w="1107" w:type="dxa"/>
            <w:tcBorders>
              <w:bottom w:val="single" w:sz="4" w:space="0" w:color="000000"/>
            </w:tcBorders>
          </w:tcPr>
          <w:p>
            <w:pPr>
              <w:pStyle w:val="TableParagraph"/>
              <w:spacing w:line="214" w:lineRule="exact"/>
              <w:ind w:left="202"/>
              <w:rPr>
                <w:sz w:val="20"/>
              </w:rPr>
            </w:pPr>
            <w:r>
              <w:rPr>
                <w:color w:val="231F20"/>
                <w:sz w:val="20"/>
              </w:rPr>
              <w:t>Type</w:t>
            </w:r>
          </w:p>
        </w:tc>
        <w:tc>
          <w:tcPr>
            <w:tcW w:w="1296" w:type="dxa"/>
            <w:tcBorders>
              <w:bottom w:val="single" w:sz="4" w:space="0" w:color="000000"/>
            </w:tcBorders>
          </w:tcPr>
          <w:p>
            <w:pPr>
              <w:pStyle w:val="TableParagraph"/>
              <w:spacing w:line="214" w:lineRule="exact"/>
              <w:ind w:left="274"/>
              <w:rPr>
                <w:sz w:val="20"/>
              </w:rPr>
            </w:pPr>
            <w:r>
              <w:rPr>
                <w:color w:val="231F20"/>
                <w:sz w:val="20"/>
              </w:rPr>
              <w:t>Rooms</w:t>
            </w:r>
          </w:p>
        </w:tc>
        <w:tc>
          <w:tcPr>
            <w:tcW w:w="1330" w:type="dxa"/>
            <w:tcBorders>
              <w:bottom w:val="single" w:sz="4" w:space="0" w:color="000000"/>
            </w:tcBorders>
          </w:tcPr>
          <w:p>
            <w:pPr>
              <w:pStyle w:val="TableParagraph"/>
              <w:spacing w:line="214" w:lineRule="exact"/>
              <w:ind w:left="164"/>
              <w:rPr>
                <w:sz w:val="20"/>
              </w:rPr>
            </w:pPr>
            <w:r>
              <w:rPr>
                <w:color w:val="231F20"/>
                <w:sz w:val="20"/>
              </w:rPr>
              <w:t>Patio</w:t>
            </w:r>
          </w:p>
        </w:tc>
        <w:tc>
          <w:tcPr>
            <w:tcW w:w="1193" w:type="dxa"/>
            <w:tcBorders>
              <w:bottom w:val="single" w:sz="4" w:space="0" w:color="000000"/>
            </w:tcBorders>
          </w:tcPr>
          <w:p>
            <w:pPr>
              <w:pStyle w:val="TableParagraph"/>
              <w:spacing w:line="214" w:lineRule="exact"/>
              <w:ind w:left="106"/>
              <w:rPr>
                <w:sz w:val="20"/>
              </w:rPr>
            </w:pPr>
            <w:r>
              <w:rPr>
                <w:color w:val="231F20"/>
                <w:sz w:val="20"/>
              </w:rPr>
              <w:t>Value</w:t>
            </w:r>
          </w:p>
        </w:tc>
        <w:tc>
          <w:tcPr>
            <w:tcW w:w="1196" w:type="dxa"/>
            <w:tcBorders>
              <w:bottom w:val="single" w:sz="4" w:space="0" w:color="000000"/>
            </w:tcBorders>
          </w:tcPr>
          <w:p>
            <w:pPr>
              <w:pStyle w:val="TableParagraph"/>
              <w:spacing w:line="214" w:lineRule="exact"/>
              <w:ind w:left="104"/>
              <w:rPr>
                <w:sz w:val="20"/>
              </w:rPr>
            </w:pPr>
            <w:r>
              <w:rPr>
                <w:color w:val="231F20"/>
                <w:sz w:val="20"/>
              </w:rPr>
              <w:t>Interest</w:t>
            </w:r>
          </w:p>
        </w:tc>
      </w:tr>
      <w:tr>
        <w:trPr>
          <w:trHeight w:val="370" w:hRule="atLeast"/>
        </w:trPr>
        <w:tc>
          <w:tcPr>
            <w:tcW w:w="900" w:type="dxa"/>
            <w:tcBorders>
              <w:top w:val="single" w:sz="4" w:space="0" w:color="000000"/>
            </w:tcBorders>
          </w:tcPr>
          <w:p>
            <w:pPr>
              <w:pStyle w:val="TableParagraph"/>
              <w:spacing w:line="217" w:lineRule="exact" w:before="133"/>
              <w:ind w:left="108"/>
              <w:rPr>
                <w:sz w:val="18"/>
              </w:rPr>
            </w:pPr>
            <w:r>
              <w:rPr>
                <w:color w:val="231F20"/>
                <w:sz w:val="18"/>
              </w:rPr>
              <w:t>C5</w:t>
            </w:r>
          </w:p>
        </w:tc>
        <w:tc>
          <w:tcPr>
            <w:tcW w:w="1876" w:type="dxa"/>
            <w:tcBorders>
              <w:top w:val="single" w:sz="4" w:space="0" w:color="000000"/>
            </w:tcBorders>
          </w:tcPr>
          <w:p>
            <w:pPr>
              <w:pStyle w:val="TableParagraph"/>
              <w:spacing w:line="217" w:lineRule="exact" w:before="133"/>
              <w:ind w:right="139"/>
              <w:jc w:val="right"/>
              <w:rPr>
                <w:sz w:val="18"/>
              </w:rPr>
            </w:pPr>
            <w:r>
              <w:rPr>
                <w:color w:val="231F20"/>
                <w:sz w:val="18"/>
              </w:rPr>
              <w:t>6405 Colony Way</w:t>
            </w:r>
          </w:p>
        </w:tc>
        <w:tc>
          <w:tcPr>
            <w:tcW w:w="684" w:type="dxa"/>
            <w:tcBorders>
              <w:top w:val="single" w:sz="4" w:space="0" w:color="000000"/>
            </w:tcBorders>
          </w:tcPr>
          <w:p>
            <w:pPr>
              <w:pStyle w:val="TableParagraph"/>
              <w:spacing w:line="217" w:lineRule="exact" w:before="133"/>
              <w:ind w:left="140"/>
              <w:rPr>
                <w:sz w:val="18"/>
              </w:rPr>
            </w:pPr>
            <w:r>
              <w:rPr>
                <w:color w:val="231F20"/>
                <w:sz w:val="18"/>
              </w:rPr>
              <w:t>2A</w:t>
            </w:r>
          </w:p>
        </w:tc>
        <w:tc>
          <w:tcPr>
            <w:tcW w:w="1107" w:type="dxa"/>
            <w:tcBorders>
              <w:top w:val="single" w:sz="4" w:space="0" w:color="000000"/>
            </w:tcBorders>
          </w:tcPr>
          <w:p>
            <w:pPr>
              <w:pStyle w:val="TableParagraph"/>
              <w:spacing w:line="217" w:lineRule="exact" w:before="133"/>
              <w:ind w:right="276"/>
              <w:jc w:val="right"/>
              <w:rPr>
                <w:sz w:val="18"/>
              </w:rPr>
            </w:pPr>
            <w:r>
              <w:rPr>
                <w:color w:val="231F20"/>
                <w:sz w:val="18"/>
              </w:rPr>
              <w:t>2BR</w:t>
            </w:r>
          </w:p>
        </w:tc>
        <w:tc>
          <w:tcPr>
            <w:tcW w:w="1296" w:type="dxa"/>
            <w:tcBorders>
              <w:top w:val="single" w:sz="4" w:space="0" w:color="000000"/>
            </w:tcBorders>
          </w:tcPr>
          <w:p>
            <w:pPr>
              <w:pStyle w:val="TableParagraph"/>
              <w:spacing w:line="217" w:lineRule="exact" w:before="133"/>
              <w:ind w:left="274"/>
              <w:rPr>
                <w:sz w:val="18"/>
              </w:rPr>
            </w:pPr>
            <w:r>
              <w:rPr>
                <w:color w:val="231F20"/>
                <w:sz w:val="18"/>
              </w:rPr>
              <w:t>4 + 1½ Bath</w:t>
            </w:r>
          </w:p>
        </w:tc>
        <w:tc>
          <w:tcPr>
            <w:tcW w:w="1330" w:type="dxa"/>
            <w:tcBorders>
              <w:top w:val="single" w:sz="4" w:space="0" w:color="000000"/>
            </w:tcBorders>
          </w:tcPr>
          <w:p>
            <w:pPr>
              <w:pStyle w:val="TableParagraph"/>
              <w:spacing w:line="217" w:lineRule="exact" w:before="133"/>
              <w:ind w:left="584"/>
              <w:rPr>
                <w:sz w:val="18"/>
              </w:rPr>
            </w:pPr>
            <w:r>
              <w:rPr>
                <w:color w:val="231F20"/>
                <w:sz w:val="18"/>
              </w:rPr>
              <w:t>1,036</w:t>
            </w:r>
          </w:p>
        </w:tc>
        <w:tc>
          <w:tcPr>
            <w:tcW w:w="1193" w:type="dxa"/>
            <w:tcBorders>
              <w:top w:val="single" w:sz="4" w:space="0" w:color="000000"/>
            </w:tcBorders>
          </w:tcPr>
          <w:p>
            <w:pPr>
              <w:pStyle w:val="TableParagraph"/>
              <w:spacing w:line="217" w:lineRule="exact" w:before="133"/>
              <w:ind w:right="109"/>
              <w:jc w:val="right"/>
              <w:rPr>
                <w:sz w:val="18"/>
              </w:rPr>
            </w:pPr>
            <w:r>
              <w:rPr>
                <w:color w:val="231F20"/>
                <w:sz w:val="18"/>
              </w:rPr>
              <w:t>$1,000.00</w:t>
            </w:r>
          </w:p>
        </w:tc>
        <w:tc>
          <w:tcPr>
            <w:tcW w:w="1196" w:type="dxa"/>
            <w:tcBorders>
              <w:top w:val="single" w:sz="4" w:space="0" w:color="000000"/>
            </w:tcBorders>
          </w:tcPr>
          <w:p>
            <w:pPr>
              <w:pStyle w:val="TableParagraph"/>
              <w:spacing w:line="217" w:lineRule="exact" w:before="133"/>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2"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2D</w:t>
            </w:r>
          </w:p>
        </w:tc>
        <w:tc>
          <w:tcPr>
            <w:tcW w:w="1107" w:type="dxa"/>
          </w:tcPr>
          <w:p>
            <w:pPr>
              <w:pStyle w:val="TableParagraph"/>
              <w:spacing w:line="204" w:lineRule="exact"/>
              <w:ind w:right="276"/>
              <w:jc w:val="right"/>
              <w:rPr>
                <w:sz w:val="18"/>
              </w:rPr>
            </w:pPr>
            <w:r>
              <w:rPr>
                <w:color w:val="231F20"/>
                <w:sz w:val="18"/>
              </w:rPr>
              <w:t>2BR</w:t>
            </w:r>
          </w:p>
        </w:tc>
        <w:tc>
          <w:tcPr>
            <w:tcW w:w="1296" w:type="dxa"/>
          </w:tcPr>
          <w:p>
            <w:pPr>
              <w:pStyle w:val="TableParagraph"/>
              <w:spacing w:line="204" w:lineRule="exact"/>
              <w:ind w:left="274"/>
              <w:rPr>
                <w:sz w:val="18"/>
              </w:rPr>
            </w:pPr>
            <w:r>
              <w:rPr>
                <w:color w:val="231F20"/>
                <w:sz w:val="18"/>
              </w:rPr>
              <w:t>4 + 1½ Bath</w:t>
            </w:r>
          </w:p>
        </w:tc>
        <w:tc>
          <w:tcPr>
            <w:tcW w:w="1330" w:type="dxa"/>
          </w:tcPr>
          <w:p>
            <w:pPr>
              <w:pStyle w:val="TableParagraph"/>
              <w:spacing w:line="204" w:lineRule="exact"/>
              <w:ind w:left="584"/>
              <w:rPr>
                <w:sz w:val="18"/>
              </w:rPr>
            </w:pPr>
            <w:r>
              <w:rPr>
                <w:color w:val="231F20"/>
                <w:sz w:val="18"/>
              </w:rPr>
              <w:t>1,036</w:t>
            </w:r>
          </w:p>
        </w:tc>
        <w:tc>
          <w:tcPr>
            <w:tcW w:w="1193" w:type="dxa"/>
          </w:tcPr>
          <w:p>
            <w:pPr>
              <w:pStyle w:val="TableParagraph"/>
              <w:spacing w:line="204" w:lineRule="exact"/>
              <w:ind w:right="109"/>
              <w:jc w:val="right"/>
              <w:rPr>
                <w:sz w:val="18"/>
              </w:rPr>
            </w:pPr>
            <w:r>
              <w:rPr>
                <w:color w:val="231F20"/>
                <w:sz w:val="18"/>
              </w:rPr>
              <w:t>1,000.00</w:t>
            </w:r>
          </w:p>
        </w:tc>
        <w:tc>
          <w:tcPr>
            <w:tcW w:w="1196" w:type="dxa"/>
          </w:tcPr>
          <w:p>
            <w:pPr>
              <w:pStyle w:val="TableParagraph"/>
              <w:spacing w:line="204" w:lineRule="exact"/>
              <w:ind w:left="387"/>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C4</w:t>
            </w:r>
          </w:p>
        </w:tc>
        <w:tc>
          <w:tcPr>
            <w:tcW w:w="1876" w:type="dxa"/>
          </w:tcPr>
          <w:p>
            <w:pPr>
              <w:pStyle w:val="TableParagraph"/>
              <w:spacing w:line="216" w:lineRule="exact" w:before="56"/>
              <w:ind w:right="139"/>
              <w:jc w:val="right"/>
              <w:rPr>
                <w:sz w:val="18"/>
              </w:rPr>
            </w:pPr>
            <w:r>
              <w:rPr>
                <w:color w:val="231F20"/>
                <w:sz w:val="18"/>
              </w:rPr>
              <w:t>6409 Colony Way</w:t>
            </w:r>
          </w:p>
        </w:tc>
        <w:tc>
          <w:tcPr>
            <w:tcW w:w="684" w:type="dxa"/>
          </w:tcPr>
          <w:p>
            <w:pPr>
              <w:pStyle w:val="TableParagraph"/>
              <w:spacing w:line="216" w:lineRule="exact" w:before="56"/>
              <w:ind w:left="140"/>
              <w:rPr>
                <w:sz w:val="18"/>
              </w:rPr>
            </w:pPr>
            <w:r>
              <w:rPr>
                <w:color w:val="231F20"/>
                <w:sz w:val="18"/>
              </w:rPr>
              <w:t>1A</w:t>
            </w:r>
          </w:p>
        </w:tc>
        <w:tc>
          <w:tcPr>
            <w:tcW w:w="1107" w:type="dxa"/>
          </w:tcPr>
          <w:p>
            <w:pPr>
              <w:pStyle w:val="TableParagraph"/>
              <w:spacing w:line="216" w:lineRule="exact" w:before="56"/>
              <w:ind w:right="276"/>
              <w:jc w:val="right"/>
              <w:rPr>
                <w:sz w:val="18"/>
              </w:rPr>
            </w:pPr>
            <w:r>
              <w:rPr>
                <w:color w:val="231F20"/>
                <w:sz w:val="18"/>
              </w:rPr>
              <w:t>3BR</w:t>
            </w:r>
          </w:p>
        </w:tc>
        <w:tc>
          <w:tcPr>
            <w:tcW w:w="1296" w:type="dxa"/>
          </w:tcPr>
          <w:p>
            <w:pPr>
              <w:pStyle w:val="TableParagraph"/>
              <w:spacing w:line="216" w:lineRule="exact" w:before="56"/>
              <w:ind w:left="274"/>
              <w:rPr>
                <w:sz w:val="18"/>
              </w:rPr>
            </w:pPr>
            <w:r>
              <w:rPr>
                <w:color w:val="231F20"/>
                <w:sz w:val="18"/>
              </w:rPr>
              <w:t>5 + 2 Bath</w:t>
            </w:r>
          </w:p>
        </w:tc>
        <w:tc>
          <w:tcPr>
            <w:tcW w:w="1330" w:type="dxa"/>
          </w:tcPr>
          <w:p>
            <w:pPr>
              <w:pStyle w:val="TableParagraph"/>
              <w:spacing w:line="216" w:lineRule="exact" w:before="56"/>
              <w:ind w:left="584"/>
              <w:rPr>
                <w:sz w:val="18"/>
              </w:rPr>
            </w:pPr>
            <w:r>
              <w:rPr>
                <w:color w:val="231F20"/>
                <w:sz w:val="18"/>
              </w:rPr>
              <w:t>1,318</w:t>
            </w:r>
          </w:p>
        </w:tc>
        <w:tc>
          <w:tcPr>
            <w:tcW w:w="1193" w:type="dxa"/>
          </w:tcPr>
          <w:p>
            <w:pPr>
              <w:pStyle w:val="TableParagraph"/>
              <w:spacing w:line="216" w:lineRule="exact" w:before="56"/>
              <w:ind w:right="109"/>
              <w:jc w:val="right"/>
              <w:rPr>
                <w:sz w:val="18"/>
              </w:rPr>
            </w:pPr>
            <w:r>
              <w:rPr>
                <w:color w:val="231F20"/>
                <w:sz w:val="18"/>
              </w:rPr>
              <w:t>1,300.00</w:t>
            </w:r>
          </w:p>
        </w:tc>
        <w:tc>
          <w:tcPr>
            <w:tcW w:w="1196" w:type="dxa"/>
          </w:tcPr>
          <w:p>
            <w:pPr>
              <w:pStyle w:val="TableParagraph"/>
              <w:spacing w:line="216" w:lineRule="exact" w:before="56"/>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1D</w:t>
            </w:r>
          </w:p>
        </w:tc>
        <w:tc>
          <w:tcPr>
            <w:tcW w:w="1107" w:type="dxa"/>
          </w:tcPr>
          <w:p>
            <w:pPr>
              <w:pStyle w:val="TableParagraph"/>
              <w:spacing w:line="203" w:lineRule="exact"/>
              <w:ind w:right="276"/>
              <w:jc w:val="right"/>
              <w:rPr>
                <w:sz w:val="18"/>
              </w:rPr>
            </w:pPr>
            <w:r>
              <w:rPr>
                <w:color w:val="231F20"/>
                <w:sz w:val="18"/>
              </w:rPr>
              <w:t>3BR</w:t>
            </w:r>
          </w:p>
        </w:tc>
        <w:tc>
          <w:tcPr>
            <w:tcW w:w="1296" w:type="dxa"/>
          </w:tcPr>
          <w:p>
            <w:pPr>
              <w:pStyle w:val="TableParagraph"/>
              <w:spacing w:line="203" w:lineRule="exact"/>
              <w:ind w:left="274"/>
              <w:rPr>
                <w:sz w:val="18"/>
              </w:rPr>
            </w:pPr>
            <w:r>
              <w:rPr>
                <w:color w:val="231F20"/>
                <w:sz w:val="18"/>
              </w:rPr>
              <w:t>5 + 2 Bath</w:t>
            </w:r>
          </w:p>
        </w:tc>
        <w:tc>
          <w:tcPr>
            <w:tcW w:w="1330" w:type="dxa"/>
          </w:tcPr>
          <w:p>
            <w:pPr>
              <w:pStyle w:val="TableParagraph"/>
              <w:spacing w:line="203" w:lineRule="exact"/>
              <w:ind w:left="584"/>
              <w:rPr>
                <w:sz w:val="18"/>
              </w:rPr>
            </w:pPr>
            <w:r>
              <w:rPr>
                <w:color w:val="231F20"/>
                <w:sz w:val="18"/>
              </w:rPr>
              <w:t>1,338</w:t>
            </w:r>
          </w:p>
        </w:tc>
        <w:tc>
          <w:tcPr>
            <w:tcW w:w="1193" w:type="dxa"/>
          </w:tcPr>
          <w:p>
            <w:pPr>
              <w:pStyle w:val="TableParagraph"/>
              <w:spacing w:line="203" w:lineRule="exact"/>
              <w:ind w:right="109"/>
              <w:jc w:val="right"/>
              <w:rPr>
                <w:sz w:val="18"/>
              </w:rPr>
            </w:pPr>
            <w:r>
              <w:rPr>
                <w:color w:val="231F20"/>
                <w:sz w:val="18"/>
              </w:rPr>
              <w:t>1,300.00</w:t>
            </w:r>
          </w:p>
        </w:tc>
        <w:tc>
          <w:tcPr>
            <w:tcW w:w="1196" w:type="dxa"/>
          </w:tcPr>
          <w:p>
            <w:pPr>
              <w:pStyle w:val="TableParagraph"/>
              <w:spacing w:line="203" w:lineRule="exact"/>
              <w:ind w:left="387"/>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76" w:type="dxa"/>
          </w:tcPr>
          <w:p>
            <w:pPr>
              <w:pStyle w:val="TableParagraph"/>
              <w:spacing w:line="216" w:lineRule="exact" w:before="56"/>
              <w:ind w:left="312"/>
              <w:jc w:val="center"/>
              <w:rPr>
                <w:sz w:val="18"/>
              </w:rPr>
            </w:pPr>
            <w:r>
              <w:rPr>
                <w:color w:val="231F20"/>
                <w:sz w:val="18"/>
              </w:rPr>
              <w:t>"</w:t>
            </w:r>
          </w:p>
        </w:tc>
        <w:tc>
          <w:tcPr>
            <w:tcW w:w="684" w:type="dxa"/>
          </w:tcPr>
          <w:p>
            <w:pPr>
              <w:pStyle w:val="TableParagraph"/>
              <w:spacing w:line="216" w:lineRule="exact" w:before="56"/>
              <w:ind w:left="140"/>
              <w:rPr>
                <w:sz w:val="18"/>
              </w:rPr>
            </w:pPr>
            <w:r>
              <w:rPr>
                <w:color w:val="231F20"/>
                <w:sz w:val="18"/>
              </w:rPr>
              <w:t>2A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584"/>
              <w:rPr>
                <w:sz w:val="18"/>
              </w:rPr>
            </w:pPr>
            <w:r>
              <w:rPr>
                <w:color w:val="231F20"/>
                <w:sz w:val="18"/>
              </w:rPr>
              <w:t>1,036</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2D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1,036</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2" w:hRule="atLeast"/>
        </w:trPr>
        <w:tc>
          <w:tcPr>
            <w:tcW w:w="900" w:type="dxa"/>
          </w:tcPr>
          <w:p>
            <w:pPr>
              <w:pStyle w:val="TableParagraph"/>
              <w:spacing w:line="217" w:lineRule="exact" w:before="56"/>
              <w:ind w:left="108"/>
              <w:rPr>
                <w:sz w:val="18"/>
              </w:rPr>
            </w:pPr>
            <w:r>
              <w:rPr>
                <w:color w:val="231F20"/>
                <w:sz w:val="18"/>
              </w:rPr>
              <w:t>C1</w:t>
            </w:r>
          </w:p>
        </w:tc>
        <w:tc>
          <w:tcPr>
            <w:tcW w:w="1876" w:type="dxa"/>
          </w:tcPr>
          <w:p>
            <w:pPr>
              <w:pStyle w:val="TableParagraph"/>
              <w:spacing w:line="217" w:lineRule="exact" w:before="56"/>
              <w:ind w:right="139"/>
              <w:jc w:val="right"/>
              <w:rPr>
                <w:sz w:val="18"/>
              </w:rPr>
            </w:pPr>
            <w:r>
              <w:rPr>
                <w:color w:val="231F20"/>
                <w:sz w:val="18"/>
              </w:rPr>
              <w:t>6415 Colony Way</w:t>
            </w:r>
          </w:p>
        </w:tc>
        <w:tc>
          <w:tcPr>
            <w:tcW w:w="684" w:type="dxa"/>
          </w:tcPr>
          <w:p>
            <w:pPr>
              <w:pStyle w:val="TableParagraph"/>
              <w:spacing w:line="217" w:lineRule="exact" w:before="56"/>
              <w:ind w:left="140"/>
              <w:rPr>
                <w:sz w:val="18"/>
              </w:rPr>
            </w:pPr>
            <w:r>
              <w:rPr>
                <w:color w:val="231F20"/>
                <w:sz w:val="18"/>
              </w:rPr>
              <w:t>1A</w:t>
            </w:r>
          </w:p>
        </w:tc>
        <w:tc>
          <w:tcPr>
            <w:tcW w:w="1107" w:type="dxa"/>
          </w:tcPr>
          <w:p>
            <w:pPr>
              <w:pStyle w:val="TableParagraph"/>
              <w:spacing w:line="217" w:lineRule="exact" w:before="56"/>
              <w:ind w:right="276"/>
              <w:jc w:val="right"/>
              <w:rPr>
                <w:sz w:val="18"/>
              </w:rPr>
            </w:pPr>
            <w:r>
              <w:rPr>
                <w:color w:val="231F20"/>
                <w:sz w:val="18"/>
              </w:rPr>
              <w:t>2BR</w:t>
            </w:r>
          </w:p>
        </w:tc>
        <w:tc>
          <w:tcPr>
            <w:tcW w:w="1296" w:type="dxa"/>
          </w:tcPr>
          <w:p>
            <w:pPr>
              <w:pStyle w:val="TableParagraph"/>
              <w:spacing w:line="217" w:lineRule="exact" w:before="56"/>
              <w:ind w:left="274"/>
              <w:rPr>
                <w:sz w:val="18"/>
              </w:rPr>
            </w:pPr>
            <w:r>
              <w:rPr>
                <w:color w:val="231F20"/>
                <w:sz w:val="18"/>
              </w:rPr>
              <w:t>4 + 1½ Bath</w:t>
            </w:r>
          </w:p>
        </w:tc>
        <w:tc>
          <w:tcPr>
            <w:tcW w:w="1330" w:type="dxa"/>
          </w:tcPr>
          <w:p>
            <w:pPr>
              <w:pStyle w:val="TableParagraph"/>
              <w:spacing w:line="217" w:lineRule="exact" w:before="56"/>
              <w:ind w:left="721"/>
              <w:rPr>
                <w:sz w:val="18"/>
              </w:rPr>
            </w:pPr>
            <w:r>
              <w:rPr>
                <w:color w:val="231F20"/>
                <w:sz w:val="18"/>
              </w:rPr>
              <w:t>999</w:t>
            </w:r>
          </w:p>
        </w:tc>
        <w:tc>
          <w:tcPr>
            <w:tcW w:w="1193" w:type="dxa"/>
          </w:tcPr>
          <w:p>
            <w:pPr>
              <w:pStyle w:val="TableParagraph"/>
              <w:spacing w:line="217" w:lineRule="exact" w:before="56"/>
              <w:ind w:right="109"/>
              <w:jc w:val="right"/>
              <w:rPr>
                <w:sz w:val="18"/>
              </w:rPr>
            </w:pPr>
            <w:r>
              <w:rPr>
                <w:color w:val="231F20"/>
                <w:sz w:val="18"/>
              </w:rPr>
              <w:t>1,000.00</w:t>
            </w:r>
          </w:p>
        </w:tc>
        <w:tc>
          <w:tcPr>
            <w:tcW w:w="1196" w:type="dxa"/>
          </w:tcPr>
          <w:p>
            <w:pPr>
              <w:pStyle w:val="TableParagraph"/>
              <w:spacing w:line="217"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1D</w:t>
            </w:r>
          </w:p>
        </w:tc>
        <w:tc>
          <w:tcPr>
            <w:tcW w:w="1107" w:type="dxa"/>
          </w:tcPr>
          <w:p>
            <w:pPr>
              <w:pStyle w:val="TableParagraph"/>
              <w:spacing w:line="204" w:lineRule="exact"/>
              <w:ind w:right="276"/>
              <w:jc w:val="right"/>
              <w:rPr>
                <w:sz w:val="18"/>
              </w:rPr>
            </w:pPr>
            <w:r>
              <w:rPr>
                <w:color w:val="231F20"/>
                <w:sz w:val="18"/>
              </w:rPr>
              <w:t>2BR</w:t>
            </w:r>
          </w:p>
        </w:tc>
        <w:tc>
          <w:tcPr>
            <w:tcW w:w="1296" w:type="dxa"/>
          </w:tcPr>
          <w:p>
            <w:pPr>
              <w:pStyle w:val="TableParagraph"/>
              <w:spacing w:line="204" w:lineRule="exact"/>
              <w:ind w:left="274"/>
              <w:rPr>
                <w:sz w:val="18"/>
              </w:rPr>
            </w:pPr>
            <w:r>
              <w:rPr>
                <w:color w:val="231F20"/>
                <w:sz w:val="18"/>
              </w:rPr>
              <w:t>4 + 1½ Bath</w:t>
            </w:r>
          </w:p>
        </w:tc>
        <w:tc>
          <w:tcPr>
            <w:tcW w:w="1330" w:type="dxa"/>
          </w:tcPr>
          <w:p>
            <w:pPr>
              <w:pStyle w:val="TableParagraph"/>
              <w:spacing w:line="204" w:lineRule="exact"/>
              <w:ind w:left="584"/>
              <w:rPr>
                <w:sz w:val="18"/>
              </w:rPr>
            </w:pPr>
            <w:r>
              <w:rPr>
                <w:color w:val="231F20"/>
                <w:sz w:val="18"/>
              </w:rPr>
              <w:t>1,012</w:t>
            </w:r>
          </w:p>
        </w:tc>
        <w:tc>
          <w:tcPr>
            <w:tcW w:w="1193" w:type="dxa"/>
          </w:tcPr>
          <w:p>
            <w:pPr>
              <w:pStyle w:val="TableParagraph"/>
              <w:spacing w:line="204" w:lineRule="exact"/>
              <w:ind w:right="109"/>
              <w:jc w:val="right"/>
              <w:rPr>
                <w:sz w:val="18"/>
              </w:rPr>
            </w:pPr>
            <w:r>
              <w:rPr>
                <w:color w:val="231F20"/>
                <w:sz w:val="18"/>
              </w:rPr>
              <w:t>1,000.00</w:t>
            </w:r>
          </w:p>
        </w:tc>
        <w:tc>
          <w:tcPr>
            <w:tcW w:w="1196" w:type="dxa"/>
          </w:tcPr>
          <w:p>
            <w:pPr>
              <w:pStyle w:val="TableParagraph"/>
              <w:spacing w:line="204" w:lineRule="exact"/>
              <w:ind w:left="387"/>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w:t>
            </w:r>
          </w:p>
        </w:tc>
        <w:tc>
          <w:tcPr>
            <w:tcW w:w="1876" w:type="dxa"/>
          </w:tcPr>
          <w:p>
            <w:pPr>
              <w:pStyle w:val="TableParagraph"/>
              <w:spacing w:line="217" w:lineRule="exact" w:before="55"/>
              <w:ind w:left="312"/>
              <w:jc w:val="center"/>
              <w:rPr>
                <w:sz w:val="18"/>
              </w:rPr>
            </w:pPr>
            <w:r>
              <w:rPr>
                <w:color w:val="231F20"/>
                <w:sz w:val="18"/>
              </w:rPr>
              <w:t>"</w:t>
            </w:r>
          </w:p>
        </w:tc>
        <w:tc>
          <w:tcPr>
            <w:tcW w:w="684" w:type="dxa"/>
          </w:tcPr>
          <w:p>
            <w:pPr>
              <w:pStyle w:val="TableParagraph"/>
              <w:spacing w:line="217" w:lineRule="exact" w:before="55"/>
              <w:ind w:left="140"/>
              <w:rPr>
                <w:sz w:val="18"/>
              </w:rPr>
            </w:pPr>
            <w:r>
              <w:rPr>
                <w:color w:val="231F20"/>
                <w:sz w:val="18"/>
              </w:rPr>
              <w:t>2A</w:t>
            </w:r>
          </w:p>
        </w:tc>
        <w:tc>
          <w:tcPr>
            <w:tcW w:w="1107" w:type="dxa"/>
          </w:tcPr>
          <w:p>
            <w:pPr>
              <w:pStyle w:val="TableParagraph"/>
              <w:spacing w:line="217" w:lineRule="exact" w:before="55"/>
              <w:ind w:right="276"/>
              <w:jc w:val="right"/>
              <w:rPr>
                <w:sz w:val="18"/>
              </w:rPr>
            </w:pPr>
            <w:r>
              <w:rPr>
                <w:color w:val="231F20"/>
                <w:sz w:val="18"/>
              </w:rPr>
              <w:t>2BR</w:t>
            </w:r>
          </w:p>
        </w:tc>
        <w:tc>
          <w:tcPr>
            <w:tcW w:w="1296" w:type="dxa"/>
          </w:tcPr>
          <w:p>
            <w:pPr>
              <w:pStyle w:val="TableParagraph"/>
              <w:spacing w:line="217" w:lineRule="exact" w:before="55"/>
              <w:ind w:left="274"/>
              <w:rPr>
                <w:sz w:val="18"/>
              </w:rPr>
            </w:pPr>
            <w:r>
              <w:rPr>
                <w:color w:val="231F20"/>
                <w:sz w:val="18"/>
              </w:rPr>
              <w:t>4 + 1½ Bath</w:t>
            </w:r>
          </w:p>
        </w:tc>
        <w:tc>
          <w:tcPr>
            <w:tcW w:w="1330" w:type="dxa"/>
          </w:tcPr>
          <w:p>
            <w:pPr>
              <w:pStyle w:val="TableParagraph"/>
              <w:spacing w:line="217" w:lineRule="exact" w:before="55"/>
              <w:ind w:left="584"/>
              <w:rPr>
                <w:sz w:val="18"/>
              </w:rPr>
            </w:pPr>
            <w:r>
              <w:rPr>
                <w:color w:val="231F20"/>
                <w:sz w:val="18"/>
              </w:rPr>
              <w:t>1,036</w:t>
            </w:r>
          </w:p>
        </w:tc>
        <w:tc>
          <w:tcPr>
            <w:tcW w:w="1193" w:type="dxa"/>
          </w:tcPr>
          <w:p>
            <w:pPr>
              <w:pStyle w:val="TableParagraph"/>
              <w:spacing w:line="217" w:lineRule="exact" w:before="55"/>
              <w:ind w:right="109"/>
              <w:jc w:val="right"/>
              <w:rPr>
                <w:sz w:val="18"/>
              </w:rPr>
            </w:pPr>
            <w:r>
              <w:rPr>
                <w:color w:val="231F20"/>
                <w:sz w:val="18"/>
              </w:rPr>
              <w:t>1,000.00</w:t>
            </w:r>
          </w:p>
        </w:tc>
        <w:tc>
          <w:tcPr>
            <w:tcW w:w="1196" w:type="dxa"/>
          </w:tcPr>
          <w:p>
            <w:pPr>
              <w:pStyle w:val="TableParagraph"/>
              <w:spacing w:line="217" w:lineRule="exact" w:before="55"/>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2D</w:t>
            </w:r>
          </w:p>
        </w:tc>
        <w:tc>
          <w:tcPr>
            <w:tcW w:w="1107" w:type="dxa"/>
          </w:tcPr>
          <w:p>
            <w:pPr>
              <w:pStyle w:val="TableParagraph"/>
              <w:spacing w:line="204" w:lineRule="exact"/>
              <w:ind w:right="276"/>
              <w:jc w:val="right"/>
              <w:rPr>
                <w:sz w:val="18"/>
              </w:rPr>
            </w:pPr>
            <w:r>
              <w:rPr>
                <w:color w:val="231F20"/>
                <w:sz w:val="18"/>
              </w:rPr>
              <w:t>2BR</w:t>
            </w:r>
          </w:p>
        </w:tc>
        <w:tc>
          <w:tcPr>
            <w:tcW w:w="1296" w:type="dxa"/>
          </w:tcPr>
          <w:p>
            <w:pPr>
              <w:pStyle w:val="TableParagraph"/>
              <w:spacing w:line="204" w:lineRule="exact"/>
              <w:ind w:left="274"/>
              <w:rPr>
                <w:sz w:val="18"/>
              </w:rPr>
            </w:pPr>
            <w:r>
              <w:rPr>
                <w:color w:val="231F20"/>
                <w:sz w:val="18"/>
              </w:rPr>
              <w:t>4 + 1½ Bath</w:t>
            </w:r>
          </w:p>
        </w:tc>
        <w:tc>
          <w:tcPr>
            <w:tcW w:w="1330" w:type="dxa"/>
          </w:tcPr>
          <w:p>
            <w:pPr>
              <w:pStyle w:val="TableParagraph"/>
              <w:spacing w:line="204" w:lineRule="exact"/>
              <w:ind w:left="584"/>
              <w:rPr>
                <w:sz w:val="18"/>
              </w:rPr>
            </w:pPr>
            <w:r>
              <w:rPr>
                <w:color w:val="231F20"/>
                <w:sz w:val="18"/>
              </w:rPr>
              <w:t>1,036</w:t>
            </w:r>
          </w:p>
        </w:tc>
        <w:tc>
          <w:tcPr>
            <w:tcW w:w="1193" w:type="dxa"/>
          </w:tcPr>
          <w:p>
            <w:pPr>
              <w:pStyle w:val="TableParagraph"/>
              <w:spacing w:line="204" w:lineRule="exact"/>
              <w:ind w:right="109"/>
              <w:jc w:val="right"/>
              <w:rPr>
                <w:sz w:val="18"/>
              </w:rPr>
            </w:pPr>
            <w:r>
              <w:rPr>
                <w:color w:val="231F20"/>
                <w:sz w:val="18"/>
              </w:rPr>
              <w:t>1,000.00</w:t>
            </w:r>
          </w:p>
        </w:tc>
        <w:tc>
          <w:tcPr>
            <w:tcW w:w="1196" w:type="dxa"/>
          </w:tcPr>
          <w:p>
            <w:pPr>
              <w:pStyle w:val="TableParagraph"/>
              <w:spacing w:line="204" w:lineRule="exact"/>
              <w:ind w:left="387"/>
              <w:rPr>
                <w:sz w:val="18"/>
              </w:rPr>
            </w:pPr>
            <w:r>
              <w:rPr>
                <w:color w:val="231F20"/>
                <w:sz w:val="18"/>
              </w:rPr>
              <w:t>0.320</w:t>
            </w:r>
          </w:p>
        </w:tc>
      </w:tr>
      <w:tr>
        <w:trPr>
          <w:trHeight w:val="291" w:hRule="atLeast"/>
        </w:trPr>
        <w:tc>
          <w:tcPr>
            <w:tcW w:w="900" w:type="dxa"/>
          </w:tcPr>
          <w:p>
            <w:pPr>
              <w:pStyle w:val="TableParagraph"/>
              <w:spacing w:line="217" w:lineRule="exact" w:before="55"/>
              <w:ind w:left="108"/>
              <w:rPr>
                <w:sz w:val="18"/>
              </w:rPr>
            </w:pPr>
            <w:r>
              <w:rPr>
                <w:color w:val="231F20"/>
                <w:sz w:val="18"/>
              </w:rPr>
              <w:t>C2</w:t>
            </w:r>
          </w:p>
        </w:tc>
        <w:tc>
          <w:tcPr>
            <w:tcW w:w="1876" w:type="dxa"/>
          </w:tcPr>
          <w:p>
            <w:pPr>
              <w:pStyle w:val="TableParagraph"/>
              <w:spacing w:line="217" w:lineRule="exact" w:before="55"/>
              <w:ind w:right="139"/>
              <w:jc w:val="right"/>
              <w:rPr>
                <w:sz w:val="18"/>
              </w:rPr>
            </w:pPr>
            <w:r>
              <w:rPr>
                <w:color w:val="231F20"/>
                <w:sz w:val="18"/>
              </w:rPr>
              <w:t>6417 Colony Way</w:t>
            </w:r>
          </w:p>
        </w:tc>
        <w:tc>
          <w:tcPr>
            <w:tcW w:w="684" w:type="dxa"/>
          </w:tcPr>
          <w:p>
            <w:pPr>
              <w:pStyle w:val="TableParagraph"/>
              <w:spacing w:line="217" w:lineRule="exact" w:before="55"/>
              <w:ind w:left="140"/>
              <w:rPr>
                <w:sz w:val="18"/>
              </w:rPr>
            </w:pPr>
            <w:r>
              <w:rPr>
                <w:color w:val="231F20"/>
                <w:sz w:val="18"/>
              </w:rPr>
              <w:t>1A</w:t>
            </w:r>
          </w:p>
        </w:tc>
        <w:tc>
          <w:tcPr>
            <w:tcW w:w="1107" w:type="dxa"/>
          </w:tcPr>
          <w:p>
            <w:pPr>
              <w:pStyle w:val="TableParagraph"/>
              <w:spacing w:line="217" w:lineRule="exact" w:before="55"/>
              <w:ind w:right="276"/>
              <w:jc w:val="right"/>
              <w:rPr>
                <w:sz w:val="18"/>
              </w:rPr>
            </w:pPr>
            <w:r>
              <w:rPr>
                <w:color w:val="231F20"/>
                <w:sz w:val="18"/>
              </w:rPr>
              <w:t>3BR</w:t>
            </w:r>
          </w:p>
        </w:tc>
        <w:tc>
          <w:tcPr>
            <w:tcW w:w="1296" w:type="dxa"/>
          </w:tcPr>
          <w:p>
            <w:pPr>
              <w:pStyle w:val="TableParagraph"/>
              <w:spacing w:line="217" w:lineRule="exact" w:before="55"/>
              <w:ind w:left="274"/>
              <w:rPr>
                <w:sz w:val="18"/>
              </w:rPr>
            </w:pPr>
            <w:r>
              <w:rPr>
                <w:color w:val="231F20"/>
                <w:sz w:val="18"/>
              </w:rPr>
              <w:t>5 + 2 Bath</w:t>
            </w:r>
          </w:p>
        </w:tc>
        <w:tc>
          <w:tcPr>
            <w:tcW w:w="1330" w:type="dxa"/>
          </w:tcPr>
          <w:p>
            <w:pPr>
              <w:pStyle w:val="TableParagraph"/>
              <w:spacing w:line="217" w:lineRule="exact" w:before="55"/>
              <w:ind w:left="584"/>
              <w:rPr>
                <w:sz w:val="18"/>
              </w:rPr>
            </w:pPr>
            <w:r>
              <w:rPr>
                <w:color w:val="231F20"/>
                <w:sz w:val="18"/>
              </w:rPr>
              <w:t>1,318</w:t>
            </w:r>
          </w:p>
        </w:tc>
        <w:tc>
          <w:tcPr>
            <w:tcW w:w="1193" w:type="dxa"/>
          </w:tcPr>
          <w:p>
            <w:pPr>
              <w:pStyle w:val="TableParagraph"/>
              <w:spacing w:line="217" w:lineRule="exact" w:before="55"/>
              <w:ind w:right="109"/>
              <w:jc w:val="right"/>
              <w:rPr>
                <w:sz w:val="18"/>
              </w:rPr>
            </w:pPr>
            <w:r>
              <w:rPr>
                <w:color w:val="231F20"/>
                <w:sz w:val="18"/>
              </w:rPr>
              <w:t>1,300.00</w:t>
            </w:r>
          </w:p>
        </w:tc>
        <w:tc>
          <w:tcPr>
            <w:tcW w:w="1196" w:type="dxa"/>
          </w:tcPr>
          <w:p>
            <w:pPr>
              <w:pStyle w:val="TableParagraph"/>
              <w:spacing w:line="217" w:lineRule="exact" w:before="55"/>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2" w:hRule="atLeast"/>
        </w:trPr>
        <w:tc>
          <w:tcPr>
            <w:tcW w:w="900" w:type="dxa"/>
          </w:tcPr>
          <w:p>
            <w:pPr>
              <w:pStyle w:val="TableParagraph"/>
              <w:spacing w:line="204" w:lineRule="exact"/>
              <w:ind w:left="108"/>
              <w:rPr>
                <w:sz w:val="18"/>
              </w:rPr>
            </w:pPr>
            <w:r>
              <w:rPr>
                <w:color w:val="231F20"/>
                <w:sz w:val="18"/>
              </w:rPr>
              <w:t>"</w:t>
            </w:r>
          </w:p>
        </w:tc>
        <w:tc>
          <w:tcPr>
            <w:tcW w:w="1876" w:type="dxa"/>
          </w:tcPr>
          <w:p>
            <w:pPr>
              <w:pStyle w:val="TableParagraph"/>
              <w:spacing w:line="204" w:lineRule="exact"/>
              <w:ind w:left="312"/>
              <w:jc w:val="center"/>
              <w:rPr>
                <w:sz w:val="18"/>
              </w:rPr>
            </w:pPr>
            <w:r>
              <w:rPr>
                <w:color w:val="231F20"/>
                <w:sz w:val="18"/>
              </w:rPr>
              <w:t>"</w:t>
            </w:r>
          </w:p>
        </w:tc>
        <w:tc>
          <w:tcPr>
            <w:tcW w:w="684" w:type="dxa"/>
          </w:tcPr>
          <w:p>
            <w:pPr>
              <w:pStyle w:val="TableParagraph"/>
              <w:spacing w:line="204" w:lineRule="exact"/>
              <w:ind w:left="140"/>
              <w:rPr>
                <w:sz w:val="18"/>
              </w:rPr>
            </w:pPr>
            <w:r>
              <w:rPr>
                <w:color w:val="231F20"/>
                <w:sz w:val="18"/>
              </w:rPr>
              <w:t>1D</w:t>
            </w:r>
          </w:p>
        </w:tc>
        <w:tc>
          <w:tcPr>
            <w:tcW w:w="1107" w:type="dxa"/>
          </w:tcPr>
          <w:p>
            <w:pPr>
              <w:pStyle w:val="TableParagraph"/>
              <w:spacing w:line="204" w:lineRule="exact"/>
              <w:ind w:right="276"/>
              <w:jc w:val="right"/>
              <w:rPr>
                <w:sz w:val="18"/>
              </w:rPr>
            </w:pPr>
            <w:r>
              <w:rPr>
                <w:color w:val="231F20"/>
                <w:sz w:val="18"/>
              </w:rPr>
              <w:t>3BR</w:t>
            </w:r>
          </w:p>
        </w:tc>
        <w:tc>
          <w:tcPr>
            <w:tcW w:w="1296" w:type="dxa"/>
          </w:tcPr>
          <w:p>
            <w:pPr>
              <w:pStyle w:val="TableParagraph"/>
              <w:spacing w:line="204" w:lineRule="exact"/>
              <w:ind w:left="274"/>
              <w:rPr>
                <w:sz w:val="18"/>
              </w:rPr>
            </w:pPr>
            <w:r>
              <w:rPr>
                <w:color w:val="231F20"/>
                <w:sz w:val="18"/>
              </w:rPr>
              <w:t>5 + 2 Bath</w:t>
            </w:r>
          </w:p>
        </w:tc>
        <w:tc>
          <w:tcPr>
            <w:tcW w:w="1330" w:type="dxa"/>
          </w:tcPr>
          <w:p>
            <w:pPr>
              <w:pStyle w:val="TableParagraph"/>
              <w:spacing w:line="204" w:lineRule="exact"/>
              <w:ind w:left="584"/>
              <w:rPr>
                <w:sz w:val="18"/>
              </w:rPr>
            </w:pPr>
            <w:r>
              <w:rPr>
                <w:color w:val="231F20"/>
                <w:sz w:val="18"/>
              </w:rPr>
              <w:t>1,338</w:t>
            </w:r>
          </w:p>
        </w:tc>
        <w:tc>
          <w:tcPr>
            <w:tcW w:w="1193" w:type="dxa"/>
          </w:tcPr>
          <w:p>
            <w:pPr>
              <w:pStyle w:val="TableParagraph"/>
              <w:spacing w:line="204" w:lineRule="exact"/>
              <w:ind w:right="109"/>
              <w:jc w:val="right"/>
              <w:rPr>
                <w:sz w:val="18"/>
              </w:rPr>
            </w:pPr>
            <w:r>
              <w:rPr>
                <w:color w:val="231F20"/>
                <w:sz w:val="18"/>
              </w:rPr>
              <w:t>1,300.00</w:t>
            </w:r>
          </w:p>
        </w:tc>
        <w:tc>
          <w:tcPr>
            <w:tcW w:w="1196" w:type="dxa"/>
          </w:tcPr>
          <w:p>
            <w:pPr>
              <w:pStyle w:val="TableParagraph"/>
              <w:spacing w:line="204" w:lineRule="exact"/>
              <w:ind w:left="387"/>
              <w:rPr>
                <w:sz w:val="18"/>
              </w:rPr>
            </w:pPr>
            <w:r>
              <w:rPr>
                <w:color w:val="231F20"/>
                <w:sz w:val="18"/>
              </w:rPr>
              <w:t>0.420</w:t>
            </w:r>
          </w:p>
        </w:tc>
      </w:tr>
      <w:tr>
        <w:trPr>
          <w:trHeight w:val="291" w:hRule="atLeast"/>
        </w:trPr>
        <w:tc>
          <w:tcPr>
            <w:tcW w:w="900" w:type="dxa"/>
          </w:tcPr>
          <w:p>
            <w:pPr>
              <w:pStyle w:val="TableParagraph"/>
              <w:spacing w:line="216" w:lineRule="exact" w:before="56"/>
              <w:ind w:left="108"/>
              <w:rPr>
                <w:sz w:val="18"/>
              </w:rPr>
            </w:pPr>
            <w:r>
              <w:rPr>
                <w:color w:val="231F20"/>
                <w:sz w:val="18"/>
              </w:rPr>
              <w:t>"</w:t>
            </w:r>
          </w:p>
        </w:tc>
        <w:tc>
          <w:tcPr>
            <w:tcW w:w="1876" w:type="dxa"/>
          </w:tcPr>
          <w:p>
            <w:pPr>
              <w:pStyle w:val="TableParagraph"/>
              <w:spacing w:line="216" w:lineRule="exact" w:before="56"/>
              <w:ind w:left="312"/>
              <w:jc w:val="center"/>
              <w:rPr>
                <w:sz w:val="18"/>
              </w:rPr>
            </w:pPr>
            <w:r>
              <w:rPr>
                <w:color w:val="231F20"/>
                <w:sz w:val="18"/>
              </w:rPr>
              <w:t>"</w:t>
            </w:r>
          </w:p>
        </w:tc>
        <w:tc>
          <w:tcPr>
            <w:tcW w:w="684" w:type="dxa"/>
          </w:tcPr>
          <w:p>
            <w:pPr>
              <w:pStyle w:val="TableParagraph"/>
              <w:spacing w:line="216" w:lineRule="exact" w:before="56"/>
              <w:ind w:left="140"/>
              <w:rPr>
                <w:sz w:val="18"/>
              </w:rPr>
            </w:pPr>
            <w:r>
              <w:rPr>
                <w:color w:val="231F20"/>
                <w:sz w:val="18"/>
              </w:rPr>
              <w:t>2A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584"/>
              <w:rPr>
                <w:sz w:val="18"/>
              </w:rPr>
            </w:pPr>
            <w:r>
              <w:rPr>
                <w:color w:val="231F20"/>
                <w:sz w:val="18"/>
              </w:rPr>
              <w:t>1,036</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2D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584"/>
              <w:rPr>
                <w:sz w:val="18"/>
              </w:rPr>
            </w:pPr>
            <w:r>
              <w:rPr>
                <w:color w:val="231F20"/>
                <w:sz w:val="18"/>
              </w:rPr>
              <w:t>1,036</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1" w:hRule="atLeast"/>
        </w:trPr>
        <w:tc>
          <w:tcPr>
            <w:tcW w:w="900" w:type="dxa"/>
          </w:tcPr>
          <w:p>
            <w:pPr>
              <w:pStyle w:val="TableParagraph"/>
              <w:spacing w:line="216" w:lineRule="exact" w:before="56"/>
              <w:ind w:left="108"/>
              <w:rPr>
                <w:sz w:val="18"/>
              </w:rPr>
            </w:pPr>
            <w:r>
              <w:rPr>
                <w:color w:val="231F20"/>
                <w:sz w:val="18"/>
              </w:rPr>
              <w:t>C3</w:t>
            </w:r>
          </w:p>
        </w:tc>
        <w:tc>
          <w:tcPr>
            <w:tcW w:w="1876" w:type="dxa"/>
          </w:tcPr>
          <w:p>
            <w:pPr>
              <w:pStyle w:val="TableParagraph"/>
              <w:spacing w:line="216" w:lineRule="exact" w:before="56"/>
              <w:ind w:right="139"/>
              <w:jc w:val="right"/>
              <w:rPr>
                <w:sz w:val="18"/>
              </w:rPr>
            </w:pPr>
            <w:r>
              <w:rPr>
                <w:color w:val="231F20"/>
                <w:sz w:val="18"/>
              </w:rPr>
              <w:t>6421 Colony Way</w:t>
            </w:r>
          </w:p>
        </w:tc>
        <w:tc>
          <w:tcPr>
            <w:tcW w:w="684" w:type="dxa"/>
          </w:tcPr>
          <w:p>
            <w:pPr>
              <w:pStyle w:val="TableParagraph"/>
              <w:spacing w:line="216" w:lineRule="exact" w:before="56"/>
              <w:ind w:left="140"/>
              <w:rPr>
                <w:sz w:val="18"/>
              </w:rPr>
            </w:pPr>
            <w:r>
              <w:rPr>
                <w:color w:val="231F20"/>
                <w:sz w:val="18"/>
              </w:rPr>
              <w:t>1A</w:t>
            </w:r>
          </w:p>
        </w:tc>
        <w:tc>
          <w:tcPr>
            <w:tcW w:w="1107" w:type="dxa"/>
          </w:tcPr>
          <w:p>
            <w:pPr>
              <w:pStyle w:val="TableParagraph"/>
              <w:spacing w:line="216" w:lineRule="exact" w:before="56"/>
              <w:ind w:right="276"/>
              <w:jc w:val="right"/>
              <w:rPr>
                <w:sz w:val="18"/>
              </w:rPr>
            </w:pPr>
            <w:r>
              <w:rPr>
                <w:color w:val="231F20"/>
                <w:sz w:val="18"/>
              </w:rPr>
              <w:t>2BR</w:t>
            </w:r>
          </w:p>
        </w:tc>
        <w:tc>
          <w:tcPr>
            <w:tcW w:w="1296" w:type="dxa"/>
          </w:tcPr>
          <w:p>
            <w:pPr>
              <w:pStyle w:val="TableParagraph"/>
              <w:spacing w:line="216" w:lineRule="exact" w:before="56"/>
              <w:ind w:left="274"/>
              <w:rPr>
                <w:sz w:val="18"/>
              </w:rPr>
            </w:pPr>
            <w:r>
              <w:rPr>
                <w:color w:val="231F20"/>
                <w:sz w:val="18"/>
              </w:rPr>
              <w:t>4 + 1½ Bath</w:t>
            </w:r>
          </w:p>
        </w:tc>
        <w:tc>
          <w:tcPr>
            <w:tcW w:w="1330" w:type="dxa"/>
          </w:tcPr>
          <w:p>
            <w:pPr>
              <w:pStyle w:val="TableParagraph"/>
              <w:spacing w:line="216" w:lineRule="exact" w:before="56"/>
              <w:ind w:left="584"/>
              <w:rPr>
                <w:sz w:val="18"/>
              </w:rPr>
            </w:pPr>
            <w:r>
              <w:rPr>
                <w:color w:val="231F20"/>
                <w:sz w:val="18"/>
              </w:rPr>
              <w:t>1,012</w:t>
            </w:r>
          </w:p>
        </w:tc>
        <w:tc>
          <w:tcPr>
            <w:tcW w:w="1193" w:type="dxa"/>
          </w:tcPr>
          <w:p>
            <w:pPr>
              <w:pStyle w:val="TableParagraph"/>
              <w:spacing w:line="216" w:lineRule="exact" w:before="56"/>
              <w:ind w:right="109"/>
              <w:jc w:val="right"/>
              <w:rPr>
                <w:sz w:val="18"/>
              </w:rPr>
            </w:pPr>
            <w:r>
              <w:rPr>
                <w:color w:val="231F20"/>
                <w:sz w:val="18"/>
              </w:rPr>
              <w:t>1,000.00</w:t>
            </w:r>
          </w:p>
        </w:tc>
        <w:tc>
          <w:tcPr>
            <w:tcW w:w="1196" w:type="dxa"/>
          </w:tcPr>
          <w:p>
            <w:pPr>
              <w:pStyle w:val="TableParagraph"/>
              <w:spacing w:line="216"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1B</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1,338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1C</w:t>
            </w:r>
          </w:p>
        </w:tc>
        <w:tc>
          <w:tcPr>
            <w:tcW w:w="1107" w:type="dxa"/>
          </w:tcPr>
          <w:p>
            <w:pPr>
              <w:pStyle w:val="TableParagraph"/>
              <w:ind w:right="276"/>
              <w:jc w:val="right"/>
              <w:rPr>
                <w:sz w:val="18"/>
              </w:rPr>
            </w:pPr>
            <w:r>
              <w:rPr>
                <w:color w:val="231F20"/>
                <w:sz w:val="18"/>
              </w:rPr>
              <w:t>3BR</w:t>
            </w:r>
          </w:p>
        </w:tc>
        <w:tc>
          <w:tcPr>
            <w:tcW w:w="1296" w:type="dxa"/>
          </w:tcPr>
          <w:p>
            <w:pPr>
              <w:pStyle w:val="TableParagraph"/>
              <w:ind w:left="274"/>
              <w:rPr>
                <w:sz w:val="18"/>
              </w:rPr>
            </w:pPr>
            <w:r>
              <w:rPr>
                <w:color w:val="231F20"/>
                <w:sz w:val="18"/>
              </w:rPr>
              <w:t>5 + 2 Bath</w:t>
            </w:r>
          </w:p>
        </w:tc>
        <w:tc>
          <w:tcPr>
            <w:tcW w:w="1330" w:type="dxa"/>
          </w:tcPr>
          <w:p>
            <w:pPr>
              <w:pStyle w:val="TableParagraph"/>
              <w:ind w:left="584"/>
              <w:rPr>
                <w:sz w:val="18"/>
              </w:rPr>
            </w:pPr>
            <w:r>
              <w:rPr>
                <w:color w:val="231F20"/>
                <w:sz w:val="18"/>
              </w:rPr>
              <w:t>1,318</w:t>
            </w:r>
          </w:p>
        </w:tc>
        <w:tc>
          <w:tcPr>
            <w:tcW w:w="1193" w:type="dxa"/>
          </w:tcPr>
          <w:p>
            <w:pPr>
              <w:pStyle w:val="TableParagraph"/>
              <w:ind w:right="109"/>
              <w:jc w:val="right"/>
              <w:rPr>
                <w:sz w:val="18"/>
              </w:rPr>
            </w:pPr>
            <w:r>
              <w:rPr>
                <w:color w:val="231F20"/>
                <w:sz w:val="18"/>
              </w:rPr>
              <w:t>1,300.00</w:t>
            </w:r>
          </w:p>
        </w:tc>
        <w:tc>
          <w:tcPr>
            <w:tcW w:w="1196" w:type="dxa"/>
          </w:tcPr>
          <w:p>
            <w:pPr>
              <w:pStyle w:val="TableParagraph"/>
              <w:ind w:left="387"/>
              <w:rPr>
                <w:sz w:val="18"/>
              </w:rPr>
            </w:pPr>
            <w:r>
              <w:rPr>
                <w:color w:val="231F20"/>
                <w:sz w:val="18"/>
              </w:rPr>
              <w:t>0.420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6" w:type="dxa"/>
          </w:tcPr>
          <w:p>
            <w:pPr>
              <w:pStyle w:val="TableParagraph"/>
              <w:spacing w:line="203" w:lineRule="exact"/>
              <w:ind w:left="312"/>
              <w:jc w:val="center"/>
              <w:rPr>
                <w:sz w:val="18"/>
              </w:rPr>
            </w:pPr>
            <w:r>
              <w:rPr>
                <w:color w:val="231F20"/>
                <w:sz w:val="18"/>
              </w:rPr>
              <w:t>"</w:t>
            </w:r>
          </w:p>
        </w:tc>
        <w:tc>
          <w:tcPr>
            <w:tcW w:w="684" w:type="dxa"/>
          </w:tcPr>
          <w:p>
            <w:pPr>
              <w:pStyle w:val="TableParagraph"/>
              <w:spacing w:line="203" w:lineRule="exact"/>
              <w:ind w:left="140"/>
              <w:rPr>
                <w:sz w:val="18"/>
              </w:rPr>
            </w:pPr>
            <w:r>
              <w:rPr>
                <w:color w:val="231F20"/>
                <w:sz w:val="18"/>
              </w:rPr>
              <w:t>1D</w:t>
            </w:r>
          </w:p>
        </w:tc>
        <w:tc>
          <w:tcPr>
            <w:tcW w:w="1107" w:type="dxa"/>
          </w:tcPr>
          <w:p>
            <w:pPr>
              <w:pStyle w:val="TableParagraph"/>
              <w:spacing w:line="203" w:lineRule="exact"/>
              <w:ind w:right="276"/>
              <w:jc w:val="right"/>
              <w:rPr>
                <w:sz w:val="18"/>
              </w:rPr>
            </w:pPr>
            <w:r>
              <w:rPr>
                <w:color w:val="231F20"/>
                <w:sz w:val="18"/>
              </w:rPr>
              <w:t>2BR</w:t>
            </w:r>
          </w:p>
        </w:tc>
        <w:tc>
          <w:tcPr>
            <w:tcW w:w="1296" w:type="dxa"/>
          </w:tcPr>
          <w:p>
            <w:pPr>
              <w:pStyle w:val="TableParagraph"/>
              <w:spacing w:line="203" w:lineRule="exact"/>
              <w:ind w:left="274"/>
              <w:rPr>
                <w:sz w:val="18"/>
              </w:rPr>
            </w:pPr>
            <w:r>
              <w:rPr>
                <w:color w:val="231F20"/>
                <w:sz w:val="18"/>
              </w:rPr>
              <w:t>4 + 1½ Bath</w:t>
            </w:r>
          </w:p>
        </w:tc>
        <w:tc>
          <w:tcPr>
            <w:tcW w:w="1330" w:type="dxa"/>
          </w:tcPr>
          <w:p>
            <w:pPr>
              <w:pStyle w:val="TableParagraph"/>
              <w:spacing w:line="203" w:lineRule="exact"/>
              <w:ind w:left="721"/>
              <w:rPr>
                <w:sz w:val="18"/>
              </w:rPr>
            </w:pPr>
            <w:r>
              <w:rPr>
                <w:color w:val="231F20"/>
                <w:sz w:val="18"/>
              </w:rPr>
              <w:t>999</w:t>
            </w:r>
          </w:p>
        </w:tc>
        <w:tc>
          <w:tcPr>
            <w:tcW w:w="1193" w:type="dxa"/>
          </w:tcPr>
          <w:p>
            <w:pPr>
              <w:pStyle w:val="TableParagraph"/>
              <w:spacing w:line="203" w:lineRule="exact"/>
              <w:ind w:right="109"/>
              <w:jc w:val="right"/>
              <w:rPr>
                <w:sz w:val="18"/>
              </w:rPr>
            </w:pPr>
            <w:r>
              <w:rPr>
                <w:color w:val="231F20"/>
                <w:sz w:val="18"/>
              </w:rPr>
              <w:t>1,000.00</w:t>
            </w:r>
          </w:p>
        </w:tc>
        <w:tc>
          <w:tcPr>
            <w:tcW w:w="1196" w:type="dxa"/>
          </w:tcPr>
          <w:p>
            <w:pPr>
              <w:pStyle w:val="TableParagraph"/>
              <w:spacing w:line="203" w:lineRule="exact"/>
              <w:ind w:left="387"/>
              <w:rPr>
                <w:sz w:val="18"/>
              </w:rPr>
            </w:pPr>
            <w:r>
              <w:rPr>
                <w:color w:val="231F20"/>
                <w:sz w:val="18"/>
              </w:rPr>
              <w:t>0.320</w:t>
            </w:r>
          </w:p>
        </w:tc>
      </w:tr>
      <w:tr>
        <w:trPr>
          <w:trHeight w:val="292" w:hRule="atLeast"/>
        </w:trPr>
        <w:tc>
          <w:tcPr>
            <w:tcW w:w="900" w:type="dxa"/>
          </w:tcPr>
          <w:p>
            <w:pPr>
              <w:pStyle w:val="TableParagraph"/>
              <w:spacing w:line="217" w:lineRule="exact" w:before="56"/>
              <w:ind w:left="108"/>
              <w:rPr>
                <w:sz w:val="18"/>
              </w:rPr>
            </w:pPr>
            <w:r>
              <w:rPr>
                <w:color w:val="231F20"/>
                <w:sz w:val="18"/>
              </w:rPr>
              <w:t>"</w:t>
            </w:r>
          </w:p>
        </w:tc>
        <w:tc>
          <w:tcPr>
            <w:tcW w:w="1876" w:type="dxa"/>
          </w:tcPr>
          <w:p>
            <w:pPr>
              <w:pStyle w:val="TableParagraph"/>
              <w:spacing w:line="217" w:lineRule="exact" w:before="56"/>
              <w:ind w:left="312"/>
              <w:jc w:val="center"/>
              <w:rPr>
                <w:sz w:val="18"/>
              </w:rPr>
            </w:pPr>
            <w:r>
              <w:rPr>
                <w:color w:val="231F20"/>
                <w:sz w:val="18"/>
              </w:rPr>
              <w:t>"</w:t>
            </w:r>
          </w:p>
        </w:tc>
        <w:tc>
          <w:tcPr>
            <w:tcW w:w="684" w:type="dxa"/>
          </w:tcPr>
          <w:p>
            <w:pPr>
              <w:pStyle w:val="TableParagraph"/>
              <w:spacing w:line="217" w:lineRule="exact" w:before="56"/>
              <w:ind w:left="140"/>
              <w:rPr>
                <w:sz w:val="18"/>
              </w:rPr>
            </w:pPr>
            <w:r>
              <w:rPr>
                <w:color w:val="231F20"/>
                <w:sz w:val="18"/>
              </w:rPr>
              <w:t>2A</w:t>
            </w:r>
          </w:p>
        </w:tc>
        <w:tc>
          <w:tcPr>
            <w:tcW w:w="1107" w:type="dxa"/>
          </w:tcPr>
          <w:p>
            <w:pPr>
              <w:pStyle w:val="TableParagraph"/>
              <w:spacing w:line="217" w:lineRule="exact" w:before="56"/>
              <w:ind w:right="276"/>
              <w:jc w:val="right"/>
              <w:rPr>
                <w:sz w:val="18"/>
              </w:rPr>
            </w:pPr>
            <w:r>
              <w:rPr>
                <w:color w:val="231F20"/>
                <w:sz w:val="18"/>
              </w:rPr>
              <w:t>2BR</w:t>
            </w:r>
          </w:p>
        </w:tc>
        <w:tc>
          <w:tcPr>
            <w:tcW w:w="1296" w:type="dxa"/>
          </w:tcPr>
          <w:p>
            <w:pPr>
              <w:pStyle w:val="TableParagraph"/>
              <w:spacing w:line="217" w:lineRule="exact" w:before="56"/>
              <w:ind w:left="274"/>
              <w:rPr>
                <w:sz w:val="18"/>
              </w:rPr>
            </w:pPr>
            <w:r>
              <w:rPr>
                <w:color w:val="231F20"/>
                <w:sz w:val="18"/>
              </w:rPr>
              <w:t>4 + 1½ Bath</w:t>
            </w:r>
          </w:p>
        </w:tc>
        <w:tc>
          <w:tcPr>
            <w:tcW w:w="1330" w:type="dxa"/>
          </w:tcPr>
          <w:p>
            <w:pPr>
              <w:pStyle w:val="TableParagraph"/>
              <w:spacing w:line="217" w:lineRule="exact" w:before="56"/>
              <w:ind w:left="584"/>
              <w:rPr>
                <w:sz w:val="18"/>
              </w:rPr>
            </w:pPr>
            <w:r>
              <w:rPr>
                <w:color w:val="231F20"/>
                <w:sz w:val="18"/>
              </w:rPr>
              <w:t>1,036</w:t>
            </w:r>
          </w:p>
        </w:tc>
        <w:tc>
          <w:tcPr>
            <w:tcW w:w="1193" w:type="dxa"/>
          </w:tcPr>
          <w:p>
            <w:pPr>
              <w:pStyle w:val="TableParagraph"/>
              <w:spacing w:line="217" w:lineRule="exact" w:before="56"/>
              <w:ind w:right="109"/>
              <w:jc w:val="right"/>
              <w:rPr>
                <w:sz w:val="18"/>
              </w:rPr>
            </w:pPr>
            <w:r>
              <w:rPr>
                <w:color w:val="231F20"/>
                <w:sz w:val="18"/>
              </w:rPr>
              <w:t>1,000.00</w:t>
            </w:r>
          </w:p>
        </w:tc>
        <w:tc>
          <w:tcPr>
            <w:tcW w:w="1196" w:type="dxa"/>
          </w:tcPr>
          <w:p>
            <w:pPr>
              <w:pStyle w:val="TableParagraph"/>
              <w:spacing w:line="217" w:lineRule="exact" w:before="56"/>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2B</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19" w:hRule="atLeast"/>
        </w:trPr>
        <w:tc>
          <w:tcPr>
            <w:tcW w:w="900" w:type="dxa"/>
          </w:tcPr>
          <w:p>
            <w:pPr>
              <w:pStyle w:val="TableParagraph"/>
              <w:ind w:left="108"/>
              <w:rPr>
                <w:sz w:val="18"/>
              </w:rPr>
            </w:pPr>
            <w:r>
              <w:rPr>
                <w:color w:val="231F20"/>
                <w:sz w:val="18"/>
              </w:rPr>
              <w:t>"</w:t>
            </w:r>
          </w:p>
        </w:tc>
        <w:tc>
          <w:tcPr>
            <w:tcW w:w="1876" w:type="dxa"/>
          </w:tcPr>
          <w:p>
            <w:pPr>
              <w:pStyle w:val="TableParagraph"/>
              <w:ind w:left="312"/>
              <w:jc w:val="center"/>
              <w:rPr>
                <w:sz w:val="18"/>
              </w:rPr>
            </w:pPr>
            <w:r>
              <w:rPr>
                <w:color w:val="231F20"/>
                <w:sz w:val="18"/>
              </w:rPr>
              <w:t>"</w:t>
            </w:r>
          </w:p>
        </w:tc>
        <w:tc>
          <w:tcPr>
            <w:tcW w:w="684" w:type="dxa"/>
          </w:tcPr>
          <w:p>
            <w:pPr>
              <w:pStyle w:val="TableParagraph"/>
              <w:ind w:left="140"/>
              <w:rPr>
                <w:sz w:val="18"/>
              </w:rPr>
            </w:pPr>
            <w:r>
              <w:rPr>
                <w:color w:val="231F20"/>
                <w:sz w:val="18"/>
              </w:rPr>
              <w:t>2C</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584"/>
              <w:rPr>
                <w:sz w:val="18"/>
              </w:rPr>
            </w:pPr>
            <w:r>
              <w:rPr>
                <w:color w:val="231F20"/>
                <w:sz w:val="18"/>
              </w:rPr>
              <w:t>1,036</w:t>
            </w:r>
          </w:p>
        </w:tc>
        <w:tc>
          <w:tcPr>
            <w:tcW w:w="1193" w:type="dxa"/>
          </w:tcPr>
          <w:p>
            <w:pPr>
              <w:pStyle w:val="TableParagraph"/>
              <w:ind w:right="109"/>
              <w:jc w:val="right"/>
              <w:rPr>
                <w:sz w:val="18"/>
              </w:rPr>
            </w:pPr>
            <w:r>
              <w:rPr>
                <w:color w:val="231F20"/>
                <w:sz w:val="18"/>
              </w:rPr>
              <w:t>1,000.00</w:t>
            </w:r>
          </w:p>
        </w:tc>
        <w:tc>
          <w:tcPr>
            <w:tcW w:w="1196" w:type="dxa"/>
          </w:tcPr>
          <w:p>
            <w:pPr>
              <w:pStyle w:val="TableParagraph"/>
              <w:ind w:left="387"/>
              <w:rPr>
                <w:sz w:val="18"/>
              </w:rPr>
            </w:pPr>
            <w:r>
              <w:rPr>
                <w:color w:val="231F20"/>
                <w:sz w:val="18"/>
              </w:rPr>
              <w:t>0.320</w:t>
            </w:r>
          </w:p>
        </w:tc>
      </w:tr>
      <w:tr>
        <w:trPr>
          <w:trHeight w:val="200" w:hRule="atLeast"/>
        </w:trPr>
        <w:tc>
          <w:tcPr>
            <w:tcW w:w="900" w:type="dxa"/>
          </w:tcPr>
          <w:p>
            <w:pPr>
              <w:pStyle w:val="TableParagraph"/>
              <w:spacing w:line="180" w:lineRule="exact"/>
              <w:ind w:left="108"/>
              <w:rPr>
                <w:sz w:val="18"/>
              </w:rPr>
            </w:pPr>
            <w:r>
              <w:rPr>
                <w:color w:val="231F20"/>
                <w:sz w:val="18"/>
              </w:rPr>
              <w:t>"</w:t>
            </w:r>
          </w:p>
        </w:tc>
        <w:tc>
          <w:tcPr>
            <w:tcW w:w="1876" w:type="dxa"/>
          </w:tcPr>
          <w:p>
            <w:pPr>
              <w:pStyle w:val="TableParagraph"/>
              <w:spacing w:line="180" w:lineRule="exact"/>
              <w:ind w:left="312"/>
              <w:jc w:val="center"/>
              <w:rPr>
                <w:sz w:val="18"/>
              </w:rPr>
            </w:pPr>
            <w:r>
              <w:rPr>
                <w:color w:val="231F20"/>
                <w:sz w:val="18"/>
              </w:rPr>
              <w:t>"</w:t>
            </w:r>
          </w:p>
        </w:tc>
        <w:tc>
          <w:tcPr>
            <w:tcW w:w="684" w:type="dxa"/>
          </w:tcPr>
          <w:p>
            <w:pPr>
              <w:pStyle w:val="TableParagraph"/>
              <w:spacing w:line="180" w:lineRule="exact"/>
              <w:ind w:left="140"/>
              <w:rPr>
                <w:sz w:val="18"/>
              </w:rPr>
            </w:pPr>
            <w:r>
              <w:rPr>
                <w:color w:val="231F20"/>
                <w:sz w:val="18"/>
              </w:rPr>
              <w:t>2D</w:t>
            </w:r>
          </w:p>
        </w:tc>
        <w:tc>
          <w:tcPr>
            <w:tcW w:w="1107" w:type="dxa"/>
          </w:tcPr>
          <w:p>
            <w:pPr>
              <w:pStyle w:val="TableParagraph"/>
              <w:spacing w:line="180" w:lineRule="exact"/>
              <w:ind w:right="276"/>
              <w:jc w:val="right"/>
              <w:rPr>
                <w:sz w:val="18"/>
              </w:rPr>
            </w:pPr>
            <w:r>
              <w:rPr>
                <w:color w:val="231F20"/>
                <w:sz w:val="18"/>
              </w:rPr>
              <w:t>2BR</w:t>
            </w:r>
          </w:p>
        </w:tc>
        <w:tc>
          <w:tcPr>
            <w:tcW w:w="1296" w:type="dxa"/>
          </w:tcPr>
          <w:p>
            <w:pPr>
              <w:pStyle w:val="TableParagraph"/>
              <w:spacing w:line="180" w:lineRule="exact"/>
              <w:ind w:left="274"/>
              <w:rPr>
                <w:sz w:val="18"/>
              </w:rPr>
            </w:pPr>
            <w:r>
              <w:rPr>
                <w:color w:val="231F20"/>
                <w:sz w:val="18"/>
              </w:rPr>
              <w:t>4 + 1½ Bath</w:t>
            </w:r>
          </w:p>
        </w:tc>
        <w:tc>
          <w:tcPr>
            <w:tcW w:w="1330" w:type="dxa"/>
          </w:tcPr>
          <w:p>
            <w:pPr>
              <w:pStyle w:val="TableParagraph"/>
              <w:spacing w:line="180" w:lineRule="exact"/>
              <w:ind w:left="584"/>
              <w:rPr>
                <w:sz w:val="18"/>
              </w:rPr>
            </w:pPr>
            <w:r>
              <w:rPr>
                <w:color w:val="231F20"/>
                <w:sz w:val="18"/>
              </w:rPr>
              <w:t>1,036</w:t>
            </w:r>
          </w:p>
        </w:tc>
        <w:tc>
          <w:tcPr>
            <w:tcW w:w="1193" w:type="dxa"/>
          </w:tcPr>
          <w:p>
            <w:pPr>
              <w:pStyle w:val="TableParagraph"/>
              <w:spacing w:line="180" w:lineRule="exact"/>
              <w:ind w:right="109"/>
              <w:jc w:val="right"/>
              <w:rPr>
                <w:sz w:val="18"/>
              </w:rPr>
            </w:pPr>
            <w:r>
              <w:rPr>
                <w:color w:val="231F20"/>
                <w:sz w:val="18"/>
              </w:rPr>
              <w:t>1,000.00</w:t>
            </w:r>
          </w:p>
        </w:tc>
        <w:tc>
          <w:tcPr>
            <w:tcW w:w="1196" w:type="dxa"/>
          </w:tcPr>
          <w:p>
            <w:pPr>
              <w:pStyle w:val="TableParagraph"/>
              <w:spacing w:line="180" w:lineRule="exact"/>
              <w:ind w:left="387"/>
              <w:rPr>
                <w:sz w:val="18"/>
              </w:rPr>
            </w:pPr>
            <w:r>
              <w:rPr>
                <w:color w:val="231F20"/>
                <w:sz w:val="18"/>
              </w:rPr>
              <w:t>0.320</w:t>
            </w:r>
          </w:p>
        </w:tc>
      </w:tr>
    </w:tbl>
    <w:p>
      <w:pPr>
        <w:pStyle w:val="BodyText"/>
        <w:spacing w:before="7"/>
        <w:rPr>
          <w:sz w:val="7"/>
        </w:rPr>
      </w:pPr>
      <w:r>
        <w:rPr/>
        <w:drawing>
          <wp:anchor distT="0" distB="0" distL="0" distR="0" allowOverlap="1" layoutInCell="1" locked="0" behindDoc="1" simplePos="0" relativeHeight="241661952">
            <wp:simplePos x="0" y="0"/>
            <wp:positionH relativeFrom="page">
              <wp:posOffset>846124</wp:posOffset>
            </wp:positionH>
            <wp:positionV relativeFrom="page">
              <wp:posOffset>1803146</wp:posOffset>
            </wp:positionV>
            <wp:extent cx="6082296" cy="6096"/>
            <wp:effectExtent l="0" t="0" r="0" b="0"/>
            <wp:wrapNone/>
            <wp:docPr id="13" name="image5.png"/>
            <wp:cNvGraphicFramePr>
              <a:graphicFrameLocks noChangeAspect="1"/>
            </wp:cNvGraphicFramePr>
            <a:graphic>
              <a:graphicData uri="http://schemas.openxmlformats.org/drawingml/2006/picture">
                <pic:pic>
                  <pic:nvPicPr>
                    <pic:cNvPr id="14" name="image5.png"/>
                    <pic:cNvPicPr/>
                  </pic:nvPicPr>
                  <pic:blipFill>
                    <a:blip r:embed="rId14" cstate="print"/>
                    <a:stretch>
                      <a:fillRect/>
                    </a:stretch>
                  </pic:blipFill>
                  <pic:spPr>
                    <a:xfrm>
                      <a:off x="0" y="0"/>
                      <a:ext cx="6082296" cy="6096"/>
                    </a:xfrm>
                    <a:prstGeom prst="rect">
                      <a:avLst/>
                    </a:prstGeom>
                  </pic:spPr>
                </pic:pic>
              </a:graphicData>
            </a:graphic>
          </wp:anchor>
        </w:drawing>
      </w:r>
    </w:p>
    <w:p>
      <w:pPr>
        <w:spacing w:before="59"/>
        <w:ind w:left="220" w:right="0" w:firstLine="0"/>
        <w:jc w:val="left"/>
        <w:rPr>
          <w:sz w:val="20"/>
        </w:rPr>
      </w:pPr>
      <w:r>
        <w:rPr>
          <w:color w:val="231F20"/>
          <w:sz w:val="20"/>
          <w:u w:val="single" w:color="231F20"/>
        </w:rPr>
        <w:t>TOWNHOUSE BUILDINGS</w:t>
      </w:r>
    </w:p>
    <w:p>
      <w:pPr>
        <w:pStyle w:val="BodyText"/>
        <w:spacing w:before="10"/>
        <w:rPr>
          <w:sz w:val="14"/>
        </w:rPr>
      </w:pPr>
    </w:p>
    <w:tbl>
      <w:tblPr>
        <w:tblW w:w="0" w:type="auto"/>
        <w:jc w:val="left"/>
        <w:tblInd w:w="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24"/>
        <w:gridCol w:w="1888"/>
        <w:gridCol w:w="777"/>
        <w:gridCol w:w="1017"/>
        <w:gridCol w:w="1574"/>
        <w:gridCol w:w="1176"/>
        <w:gridCol w:w="1208"/>
        <w:gridCol w:w="710"/>
      </w:tblGrid>
      <w:tr>
        <w:trPr>
          <w:trHeight w:val="200" w:hRule="atLeast"/>
        </w:trPr>
        <w:tc>
          <w:tcPr>
            <w:tcW w:w="824" w:type="dxa"/>
          </w:tcPr>
          <w:p>
            <w:pPr>
              <w:pStyle w:val="TableParagraph"/>
              <w:spacing w:line="180" w:lineRule="exact"/>
              <w:ind w:left="50"/>
              <w:rPr>
                <w:sz w:val="18"/>
              </w:rPr>
            </w:pPr>
            <w:r>
              <w:rPr>
                <w:color w:val="231F20"/>
                <w:sz w:val="18"/>
              </w:rPr>
              <w:t>TH1</w:t>
            </w:r>
          </w:p>
        </w:tc>
        <w:tc>
          <w:tcPr>
            <w:tcW w:w="1888" w:type="dxa"/>
          </w:tcPr>
          <w:p>
            <w:pPr>
              <w:pStyle w:val="TableParagraph"/>
              <w:spacing w:line="180" w:lineRule="exact"/>
              <w:ind w:right="144"/>
              <w:jc w:val="right"/>
              <w:rPr>
                <w:sz w:val="18"/>
              </w:rPr>
            </w:pPr>
            <w:r>
              <w:rPr>
                <w:color w:val="231F20"/>
                <w:sz w:val="18"/>
              </w:rPr>
              <w:t>6301 Barrie Road</w:t>
            </w:r>
          </w:p>
        </w:tc>
        <w:tc>
          <w:tcPr>
            <w:tcW w:w="777" w:type="dxa"/>
          </w:tcPr>
          <w:p>
            <w:pPr>
              <w:pStyle w:val="TableParagraph"/>
              <w:spacing w:line="180" w:lineRule="exact"/>
              <w:ind w:left="146"/>
              <w:rPr>
                <w:sz w:val="18"/>
              </w:rPr>
            </w:pPr>
            <w:r>
              <w:rPr>
                <w:color w:val="231F20"/>
                <w:sz w:val="18"/>
              </w:rPr>
              <w:t>**</w:t>
            </w:r>
          </w:p>
        </w:tc>
        <w:tc>
          <w:tcPr>
            <w:tcW w:w="1017" w:type="dxa"/>
          </w:tcPr>
          <w:p>
            <w:pPr>
              <w:pStyle w:val="TableParagraph"/>
              <w:spacing w:line="180" w:lineRule="exact"/>
              <w:ind w:right="273"/>
              <w:jc w:val="right"/>
              <w:rPr>
                <w:sz w:val="18"/>
              </w:rPr>
            </w:pPr>
            <w:r>
              <w:rPr>
                <w:color w:val="231F20"/>
                <w:sz w:val="18"/>
              </w:rPr>
              <w:t>2BR</w:t>
            </w:r>
          </w:p>
        </w:tc>
        <w:tc>
          <w:tcPr>
            <w:tcW w:w="1574" w:type="dxa"/>
          </w:tcPr>
          <w:p>
            <w:pPr>
              <w:pStyle w:val="TableParagraph"/>
              <w:spacing w:line="180" w:lineRule="exact"/>
              <w:ind w:left="277"/>
              <w:rPr>
                <w:sz w:val="18"/>
              </w:rPr>
            </w:pPr>
            <w:r>
              <w:rPr>
                <w:color w:val="231F20"/>
                <w:sz w:val="18"/>
              </w:rPr>
              <w:t>4 + 1½ Bath</w:t>
            </w:r>
          </w:p>
        </w:tc>
        <w:tc>
          <w:tcPr>
            <w:tcW w:w="1176" w:type="dxa"/>
          </w:tcPr>
          <w:p>
            <w:pPr>
              <w:pStyle w:val="TableParagraph"/>
              <w:spacing w:line="180" w:lineRule="exact"/>
              <w:ind w:left="427" w:right="434"/>
              <w:jc w:val="center"/>
              <w:rPr>
                <w:sz w:val="18"/>
              </w:rPr>
            </w:pPr>
            <w:r>
              <w:rPr>
                <w:color w:val="231F20"/>
                <w:sz w:val="18"/>
              </w:rPr>
              <w:t>909</w:t>
            </w:r>
          </w:p>
        </w:tc>
        <w:tc>
          <w:tcPr>
            <w:tcW w:w="1208" w:type="dxa"/>
          </w:tcPr>
          <w:p>
            <w:pPr>
              <w:pStyle w:val="TableParagraph"/>
              <w:spacing w:line="180" w:lineRule="exact"/>
              <w:ind w:right="245"/>
              <w:jc w:val="right"/>
              <w:rPr>
                <w:sz w:val="18"/>
              </w:rPr>
            </w:pPr>
            <w:r>
              <w:rPr>
                <w:color w:val="231F20"/>
                <w:sz w:val="18"/>
              </w:rPr>
              <w:t>900.00</w:t>
            </w:r>
          </w:p>
        </w:tc>
        <w:tc>
          <w:tcPr>
            <w:tcW w:w="710" w:type="dxa"/>
          </w:tcPr>
          <w:p>
            <w:pPr>
              <w:pStyle w:val="TableParagraph"/>
              <w:spacing w:line="180" w:lineRule="exact"/>
              <w:ind w:right="45"/>
              <w:jc w:val="right"/>
              <w:rPr>
                <w:sz w:val="18"/>
              </w:rPr>
            </w:pPr>
            <w:r>
              <w:rPr>
                <w:color w:val="231F20"/>
                <w:sz w:val="18"/>
              </w:rPr>
              <w:t>0.290</w:t>
            </w:r>
          </w:p>
        </w:tc>
      </w:tr>
      <w:tr>
        <w:trPr>
          <w:trHeight w:val="219" w:hRule="atLeast"/>
        </w:trPr>
        <w:tc>
          <w:tcPr>
            <w:tcW w:w="824" w:type="dxa"/>
          </w:tcPr>
          <w:p>
            <w:pPr>
              <w:pStyle w:val="TableParagraph"/>
              <w:ind w:left="50"/>
              <w:rPr>
                <w:sz w:val="18"/>
              </w:rPr>
            </w:pPr>
            <w:r>
              <w:rPr>
                <w:color w:val="231F20"/>
                <w:sz w:val="18"/>
              </w:rPr>
              <w:t>"</w:t>
            </w:r>
          </w:p>
        </w:tc>
        <w:tc>
          <w:tcPr>
            <w:tcW w:w="1888" w:type="dxa"/>
          </w:tcPr>
          <w:p>
            <w:pPr>
              <w:pStyle w:val="TableParagraph"/>
              <w:ind w:right="144"/>
              <w:jc w:val="right"/>
              <w:rPr>
                <w:sz w:val="18"/>
              </w:rPr>
            </w:pPr>
            <w:r>
              <w:rPr>
                <w:color w:val="231F20"/>
                <w:sz w:val="18"/>
              </w:rPr>
              <w:t>6303 Barrie Road</w:t>
            </w:r>
          </w:p>
        </w:tc>
        <w:tc>
          <w:tcPr>
            <w:tcW w:w="777" w:type="dxa"/>
          </w:tcPr>
          <w:p>
            <w:pPr>
              <w:pStyle w:val="TableParagraph"/>
              <w:ind w:left="146"/>
              <w:rPr>
                <w:sz w:val="18"/>
              </w:rPr>
            </w:pPr>
            <w:r>
              <w:rPr>
                <w:color w:val="231F20"/>
                <w:sz w:val="18"/>
              </w:rPr>
              <w:t>**</w:t>
            </w:r>
          </w:p>
        </w:tc>
        <w:tc>
          <w:tcPr>
            <w:tcW w:w="1017" w:type="dxa"/>
          </w:tcPr>
          <w:p>
            <w:pPr>
              <w:pStyle w:val="TableParagraph"/>
              <w:ind w:right="273"/>
              <w:jc w:val="right"/>
              <w:rPr>
                <w:sz w:val="18"/>
              </w:rPr>
            </w:pPr>
            <w:r>
              <w:rPr>
                <w:color w:val="231F20"/>
                <w:sz w:val="18"/>
              </w:rPr>
              <w:t>2BR</w:t>
            </w:r>
          </w:p>
        </w:tc>
        <w:tc>
          <w:tcPr>
            <w:tcW w:w="1574" w:type="dxa"/>
          </w:tcPr>
          <w:p>
            <w:pPr>
              <w:pStyle w:val="TableParagraph"/>
              <w:ind w:left="277"/>
              <w:rPr>
                <w:sz w:val="18"/>
              </w:rPr>
            </w:pPr>
            <w:r>
              <w:rPr>
                <w:color w:val="231F20"/>
                <w:sz w:val="18"/>
              </w:rPr>
              <w:t>4 + 1½ Bath</w:t>
            </w:r>
          </w:p>
        </w:tc>
        <w:tc>
          <w:tcPr>
            <w:tcW w:w="1176" w:type="dxa"/>
          </w:tcPr>
          <w:p>
            <w:pPr>
              <w:pStyle w:val="TableParagraph"/>
              <w:ind w:left="427" w:right="434"/>
              <w:jc w:val="center"/>
              <w:rPr>
                <w:sz w:val="18"/>
              </w:rPr>
            </w:pPr>
            <w:r>
              <w:rPr>
                <w:color w:val="231F20"/>
                <w:sz w:val="18"/>
              </w:rPr>
              <w:t>909</w:t>
            </w:r>
          </w:p>
        </w:tc>
        <w:tc>
          <w:tcPr>
            <w:tcW w:w="1208" w:type="dxa"/>
          </w:tcPr>
          <w:p>
            <w:pPr>
              <w:pStyle w:val="TableParagraph"/>
              <w:ind w:right="245"/>
              <w:jc w:val="right"/>
              <w:rPr>
                <w:sz w:val="18"/>
              </w:rPr>
            </w:pPr>
            <w:r>
              <w:rPr>
                <w:color w:val="231F20"/>
                <w:sz w:val="18"/>
              </w:rPr>
              <w:t>900.00</w:t>
            </w:r>
          </w:p>
        </w:tc>
        <w:tc>
          <w:tcPr>
            <w:tcW w:w="710" w:type="dxa"/>
          </w:tcPr>
          <w:p>
            <w:pPr>
              <w:pStyle w:val="TableParagraph"/>
              <w:ind w:right="45"/>
              <w:jc w:val="right"/>
              <w:rPr>
                <w:sz w:val="18"/>
              </w:rPr>
            </w:pPr>
            <w:r>
              <w:rPr>
                <w:color w:val="231F20"/>
                <w:sz w:val="18"/>
              </w:rPr>
              <w:t>0.290</w:t>
            </w:r>
          </w:p>
        </w:tc>
      </w:tr>
      <w:tr>
        <w:trPr>
          <w:trHeight w:val="219" w:hRule="atLeast"/>
        </w:trPr>
        <w:tc>
          <w:tcPr>
            <w:tcW w:w="824" w:type="dxa"/>
          </w:tcPr>
          <w:p>
            <w:pPr>
              <w:pStyle w:val="TableParagraph"/>
              <w:ind w:left="50"/>
              <w:rPr>
                <w:sz w:val="18"/>
              </w:rPr>
            </w:pPr>
            <w:r>
              <w:rPr>
                <w:color w:val="231F20"/>
                <w:sz w:val="18"/>
              </w:rPr>
              <w:t>"</w:t>
            </w:r>
          </w:p>
        </w:tc>
        <w:tc>
          <w:tcPr>
            <w:tcW w:w="1888" w:type="dxa"/>
          </w:tcPr>
          <w:p>
            <w:pPr>
              <w:pStyle w:val="TableParagraph"/>
              <w:ind w:right="144"/>
              <w:jc w:val="right"/>
              <w:rPr>
                <w:sz w:val="18"/>
              </w:rPr>
            </w:pPr>
            <w:r>
              <w:rPr>
                <w:color w:val="231F20"/>
                <w:sz w:val="18"/>
              </w:rPr>
              <w:t>6305 Barrie Road</w:t>
            </w:r>
          </w:p>
        </w:tc>
        <w:tc>
          <w:tcPr>
            <w:tcW w:w="777" w:type="dxa"/>
          </w:tcPr>
          <w:p>
            <w:pPr>
              <w:pStyle w:val="TableParagraph"/>
              <w:ind w:left="146"/>
              <w:rPr>
                <w:sz w:val="18"/>
              </w:rPr>
            </w:pPr>
            <w:r>
              <w:rPr>
                <w:color w:val="231F20"/>
                <w:sz w:val="18"/>
              </w:rPr>
              <w:t>**</w:t>
            </w:r>
          </w:p>
        </w:tc>
        <w:tc>
          <w:tcPr>
            <w:tcW w:w="1017" w:type="dxa"/>
          </w:tcPr>
          <w:p>
            <w:pPr>
              <w:pStyle w:val="TableParagraph"/>
              <w:ind w:right="273"/>
              <w:jc w:val="right"/>
              <w:rPr>
                <w:sz w:val="18"/>
              </w:rPr>
            </w:pPr>
            <w:r>
              <w:rPr>
                <w:color w:val="231F20"/>
                <w:sz w:val="18"/>
              </w:rPr>
              <w:t>2BR</w:t>
            </w:r>
          </w:p>
        </w:tc>
        <w:tc>
          <w:tcPr>
            <w:tcW w:w="1574" w:type="dxa"/>
          </w:tcPr>
          <w:p>
            <w:pPr>
              <w:pStyle w:val="TableParagraph"/>
              <w:ind w:left="277"/>
              <w:rPr>
                <w:sz w:val="18"/>
              </w:rPr>
            </w:pPr>
            <w:r>
              <w:rPr>
                <w:color w:val="231F20"/>
                <w:sz w:val="18"/>
              </w:rPr>
              <w:t>4 + 1½ Bath</w:t>
            </w:r>
          </w:p>
        </w:tc>
        <w:tc>
          <w:tcPr>
            <w:tcW w:w="1176" w:type="dxa"/>
          </w:tcPr>
          <w:p>
            <w:pPr>
              <w:pStyle w:val="TableParagraph"/>
              <w:ind w:left="427" w:right="434"/>
              <w:jc w:val="center"/>
              <w:rPr>
                <w:sz w:val="18"/>
              </w:rPr>
            </w:pPr>
            <w:r>
              <w:rPr>
                <w:color w:val="231F20"/>
                <w:sz w:val="18"/>
              </w:rPr>
              <w:t>909</w:t>
            </w:r>
          </w:p>
        </w:tc>
        <w:tc>
          <w:tcPr>
            <w:tcW w:w="1208" w:type="dxa"/>
          </w:tcPr>
          <w:p>
            <w:pPr>
              <w:pStyle w:val="TableParagraph"/>
              <w:ind w:right="245"/>
              <w:jc w:val="right"/>
              <w:rPr>
                <w:sz w:val="18"/>
              </w:rPr>
            </w:pPr>
            <w:r>
              <w:rPr>
                <w:color w:val="231F20"/>
                <w:sz w:val="18"/>
              </w:rPr>
              <w:t>900.00</w:t>
            </w:r>
          </w:p>
        </w:tc>
        <w:tc>
          <w:tcPr>
            <w:tcW w:w="710" w:type="dxa"/>
          </w:tcPr>
          <w:p>
            <w:pPr>
              <w:pStyle w:val="TableParagraph"/>
              <w:ind w:right="45"/>
              <w:jc w:val="right"/>
              <w:rPr>
                <w:sz w:val="18"/>
              </w:rPr>
            </w:pPr>
            <w:r>
              <w:rPr>
                <w:color w:val="231F20"/>
                <w:sz w:val="18"/>
              </w:rPr>
              <w:t>0.290</w:t>
            </w:r>
          </w:p>
        </w:tc>
      </w:tr>
      <w:tr>
        <w:trPr>
          <w:trHeight w:val="219" w:hRule="atLeast"/>
        </w:trPr>
        <w:tc>
          <w:tcPr>
            <w:tcW w:w="824" w:type="dxa"/>
          </w:tcPr>
          <w:p>
            <w:pPr>
              <w:pStyle w:val="TableParagraph"/>
              <w:ind w:left="50"/>
              <w:rPr>
                <w:sz w:val="18"/>
              </w:rPr>
            </w:pPr>
            <w:r>
              <w:rPr>
                <w:color w:val="231F20"/>
                <w:sz w:val="18"/>
              </w:rPr>
              <w:t>"</w:t>
            </w:r>
          </w:p>
        </w:tc>
        <w:tc>
          <w:tcPr>
            <w:tcW w:w="1888" w:type="dxa"/>
          </w:tcPr>
          <w:p>
            <w:pPr>
              <w:pStyle w:val="TableParagraph"/>
              <w:ind w:right="144"/>
              <w:jc w:val="right"/>
              <w:rPr>
                <w:sz w:val="18"/>
              </w:rPr>
            </w:pPr>
            <w:r>
              <w:rPr>
                <w:color w:val="231F20"/>
                <w:sz w:val="18"/>
              </w:rPr>
              <w:t>6307 Barrie Road</w:t>
            </w:r>
          </w:p>
        </w:tc>
        <w:tc>
          <w:tcPr>
            <w:tcW w:w="777" w:type="dxa"/>
          </w:tcPr>
          <w:p>
            <w:pPr>
              <w:pStyle w:val="TableParagraph"/>
              <w:ind w:left="146"/>
              <w:rPr>
                <w:sz w:val="18"/>
              </w:rPr>
            </w:pPr>
            <w:r>
              <w:rPr>
                <w:color w:val="231F20"/>
                <w:sz w:val="18"/>
              </w:rPr>
              <w:t>**</w:t>
            </w:r>
          </w:p>
        </w:tc>
        <w:tc>
          <w:tcPr>
            <w:tcW w:w="1017" w:type="dxa"/>
          </w:tcPr>
          <w:p>
            <w:pPr>
              <w:pStyle w:val="TableParagraph"/>
              <w:ind w:right="273"/>
              <w:jc w:val="right"/>
              <w:rPr>
                <w:sz w:val="18"/>
              </w:rPr>
            </w:pPr>
            <w:r>
              <w:rPr>
                <w:color w:val="231F20"/>
                <w:sz w:val="18"/>
              </w:rPr>
              <w:t>2BR</w:t>
            </w:r>
          </w:p>
        </w:tc>
        <w:tc>
          <w:tcPr>
            <w:tcW w:w="1574" w:type="dxa"/>
          </w:tcPr>
          <w:p>
            <w:pPr>
              <w:pStyle w:val="TableParagraph"/>
              <w:ind w:left="277"/>
              <w:rPr>
                <w:sz w:val="18"/>
              </w:rPr>
            </w:pPr>
            <w:r>
              <w:rPr>
                <w:color w:val="231F20"/>
                <w:sz w:val="18"/>
              </w:rPr>
              <w:t>4 + 1½ Bath</w:t>
            </w:r>
          </w:p>
        </w:tc>
        <w:tc>
          <w:tcPr>
            <w:tcW w:w="1176" w:type="dxa"/>
          </w:tcPr>
          <w:p>
            <w:pPr>
              <w:pStyle w:val="TableParagraph"/>
              <w:ind w:left="427" w:right="434"/>
              <w:jc w:val="center"/>
              <w:rPr>
                <w:sz w:val="18"/>
              </w:rPr>
            </w:pPr>
            <w:r>
              <w:rPr>
                <w:color w:val="231F20"/>
                <w:sz w:val="18"/>
              </w:rPr>
              <w:t>909</w:t>
            </w:r>
          </w:p>
        </w:tc>
        <w:tc>
          <w:tcPr>
            <w:tcW w:w="1208" w:type="dxa"/>
          </w:tcPr>
          <w:p>
            <w:pPr>
              <w:pStyle w:val="TableParagraph"/>
              <w:ind w:right="245"/>
              <w:jc w:val="right"/>
              <w:rPr>
                <w:sz w:val="18"/>
              </w:rPr>
            </w:pPr>
            <w:r>
              <w:rPr>
                <w:color w:val="231F20"/>
                <w:sz w:val="18"/>
              </w:rPr>
              <w:t>900.00</w:t>
            </w:r>
          </w:p>
        </w:tc>
        <w:tc>
          <w:tcPr>
            <w:tcW w:w="710" w:type="dxa"/>
          </w:tcPr>
          <w:p>
            <w:pPr>
              <w:pStyle w:val="TableParagraph"/>
              <w:ind w:right="45"/>
              <w:jc w:val="right"/>
              <w:rPr>
                <w:sz w:val="18"/>
              </w:rPr>
            </w:pPr>
            <w:r>
              <w:rPr>
                <w:color w:val="231F20"/>
                <w:sz w:val="18"/>
              </w:rPr>
              <w:t>0.290</w:t>
            </w:r>
          </w:p>
        </w:tc>
      </w:tr>
      <w:tr>
        <w:trPr>
          <w:trHeight w:val="219" w:hRule="atLeast"/>
        </w:trPr>
        <w:tc>
          <w:tcPr>
            <w:tcW w:w="824" w:type="dxa"/>
          </w:tcPr>
          <w:p>
            <w:pPr>
              <w:pStyle w:val="TableParagraph"/>
              <w:ind w:left="50"/>
              <w:rPr>
                <w:sz w:val="18"/>
              </w:rPr>
            </w:pPr>
            <w:r>
              <w:rPr>
                <w:color w:val="231F20"/>
                <w:sz w:val="18"/>
              </w:rPr>
              <w:t>"</w:t>
            </w:r>
          </w:p>
        </w:tc>
        <w:tc>
          <w:tcPr>
            <w:tcW w:w="1888" w:type="dxa"/>
          </w:tcPr>
          <w:p>
            <w:pPr>
              <w:pStyle w:val="TableParagraph"/>
              <w:ind w:right="144"/>
              <w:jc w:val="right"/>
              <w:rPr>
                <w:sz w:val="18"/>
              </w:rPr>
            </w:pPr>
            <w:r>
              <w:rPr>
                <w:color w:val="231F20"/>
                <w:sz w:val="18"/>
              </w:rPr>
              <w:t>6309 Barrie Road</w:t>
            </w:r>
          </w:p>
        </w:tc>
        <w:tc>
          <w:tcPr>
            <w:tcW w:w="777" w:type="dxa"/>
          </w:tcPr>
          <w:p>
            <w:pPr>
              <w:pStyle w:val="TableParagraph"/>
              <w:ind w:left="146"/>
              <w:rPr>
                <w:sz w:val="18"/>
              </w:rPr>
            </w:pPr>
            <w:r>
              <w:rPr>
                <w:color w:val="231F20"/>
                <w:sz w:val="18"/>
              </w:rPr>
              <w:t>**</w:t>
            </w:r>
          </w:p>
        </w:tc>
        <w:tc>
          <w:tcPr>
            <w:tcW w:w="1017" w:type="dxa"/>
          </w:tcPr>
          <w:p>
            <w:pPr>
              <w:pStyle w:val="TableParagraph"/>
              <w:ind w:right="273"/>
              <w:jc w:val="right"/>
              <w:rPr>
                <w:sz w:val="18"/>
              </w:rPr>
            </w:pPr>
            <w:r>
              <w:rPr>
                <w:color w:val="231F20"/>
                <w:sz w:val="18"/>
              </w:rPr>
              <w:t>2BR</w:t>
            </w:r>
          </w:p>
        </w:tc>
        <w:tc>
          <w:tcPr>
            <w:tcW w:w="1574" w:type="dxa"/>
          </w:tcPr>
          <w:p>
            <w:pPr>
              <w:pStyle w:val="TableParagraph"/>
              <w:ind w:left="277"/>
              <w:rPr>
                <w:sz w:val="18"/>
              </w:rPr>
            </w:pPr>
            <w:r>
              <w:rPr>
                <w:color w:val="231F20"/>
                <w:sz w:val="18"/>
              </w:rPr>
              <w:t>4 + 1½ Bath</w:t>
            </w:r>
          </w:p>
        </w:tc>
        <w:tc>
          <w:tcPr>
            <w:tcW w:w="1176" w:type="dxa"/>
          </w:tcPr>
          <w:p>
            <w:pPr>
              <w:pStyle w:val="TableParagraph"/>
              <w:ind w:left="427" w:right="434"/>
              <w:jc w:val="center"/>
              <w:rPr>
                <w:sz w:val="18"/>
              </w:rPr>
            </w:pPr>
            <w:r>
              <w:rPr>
                <w:color w:val="231F20"/>
                <w:sz w:val="18"/>
              </w:rPr>
              <w:t>909</w:t>
            </w:r>
          </w:p>
        </w:tc>
        <w:tc>
          <w:tcPr>
            <w:tcW w:w="1208" w:type="dxa"/>
          </w:tcPr>
          <w:p>
            <w:pPr>
              <w:pStyle w:val="TableParagraph"/>
              <w:ind w:right="245"/>
              <w:jc w:val="right"/>
              <w:rPr>
                <w:sz w:val="18"/>
              </w:rPr>
            </w:pPr>
            <w:r>
              <w:rPr>
                <w:color w:val="231F20"/>
                <w:sz w:val="18"/>
              </w:rPr>
              <w:t>900.00</w:t>
            </w:r>
          </w:p>
        </w:tc>
        <w:tc>
          <w:tcPr>
            <w:tcW w:w="710" w:type="dxa"/>
          </w:tcPr>
          <w:p>
            <w:pPr>
              <w:pStyle w:val="TableParagraph"/>
              <w:ind w:right="45"/>
              <w:jc w:val="right"/>
              <w:rPr>
                <w:sz w:val="18"/>
              </w:rPr>
            </w:pPr>
            <w:r>
              <w:rPr>
                <w:color w:val="231F20"/>
                <w:sz w:val="18"/>
              </w:rPr>
              <w:t>0.290</w:t>
            </w:r>
          </w:p>
        </w:tc>
      </w:tr>
      <w:tr>
        <w:trPr>
          <w:trHeight w:val="200" w:hRule="atLeast"/>
        </w:trPr>
        <w:tc>
          <w:tcPr>
            <w:tcW w:w="824" w:type="dxa"/>
          </w:tcPr>
          <w:p>
            <w:pPr>
              <w:pStyle w:val="TableParagraph"/>
              <w:spacing w:line="180" w:lineRule="exact"/>
              <w:ind w:left="50"/>
              <w:rPr>
                <w:sz w:val="18"/>
              </w:rPr>
            </w:pPr>
            <w:r>
              <w:rPr>
                <w:color w:val="231F20"/>
                <w:sz w:val="18"/>
              </w:rPr>
              <w:t>"</w:t>
            </w:r>
          </w:p>
        </w:tc>
        <w:tc>
          <w:tcPr>
            <w:tcW w:w="1888" w:type="dxa"/>
          </w:tcPr>
          <w:p>
            <w:pPr>
              <w:pStyle w:val="TableParagraph"/>
              <w:spacing w:line="180" w:lineRule="exact"/>
              <w:ind w:right="144"/>
              <w:jc w:val="right"/>
              <w:rPr>
                <w:sz w:val="18"/>
              </w:rPr>
            </w:pPr>
            <w:r>
              <w:rPr>
                <w:color w:val="231F20"/>
                <w:sz w:val="18"/>
              </w:rPr>
              <w:t>6311 Barrie Road</w:t>
            </w:r>
          </w:p>
        </w:tc>
        <w:tc>
          <w:tcPr>
            <w:tcW w:w="777" w:type="dxa"/>
          </w:tcPr>
          <w:p>
            <w:pPr>
              <w:pStyle w:val="TableParagraph"/>
              <w:spacing w:line="180" w:lineRule="exact"/>
              <w:ind w:left="146"/>
              <w:rPr>
                <w:sz w:val="18"/>
              </w:rPr>
            </w:pPr>
            <w:r>
              <w:rPr>
                <w:color w:val="231F20"/>
                <w:sz w:val="18"/>
              </w:rPr>
              <w:t>**</w:t>
            </w:r>
          </w:p>
        </w:tc>
        <w:tc>
          <w:tcPr>
            <w:tcW w:w="1017" w:type="dxa"/>
          </w:tcPr>
          <w:p>
            <w:pPr>
              <w:pStyle w:val="TableParagraph"/>
              <w:spacing w:line="180" w:lineRule="exact"/>
              <w:ind w:right="273"/>
              <w:jc w:val="right"/>
              <w:rPr>
                <w:sz w:val="18"/>
              </w:rPr>
            </w:pPr>
            <w:r>
              <w:rPr>
                <w:color w:val="231F20"/>
                <w:sz w:val="18"/>
              </w:rPr>
              <w:t>2BR</w:t>
            </w:r>
          </w:p>
        </w:tc>
        <w:tc>
          <w:tcPr>
            <w:tcW w:w="1574" w:type="dxa"/>
          </w:tcPr>
          <w:p>
            <w:pPr>
              <w:pStyle w:val="TableParagraph"/>
              <w:spacing w:line="180" w:lineRule="exact"/>
              <w:ind w:left="277"/>
              <w:rPr>
                <w:sz w:val="18"/>
              </w:rPr>
            </w:pPr>
            <w:r>
              <w:rPr>
                <w:color w:val="231F20"/>
                <w:sz w:val="18"/>
              </w:rPr>
              <w:t>4 + 1½ Bath</w:t>
            </w:r>
          </w:p>
        </w:tc>
        <w:tc>
          <w:tcPr>
            <w:tcW w:w="1176" w:type="dxa"/>
          </w:tcPr>
          <w:p>
            <w:pPr>
              <w:pStyle w:val="TableParagraph"/>
              <w:spacing w:line="180" w:lineRule="exact"/>
              <w:ind w:left="427" w:right="434"/>
              <w:jc w:val="center"/>
              <w:rPr>
                <w:sz w:val="18"/>
              </w:rPr>
            </w:pPr>
            <w:r>
              <w:rPr>
                <w:color w:val="231F20"/>
                <w:sz w:val="18"/>
              </w:rPr>
              <w:t>909</w:t>
            </w:r>
          </w:p>
        </w:tc>
        <w:tc>
          <w:tcPr>
            <w:tcW w:w="1208" w:type="dxa"/>
          </w:tcPr>
          <w:p>
            <w:pPr>
              <w:pStyle w:val="TableParagraph"/>
              <w:spacing w:line="180" w:lineRule="exact"/>
              <w:ind w:right="245"/>
              <w:jc w:val="right"/>
              <w:rPr>
                <w:sz w:val="18"/>
              </w:rPr>
            </w:pPr>
            <w:r>
              <w:rPr>
                <w:color w:val="231F20"/>
                <w:sz w:val="18"/>
              </w:rPr>
              <w:t>900.00</w:t>
            </w:r>
          </w:p>
        </w:tc>
        <w:tc>
          <w:tcPr>
            <w:tcW w:w="710" w:type="dxa"/>
          </w:tcPr>
          <w:p>
            <w:pPr>
              <w:pStyle w:val="TableParagraph"/>
              <w:spacing w:line="180" w:lineRule="exact"/>
              <w:ind w:right="45"/>
              <w:jc w:val="right"/>
              <w:rPr>
                <w:sz w:val="18"/>
              </w:rPr>
            </w:pPr>
            <w:r>
              <w:rPr>
                <w:color w:val="231F20"/>
                <w:sz w:val="18"/>
              </w:rPr>
              <w:t>0.290</w:t>
            </w:r>
          </w:p>
        </w:tc>
      </w:tr>
    </w:tbl>
    <w:p>
      <w:pPr>
        <w:spacing w:after="0" w:line="180" w:lineRule="exact"/>
        <w:jc w:val="right"/>
        <w:rPr>
          <w:sz w:val="18"/>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71"/>
        <w:gridCol w:w="687"/>
        <w:gridCol w:w="1106"/>
        <w:gridCol w:w="1295"/>
        <w:gridCol w:w="1329"/>
        <w:gridCol w:w="1191"/>
        <w:gridCol w:w="1195"/>
      </w:tblGrid>
      <w:tr>
        <w:trPr>
          <w:trHeight w:val="210" w:hRule="atLeast"/>
        </w:trPr>
        <w:tc>
          <w:tcPr>
            <w:tcW w:w="5859" w:type="dxa"/>
            <w:gridSpan w:val="5"/>
            <w:vMerge w:val="restart"/>
          </w:tcPr>
          <w:p>
            <w:pPr>
              <w:pStyle w:val="TableParagraph"/>
              <w:spacing w:line="240" w:lineRule="auto"/>
              <w:rPr>
                <w:rFonts w:ascii="Times New Roman"/>
                <w:sz w:val="18"/>
              </w:rPr>
            </w:pPr>
          </w:p>
        </w:tc>
        <w:tc>
          <w:tcPr>
            <w:tcW w:w="1329" w:type="dxa"/>
          </w:tcPr>
          <w:p>
            <w:pPr>
              <w:pStyle w:val="TableParagraph"/>
              <w:spacing w:line="190" w:lineRule="exact"/>
              <w:ind w:left="168"/>
              <w:rPr>
                <w:sz w:val="20"/>
              </w:rPr>
            </w:pPr>
            <w:r>
              <w:rPr>
                <w:color w:val="231F20"/>
                <w:sz w:val="20"/>
              </w:rPr>
              <w:t>Approximate</w:t>
            </w:r>
          </w:p>
        </w:tc>
        <w:tc>
          <w:tcPr>
            <w:tcW w:w="2386" w:type="dxa"/>
            <w:gridSpan w:val="2"/>
            <w:vMerge w:val="restart"/>
          </w:tcPr>
          <w:p>
            <w:pPr>
              <w:pStyle w:val="TableParagraph"/>
              <w:spacing w:line="240" w:lineRule="auto"/>
              <w:rPr>
                <w:rFonts w:ascii="Times New Roman"/>
                <w:sz w:val="18"/>
              </w:rPr>
            </w:pPr>
          </w:p>
        </w:tc>
      </w:tr>
      <w:tr>
        <w:trPr>
          <w:trHeight w:val="220" w:hRule="atLeast"/>
        </w:trPr>
        <w:tc>
          <w:tcPr>
            <w:tcW w:w="5859" w:type="dxa"/>
            <w:gridSpan w:val="5"/>
            <w:vMerge/>
            <w:tcBorders>
              <w:top w:val="nil"/>
            </w:tcBorders>
          </w:tcPr>
          <w:p>
            <w:pPr>
              <w:rPr>
                <w:sz w:val="2"/>
                <w:szCs w:val="2"/>
              </w:rPr>
            </w:pPr>
          </w:p>
        </w:tc>
        <w:tc>
          <w:tcPr>
            <w:tcW w:w="1329" w:type="dxa"/>
          </w:tcPr>
          <w:p>
            <w:pPr>
              <w:pStyle w:val="TableParagraph"/>
              <w:spacing w:line="201" w:lineRule="exact"/>
              <w:ind w:left="168"/>
              <w:rPr>
                <w:sz w:val="20"/>
              </w:rPr>
            </w:pPr>
            <w:r>
              <w:rPr>
                <w:color w:val="231F20"/>
                <w:sz w:val="20"/>
              </w:rPr>
              <w:t>Square</w:t>
            </w:r>
          </w:p>
        </w:tc>
        <w:tc>
          <w:tcPr>
            <w:tcW w:w="2386" w:type="dxa"/>
            <w:gridSpan w:val="2"/>
            <w:vMerge/>
            <w:tcBorders>
              <w:top w:val="nil"/>
            </w:tcBorders>
          </w:tcPr>
          <w:p>
            <w:pPr>
              <w:rPr>
                <w:sz w:val="2"/>
                <w:szCs w:val="2"/>
              </w:rPr>
            </w:pPr>
          </w:p>
        </w:tc>
      </w:tr>
      <w:tr>
        <w:trPr>
          <w:trHeight w:val="219" w:hRule="atLeast"/>
        </w:trPr>
        <w:tc>
          <w:tcPr>
            <w:tcW w:w="5859" w:type="dxa"/>
            <w:gridSpan w:val="5"/>
            <w:vMerge/>
            <w:tcBorders>
              <w:top w:val="nil"/>
            </w:tcBorders>
          </w:tcPr>
          <w:p>
            <w:pPr>
              <w:rPr>
                <w:sz w:val="2"/>
                <w:szCs w:val="2"/>
              </w:rPr>
            </w:pPr>
          </w:p>
        </w:tc>
        <w:tc>
          <w:tcPr>
            <w:tcW w:w="1329" w:type="dxa"/>
          </w:tcPr>
          <w:p>
            <w:pPr>
              <w:pStyle w:val="TableParagraph"/>
              <w:ind w:left="168"/>
              <w:rPr>
                <w:sz w:val="20"/>
              </w:rPr>
            </w:pPr>
            <w:r>
              <w:rPr>
                <w:color w:val="231F20"/>
                <w:sz w:val="20"/>
              </w:rPr>
              <w:t>Footage Not</w:t>
            </w:r>
          </w:p>
        </w:tc>
        <w:tc>
          <w:tcPr>
            <w:tcW w:w="1191" w:type="dxa"/>
          </w:tcPr>
          <w:p>
            <w:pPr>
              <w:pStyle w:val="TableParagraph"/>
              <w:spacing w:line="240" w:lineRule="auto"/>
              <w:rPr>
                <w:rFonts w:ascii="Times New Roman"/>
                <w:sz w:val="14"/>
              </w:rPr>
            </w:pPr>
          </w:p>
        </w:tc>
        <w:tc>
          <w:tcPr>
            <w:tcW w:w="1195" w:type="dxa"/>
          </w:tcPr>
          <w:p>
            <w:pPr>
              <w:pStyle w:val="TableParagraph"/>
              <w:ind w:left="111"/>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71" w:type="dxa"/>
          </w:tcPr>
          <w:p>
            <w:pPr>
              <w:pStyle w:val="TableParagraph"/>
              <w:ind w:left="388"/>
              <w:rPr>
                <w:sz w:val="20"/>
              </w:rPr>
            </w:pPr>
            <w:r>
              <w:rPr>
                <w:color w:val="231F20"/>
                <w:sz w:val="20"/>
              </w:rPr>
              <w:t>Apartment</w:t>
            </w:r>
          </w:p>
        </w:tc>
        <w:tc>
          <w:tcPr>
            <w:tcW w:w="687" w:type="dxa"/>
          </w:tcPr>
          <w:p>
            <w:pPr>
              <w:pStyle w:val="TableParagraph"/>
              <w:spacing w:line="240" w:lineRule="auto"/>
              <w:rPr>
                <w:rFonts w:ascii="Times New Roman"/>
                <w:sz w:val="14"/>
              </w:rPr>
            </w:pP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ind w:left="168"/>
              <w:rPr>
                <w:sz w:val="20"/>
              </w:rPr>
            </w:pPr>
            <w:r>
              <w:rPr>
                <w:color w:val="231F20"/>
                <w:sz w:val="20"/>
              </w:rPr>
              <w:t>Including</w:t>
            </w:r>
          </w:p>
        </w:tc>
        <w:tc>
          <w:tcPr>
            <w:tcW w:w="1191" w:type="dxa"/>
          </w:tcPr>
          <w:p>
            <w:pPr>
              <w:pStyle w:val="TableParagraph"/>
              <w:spacing w:line="240" w:lineRule="auto"/>
              <w:rPr>
                <w:rFonts w:ascii="Times New Roman"/>
                <w:sz w:val="14"/>
              </w:rPr>
            </w:pPr>
          </w:p>
        </w:tc>
        <w:tc>
          <w:tcPr>
            <w:tcW w:w="1195" w:type="dxa"/>
          </w:tcPr>
          <w:p>
            <w:pPr>
              <w:pStyle w:val="TableParagraph"/>
              <w:ind w:left="111"/>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71" w:type="dxa"/>
          </w:tcPr>
          <w:p>
            <w:pPr>
              <w:pStyle w:val="TableParagraph"/>
              <w:spacing w:line="201" w:lineRule="exact"/>
              <w:ind w:left="388"/>
              <w:rPr>
                <w:sz w:val="20"/>
              </w:rPr>
            </w:pPr>
            <w:r>
              <w:rPr>
                <w:color w:val="231F20"/>
                <w:sz w:val="20"/>
              </w:rPr>
              <w:t>Building</w:t>
            </w:r>
          </w:p>
        </w:tc>
        <w:tc>
          <w:tcPr>
            <w:tcW w:w="687" w:type="dxa"/>
          </w:tcPr>
          <w:p>
            <w:pPr>
              <w:pStyle w:val="TableParagraph"/>
              <w:spacing w:line="201" w:lineRule="exact"/>
              <w:ind w:left="145"/>
              <w:rPr>
                <w:sz w:val="20"/>
              </w:rPr>
            </w:pPr>
            <w:r>
              <w:rPr>
                <w:color w:val="231F20"/>
                <w:sz w:val="20"/>
              </w:rPr>
              <w:t>Apt.</w:t>
            </w: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spacing w:line="201" w:lineRule="exact"/>
              <w:ind w:left="168"/>
              <w:rPr>
                <w:sz w:val="20"/>
              </w:rPr>
            </w:pPr>
            <w:r>
              <w:rPr>
                <w:color w:val="231F20"/>
                <w:sz w:val="20"/>
              </w:rPr>
              <w:t>Balcony or</w:t>
            </w:r>
          </w:p>
        </w:tc>
        <w:tc>
          <w:tcPr>
            <w:tcW w:w="1191" w:type="dxa"/>
          </w:tcPr>
          <w:p>
            <w:pPr>
              <w:pStyle w:val="TableParagraph"/>
              <w:spacing w:line="201" w:lineRule="exact"/>
              <w:ind w:left="111"/>
              <w:rPr>
                <w:sz w:val="20"/>
              </w:rPr>
            </w:pPr>
            <w:r>
              <w:rPr>
                <w:color w:val="231F20"/>
                <w:sz w:val="20"/>
              </w:rPr>
              <w:t>Declared</w:t>
            </w:r>
          </w:p>
        </w:tc>
        <w:tc>
          <w:tcPr>
            <w:tcW w:w="1195" w:type="dxa"/>
          </w:tcPr>
          <w:p>
            <w:pPr>
              <w:pStyle w:val="TableParagraph"/>
              <w:spacing w:line="201" w:lineRule="exact"/>
              <w:ind w:left="111"/>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71" w:type="dxa"/>
            <w:tcBorders>
              <w:bottom w:val="single" w:sz="4" w:space="0" w:color="000000"/>
            </w:tcBorders>
          </w:tcPr>
          <w:p>
            <w:pPr>
              <w:pStyle w:val="TableParagraph"/>
              <w:spacing w:line="214" w:lineRule="exact"/>
              <w:ind w:left="388"/>
              <w:rPr>
                <w:sz w:val="20"/>
              </w:rPr>
            </w:pPr>
            <w:r>
              <w:rPr>
                <w:color w:val="231F20"/>
                <w:sz w:val="20"/>
              </w:rPr>
              <w:t>Address</w:t>
            </w:r>
          </w:p>
        </w:tc>
        <w:tc>
          <w:tcPr>
            <w:tcW w:w="687" w:type="dxa"/>
            <w:tcBorders>
              <w:bottom w:val="single" w:sz="4" w:space="0" w:color="000000"/>
            </w:tcBorders>
          </w:tcPr>
          <w:p>
            <w:pPr>
              <w:pStyle w:val="TableParagraph"/>
              <w:spacing w:line="214" w:lineRule="exact"/>
              <w:ind w:left="145"/>
              <w:rPr>
                <w:sz w:val="20"/>
              </w:rPr>
            </w:pPr>
            <w:r>
              <w:rPr>
                <w:color w:val="231F20"/>
                <w:sz w:val="20"/>
              </w:rPr>
              <w:t>No.</w:t>
            </w:r>
          </w:p>
        </w:tc>
        <w:tc>
          <w:tcPr>
            <w:tcW w:w="1106" w:type="dxa"/>
            <w:tcBorders>
              <w:bottom w:val="single" w:sz="4" w:space="0" w:color="000000"/>
            </w:tcBorders>
          </w:tcPr>
          <w:p>
            <w:pPr>
              <w:pStyle w:val="TableParagraph"/>
              <w:spacing w:line="214" w:lineRule="exact"/>
              <w:ind w:left="204"/>
              <w:rPr>
                <w:sz w:val="20"/>
              </w:rPr>
            </w:pPr>
            <w:r>
              <w:rPr>
                <w:color w:val="231F20"/>
                <w:sz w:val="20"/>
              </w:rPr>
              <w:t>Type</w:t>
            </w:r>
          </w:p>
        </w:tc>
        <w:tc>
          <w:tcPr>
            <w:tcW w:w="1295" w:type="dxa"/>
            <w:tcBorders>
              <w:bottom w:val="single" w:sz="4" w:space="0" w:color="000000"/>
            </w:tcBorders>
          </w:tcPr>
          <w:p>
            <w:pPr>
              <w:pStyle w:val="TableParagraph"/>
              <w:spacing w:line="214" w:lineRule="exact"/>
              <w:ind w:left="277"/>
              <w:rPr>
                <w:sz w:val="20"/>
              </w:rPr>
            </w:pPr>
            <w:r>
              <w:rPr>
                <w:color w:val="231F20"/>
                <w:sz w:val="20"/>
              </w:rPr>
              <w:t>Rooms</w:t>
            </w:r>
          </w:p>
        </w:tc>
        <w:tc>
          <w:tcPr>
            <w:tcW w:w="1329" w:type="dxa"/>
            <w:tcBorders>
              <w:bottom w:val="single" w:sz="4" w:space="0" w:color="000000"/>
            </w:tcBorders>
          </w:tcPr>
          <w:p>
            <w:pPr>
              <w:pStyle w:val="TableParagraph"/>
              <w:spacing w:line="214" w:lineRule="exact"/>
              <w:ind w:left="168"/>
              <w:rPr>
                <w:sz w:val="20"/>
              </w:rPr>
            </w:pPr>
            <w:r>
              <w:rPr>
                <w:color w:val="231F20"/>
                <w:sz w:val="20"/>
              </w:rPr>
              <w:t>Patio</w:t>
            </w:r>
          </w:p>
        </w:tc>
        <w:tc>
          <w:tcPr>
            <w:tcW w:w="1191" w:type="dxa"/>
            <w:tcBorders>
              <w:bottom w:val="single" w:sz="4" w:space="0" w:color="000000"/>
            </w:tcBorders>
          </w:tcPr>
          <w:p>
            <w:pPr>
              <w:pStyle w:val="TableParagraph"/>
              <w:spacing w:line="214" w:lineRule="exact"/>
              <w:ind w:left="111"/>
              <w:rPr>
                <w:sz w:val="20"/>
              </w:rPr>
            </w:pPr>
            <w:r>
              <w:rPr>
                <w:color w:val="231F20"/>
                <w:sz w:val="20"/>
              </w:rPr>
              <w:t>Value</w:t>
            </w:r>
          </w:p>
        </w:tc>
        <w:tc>
          <w:tcPr>
            <w:tcW w:w="1195" w:type="dxa"/>
            <w:tcBorders>
              <w:bottom w:val="single" w:sz="4" w:space="0" w:color="000000"/>
            </w:tcBorders>
          </w:tcPr>
          <w:p>
            <w:pPr>
              <w:pStyle w:val="TableParagraph"/>
              <w:spacing w:line="214" w:lineRule="exact"/>
              <w:ind w:left="111"/>
              <w:rPr>
                <w:sz w:val="20"/>
              </w:rPr>
            </w:pPr>
            <w:r>
              <w:rPr>
                <w:color w:val="231F20"/>
                <w:sz w:val="20"/>
              </w:rPr>
              <w:t>Interest</w:t>
            </w:r>
          </w:p>
        </w:tc>
      </w:tr>
      <w:tr>
        <w:trPr>
          <w:trHeight w:val="370" w:hRule="atLeast"/>
        </w:trPr>
        <w:tc>
          <w:tcPr>
            <w:tcW w:w="900" w:type="dxa"/>
            <w:tcBorders>
              <w:top w:val="single" w:sz="4" w:space="0" w:color="000000"/>
            </w:tcBorders>
          </w:tcPr>
          <w:p>
            <w:pPr>
              <w:pStyle w:val="TableParagraph"/>
              <w:spacing w:line="217" w:lineRule="exact" w:before="133"/>
              <w:ind w:left="108"/>
              <w:rPr>
                <w:sz w:val="18"/>
              </w:rPr>
            </w:pPr>
            <w:r>
              <w:rPr>
                <w:color w:val="231F20"/>
                <w:sz w:val="18"/>
              </w:rPr>
              <w:t>TH2</w:t>
            </w:r>
          </w:p>
        </w:tc>
        <w:tc>
          <w:tcPr>
            <w:tcW w:w="1871" w:type="dxa"/>
            <w:tcBorders>
              <w:top w:val="single" w:sz="4" w:space="0" w:color="000000"/>
            </w:tcBorders>
          </w:tcPr>
          <w:p>
            <w:pPr>
              <w:pStyle w:val="TableParagraph"/>
              <w:spacing w:line="217" w:lineRule="exact" w:before="133"/>
              <w:ind w:right="145"/>
              <w:jc w:val="right"/>
              <w:rPr>
                <w:sz w:val="18"/>
              </w:rPr>
            </w:pPr>
            <w:r>
              <w:rPr>
                <w:color w:val="231F20"/>
                <w:sz w:val="18"/>
              </w:rPr>
              <w:t>6313 Barrie Road</w:t>
            </w:r>
          </w:p>
        </w:tc>
        <w:tc>
          <w:tcPr>
            <w:tcW w:w="687" w:type="dxa"/>
            <w:tcBorders>
              <w:top w:val="single" w:sz="4" w:space="0" w:color="000000"/>
            </w:tcBorders>
          </w:tcPr>
          <w:p>
            <w:pPr>
              <w:pStyle w:val="TableParagraph"/>
              <w:spacing w:line="217" w:lineRule="exact" w:before="133"/>
              <w:ind w:left="145"/>
              <w:rPr>
                <w:sz w:val="18"/>
              </w:rPr>
            </w:pPr>
            <w:r>
              <w:rPr>
                <w:color w:val="231F20"/>
                <w:sz w:val="18"/>
              </w:rPr>
              <w:t>**</w:t>
            </w:r>
          </w:p>
        </w:tc>
        <w:tc>
          <w:tcPr>
            <w:tcW w:w="1106" w:type="dxa"/>
            <w:tcBorders>
              <w:top w:val="single" w:sz="4" w:space="0" w:color="000000"/>
            </w:tcBorders>
          </w:tcPr>
          <w:p>
            <w:pPr>
              <w:pStyle w:val="TableParagraph"/>
              <w:spacing w:line="217" w:lineRule="exact" w:before="133"/>
              <w:ind w:right="273"/>
              <w:jc w:val="right"/>
              <w:rPr>
                <w:sz w:val="18"/>
              </w:rPr>
            </w:pPr>
            <w:r>
              <w:rPr>
                <w:color w:val="231F20"/>
                <w:sz w:val="18"/>
              </w:rPr>
              <w:t>2BR</w:t>
            </w:r>
          </w:p>
        </w:tc>
        <w:tc>
          <w:tcPr>
            <w:tcW w:w="1295" w:type="dxa"/>
            <w:tcBorders>
              <w:top w:val="single" w:sz="4" w:space="0" w:color="000000"/>
            </w:tcBorders>
          </w:tcPr>
          <w:p>
            <w:pPr>
              <w:pStyle w:val="TableParagraph"/>
              <w:spacing w:line="217" w:lineRule="exact" w:before="133"/>
              <w:ind w:left="277"/>
              <w:rPr>
                <w:sz w:val="18"/>
              </w:rPr>
            </w:pPr>
            <w:r>
              <w:rPr>
                <w:color w:val="231F20"/>
                <w:sz w:val="18"/>
              </w:rPr>
              <w:t>4 + 1½ Bath</w:t>
            </w:r>
          </w:p>
        </w:tc>
        <w:tc>
          <w:tcPr>
            <w:tcW w:w="1329" w:type="dxa"/>
            <w:tcBorders>
              <w:top w:val="single" w:sz="4" w:space="0" w:color="000000"/>
            </w:tcBorders>
          </w:tcPr>
          <w:p>
            <w:pPr>
              <w:pStyle w:val="TableParagraph"/>
              <w:spacing w:line="217" w:lineRule="exact" w:before="133"/>
              <w:ind w:left="725"/>
              <w:rPr>
                <w:sz w:val="18"/>
              </w:rPr>
            </w:pPr>
            <w:r>
              <w:rPr>
                <w:color w:val="231F20"/>
                <w:sz w:val="18"/>
              </w:rPr>
              <w:t>909</w:t>
            </w:r>
          </w:p>
        </w:tc>
        <w:tc>
          <w:tcPr>
            <w:tcW w:w="1191" w:type="dxa"/>
            <w:tcBorders>
              <w:top w:val="single" w:sz="4" w:space="0" w:color="000000"/>
            </w:tcBorders>
          </w:tcPr>
          <w:p>
            <w:pPr>
              <w:pStyle w:val="TableParagraph"/>
              <w:spacing w:line="217" w:lineRule="exact" w:before="133"/>
              <w:ind w:right="102"/>
              <w:jc w:val="right"/>
              <w:rPr>
                <w:sz w:val="18"/>
              </w:rPr>
            </w:pPr>
            <w:r>
              <w:rPr>
                <w:color w:val="231F20"/>
                <w:sz w:val="18"/>
              </w:rPr>
              <w:t>$ 900.00</w:t>
            </w:r>
          </w:p>
        </w:tc>
        <w:tc>
          <w:tcPr>
            <w:tcW w:w="1195" w:type="dxa"/>
            <w:tcBorders>
              <w:top w:val="single" w:sz="4" w:space="0" w:color="000000"/>
            </w:tcBorders>
          </w:tcPr>
          <w:p>
            <w:pPr>
              <w:pStyle w:val="TableParagraph"/>
              <w:spacing w:line="217" w:lineRule="exact" w:before="133"/>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6315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3"/>
              <w:jc w:val="right"/>
              <w:rPr>
                <w:sz w:val="18"/>
              </w:rPr>
            </w:pPr>
            <w:r>
              <w:rPr>
                <w:color w:val="231F20"/>
                <w:sz w:val="18"/>
              </w:rPr>
              <w:t>6317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6319 Barrie Road</w:t>
            </w:r>
          </w:p>
        </w:tc>
        <w:tc>
          <w:tcPr>
            <w:tcW w:w="687"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3"/>
              <w:jc w:val="right"/>
              <w:rPr>
                <w:sz w:val="18"/>
              </w:rPr>
            </w:pPr>
            <w:r>
              <w:rPr>
                <w:color w:val="231F20"/>
                <w:sz w:val="18"/>
              </w:rPr>
              <w:t>2BR</w:t>
            </w:r>
          </w:p>
        </w:tc>
        <w:tc>
          <w:tcPr>
            <w:tcW w:w="1295" w:type="dxa"/>
          </w:tcPr>
          <w:p>
            <w:pPr>
              <w:pStyle w:val="TableParagraph"/>
              <w:spacing w:line="201" w:lineRule="exact"/>
              <w:ind w:left="277"/>
              <w:rPr>
                <w:sz w:val="18"/>
              </w:rPr>
            </w:pPr>
            <w:r>
              <w:rPr>
                <w:color w:val="231F20"/>
                <w:sz w:val="18"/>
              </w:rPr>
              <w:t>4 + 1½ Bath</w:t>
            </w:r>
          </w:p>
        </w:tc>
        <w:tc>
          <w:tcPr>
            <w:tcW w:w="1329" w:type="dxa"/>
          </w:tcPr>
          <w:p>
            <w:pPr>
              <w:pStyle w:val="TableParagraph"/>
              <w:spacing w:line="201" w:lineRule="exact"/>
              <w:ind w:left="725"/>
              <w:rPr>
                <w:sz w:val="18"/>
              </w:rPr>
            </w:pPr>
            <w:r>
              <w:rPr>
                <w:color w:val="231F20"/>
                <w:sz w:val="18"/>
              </w:rPr>
              <w:t>909</w:t>
            </w:r>
          </w:p>
        </w:tc>
        <w:tc>
          <w:tcPr>
            <w:tcW w:w="1191" w:type="dxa"/>
          </w:tcPr>
          <w:p>
            <w:pPr>
              <w:pStyle w:val="TableParagraph"/>
              <w:spacing w:line="201" w:lineRule="exact"/>
              <w:ind w:right="102"/>
              <w:jc w:val="right"/>
              <w:rPr>
                <w:sz w:val="18"/>
              </w:rPr>
            </w:pPr>
            <w:r>
              <w:rPr>
                <w:color w:val="231F20"/>
                <w:sz w:val="18"/>
              </w:rPr>
              <w:t>900.00</w:t>
            </w:r>
          </w:p>
        </w:tc>
        <w:tc>
          <w:tcPr>
            <w:tcW w:w="1195" w:type="dxa"/>
          </w:tcPr>
          <w:p>
            <w:pPr>
              <w:pStyle w:val="TableParagraph"/>
              <w:spacing w:line="201" w:lineRule="exact"/>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6321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1" w:type="dxa"/>
          </w:tcPr>
          <w:p>
            <w:pPr>
              <w:pStyle w:val="TableParagraph"/>
              <w:spacing w:line="203" w:lineRule="exact"/>
              <w:ind w:right="145"/>
              <w:jc w:val="right"/>
              <w:rPr>
                <w:sz w:val="18"/>
              </w:rPr>
            </w:pPr>
            <w:r>
              <w:rPr>
                <w:color w:val="231F20"/>
                <w:sz w:val="18"/>
              </w:rPr>
              <w:t>6323 Barrie Road</w:t>
            </w:r>
          </w:p>
        </w:tc>
        <w:tc>
          <w:tcPr>
            <w:tcW w:w="687" w:type="dxa"/>
          </w:tcPr>
          <w:p>
            <w:pPr>
              <w:pStyle w:val="TableParagraph"/>
              <w:spacing w:line="203" w:lineRule="exact"/>
              <w:ind w:left="145"/>
              <w:rPr>
                <w:sz w:val="18"/>
              </w:rPr>
            </w:pPr>
            <w:r>
              <w:rPr>
                <w:color w:val="231F20"/>
                <w:sz w:val="18"/>
              </w:rPr>
              <w:t>**</w:t>
            </w:r>
          </w:p>
        </w:tc>
        <w:tc>
          <w:tcPr>
            <w:tcW w:w="1106" w:type="dxa"/>
          </w:tcPr>
          <w:p>
            <w:pPr>
              <w:pStyle w:val="TableParagraph"/>
              <w:spacing w:line="203" w:lineRule="exact"/>
              <w:ind w:right="273"/>
              <w:jc w:val="right"/>
              <w:rPr>
                <w:sz w:val="18"/>
              </w:rPr>
            </w:pPr>
            <w:r>
              <w:rPr>
                <w:color w:val="231F20"/>
                <w:sz w:val="18"/>
              </w:rPr>
              <w:t>2BR</w:t>
            </w:r>
          </w:p>
        </w:tc>
        <w:tc>
          <w:tcPr>
            <w:tcW w:w="1295" w:type="dxa"/>
          </w:tcPr>
          <w:p>
            <w:pPr>
              <w:pStyle w:val="TableParagraph"/>
              <w:spacing w:line="203" w:lineRule="exact"/>
              <w:ind w:left="277"/>
              <w:rPr>
                <w:sz w:val="18"/>
              </w:rPr>
            </w:pPr>
            <w:r>
              <w:rPr>
                <w:color w:val="231F20"/>
                <w:sz w:val="18"/>
              </w:rPr>
              <w:t>4 + 1½ Bath</w:t>
            </w:r>
          </w:p>
        </w:tc>
        <w:tc>
          <w:tcPr>
            <w:tcW w:w="1329" w:type="dxa"/>
          </w:tcPr>
          <w:p>
            <w:pPr>
              <w:pStyle w:val="TableParagraph"/>
              <w:spacing w:line="203" w:lineRule="exact"/>
              <w:ind w:left="725"/>
              <w:rPr>
                <w:sz w:val="18"/>
              </w:rPr>
            </w:pPr>
            <w:r>
              <w:rPr>
                <w:color w:val="231F20"/>
                <w:sz w:val="18"/>
              </w:rPr>
              <w:t>909</w:t>
            </w:r>
          </w:p>
        </w:tc>
        <w:tc>
          <w:tcPr>
            <w:tcW w:w="1191" w:type="dxa"/>
          </w:tcPr>
          <w:p>
            <w:pPr>
              <w:pStyle w:val="TableParagraph"/>
              <w:spacing w:line="203" w:lineRule="exact"/>
              <w:ind w:right="102"/>
              <w:jc w:val="right"/>
              <w:rPr>
                <w:sz w:val="18"/>
              </w:rPr>
            </w:pPr>
            <w:r>
              <w:rPr>
                <w:color w:val="231F20"/>
                <w:sz w:val="18"/>
              </w:rPr>
              <w:t>900.00</w:t>
            </w:r>
          </w:p>
        </w:tc>
        <w:tc>
          <w:tcPr>
            <w:tcW w:w="1195" w:type="dxa"/>
          </w:tcPr>
          <w:p>
            <w:pPr>
              <w:pStyle w:val="TableParagraph"/>
              <w:spacing w:line="203" w:lineRule="exact"/>
              <w:ind w:left="394"/>
              <w:rPr>
                <w:sz w:val="18"/>
              </w:rPr>
            </w:pPr>
            <w:r>
              <w:rPr>
                <w:color w:val="231F20"/>
                <w:sz w:val="18"/>
              </w:rPr>
              <w:t>0.290</w:t>
            </w:r>
          </w:p>
        </w:tc>
      </w:tr>
      <w:tr>
        <w:trPr>
          <w:trHeight w:val="291" w:hRule="atLeast"/>
        </w:trPr>
        <w:tc>
          <w:tcPr>
            <w:tcW w:w="900" w:type="dxa"/>
          </w:tcPr>
          <w:p>
            <w:pPr>
              <w:pStyle w:val="TableParagraph"/>
              <w:spacing w:line="216" w:lineRule="exact" w:before="56"/>
              <w:ind w:left="108"/>
              <w:rPr>
                <w:sz w:val="18"/>
              </w:rPr>
            </w:pPr>
            <w:r>
              <w:rPr>
                <w:color w:val="231F20"/>
                <w:sz w:val="18"/>
              </w:rPr>
              <w:t>TH3</w:t>
            </w:r>
          </w:p>
        </w:tc>
        <w:tc>
          <w:tcPr>
            <w:tcW w:w="1871" w:type="dxa"/>
          </w:tcPr>
          <w:p>
            <w:pPr>
              <w:pStyle w:val="TableParagraph"/>
              <w:spacing w:line="216" w:lineRule="exact" w:before="56"/>
              <w:ind w:right="145"/>
              <w:jc w:val="right"/>
              <w:rPr>
                <w:sz w:val="18"/>
              </w:rPr>
            </w:pPr>
            <w:r>
              <w:rPr>
                <w:color w:val="231F20"/>
                <w:sz w:val="18"/>
              </w:rPr>
              <w:t>6325 Barrie Road</w:t>
            </w:r>
          </w:p>
        </w:tc>
        <w:tc>
          <w:tcPr>
            <w:tcW w:w="687" w:type="dxa"/>
          </w:tcPr>
          <w:p>
            <w:pPr>
              <w:pStyle w:val="TableParagraph"/>
              <w:spacing w:line="216" w:lineRule="exact" w:before="56"/>
              <w:ind w:left="145"/>
              <w:rPr>
                <w:sz w:val="18"/>
              </w:rPr>
            </w:pPr>
            <w:r>
              <w:rPr>
                <w:color w:val="231F20"/>
                <w:sz w:val="18"/>
              </w:rPr>
              <w:t>**</w:t>
            </w:r>
          </w:p>
        </w:tc>
        <w:tc>
          <w:tcPr>
            <w:tcW w:w="1106" w:type="dxa"/>
          </w:tcPr>
          <w:p>
            <w:pPr>
              <w:pStyle w:val="TableParagraph"/>
              <w:spacing w:line="216" w:lineRule="exact" w:before="56"/>
              <w:ind w:right="273"/>
              <w:jc w:val="right"/>
              <w:rPr>
                <w:sz w:val="18"/>
              </w:rPr>
            </w:pPr>
            <w:r>
              <w:rPr>
                <w:color w:val="231F20"/>
                <w:sz w:val="18"/>
              </w:rPr>
              <w:t>2BR</w:t>
            </w:r>
          </w:p>
        </w:tc>
        <w:tc>
          <w:tcPr>
            <w:tcW w:w="1295" w:type="dxa"/>
          </w:tcPr>
          <w:p>
            <w:pPr>
              <w:pStyle w:val="TableParagraph"/>
              <w:spacing w:line="216" w:lineRule="exact" w:before="56"/>
              <w:ind w:left="277"/>
              <w:rPr>
                <w:sz w:val="18"/>
              </w:rPr>
            </w:pPr>
            <w:r>
              <w:rPr>
                <w:color w:val="231F20"/>
                <w:sz w:val="18"/>
              </w:rPr>
              <w:t>4 + 1½ Bath</w:t>
            </w:r>
          </w:p>
        </w:tc>
        <w:tc>
          <w:tcPr>
            <w:tcW w:w="1329" w:type="dxa"/>
          </w:tcPr>
          <w:p>
            <w:pPr>
              <w:pStyle w:val="TableParagraph"/>
              <w:spacing w:line="216" w:lineRule="exact" w:before="56"/>
              <w:ind w:left="588"/>
              <w:rPr>
                <w:sz w:val="18"/>
              </w:rPr>
            </w:pPr>
            <w:r>
              <w:rPr>
                <w:color w:val="231F20"/>
                <w:sz w:val="18"/>
              </w:rPr>
              <w:t>1,084</w:t>
            </w:r>
          </w:p>
        </w:tc>
        <w:tc>
          <w:tcPr>
            <w:tcW w:w="1191" w:type="dxa"/>
          </w:tcPr>
          <w:p>
            <w:pPr>
              <w:pStyle w:val="TableParagraph"/>
              <w:spacing w:line="216" w:lineRule="exact" w:before="56"/>
              <w:ind w:right="102"/>
              <w:jc w:val="right"/>
              <w:rPr>
                <w:sz w:val="18"/>
              </w:rPr>
            </w:pPr>
            <w:r>
              <w:rPr>
                <w:color w:val="231F20"/>
                <w:sz w:val="18"/>
              </w:rPr>
              <w:t>1,100.00</w:t>
            </w:r>
          </w:p>
        </w:tc>
        <w:tc>
          <w:tcPr>
            <w:tcW w:w="1195" w:type="dxa"/>
          </w:tcPr>
          <w:p>
            <w:pPr>
              <w:pStyle w:val="TableParagraph"/>
              <w:spacing w:line="216" w:lineRule="exact" w:before="56"/>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6327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6329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6331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6333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6335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6337 Barrie Road</w:t>
            </w:r>
          </w:p>
        </w:tc>
        <w:tc>
          <w:tcPr>
            <w:tcW w:w="687"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3"/>
              <w:jc w:val="right"/>
              <w:rPr>
                <w:sz w:val="18"/>
              </w:rPr>
            </w:pPr>
            <w:r>
              <w:rPr>
                <w:color w:val="231F20"/>
                <w:sz w:val="18"/>
              </w:rPr>
              <w:t>2BR</w:t>
            </w:r>
          </w:p>
        </w:tc>
        <w:tc>
          <w:tcPr>
            <w:tcW w:w="1295" w:type="dxa"/>
          </w:tcPr>
          <w:p>
            <w:pPr>
              <w:pStyle w:val="TableParagraph"/>
              <w:spacing w:line="201" w:lineRule="exact"/>
              <w:ind w:left="277"/>
              <w:rPr>
                <w:sz w:val="18"/>
              </w:rPr>
            </w:pPr>
            <w:r>
              <w:rPr>
                <w:color w:val="231F20"/>
                <w:sz w:val="18"/>
              </w:rPr>
              <w:t>4 + 1½ Bath</w:t>
            </w:r>
          </w:p>
        </w:tc>
        <w:tc>
          <w:tcPr>
            <w:tcW w:w="1329" w:type="dxa"/>
          </w:tcPr>
          <w:p>
            <w:pPr>
              <w:pStyle w:val="TableParagraph"/>
              <w:spacing w:line="201" w:lineRule="exact"/>
              <w:ind w:left="588"/>
              <w:rPr>
                <w:sz w:val="18"/>
              </w:rPr>
            </w:pPr>
            <w:r>
              <w:rPr>
                <w:color w:val="231F20"/>
                <w:sz w:val="18"/>
              </w:rPr>
              <w:t>1,084</w:t>
            </w:r>
          </w:p>
        </w:tc>
        <w:tc>
          <w:tcPr>
            <w:tcW w:w="1191" w:type="dxa"/>
          </w:tcPr>
          <w:p>
            <w:pPr>
              <w:pStyle w:val="TableParagraph"/>
              <w:spacing w:line="201" w:lineRule="exact"/>
              <w:ind w:right="102"/>
              <w:jc w:val="right"/>
              <w:rPr>
                <w:sz w:val="18"/>
              </w:rPr>
            </w:pPr>
            <w:r>
              <w:rPr>
                <w:color w:val="231F20"/>
                <w:sz w:val="18"/>
              </w:rPr>
              <w:t>1,100.00</w:t>
            </w:r>
          </w:p>
        </w:tc>
        <w:tc>
          <w:tcPr>
            <w:tcW w:w="1195" w:type="dxa"/>
          </w:tcPr>
          <w:p>
            <w:pPr>
              <w:pStyle w:val="TableParagraph"/>
              <w:spacing w:line="201" w:lineRule="exact"/>
              <w:ind w:left="394"/>
              <w:rPr>
                <w:sz w:val="18"/>
              </w:rPr>
            </w:pPr>
            <w:r>
              <w:rPr>
                <w:color w:val="231F20"/>
                <w:sz w:val="18"/>
              </w:rPr>
              <w:t>0.360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6339 Barrie Road</w:t>
            </w:r>
          </w:p>
        </w:tc>
        <w:tc>
          <w:tcPr>
            <w:tcW w:w="687"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3"/>
              <w:jc w:val="right"/>
              <w:rPr>
                <w:sz w:val="18"/>
              </w:rPr>
            </w:pPr>
            <w:r>
              <w:rPr>
                <w:color w:val="231F20"/>
                <w:sz w:val="18"/>
              </w:rPr>
              <w:t>2BR</w:t>
            </w:r>
          </w:p>
        </w:tc>
        <w:tc>
          <w:tcPr>
            <w:tcW w:w="1295" w:type="dxa"/>
          </w:tcPr>
          <w:p>
            <w:pPr>
              <w:pStyle w:val="TableParagraph"/>
              <w:spacing w:line="204" w:lineRule="exact"/>
              <w:ind w:left="277"/>
              <w:rPr>
                <w:sz w:val="18"/>
              </w:rPr>
            </w:pPr>
            <w:r>
              <w:rPr>
                <w:color w:val="231F20"/>
                <w:sz w:val="18"/>
              </w:rPr>
              <w:t>4 + 1½ Bath</w:t>
            </w:r>
          </w:p>
        </w:tc>
        <w:tc>
          <w:tcPr>
            <w:tcW w:w="1329" w:type="dxa"/>
          </w:tcPr>
          <w:p>
            <w:pPr>
              <w:pStyle w:val="TableParagraph"/>
              <w:spacing w:line="204" w:lineRule="exact"/>
              <w:ind w:left="588"/>
              <w:rPr>
                <w:sz w:val="18"/>
              </w:rPr>
            </w:pPr>
            <w:r>
              <w:rPr>
                <w:color w:val="231F20"/>
                <w:sz w:val="18"/>
              </w:rPr>
              <w:t>1,084</w:t>
            </w:r>
          </w:p>
        </w:tc>
        <w:tc>
          <w:tcPr>
            <w:tcW w:w="1191" w:type="dxa"/>
          </w:tcPr>
          <w:p>
            <w:pPr>
              <w:pStyle w:val="TableParagraph"/>
              <w:spacing w:line="204" w:lineRule="exact"/>
              <w:ind w:right="102"/>
              <w:jc w:val="right"/>
              <w:rPr>
                <w:sz w:val="18"/>
              </w:rPr>
            </w:pPr>
            <w:r>
              <w:rPr>
                <w:color w:val="231F20"/>
                <w:sz w:val="18"/>
              </w:rPr>
              <w:t>1,100.00</w:t>
            </w:r>
          </w:p>
        </w:tc>
        <w:tc>
          <w:tcPr>
            <w:tcW w:w="1195" w:type="dxa"/>
          </w:tcPr>
          <w:p>
            <w:pPr>
              <w:pStyle w:val="TableParagraph"/>
              <w:spacing w:line="204" w:lineRule="exact"/>
              <w:ind w:left="394"/>
              <w:rPr>
                <w:sz w:val="18"/>
              </w:rPr>
            </w:pPr>
            <w:r>
              <w:rPr>
                <w:color w:val="231F20"/>
                <w:sz w:val="18"/>
              </w:rPr>
              <w:t>0.360</w:t>
            </w:r>
          </w:p>
        </w:tc>
      </w:tr>
      <w:tr>
        <w:trPr>
          <w:trHeight w:val="291" w:hRule="atLeast"/>
        </w:trPr>
        <w:tc>
          <w:tcPr>
            <w:tcW w:w="900" w:type="dxa"/>
          </w:tcPr>
          <w:p>
            <w:pPr>
              <w:pStyle w:val="TableParagraph"/>
              <w:spacing w:line="217" w:lineRule="exact" w:before="55"/>
              <w:ind w:left="108"/>
              <w:rPr>
                <w:sz w:val="18"/>
              </w:rPr>
            </w:pPr>
            <w:r>
              <w:rPr>
                <w:color w:val="231F20"/>
                <w:sz w:val="18"/>
              </w:rPr>
              <w:t>TH4</w:t>
            </w:r>
          </w:p>
        </w:tc>
        <w:tc>
          <w:tcPr>
            <w:tcW w:w="1871" w:type="dxa"/>
          </w:tcPr>
          <w:p>
            <w:pPr>
              <w:pStyle w:val="TableParagraph"/>
              <w:spacing w:line="217" w:lineRule="exact" w:before="55"/>
              <w:ind w:right="145"/>
              <w:jc w:val="right"/>
              <w:rPr>
                <w:sz w:val="18"/>
              </w:rPr>
            </w:pPr>
            <w:r>
              <w:rPr>
                <w:color w:val="231F20"/>
                <w:sz w:val="18"/>
              </w:rPr>
              <w:t>6341 Barrie Road</w:t>
            </w:r>
          </w:p>
        </w:tc>
        <w:tc>
          <w:tcPr>
            <w:tcW w:w="687" w:type="dxa"/>
          </w:tcPr>
          <w:p>
            <w:pPr>
              <w:pStyle w:val="TableParagraph"/>
              <w:spacing w:line="217" w:lineRule="exact" w:before="55"/>
              <w:ind w:left="145"/>
              <w:rPr>
                <w:sz w:val="18"/>
              </w:rPr>
            </w:pPr>
            <w:r>
              <w:rPr>
                <w:color w:val="231F20"/>
                <w:sz w:val="18"/>
              </w:rPr>
              <w:t>**</w:t>
            </w:r>
          </w:p>
        </w:tc>
        <w:tc>
          <w:tcPr>
            <w:tcW w:w="1106" w:type="dxa"/>
          </w:tcPr>
          <w:p>
            <w:pPr>
              <w:pStyle w:val="TableParagraph"/>
              <w:spacing w:line="217" w:lineRule="exact" w:before="55"/>
              <w:ind w:right="273"/>
              <w:jc w:val="right"/>
              <w:rPr>
                <w:sz w:val="18"/>
              </w:rPr>
            </w:pPr>
            <w:r>
              <w:rPr>
                <w:color w:val="231F20"/>
                <w:sz w:val="18"/>
              </w:rPr>
              <w:t>2BR</w:t>
            </w:r>
          </w:p>
        </w:tc>
        <w:tc>
          <w:tcPr>
            <w:tcW w:w="1295" w:type="dxa"/>
          </w:tcPr>
          <w:p>
            <w:pPr>
              <w:pStyle w:val="TableParagraph"/>
              <w:spacing w:line="217" w:lineRule="exact" w:before="55"/>
              <w:ind w:left="277"/>
              <w:rPr>
                <w:sz w:val="18"/>
              </w:rPr>
            </w:pPr>
            <w:r>
              <w:rPr>
                <w:color w:val="231F20"/>
                <w:sz w:val="18"/>
              </w:rPr>
              <w:t>4 + 1½ Bath</w:t>
            </w:r>
          </w:p>
        </w:tc>
        <w:tc>
          <w:tcPr>
            <w:tcW w:w="1329" w:type="dxa"/>
          </w:tcPr>
          <w:p>
            <w:pPr>
              <w:pStyle w:val="TableParagraph"/>
              <w:spacing w:line="217" w:lineRule="exact" w:before="55"/>
              <w:ind w:left="725"/>
              <w:rPr>
                <w:sz w:val="18"/>
              </w:rPr>
            </w:pPr>
            <w:r>
              <w:rPr>
                <w:color w:val="231F20"/>
                <w:sz w:val="18"/>
              </w:rPr>
              <w:t>909</w:t>
            </w:r>
          </w:p>
        </w:tc>
        <w:tc>
          <w:tcPr>
            <w:tcW w:w="1191" w:type="dxa"/>
          </w:tcPr>
          <w:p>
            <w:pPr>
              <w:pStyle w:val="TableParagraph"/>
              <w:spacing w:line="217" w:lineRule="exact" w:before="55"/>
              <w:ind w:right="102"/>
              <w:jc w:val="right"/>
              <w:rPr>
                <w:sz w:val="18"/>
              </w:rPr>
            </w:pPr>
            <w:r>
              <w:rPr>
                <w:color w:val="231F20"/>
                <w:sz w:val="18"/>
              </w:rPr>
              <w:t>900.00</w:t>
            </w:r>
          </w:p>
        </w:tc>
        <w:tc>
          <w:tcPr>
            <w:tcW w:w="1195" w:type="dxa"/>
          </w:tcPr>
          <w:p>
            <w:pPr>
              <w:pStyle w:val="TableParagraph"/>
              <w:spacing w:line="217" w:lineRule="exact" w:before="55"/>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6343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6345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6347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6349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909</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6351 Barrie Road</w:t>
            </w:r>
          </w:p>
        </w:tc>
        <w:tc>
          <w:tcPr>
            <w:tcW w:w="687"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3"/>
              <w:jc w:val="right"/>
              <w:rPr>
                <w:sz w:val="18"/>
              </w:rPr>
            </w:pPr>
            <w:r>
              <w:rPr>
                <w:color w:val="231F20"/>
                <w:sz w:val="18"/>
              </w:rPr>
              <w:t>2BR</w:t>
            </w:r>
          </w:p>
        </w:tc>
        <w:tc>
          <w:tcPr>
            <w:tcW w:w="1295" w:type="dxa"/>
          </w:tcPr>
          <w:p>
            <w:pPr>
              <w:pStyle w:val="TableParagraph"/>
              <w:spacing w:line="204" w:lineRule="exact"/>
              <w:ind w:left="277"/>
              <w:rPr>
                <w:sz w:val="18"/>
              </w:rPr>
            </w:pPr>
            <w:r>
              <w:rPr>
                <w:color w:val="231F20"/>
                <w:sz w:val="18"/>
              </w:rPr>
              <w:t>4 + 1½ Bath</w:t>
            </w:r>
          </w:p>
        </w:tc>
        <w:tc>
          <w:tcPr>
            <w:tcW w:w="1329" w:type="dxa"/>
          </w:tcPr>
          <w:p>
            <w:pPr>
              <w:pStyle w:val="TableParagraph"/>
              <w:spacing w:line="204" w:lineRule="exact"/>
              <w:ind w:left="725"/>
              <w:rPr>
                <w:sz w:val="18"/>
              </w:rPr>
            </w:pPr>
            <w:r>
              <w:rPr>
                <w:color w:val="231F20"/>
                <w:sz w:val="18"/>
              </w:rPr>
              <w:t>909</w:t>
            </w:r>
          </w:p>
        </w:tc>
        <w:tc>
          <w:tcPr>
            <w:tcW w:w="1191" w:type="dxa"/>
          </w:tcPr>
          <w:p>
            <w:pPr>
              <w:pStyle w:val="TableParagraph"/>
              <w:spacing w:line="204" w:lineRule="exact"/>
              <w:ind w:right="102"/>
              <w:jc w:val="right"/>
              <w:rPr>
                <w:sz w:val="18"/>
              </w:rPr>
            </w:pPr>
            <w:r>
              <w:rPr>
                <w:color w:val="231F20"/>
                <w:sz w:val="18"/>
              </w:rPr>
              <w:t>900.00</w:t>
            </w:r>
          </w:p>
        </w:tc>
        <w:tc>
          <w:tcPr>
            <w:tcW w:w="1195" w:type="dxa"/>
          </w:tcPr>
          <w:p>
            <w:pPr>
              <w:pStyle w:val="TableParagraph"/>
              <w:spacing w:line="204" w:lineRule="exact"/>
              <w:ind w:left="394"/>
              <w:rPr>
                <w:sz w:val="18"/>
              </w:rPr>
            </w:pPr>
            <w:r>
              <w:rPr>
                <w:color w:val="231F20"/>
                <w:sz w:val="18"/>
              </w:rPr>
              <w:t>0.290</w:t>
            </w:r>
          </w:p>
        </w:tc>
      </w:tr>
      <w:tr>
        <w:trPr>
          <w:trHeight w:val="291" w:hRule="atLeast"/>
        </w:trPr>
        <w:tc>
          <w:tcPr>
            <w:tcW w:w="900" w:type="dxa"/>
          </w:tcPr>
          <w:p>
            <w:pPr>
              <w:pStyle w:val="TableParagraph"/>
              <w:spacing w:line="217" w:lineRule="exact" w:before="55"/>
              <w:ind w:left="108"/>
              <w:rPr>
                <w:sz w:val="18"/>
              </w:rPr>
            </w:pPr>
            <w:r>
              <w:rPr>
                <w:color w:val="231F20"/>
                <w:sz w:val="18"/>
              </w:rPr>
              <w:t>TH5</w:t>
            </w:r>
          </w:p>
        </w:tc>
        <w:tc>
          <w:tcPr>
            <w:tcW w:w="1871" w:type="dxa"/>
          </w:tcPr>
          <w:p>
            <w:pPr>
              <w:pStyle w:val="TableParagraph"/>
              <w:spacing w:line="217" w:lineRule="exact" w:before="55"/>
              <w:ind w:right="145"/>
              <w:jc w:val="right"/>
              <w:rPr>
                <w:sz w:val="18"/>
              </w:rPr>
            </w:pPr>
            <w:r>
              <w:rPr>
                <w:color w:val="231F20"/>
                <w:sz w:val="18"/>
              </w:rPr>
              <w:t>6353 Barrie Road</w:t>
            </w:r>
          </w:p>
        </w:tc>
        <w:tc>
          <w:tcPr>
            <w:tcW w:w="687" w:type="dxa"/>
          </w:tcPr>
          <w:p>
            <w:pPr>
              <w:pStyle w:val="TableParagraph"/>
              <w:spacing w:line="217" w:lineRule="exact" w:before="55"/>
              <w:ind w:left="145"/>
              <w:rPr>
                <w:sz w:val="18"/>
              </w:rPr>
            </w:pPr>
            <w:r>
              <w:rPr>
                <w:color w:val="231F20"/>
                <w:sz w:val="18"/>
              </w:rPr>
              <w:t>**</w:t>
            </w:r>
          </w:p>
        </w:tc>
        <w:tc>
          <w:tcPr>
            <w:tcW w:w="1106" w:type="dxa"/>
          </w:tcPr>
          <w:p>
            <w:pPr>
              <w:pStyle w:val="TableParagraph"/>
              <w:spacing w:line="217" w:lineRule="exact" w:before="55"/>
              <w:ind w:right="273"/>
              <w:jc w:val="right"/>
              <w:rPr>
                <w:sz w:val="18"/>
              </w:rPr>
            </w:pPr>
            <w:r>
              <w:rPr>
                <w:color w:val="231F20"/>
                <w:sz w:val="18"/>
              </w:rPr>
              <w:t>2BR</w:t>
            </w:r>
          </w:p>
        </w:tc>
        <w:tc>
          <w:tcPr>
            <w:tcW w:w="1295" w:type="dxa"/>
          </w:tcPr>
          <w:p>
            <w:pPr>
              <w:pStyle w:val="TableParagraph"/>
              <w:spacing w:line="217" w:lineRule="exact" w:before="55"/>
              <w:ind w:left="277"/>
              <w:rPr>
                <w:sz w:val="18"/>
              </w:rPr>
            </w:pPr>
            <w:r>
              <w:rPr>
                <w:color w:val="231F20"/>
                <w:sz w:val="18"/>
              </w:rPr>
              <w:t>4 + 1½ Bath</w:t>
            </w:r>
          </w:p>
        </w:tc>
        <w:tc>
          <w:tcPr>
            <w:tcW w:w="1329" w:type="dxa"/>
          </w:tcPr>
          <w:p>
            <w:pPr>
              <w:pStyle w:val="TableParagraph"/>
              <w:spacing w:line="217" w:lineRule="exact" w:before="55"/>
              <w:ind w:left="588"/>
              <w:rPr>
                <w:sz w:val="18"/>
              </w:rPr>
            </w:pPr>
            <w:r>
              <w:rPr>
                <w:color w:val="231F20"/>
                <w:sz w:val="18"/>
              </w:rPr>
              <w:t>1,084</w:t>
            </w:r>
          </w:p>
        </w:tc>
        <w:tc>
          <w:tcPr>
            <w:tcW w:w="1191" w:type="dxa"/>
          </w:tcPr>
          <w:p>
            <w:pPr>
              <w:pStyle w:val="TableParagraph"/>
              <w:spacing w:line="217" w:lineRule="exact" w:before="55"/>
              <w:ind w:right="102"/>
              <w:jc w:val="right"/>
              <w:rPr>
                <w:sz w:val="18"/>
              </w:rPr>
            </w:pPr>
            <w:r>
              <w:rPr>
                <w:color w:val="231F20"/>
                <w:sz w:val="18"/>
              </w:rPr>
              <w:t>1,100.00</w:t>
            </w:r>
          </w:p>
        </w:tc>
        <w:tc>
          <w:tcPr>
            <w:tcW w:w="1195" w:type="dxa"/>
          </w:tcPr>
          <w:p>
            <w:pPr>
              <w:pStyle w:val="TableParagraph"/>
              <w:spacing w:line="217" w:lineRule="exact" w:before="55"/>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6355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6357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21"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6359 Barrie Road</w:t>
            </w:r>
          </w:p>
        </w:tc>
        <w:tc>
          <w:tcPr>
            <w:tcW w:w="687"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3"/>
              <w:jc w:val="right"/>
              <w:rPr>
                <w:sz w:val="18"/>
              </w:rPr>
            </w:pPr>
            <w:r>
              <w:rPr>
                <w:color w:val="231F20"/>
                <w:sz w:val="18"/>
              </w:rPr>
              <w:t>2BR</w:t>
            </w:r>
          </w:p>
        </w:tc>
        <w:tc>
          <w:tcPr>
            <w:tcW w:w="1295" w:type="dxa"/>
          </w:tcPr>
          <w:p>
            <w:pPr>
              <w:pStyle w:val="TableParagraph"/>
              <w:spacing w:line="201" w:lineRule="exact"/>
              <w:ind w:left="277"/>
              <w:rPr>
                <w:sz w:val="18"/>
              </w:rPr>
            </w:pPr>
            <w:r>
              <w:rPr>
                <w:color w:val="231F20"/>
                <w:sz w:val="18"/>
              </w:rPr>
              <w:t>4 + 1½ Bath</w:t>
            </w:r>
          </w:p>
        </w:tc>
        <w:tc>
          <w:tcPr>
            <w:tcW w:w="1329" w:type="dxa"/>
          </w:tcPr>
          <w:p>
            <w:pPr>
              <w:pStyle w:val="TableParagraph"/>
              <w:spacing w:line="201" w:lineRule="exact"/>
              <w:ind w:left="725"/>
              <w:rPr>
                <w:sz w:val="18"/>
              </w:rPr>
            </w:pPr>
            <w:r>
              <w:rPr>
                <w:color w:val="231F20"/>
                <w:sz w:val="18"/>
              </w:rPr>
              <w:t>918</w:t>
            </w:r>
          </w:p>
        </w:tc>
        <w:tc>
          <w:tcPr>
            <w:tcW w:w="1191" w:type="dxa"/>
          </w:tcPr>
          <w:p>
            <w:pPr>
              <w:pStyle w:val="TableParagraph"/>
              <w:spacing w:line="201" w:lineRule="exact"/>
              <w:ind w:right="102"/>
              <w:jc w:val="right"/>
              <w:rPr>
                <w:sz w:val="18"/>
              </w:rPr>
            </w:pPr>
            <w:r>
              <w:rPr>
                <w:color w:val="231F20"/>
                <w:sz w:val="18"/>
              </w:rPr>
              <w:t>900.00</w:t>
            </w:r>
          </w:p>
        </w:tc>
        <w:tc>
          <w:tcPr>
            <w:tcW w:w="1195" w:type="dxa"/>
          </w:tcPr>
          <w:p>
            <w:pPr>
              <w:pStyle w:val="TableParagraph"/>
              <w:spacing w:line="201" w:lineRule="exact"/>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4"/>
              <w:jc w:val="right"/>
              <w:rPr>
                <w:sz w:val="18"/>
              </w:rPr>
            </w:pPr>
            <w:r>
              <w:rPr>
                <w:color w:val="231F20"/>
                <w:sz w:val="18"/>
              </w:rPr>
              <w:t>6361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6363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6365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1" w:type="dxa"/>
          </w:tcPr>
          <w:p>
            <w:pPr>
              <w:pStyle w:val="TableParagraph"/>
              <w:spacing w:line="203" w:lineRule="exact"/>
              <w:ind w:right="145"/>
              <w:jc w:val="right"/>
              <w:rPr>
                <w:sz w:val="18"/>
              </w:rPr>
            </w:pPr>
            <w:r>
              <w:rPr>
                <w:color w:val="231F20"/>
                <w:sz w:val="18"/>
              </w:rPr>
              <w:t>6357 Barrie Road</w:t>
            </w:r>
          </w:p>
        </w:tc>
        <w:tc>
          <w:tcPr>
            <w:tcW w:w="687" w:type="dxa"/>
          </w:tcPr>
          <w:p>
            <w:pPr>
              <w:pStyle w:val="TableParagraph"/>
              <w:spacing w:line="203" w:lineRule="exact"/>
              <w:ind w:left="145"/>
              <w:rPr>
                <w:sz w:val="18"/>
              </w:rPr>
            </w:pPr>
            <w:r>
              <w:rPr>
                <w:color w:val="231F20"/>
                <w:sz w:val="18"/>
              </w:rPr>
              <w:t>**</w:t>
            </w:r>
          </w:p>
        </w:tc>
        <w:tc>
          <w:tcPr>
            <w:tcW w:w="1106" w:type="dxa"/>
          </w:tcPr>
          <w:p>
            <w:pPr>
              <w:pStyle w:val="TableParagraph"/>
              <w:spacing w:line="203" w:lineRule="exact"/>
              <w:ind w:right="273"/>
              <w:jc w:val="right"/>
              <w:rPr>
                <w:sz w:val="18"/>
              </w:rPr>
            </w:pPr>
            <w:r>
              <w:rPr>
                <w:color w:val="231F20"/>
                <w:sz w:val="18"/>
              </w:rPr>
              <w:t>2BR</w:t>
            </w:r>
          </w:p>
        </w:tc>
        <w:tc>
          <w:tcPr>
            <w:tcW w:w="1295" w:type="dxa"/>
          </w:tcPr>
          <w:p>
            <w:pPr>
              <w:pStyle w:val="TableParagraph"/>
              <w:spacing w:line="203" w:lineRule="exact"/>
              <w:ind w:left="277"/>
              <w:rPr>
                <w:sz w:val="18"/>
              </w:rPr>
            </w:pPr>
            <w:r>
              <w:rPr>
                <w:color w:val="231F20"/>
                <w:sz w:val="18"/>
              </w:rPr>
              <w:t>4 + 1½ Bath</w:t>
            </w:r>
          </w:p>
        </w:tc>
        <w:tc>
          <w:tcPr>
            <w:tcW w:w="1329" w:type="dxa"/>
          </w:tcPr>
          <w:p>
            <w:pPr>
              <w:pStyle w:val="TableParagraph"/>
              <w:spacing w:line="203" w:lineRule="exact"/>
              <w:ind w:left="588"/>
              <w:rPr>
                <w:sz w:val="18"/>
              </w:rPr>
            </w:pPr>
            <w:r>
              <w:rPr>
                <w:color w:val="231F20"/>
                <w:sz w:val="18"/>
              </w:rPr>
              <w:t>1,084</w:t>
            </w:r>
          </w:p>
        </w:tc>
        <w:tc>
          <w:tcPr>
            <w:tcW w:w="1191" w:type="dxa"/>
          </w:tcPr>
          <w:p>
            <w:pPr>
              <w:pStyle w:val="TableParagraph"/>
              <w:spacing w:line="203" w:lineRule="exact"/>
              <w:ind w:right="102"/>
              <w:jc w:val="right"/>
              <w:rPr>
                <w:sz w:val="18"/>
              </w:rPr>
            </w:pPr>
            <w:r>
              <w:rPr>
                <w:color w:val="231F20"/>
                <w:sz w:val="18"/>
              </w:rPr>
              <w:t>1,100.00</w:t>
            </w:r>
          </w:p>
        </w:tc>
        <w:tc>
          <w:tcPr>
            <w:tcW w:w="1195" w:type="dxa"/>
          </w:tcPr>
          <w:p>
            <w:pPr>
              <w:pStyle w:val="TableParagraph"/>
              <w:spacing w:line="203" w:lineRule="exact"/>
              <w:ind w:left="394"/>
              <w:rPr>
                <w:sz w:val="18"/>
              </w:rPr>
            </w:pPr>
            <w:r>
              <w:rPr>
                <w:color w:val="231F20"/>
                <w:sz w:val="18"/>
              </w:rPr>
              <w:t>0.360</w:t>
            </w:r>
          </w:p>
        </w:tc>
      </w:tr>
      <w:tr>
        <w:trPr>
          <w:trHeight w:val="291" w:hRule="atLeast"/>
        </w:trPr>
        <w:tc>
          <w:tcPr>
            <w:tcW w:w="900" w:type="dxa"/>
          </w:tcPr>
          <w:p>
            <w:pPr>
              <w:pStyle w:val="TableParagraph"/>
              <w:spacing w:line="216" w:lineRule="exact" w:before="56"/>
              <w:ind w:left="108"/>
              <w:rPr>
                <w:sz w:val="18"/>
              </w:rPr>
            </w:pPr>
            <w:r>
              <w:rPr>
                <w:color w:val="231F20"/>
                <w:sz w:val="18"/>
              </w:rPr>
              <w:t>TH6</w:t>
            </w:r>
          </w:p>
        </w:tc>
        <w:tc>
          <w:tcPr>
            <w:tcW w:w="1871" w:type="dxa"/>
          </w:tcPr>
          <w:p>
            <w:pPr>
              <w:pStyle w:val="TableParagraph"/>
              <w:spacing w:line="216" w:lineRule="exact" w:before="56"/>
              <w:ind w:right="145"/>
              <w:jc w:val="right"/>
              <w:rPr>
                <w:sz w:val="18"/>
              </w:rPr>
            </w:pPr>
            <w:r>
              <w:rPr>
                <w:color w:val="231F20"/>
                <w:sz w:val="18"/>
              </w:rPr>
              <w:t>6369 Barrie Road</w:t>
            </w:r>
          </w:p>
        </w:tc>
        <w:tc>
          <w:tcPr>
            <w:tcW w:w="687" w:type="dxa"/>
          </w:tcPr>
          <w:p>
            <w:pPr>
              <w:pStyle w:val="TableParagraph"/>
              <w:spacing w:line="216" w:lineRule="exact" w:before="56"/>
              <w:ind w:left="145"/>
              <w:rPr>
                <w:sz w:val="18"/>
              </w:rPr>
            </w:pPr>
            <w:r>
              <w:rPr>
                <w:color w:val="231F20"/>
                <w:sz w:val="18"/>
              </w:rPr>
              <w:t>**</w:t>
            </w:r>
          </w:p>
        </w:tc>
        <w:tc>
          <w:tcPr>
            <w:tcW w:w="1106" w:type="dxa"/>
          </w:tcPr>
          <w:p>
            <w:pPr>
              <w:pStyle w:val="TableParagraph"/>
              <w:spacing w:line="216" w:lineRule="exact" w:before="56"/>
              <w:ind w:right="273"/>
              <w:jc w:val="right"/>
              <w:rPr>
                <w:sz w:val="18"/>
              </w:rPr>
            </w:pPr>
            <w:r>
              <w:rPr>
                <w:color w:val="231F20"/>
                <w:sz w:val="18"/>
              </w:rPr>
              <w:t>2BR</w:t>
            </w:r>
          </w:p>
        </w:tc>
        <w:tc>
          <w:tcPr>
            <w:tcW w:w="1295" w:type="dxa"/>
          </w:tcPr>
          <w:p>
            <w:pPr>
              <w:pStyle w:val="TableParagraph"/>
              <w:spacing w:line="216" w:lineRule="exact" w:before="56"/>
              <w:ind w:left="277"/>
              <w:rPr>
                <w:sz w:val="18"/>
              </w:rPr>
            </w:pPr>
            <w:r>
              <w:rPr>
                <w:color w:val="231F20"/>
                <w:sz w:val="18"/>
              </w:rPr>
              <w:t>4 + 1½ Bath</w:t>
            </w:r>
          </w:p>
        </w:tc>
        <w:tc>
          <w:tcPr>
            <w:tcW w:w="1329" w:type="dxa"/>
          </w:tcPr>
          <w:p>
            <w:pPr>
              <w:pStyle w:val="TableParagraph"/>
              <w:spacing w:line="216" w:lineRule="exact" w:before="56"/>
              <w:ind w:left="588"/>
              <w:rPr>
                <w:sz w:val="18"/>
              </w:rPr>
            </w:pPr>
            <w:r>
              <w:rPr>
                <w:color w:val="231F20"/>
                <w:sz w:val="18"/>
              </w:rPr>
              <w:t>1,084</w:t>
            </w:r>
          </w:p>
        </w:tc>
        <w:tc>
          <w:tcPr>
            <w:tcW w:w="1191" w:type="dxa"/>
          </w:tcPr>
          <w:p>
            <w:pPr>
              <w:pStyle w:val="TableParagraph"/>
              <w:spacing w:line="216" w:lineRule="exact" w:before="56"/>
              <w:ind w:right="102"/>
              <w:jc w:val="right"/>
              <w:rPr>
                <w:sz w:val="18"/>
              </w:rPr>
            </w:pPr>
            <w:r>
              <w:rPr>
                <w:color w:val="231F20"/>
                <w:sz w:val="18"/>
              </w:rPr>
              <w:t>1,100.00</w:t>
            </w:r>
          </w:p>
        </w:tc>
        <w:tc>
          <w:tcPr>
            <w:tcW w:w="1195" w:type="dxa"/>
          </w:tcPr>
          <w:p>
            <w:pPr>
              <w:pStyle w:val="TableParagraph"/>
              <w:spacing w:line="216" w:lineRule="exact" w:before="56"/>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6371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6373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6375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6377 Barrie Road</w:t>
            </w:r>
          </w:p>
        </w:tc>
        <w:tc>
          <w:tcPr>
            <w:tcW w:w="687"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3"/>
              <w:jc w:val="right"/>
              <w:rPr>
                <w:sz w:val="18"/>
              </w:rPr>
            </w:pPr>
            <w:r>
              <w:rPr>
                <w:color w:val="231F20"/>
                <w:sz w:val="18"/>
              </w:rPr>
              <w:t>2BR</w:t>
            </w:r>
          </w:p>
        </w:tc>
        <w:tc>
          <w:tcPr>
            <w:tcW w:w="1295" w:type="dxa"/>
          </w:tcPr>
          <w:p>
            <w:pPr>
              <w:pStyle w:val="TableParagraph"/>
              <w:spacing w:line="201" w:lineRule="exact"/>
              <w:ind w:left="277"/>
              <w:rPr>
                <w:sz w:val="18"/>
              </w:rPr>
            </w:pPr>
            <w:r>
              <w:rPr>
                <w:color w:val="231F20"/>
                <w:sz w:val="18"/>
              </w:rPr>
              <w:t>4 + 1½ Bath</w:t>
            </w:r>
          </w:p>
        </w:tc>
        <w:tc>
          <w:tcPr>
            <w:tcW w:w="1329" w:type="dxa"/>
          </w:tcPr>
          <w:p>
            <w:pPr>
              <w:pStyle w:val="TableParagraph"/>
              <w:spacing w:line="201" w:lineRule="exact"/>
              <w:ind w:left="725"/>
              <w:rPr>
                <w:sz w:val="18"/>
              </w:rPr>
            </w:pPr>
            <w:r>
              <w:rPr>
                <w:color w:val="231F20"/>
                <w:sz w:val="18"/>
              </w:rPr>
              <w:t>918</w:t>
            </w:r>
          </w:p>
        </w:tc>
        <w:tc>
          <w:tcPr>
            <w:tcW w:w="1191" w:type="dxa"/>
          </w:tcPr>
          <w:p>
            <w:pPr>
              <w:pStyle w:val="TableParagraph"/>
              <w:spacing w:line="201" w:lineRule="exact"/>
              <w:ind w:right="102"/>
              <w:jc w:val="right"/>
              <w:rPr>
                <w:sz w:val="18"/>
              </w:rPr>
            </w:pPr>
            <w:r>
              <w:rPr>
                <w:color w:val="231F20"/>
                <w:sz w:val="18"/>
              </w:rPr>
              <w:t>900.00</w:t>
            </w:r>
          </w:p>
        </w:tc>
        <w:tc>
          <w:tcPr>
            <w:tcW w:w="1195" w:type="dxa"/>
          </w:tcPr>
          <w:p>
            <w:pPr>
              <w:pStyle w:val="TableParagraph"/>
              <w:spacing w:line="201" w:lineRule="exact"/>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6379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6381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6383 Barrie Road</w:t>
            </w:r>
          </w:p>
        </w:tc>
        <w:tc>
          <w:tcPr>
            <w:tcW w:w="687"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3"/>
              <w:jc w:val="right"/>
              <w:rPr>
                <w:sz w:val="18"/>
              </w:rPr>
            </w:pPr>
            <w:r>
              <w:rPr>
                <w:color w:val="231F20"/>
                <w:sz w:val="18"/>
              </w:rPr>
              <w:t>2BR</w:t>
            </w:r>
          </w:p>
        </w:tc>
        <w:tc>
          <w:tcPr>
            <w:tcW w:w="1295" w:type="dxa"/>
          </w:tcPr>
          <w:p>
            <w:pPr>
              <w:pStyle w:val="TableParagraph"/>
              <w:spacing w:line="204" w:lineRule="exact"/>
              <w:ind w:left="277"/>
              <w:rPr>
                <w:sz w:val="18"/>
              </w:rPr>
            </w:pPr>
            <w:r>
              <w:rPr>
                <w:color w:val="231F20"/>
                <w:sz w:val="18"/>
              </w:rPr>
              <w:t>4 + 1½ Bath</w:t>
            </w:r>
          </w:p>
        </w:tc>
        <w:tc>
          <w:tcPr>
            <w:tcW w:w="1329" w:type="dxa"/>
          </w:tcPr>
          <w:p>
            <w:pPr>
              <w:pStyle w:val="TableParagraph"/>
              <w:spacing w:line="204" w:lineRule="exact"/>
              <w:ind w:left="588"/>
              <w:rPr>
                <w:sz w:val="18"/>
              </w:rPr>
            </w:pPr>
            <w:r>
              <w:rPr>
                <w:color w:val="231F20"/>
                <w:sz w:val="18"/>
              </w:rPr>
              <w:t>1,084</w:t>
            </w:r>
          </w:p>
        </w:tc>
        <w:tc>
          <w:tcPr>
            <w:tcW w:w="1191" w:type="dxa"/>
          </w:tcPr>
          <w:p>
            <w:pPr>
              <w:pStyle w:val="TableParagraph"/>
              <w:spacing w:line="204" w:lineRule="exact"/>
              <w:ind w:right="102"/>
              <w:jc w:val="right"/>
              <w:rPr>
                <w:sz w:val="18"/>
              </w:rPr>
            </w:pPr>
            <w:r>
              <w:rPr>
                <w:color w:val="231F20"/>
                <w:sz w:val="18"/>
              </w:rPr>
              <w:t>1,100.00</w:t>
            </w:r>
          </w:p>
        </w:tc>
        <w:tc>
          <w:tcPr>
            <w:tcW w:w="1195" w:type="dxa"/>
          </w:tcPr>
          <w:p>
            <w:pPr>
              <w:pStyle w:val="TableParagraph"/>
              <w:spacing w:line="204" w:lineRule="exact"/>
              <w:ind w:left="394"/>
              <w:rPr>
                <w:sz w:val="18"/>
              </w:rPr>
            </w:pPr>
            <w:r>
              <w:rPr>
                <w:color w:val="231F20"/>
                <w:sz w:val="18"/>
              </w:rPr>
              <w:t>0.360</w:t>
            </w:r>
          </w:p>
        </w:tc>
      </w:tr>
      <w:tr>
        <w:trPr>
          <w:trHeight w:val="291" w:hRule="atLeast"/>
        </w:trPr>
        <w:tc>
          <w:tcPr>
            <w:tcW w:w="900" w:type="dxa"/>
          </w:tcPr>
          <w:p>
            <w:pPr>
              <w:pStyle w:val="TableParagraph"/>
              <w:spacing w:line="217" w:lineRule="exact" w:before="55"/>
              <w:ind w:left="108"/>
              <w:rPr>
                <w:sz w:val="18"/>
              </w:rPr>
            </w:pPr>
            <w:r>
              <w:rPr>
                <w:color w:val="231F20"/>
                <w:sz w:val="18"/>
              </w:rPr>
              <w:t>TH7</w:t>
            </w:r>
          </w:p>
        </w:tc>
        <w:tc>
          <w:tcPr>
            <w:tcW w:w="1871" w:type="dxa"/>
          </w:tcPr>
          <w:p>
            <w:pPr>
              <w:pStyle w:val="TableParagraph"/>
              <w:spacing w:line="217" w:lineRule="exact" w:before="55"/>
              <w:ind w:right="145"/>
              <w:jc w:val="right"/>
              <w:rPr>
                <w:sz w:val="18"/>
              </w:rPr>
            </w:pPr>
            <w:r>
              <w:rPr>
                <w:color w:val="231F20"/>
                <w:sz w:val="18"/>
              </w:rPr>
              <w:t>6385 Barrie Road</w:t>
            </w:r>
          </w:p>
        </w:tc>
        <w:tc>
          <w:tcPr>
            <w:tcW w:w="687" w:type="dxa"/>
          </w:tcPr>
          <w:p>
            <w:pPr>
              <w:pStyle w:val="TableParagraph"/>
              <w:spacing w:line="217" w:lineRule="exact" w:before="55"/>
              <w:ind w:left="145"/>
              <w:rPr>
                <w:sz w:val="18"/>
              </w:rPr>
            </w:pPr>
            <w:r>
              <w:rPr>
                <w:color w:val="231F20"/>
                <w:sz w:val="18"/>
              </w:rPr>
              <w:t>**</w:t>
            </w:r>
          </w:p>
        </w:tc>
        <w:tc>
          <w:tcPr>
            <w:tcW w:w="1106" w:type="dxa"/>
          </w:tcPr>
          <w:p>
            <w:pPr>
              <w:pStyle w:val="TableParagraph"/>
              <w:spacing w:line="217" w:lineRule="exact" w:before="55"/>
              <w:ind w:right="273"/>
              <w:jc w:val="right"/>
              <w:rPr>
                <w:sz w:val="18"/>
              </w:rPr>
            </w:pPr>
            <w:r>
              <w:rPr>
                <w:color w:val="231F20"/>
                <w:sz w:val="18"/>
              </w:rPr>
              <w:t>2BR</w:t>
            </w:r>
          </w:p>
        </w:tc>
        <w:tc>
          <w:tcPr>
            <w:tcW w:w="1295" w:type="dxa"/>
          </w:tcPr>
          <w:p>
            <w:pPr>
              <w:pStyle w:val="TableParagraph"/>
              <w:spacing w:line="217" w:lineRule="exact" w:before="55"/>
              <w:ind w:left="277"/>
              <w:rPr>
                <w:sz w:val="18"/>
              </w:rPr>
            </w:pPr>
            <w:r>
              <w:rPr>
                <w:color w:val="231F20"/>
                <w:sz w:val="18"/>
              </w:rPr>
              <w:t>4 + 1½ Bath</w:t>
            </w:r>
          </w:p>
        </w:tc>
        <w:tc>
          <w:tcPr>
            <w:tcW w:w="1329" w:type="dxa"/>
          </w:tcPr>
          <w:p>
            <w:pPr>
              <w:pStyle w:val="TableParagraph"/>
              <w:spacing w:line="217" w:lineRule="exact" w:before="55"/>
              <w:ind w:left="588"/>
              <w:rPr>
                <w:sz w:val="18"/>
              </w:rPr>
            </w:pPr>
            <w:r>
              <w:rPr>
                <w:color w:val="231F20"/>
                <w:sz w:val="18"/>
              </w:rPr>
              <w:t>1,084</w:t>
            </w:r>
          </w:p>
        </w:tc>
        <w:tc>
          <w:tcPr>
            <w:tcW w:w="1191" w:type="dxa"/>
          </w:tcPr>
          <w:p>
            <w:pPr>
              <w:pStyle w:val="TableParagraph"/>
              <w:spacing w:line="217" w:lineRule="exact" w:before="55"/>
              <w:ind w:right="102"/>
              <w:jc w:val="right"/>
              <w:rPr>
                <w:sz w:val="18"/>
              </w:rPr>
            </w:pPr>
            <w:r>
              <w:rPr>
                <w:color w:val="231F20"/>
                <w:sz w:val="18"/>
              </w:rPr>
              <w:t>1,100.00</w:t>
            </w:r>
          </w:p>
        </w:tc>
        <w:tc>
          <w:tcPr>
            <w:tcW w:w="1195" w:type="dxa"/>
          </w:tcPr>
          <w:p>
            <w:pPr>
              <w:pStyle w:val="TableParagraph"/>
              <w:spacing w:line="217" w:lineRule="exact" w:before="55"/>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6387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6389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6391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6393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725"/>
              <w:rPr>
                <w:sz w:val="18"/>
              </w:rPr>
            </w:pPr>
            <w:r>
              <w:rPr>
                <w:color w:val="231F20"/>
                <w:sz w:val="18"/>
              </w:rPr>
              <w:t>918</w:t>
            </w:r>
          </w:p>
        </w:tc>
        <w:tc>
          <w:tcPr>
            <w:tcW w:w="1191" w:type="dxa"/>
          </w:tcPr>
          <w:p>
            <w:pPr>
              <w:pStyle w:val="TableParagraph"/>
              <w:ind w:right="102"/>
              <w:jc w:val="right"/>
              <w:rPr>
                <w:sz w:val="18"/>
              </w:rPr>
            </w:pPr>
            <w:r>
              <w:rPr>
                <w:color w:val="231F20"/>
                <w:sz w:val="18"/>
              </w:rPr>
              <w:t>900.00</w:t>
            </w:r>
          </w:p>
        </w:tc>
        <w:tc>
          <w:tcPr>
            <w:tcW w:w="1195" w:type="dxa"/>
          </w:tcPr>
          <w:p>
            <w:pPr>
              <w:pStyle w:val="TableParagraph"/>
              <w:ind w:left="394"/>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6395 Barrie Road</w:t>
            </w:r>
          </w:p>
        </w:tc>
        <w:tc>
          <w:tcPr>
            <w:tcW w:w="687"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3"/>
              <w:jc w:val="right"/>
              <w:rPr>
                <w:sz w:val="18"/>
              </w:rPr>
            </w:pPr>
            <w:r>
              <w:rPr>
                <w:color w:val="231F20"/>
                <w:sz w:val="18"/>
              </w:rPr>
              <w:t>2BR</w:t>
            </w:r>
          </w:p>
        </w:tc>
        <w:tc>
          <w:tcPr>
            <w:tcW w:w="1295" w:type="dxa"/>
          </w:tcPr>
          <w:p>
            <w:pPr>
              <w:pStyle w:val="TableParagraph"/>
              <w:spacing w:line="201" w:lineRule="exact"/>
              <w:ind w:left="277"/>
              <w:rPr>
                <w:sz w:val="18"/>
              </w:rPr>
            </w:pPr>
            <w:r>
              <w:rPr>
                <w:color w:val="231F20"/>
                <w:sz w:val="18"/>
              </w:rPr>
              <w:t>4 + 1½ Bath</w:t>
            </w:r>
          </w:p>
        </w:tc>
        <w:tc>
          <w:tcPr>
            <w:tcW w:w="1329" w:type="dxa"/>
          </w:tcPr>
          <w:p>
            <w:pPr>
              <w:pStyle w:val="TableParagraph"/>
              <w:spacing w:line="201" w:lineRule="exact"/>
              <w:ind w:left="725"/>
              <w:rPr>
                <w:sz w:val="18"/>
              </w:rPr>
            </w:pPr>
            <w:r>
              <w:rPr>
                <w:color w:val="231F20"/>
                <w:sz w:val="18"/>
              </w:rPr>
              <w:t>918</w:t>
            </w:r>
          </w:p>
        </w:tc>
        <w:tc>
          <w:tcPr>
            <w:tcW w:w="1191" w:type="dxa"/>
          </w:tcPr>
          <w:p>
            <w:pPr>
              <w:pStyle w:val="TableParagraph"/>
              <w:spacing w:line="201" w:lineRule="exact"/>
              <w:ind w:right="102"/>
              <w:jc w:val="right"/>
              <w:rPr>
                <w:sz w:val="18"/>
              </w:rPr>
            </w:pPr>
            <w:r>
              <w:rPr>
                <w:color w:val="231F20"/>
                <w:sz w:val="18"/>
              </w:rPr>
              <w:t>900.00</w:t>
            </w:r>
          </w:p>
        </w:tc>
        <w:tc>
          <w:tcPr>
            <w:tcW w:w="1195" w:type="dxa"/>
          </w:tcPr>
          <w:p>
            <w:pPr>
              <w:pStyle w:val="TableParagraph"/>
              <w:spacing w:line="201" w:lineRule="exact"/>
              <w:ind w:left="394"/>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6397 Barrie Road</w:t>
            </w:r>
          </w:p>
        </w:tc>
        <w:tc>
          <w:tcPr>
            <w:tcW w:w="687" w:type="dxa"/>
          </w:tcPr>
          <w:p>
            <w:pPr>
              <w:pStyle w:val="TableParagraph"/>
              <w:ind w:left="145"/>
              <w:rPr>
                <w:sz w:val="18"/>
              </w:rPr>
            </w:pPr>
            <w:r>
              <w:rPr>
                <w:color w:val="231F20"/>
                <w:sz w:val="18"/>
              </w:rPr>
              <w:t>**</w:t>
            </w:r>
          </w:p>
        </w:tc>
        <w:tc>
          <w:tcPr>
            <w:tcW w:w="1106" w:type="dxa"/>
          </w:tcPr>
          <w:p>
            <w:pPr>
              <w:pStyle w:val="TableParagraph"/>
              <w:ind w:right="273"/>
              <w:jc w:val="right"/>
              <w:rPr>
                <w:sz w:val="18"/>
              </w:rPr>
            </w:pPr>
            <w:r>
              <w:rPr>
                <w:color w:val="231F20"/>
                <w:sz w:val="18"/>
              </w:rPr>
              <w:t>2BR</w:t>
            </w:r>
          </w:p>
        </w:tc>
        <w:tc>
          <w:tcPr>
            <w:tcW w:w="1295" w:type="dxa"/>
          </w:tcPr>
          <w:p>
            <w:pPr>
              <w:pStyle w:val="TableParagraph"/>
              <w:ind w:left="277"/>
              <w:rPr>
                <w:sz w:val="18"/>
              </w:rPr>
            </w:pPr>
            <w:r>
              <w:rPr>
                <w:color w:val="231F20"/>
                <w:sz w:val="18"/>
              </w:rPr>
              <w:t>4 + 1½ Bath</w:t>
            </w:r>
          </w:p>
        </w:tc>
        <w:tc>
          <w:tcPr>
            <w:tcW w:w="1329" w:type="dxa"/>
          </w:tcPr>
          <w:p>
            <w:pPr>
              <w:pStyle w:val="TableParagraph"/>
              <w:ind w:left="588"/>
              <w:rPr>
                <w:sz w:val="18"/>
              </w:rPr>
            </w:pPr>
            <w:r>
              <w:rPr>
                <w:color w:val="231F20"/>
                <w:sz w:val="18"/>
              </w:rPr>
              <w:t>1,084</w:t>
            </w:r>
          </w:p>
        </w:tc>
        <w:tc>
          <w:tcPr>
            <w:tcW w:w="1191" w:type="dxa"/>
          </w:tcPr>
          <w:p>
            <w:pPr>
              <w:pStyle w:val="TableParagraph"/>
              <w:ind w:right="102"/>
              <w:jc w:val="right"/>
              <w:rPr>
                <w:sz w:val="18"/>
              </w:rPr>
            </w:pPr>
            <w:r>
              <w:rPr>
                <w:color w:val="231F20"/>
                <w:sz w:val="18"/>
              </w:rPr>
              <w:t>1,100.00</w:t>
            </w:r>
          </w:p>
        </w:tc>
        <w:tc>
          <w:tcPr>
            <w:tcW w:w="1195" w:type="dxa"/>
          </w:tcPr>
          <w:p>
            <w:pPr>
              <w:pStyle w:val="TableParagraph"/>
              <w:ind w:left="394"/>
              <w:rPr>
                <w:sz w:val="18"/>
              </w:rPr>
            </w:pPr>
            <w:r>
              <w:rPr>
                <w:color w:val="231F20"/>
                <w:sz w:val="18"/>
              </w:rPr>
              <w:t>0.360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1" w:type="dxa"/>
          </w:tcPr>
          <w:p>
            <w:pPr>
              <w:pStyle w:val="TableParagraph"/>
              <w:spacing w:line="179" w:lineRule="exact"/>
              <w:ind w:right="145"/>
              <w:jc w:val="right"/>
              <w:rPr>
                <w:sz w:val="18"/>
              </w:rPr>
            </w:pPr>
            <w:r>
              <w:rPr>
                <w:color w:val="231F20"/>
                <w:sz w:val="18"/>
              </w:rPr>
              <w:t>6399 Barrie Road</w:t>
            </w:r>
          </w:p>
        </w:tc>
        <w:tc>
          <w:tcPr>
            <w:tcW w:w="687" w:type="dxa"/>
          </w:tcPr>
          <w:p>
            <w:pPr>
              <w:pStyle w:val="TableParagraph"/>
              <w:spacing w:line="179" w:lineRule="exact"/>
              <w:ind w:left="145"/>
              <w:rPr>
                <w:sz w:val="18"/>
              </w:rPr>
            </w:pPr>
            <w:r>
              <w:rPr>
                <w:color w:val="231F20"/>
                <w:sz w:val="18"/>
              </w:rPr>
              <w:t>**</w:t>
            </w:r>
          </w:p>
        </w:tc>
        <w:tc>
          <w:tcPr>
            <w:tcW w:w="1106" w:type="dxa"/>
          </w:tcPr>
          <w:p>
            <w:pPr>
              <w:pStyle w:val="TableParagraph"/>
              <w:spacing w:line="179" w:lineRule="exact"/>
              <w:ind w:right="273"/>
              <w:jc w:val="right"/>
              <w:rPr>
                <w:sz w:val="18"/>
              </w:rPr>
            </w:pPr>
            <w:r>
              <w:rPr>
                <w:color w:val="231F20"/>
                <w:sz w:val="18"/>
              </w:rPr>
              <w:t>2BR</w:t>
            </w:r>
          </w:p>
        </w:tc>
        <w:tc>
          <w:tcPr>
            <w:tcW w:w="1295" w:type="dxa"/>
          </w:tcPr>
          <w:p>
            <w:pPr>
              <w:pStyle w:val="TableParagraph"/>
              <w:spacing w:line="179" w:lineRule="exact"/>
              <w:ind w:left="277"/>
              <w:rPr>
                <w:sz w:val="18"/>
              </w:rPr>
            </w:pPr>
            <w:r>
              <w:rPr>
                <w:color w:val="231F20"/>
                <w:sz w:val="18"/>
              </w:rPr>
              <w:t>4 + 1½ Bath</w:t>
            </w:r>
          </w:p>
        </w:tc>
        <w:tc>
          <w:tcPr>
            <w:tcW w:w="1329" w:type="dxa"/>
          </w:tcPr>
          <w:p>
            <w:pPr>
              <w:pStyle w:val="TableParagraph"/>
              <w:spacing w:line="179" w:lineRule="exact"/>
              <w:ind w:left="588"/>
              <w:rPr>
                <w:sz w:val="18"/>
              </w:rPr>
            </w:pPr>
            <w:r>
              <w:rPr>
                <w:color w:val="231F20"/>
                <w:sz w:val="18"/>
              </w:rPr>
              <w:t>1,084</w:t>
            </w:r>
          </w:p>
        </w:tc>
        <w:tc>
          <w:tcPr>
            <w:tcW w:w="1191" w:type="dxa"/>
          </w:tcPr>
          <w:p>
            <w:pPr>
              <w:pStyle w:val="TableParagraph"/>
              <w:spacing w:line="179" w:lineRule="exact"/>
              <w:ind w:right="102"/>
              <w:jc w:val="right"/>
              <w:rPr>
                <w:sz w:val="18"/>
              </w:rPr>
            </w:pPr>
            <w:r>
              <w:rPr>
                <w:color w:val="231F20"/>
                <w:sz w:val="18"/>
              </w:rPr>
              <w:t>1,100.00</w:t>
            </w:r>
          </w:p>
        </w:tc>
        <w:tc>
          <w:tcPr>
            <w:tcW w:w="1195" w:type="dxa"/>
          </w:tcPr>
          <w:p>
            <w:pPr>
              <w:pStyle w:val="TableParagraph"/>
              <w:spacing w:line="179" w:lineRule="exact"/>
              <w:ind w:left="394"/>
              <w:rPr>
                <w:sz w:val="18"/>
              </w:rPr>
            </w:pPr>
            <w:r>
              <w:rPr>
                <w:color w:val="231F20"/>
                <w:sz w:val="18"/>
              </w:rPr>
              <w:t>0.360</w:t>
            </w:r>
          </w:p>
        </w:tc>
      </w:tr>
    </w:tbl>
    <w:p>
      <w:pPr>
        <w:rPr>
          <w:sz w:val="2"/>
          <w:szCs w:val="2"/>
        </w:rPr>
      </w:pPr>
      <w:r>
        <w:rPr/>
        <w:drawing>
          <wp:anchor distT="0" distB="0" distL="0" distR="0" allowOverlap="1" layoutInCell="1" locked="0" behindDoc="1" simplePos="0" relativeHeight="241662976">
            <wp:simplePos x="0" y="0"/>
            <wp:positionH relativeFrom="page">
              <wp:posOffset>846124</wp:posOffset>
            </wp:positionH>
            <wp:positionV relativeFrom="page">
              <wp:posOffset>1803146</wp:posOffset>
            </wp:positionV>
            <wp:extent cx="6082296" cy="6096"/>
            <wp:effectExtent l="0" t="0" r="0" b="0"/>
            <wp:wrapNone/>
            <wp:docPr id="15" name="image5.png"/>
            <wp:cNvGraphicFramePr>
              <a:graphicFrameLocks noChangeAspect="1"/>
            </wp:cNvGraphicFramePr>
            <a:graphic>
              <a:graphicData uri="http://schemas.openxmlformats.org/drawingml/2006/picture">
                <pic:pic>
                  <pic:nvPicPr>
                    <pic:cNvPr id="16" name="image5.png"/>
                    <pic:cNvPicPr/>
                  </pic:nvPicPr>
                  <pic:blipFill>
                    <a:blip r:embed="rId14" cstate="print"/>
                    <a:stretch>
                      <a:fillRect/>
                    </a:stretch>
                  </pic:blipFill>
                  <pic:spPr>
                    <a:xfrm>
                      <a:off x="0" y="0"/>
                      <a:ext cx="6082296" cy="6096"/>
                    </a:xfrm>
                    <a:prstGeom prst="rect">
                      <a:avLst/>
                    </a:prstGeom>
                  </pic:spPr>
                </pic:pic>
              </a:graphicData>
            </a:graphic>
          </wp:anchor>
        </w:drawing>
      </w:r>
    </w:p>
    <w:p>
      <w:pPr>
        <w:spacing w:after="0"/>
        <w:rPr>
          <w:sz w:val="2"/>
          <w:szCs w:val="2"/>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71"/>
        <w:gridCol w:w="688"/>
        <w:gridCol w:w="1106"/>
        <w:gridCol w:w="1295"/>
        <w:gridCol w:w="1329"/>
        <w:gridCol w:w="1192"/>
        <w:gridCol w:w="1195"/>
      </w:tblGrid>
      <w:tr>
        <w:trPr>
          <w:trHeight w:val="210"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8" w:type="dxa"/>
          </w:tcPr>
          <w:p>
            <w:pPr>
              <w:pStyle w:val="TableParagraph"/>
              <w:spacing w:line="240" w:lineRule="auto"/>
              <w:rPr>
                <w:rFonts w:ascii="Times New Roman"/>
                <w:sz w:val="14"/>
              </w:rPr>
            </w:pP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spacing w:line="190" w:lineRule="exact"/>
              <w:ind w:left="167"/>
              <w:rPr>
                <w:sz w:val="20"/>
              </w:rPr>
            </w:pPr>
            <w:r>
              <w:rPr>
                <w:color w:val="231F20"/>
                <w:sz w:val="20"/>
              </w:rPr>
              <w:t>Approximate</w:t>
            </w:r>
          </w:p>
        </w:tc>
        <w:tc>
          <w:tcPr>
            <w:tcW w:w="1192" w:type="dxa"/>
          </w:tcPr>
          <w:p>
            <w:pPr>
              <w:pStyle w:val="TableParagraph"/>
              <w:spacing w:line="240" w:lineRule="auto"/>
              <w:rPr>
                <w:rFonts w:ascii="Times New Roman"/>
                <w:sz w:val="14"/>
              </w:rPr>
            </w:pPr>
          </w:p>
        </w:tc>
        <w:tc>
          <w:tcPr>
            <w:tcW w:w="1195" w:type="dxa"/>
          </w:tcPr>
          <w:p>
            <w:pPr>
              <w:pStyle w:val="TableParagraph"/>
              <w:spacing w:line="240" w:lineRule="auto"/>
              <w:rPr>
                <w:rFonts w:ascii="Times New Roman"/>
                <w:sz w:val="14"/>
              </w:rPr>
            </w:pPr>
          </w:p>
        </w:tc>
      </w:tr>
      <w:tr>
        <w:trPr>
          <w:trHeight w:val="220"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8" w:type="dxa"/>
          </w:tcPr>
          <w:p>
            <w:pPr>
              <w:pStyle w:val="TableParagraph"/>
              <w:spacing w:line="240" w:lineRule="auto"/>
              <w:rPr>
                <w:rFonts w:ascii="Times New Roman"/>
                <w:sz w:val="14"/>
              </w:rPr>
            </w:pP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spacing w:line="201" w:lineRule="exact"/>
              <w:ind w:left="167"/>
              <w:rPr>
                <w:sz w:val="20"/>
              </w:rPr>
            </w:pPr>
            <w:r>
              <w:rPr>
                <w:color w:val="231F20"/>
                <w:sz w:val="20"/>
              </w:rPr>
              <w:t>Square</w:t>
            </w:r>
          </w:p>
        </w:tc>
        <w:tc>
          <w:tcPr>
            <w:tcW w:w="1192" w:type="dxa"/>
          </w:tcPr>
          <w:p>
            <w:pPr>
              <w:pStyle w:val="TableParagraph"/>
              <w:spacing w:line="240" w:lineRule="auto"/>
              <w:rPr>
                <w:rFonts w:ascii="Times New Roman"/>
                <w:sz w:val="14"/>
              </w:rPr>
            </w:pPr>
          </w:p>
        </w:tc>
        <w:tc>
          <w:tcPr>
            <w:tcW w:w="1195" w:type="dxa"/>
          </w:tcPr>
          <w:p>
            <w:pPr>
              <w:pStyle w:val="TableParagraph"/>
              <w:spacing w:line="240" w:lineRule="auto"/>
              <w:rPr>
                <w:rFonts w:ascii="Times New Roman"/>
                <w:sz w:val="14"/>
              </w:rPr>
            </w:pPr>
          </w:p>
        </w:tc>
      </w:tr>
      <w:tr>
        <w:trPr>
          <w:trHeight w:val="219"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8" w:type="dxa"/>
          </w:tcPr>
          <w:p>
            <w:pPr>
              <w:pStyle w:val="TableParagraph"/>
              <w:spacing w:line="240" w:lineRule="auto"/>
              <w:rPr>
                <w:rFonts w:ascii="Times New Roman"/>
                <w:sz w:val="14"/>
              </w:rPr>
            </w:pP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ind w:left="167"/>
              <w:rPr>
                <w:sz w:val="20"/>
              </w:rPr>
            </w:pPr>
            <w:r>
              <w:rPr>
                <w:color w:val="231F20"/>
                <w:sz w:val="20"/>
              </w:rPr>
              <w:t>Footage Not</w:t>
            </w:r>
          </w:p>
        </w:tc>
        <w:tc>
          <w:tcPr>
            <w:tcW w:w="1192" w:type="dxa"/>
          </w:tcPr>
          <w:p>
            <w:pPr>
              <w:pStyle w:val="TableParagraph"/>
              <w:spacing w:line="240" w:lineRule="auto"/>
              <w:rPr>
                <w:rFonts w:ascii="Times New Roman"/>
                <w:sz w:val="14"/>
              </w:rPr>
            </w:pPr>
          </w:p>
        </w:tc>
        <w:tc>
          <w:tcPr>
            <w:tcW w:w="1195" w:type="dxa"/>
          </w:tcPr>
          <w:p>
            <w:pPr>
              <w:pStyle w:val="TableParagraph"/>
              <w:ind w:left="109"/>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71" w:type="dxa"/>
          </w:tcPr>
          <w:p>
            <w:pPr>
              <w:pStyle w:val="TableParagraph"/>
              <w:ind w:left="388"/>
              <w:rPr>
                <w:sz w:val="20"/>
              </w:rPr>
            </w:pPr>
            <w:r>
              <w:rPr>
                <w:color w:val="231F20"/>
                <w:sz w:val="20"/>
              </w:rPr>
              <w:t>Apartment</w:t>
            </w:r>
          </w:p>
        </w:tc>
        <w:tc>
          <w:tcPr>
            <w:tcW w:w="688" w:type="dxa"/>
          </w:tcPr>
          <w:p>
            <w:pPr>
              <w:pStyle w:val="TableParagraph"/>
              <w:spacing w:line="240" w:lineRule="auto"/>
              <w:rPr>
                <w:rFonts w:ascii="Times New Roman"/>
                <w:sz w:val="14"/>
              </w:rPr>
            </w:pP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ind w:left="167"/>
              <w:rPr>
                <w:sz w:val="20"/>
              </w:rPr>
            </w:pPr>
            <w:r>
              <w:rPr>
                <w:color w:val="231F20"/>
                <w:sz w:val="20"/>
              </w:rPr>
              <w:t>Including</w:t>
            </w:r>
          </w:p>
        </w:tc>
        <w:tc>
          <w:tcPr>
            <w:tcW w:w="1192" w:type="dxa"/>
          </w:tcPr>
          <w:p>
            <w:pPr>
              <w:pStyle w:val="TableParagraph"/>
              <w:spacing w:line="240" w:lineRule="auto"/>
              <w:rPr>
                <w:rFonts w:ascii="Times New Roman"/>
                <w:sz w:val="14"/>
              </w:rPr>
            </w:pPr>
          </w:p>
        </w:tc>
        <w:tc>
          <w:tcPr>
            <w:tcW w:w="1195" w:type="dxa"/>
          </w:tcPr>
          <w:p>
            <w:pPr>
              <w:pStyle w:val="TableParagraph"/>
              <w:ind w:left="109"/>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71" w:type="dxa"/>
          </w:tcPr>
          <w:p>
            <w:pPr>
              <w:pStyle w:val="TableParagraph"/>
              <w:spacing w:line="201" w:lineRule="exact"/>
              <w:ind w:left="388"/>
              <w:rPr>
                <w:sz w:val="20"/>
              </w:rPr>
            </w:pPr>
            <w:r>
              <w:rPr>
                <w:color w:val="231F20"/>
                <w:sz w:val="20"/>
              </w:rPr>
              <w:t>Building</w:t>
            </w:r>
          </w:p>
        </w:tc>
        <w:tc>
          <w:tcPr>
            <w:tcW w:w="688" w:type="dxa"/>
          </w:tcPr>
          <w:p>
            <w:pPr>
              <w:pStyle w:val="TableParagraph"/>
              <w:spacing w:line="201" w:lineRule="exact"/>
              <w:ind w:left="145"/>
              <w:rPr>
                <w:sz w:val="20"/>
              </w:rPr>
            </w:pPr>
            <w:r>
              <w:rPr>
                <w:color w:val="231F20"/>
                <w:sz w:val="20"/>
              </w:rPr>
              <w:t>Apt.</w:t>
            </w:r>
          </w:p>
        </w:tc>
        <w:tc>
          <w:tcPr>
            <w:tcW w:w="1106" w:type="dxa"/>
          </w:tcPr>
          <w:p>
            <w:pPr>
              <w:pStyle w:val="TableParagraph"/>
              <w:spacing w:line="240" w:lineRule="auto"/>
              <w:rPr>
                <w:rFonts w:ascii="Times New Roman"/>
                <w:sz w:val="14"/>
              </w:rPr>
            </w:pPr>
          </w:p>
        </w:tc>
        <w:tc>
          <w:tcPr>
            <w:tcW w:w="1295" w:type="dxa"/>
          </w:tcPr>
          <w:p>
            <w:pPr>
              <w:pStyle w:val="TableParagraph"/>
              <w:spacing w:line="240" w:lineRule="auto"/>
              <w:rPr>
                <w:rFonts w:ascii="Times New Roman"/>
                <w:sz w:val="14"/>
              </w:rPr>
            </w:pPr>
          </w:p>
        </w:tc>
        <w:tc>
          <w:tcPr>
            <w:tcW w:w="1329" w:type="dxa"/>
          </w:tcPr>
          <w:p>
            <w:pPr>
              <w:pStyle w:val="TableParagraph"/>
              <w:spacing w:line="201" w:lineRule="exact"/>
              <w:ind w:left="167"/>
              <w:rPr>
                <w:sz w:val="20"/>
              </w:rPr>
            </w:pPr>
            <w:r>
              <w:rPr>
                <w:color w:val="231F20"/>
                <w:sz w:val="20"/>
              </w:rPr>
              <w:t>Balcony or</w:t>
            </w:r>
          </w:p>
        </w:tc>
        <w:tc>
          <w:tcPr>
            <w:tcW w:w="1192" w:type="dxa"/>
          </w:tcPr>
          <w:p>
            <w:pPr>
              <w:pStyle w:val="TableParagraph"/>
              <w:spacing w:line="201" w:lineRule="exact"/>
              <w:ind w:left="110"/>
              <w:rPr>
                <w:sz w:val="20"/>
              </w:rPr>
            </w:pPr>
            <w:r>
              <w:rPr>
                <w:color w:val="231F20"/>
                <w:sz w:val="20"/>
              </w:rPr>
              <w:t>Declared</w:t>
            </w:r>
          </w:p>
        </w:tc>
        <w:tc>
          <w:tcPr>
            <w:tcW w:w="1195" w:type="dxa"/>
          </w:tcPr>
          <w:p>
            <w:pPr>
              <w:pStyle w:val="TableParagraph"/>
              <w:spacing w:line="201" w:lineRule="exact"/>
              <w:ind w:left="109"/>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71" w:type="dxa"/>
            <w:tcBorders>
              <w:bottom w:val="single" w:sz="4" w:space="0" w:color="000000"/>
            </w:tcBorders>
          </w:tcPr>
          <w:p>
            <w:pPr>
              <w:pStyle w:val="TableParagraph"/>
              <w:spacing w:line="214" w:lineRule="exact"/>
              <w:ind w:left="388"/>
              <w:rPr>
                <w:sz w:val="20"/>
              </w:rPr>
            </w:pPr>
            <w:r>
              <w:rPr>
                <w:color w:val="231F20"/>
                <w:sz w:val="20"/>
              </w:rPr>
              <w:t>Address</w:t>
            </w:r>
          </w:p>
        </w:tc>
        <w:tc>
          <w:tcPr>
            <w:tcW w:w="688" w:type="dxa"/>
            <w:tcBorders>
              <w:bottom w:val="single" w:sz="4" w:space="0" w:color="000000"/>
            </w:tcBorders>
          </w:tcPr>
          <w:p>
            <w:pPr>
              <w:pStyle w:val="TableParagraph"/>
              <w:spacing w:line="214" w:lineRule="exact"/>
              <w:ind w:left="145"/>
              <w:rPr>
                <w:sz w:val="20"/>
              </w:rPr>
            </w:pPr>
            <w:r>
              <w:rPr>
                <w:color w:val="231F20"/>
                <w:sz w:val="20"/>
              </w:rPr>
              <w:t>No.</w:t>
            </w:r>
          </w:p>
        </w:tc>
        <w:tc>
          <w:tcPr>
            <w:tcW w:w="1106" w:type="dxa"/>
            <w:tcBorders>
              <w:bottom w:val="single" w:sz="4" w:space="0" w:color="000000"/>
            </w:tcBorders>
          </w:tcPr>
          <w:p>
            <w:pPr>
              <w:pStyle w:val="TableParagraph"/>
              <w:spacing w:line="214" w:lineRule="exact"/>
              <w:ind w:left="203"/>
              <w:rPr>
                <w:sz w:val="20"/>
              </w:rPr>
            </w:pPr>
            <w:r>
              <w:rPr>
                <w:color w:val="231F20"/>
                <w:sz w:val="20"/>
              </w:rPr>
              <w:t>Type</w:t>
            </w:r>
          </w:p>
        </w:tc>
        <w:tc>
          <w:tcPr>
            <w:tcW w:w="1295" w:type="dxa"/>
            <w:tcBorders>
              <w:bottom w:val="single" w:sz="4" w:space="0" w:color="000000"/>
            </w:tcBorders>
          </w:tcPr>
          <w:p>
            <w:pPr>
              <w:pStyle w:val="TableParagraph"/>
              <w:spacing w:line="214" w:lineRule="exact"/>
              <w:ind w:left="276"/>
              <w:rPr>
                <w:sz w:val="20"/>
              </w:rPr>
            </w:pPr>
            <w:r>
              <w:rPr>
                <w:color w:val="231F20"/>
                <w:sz w:val="20"/>
              </w:rPr>
              <w:t>Rooms</w:t>
            </w:r>
          </w:p>
        </w:tc>
        <w:tc>
          <w:tcPr>
            <w:tcW w:w="1329" w:type="dxa"/>
            <w:tcBorders>
              <w:bottom w:val="single" w:sz="4" w:space="0" w:color="000000"/>
            </w:tcBorders>
          </w:tcPr>
          <w:p>
            <w:pPr>
              <w:pStyle w:val="TableParagraph"/>
              <w:spacing w:line="214" w:lineRule="exact"/>
              <w:ind w:left="167"/>
              <w:rPr>
                <w:sz w:val="20"/>
              </w:rPr>
            </w:pPr>
            <w:r>
              <w:rPr>
                <w:color w:val="231F20"/>
                <w:sz w:val="20"/>
              </w:rPr>
              <w:t>Patio</w:t>
            </w:r>
          </w:p>
        </w:tc>
        <w:tc>
          <w:tcPr>
            <w:tcW w:w="1192" w:type="dxa"/>
            <w:tcBorders>
              <w:bottom w:val="single" w:sz="4" w:space="0" w:color="000000"/>
            </w:tcBorders>
          </w:tcPr>
          <w:p>
            <w:pPr>
              <w:pStyle w:val="TableParagraph"/>
              <w:spacing w:line="214" w:lineRule="exact"/>
              <w:ind w:left="110"/>
              <w:rPr>
                <w:sz w:val="20"/>
              </w:rPr>
            </w:pPr>
            <w:r>
              <w:rPr>
                <w:color w:val="231F20"/>
                <w:sz w:val="20"/>
              </w:rPr>
              <w:t>Value</w:t>
            </w:r>
          </w:p>
        </w:tc>
        <w:tc>
          <w:tcPr>
            <w:tcW w:w="1195" w:type="dxa"/>
            <w:tcBorders>
              <w:bottom w:val="single" w:sz="4" w:space="0" w:color="000000"/>
            </w:tcBorders>
          </w:tcPr>
          <w:p>
            <w:pPr>
              <w:pStyle w:val="TableParagraph"/>
              <w:spacing w:line="214" w:lineRule="exact"/>
              <w:ind w:left="109"/>
              <w:rPr>
                <w:sz w:val="20"/>
              </w:rPr>
            </w:pPr>
            <w:r>
              <w:rPr>
                <w:color w:val="231F20"/>
                <w:sz w:val="20"/>
              </w:rPr>
              <w:t>Interest</w:t>
            </w:r>
          </w:p>
        </w:tc>
      </w:tr>
      <w:tr>
        <w:trPr>
          <w:trHeight w:val="370" w:hRule="atLeast"/>
        </w:trPr>
        <w:tc>
          <w:tcPr>
            <w:tcW w:w="900" w:type="dxa"/>
            <w:tcBorders>
              <w:top w:val="single" w:sz="4" w:space="0" w:color="000000"/>
            </w:tcBorders>
          </w:tcPr>
          <w:p>
            <w:pPr>
              <w:pStyle w:val="TableParagraph"/>
              <w:spacing w:line="217" w:lineRule="exact" w:before="133"/>
              <w:ind w:left="108"/>
              <w:rPr>
                <w:sz w:val="18"/>
              </w:rPr>
            </w:pPr>
            <w:r>
              <w:rPr>
                <w:color w:val="231F20"/>
                <w:sz w:val="18"/>
              </w:rPr>
              <w:t>TH8</w:t>
            </w:r>
          </w:p>
        </w:tc>
        <w:tc>
          <w:tcPr>
            <w:tcW w:w="1871" w:type="dxa"/>
            <w:tcBorders>
              <w:top w:val="single" w:sz="4" w:space="0" w:color="000000"/>
            </w:tcBorders>
          </w:tcPr>
          <w:p>
            <w:pPr>
              <w:pStyle w:val="TableParagraph"/>
              <w:spacing w:line="217" w:lineRule="exact" w:before="133"/>
              <w:ind w:right="145"/>
              <w:jc w:val="right"/>
              <w:rPr>
                <w:sz w:val="18"/>
              </w:rPr>
            </w:pPr>
            <w:r>
              <w:rPr>
                <w:color w:val="231F20"/>
                <w:sz w:val="18"/>
              </w:rPr>
              <w:t>6401 Barrie Road</w:t>
            </w:r>
          </w:p>
        </w:tc>
        <w:tc>
          <w:tcPr>
            <w:tcW w:w="688" w:type="dxa"/>
            <w:tcBorders>
              <w:top w:val="single" w:sz="4" w:space="0" w:color="000000"/>
            </w:tcBorders>
          </w:tcPr>
          <w:p>
            <w:pPr>
              <w:pStyle w:val="TableParagraph"/>
              <w:spacing w:line="217" w:lineRule="exact" w:before="133"/>
              <w:ind w:left="145"/>
              <w:rPr>
                <w:sz w:val="18"/>
              </w:rPr>
            </w:pPr>
            <w:r>
              <w:rPr>
                <w:color w:val="231F20"/>
                <w:sz w:val="18"/>
              </w:rPr>
              <w:t>**</w:t>
            </w:r>
          </w:p>
        </w:tc>
        <w:tc>
          <w:tcPr>
            <w:tcW w:w="1106" w:type="dxa"/>
            <w:tcBorders>
              <w:top w:val="single" w:sz="4" w:space="0" w:color="000000"/>
            </w:tcBorders>
          </w:tcPr>
          <w:p>
            <w:pPr>
              <w:pStyle w:val="TableParagraph"/>
              <w:spacing w:line="217" w:lineRule="exact" w:before="133"/>
              <w:ind w:right="274"/>
              <w:jc w:val="right"/>
              <w:rPr>
                <w:sz w:val="18"/>
              </w:rPr>
            </w:pPr>
            <w:r>
              <w:rPr>
                <w:color w:val="231F20"/>
                <w:sz w:val="18"/>
              </w:rPr>
              <w:t>2BR</w:t>
            </w:r>
          </w:p>
        </w:tc>
        <w:tc>
          <w:tcPr>
            <w:tcW w:w="1295" w:type="dxa"/>
            <w:tcBorders>
              <w:top w:val="single" w:sz="4" w:space="0" w:color="000000"/>
            </w:tcBorders>
          </w:tcPr>
          <w:p>
            <w:pPr>
              <w:pStyle w:val="TableParagraph"/>
              <w:spacing w:line="217" w:lineRule="exact" w:before="133"/>
              <w:ind w:left="276"/>
              <w:rPr>
                <w:sz w:val="18"/>
              </w:rPr>
            </w:pPr>
            <w:r>
              <w:rPr>
                <w:color w:val="231F20"/>
                <w:sz w:val="18"/>
              </w:rPr>
              <w:t>4 + 1½ Bath</w:t>
            </w:r>
          </w:p>
        </w:tc>
        <w:tc>
          <w:tcPr>
            <w:tcW w:w="1329" w:type="dxa"/>
            <w:tcBorders>
              <w:top w:val="single" w:sz="4" w:space="0" w:color="000000"/>
            </w:tcBorders>
          </w:tcPr>
          <w:p>
            <w:pPr>
              <w:pStyle w:val="TableParagraph"/>
              <w:spacing w:line="217" w:lineRule="exact" w:before="133"/>
              <w:ind w:left="587"/>
              <w:rPr>
                <w:sz w:val="18"/>
              </w:rPr>
            </w:pPr>
            <w:r>
              <w:rPr>
                <w:color w:val="231F20"/>
                <w:sz w:val="18"/>
              </w:rPr>
              <w:t>1,084</w:t>
            </w:r>
          </w:p>
        </w:tc>
        <w:tc>
          <w:tcPr>
            <w:tcW w:w="1192" w:type="dxa"/>
            <w:tcBorders>
              <w:top w:val="single" w:sz="4" w:space="0" w:color="000000"/>
            </w:tcBorders>
          </w:tcPr>
          <w:p>
            <w:pPr>
              <w:pStyle w:val="TableParagraph"/>
              <w:spacing w:line="217" w:lineRule="exact" w:before="133"/>
              <w:ind w:right="104"/>
              <w:jc w:val="right"/>
              <w:rPr>
                <w:sz w:val="18"/>
              </w:rPr>
            </w:pPr>
            <w:r>
              <w:rPr>
                <w:color w:val="231F20"/>
                <w:sz w:val="18"/>
              </w:rPr>
              <w:t>$1,100.00</w:t>
            </w:r>
          </w:p>
        </w:tc>
        <w:tc>
          <w:tcPr>
            <w:tcW w:w="1195" w:type="dxa"/>
            <w:tcBorders>
              <w:top w:val="single" w:sz="4" w:space="0" w:color="000000"/>
            </w:tcBorders>
          </w:tcPr>
          <w:p>
            <w:pPr>
              <w:pStyle w:val="TableParagraph"/>
              <w:spacing w:line="217" w:lineRule="exact" w:before="133"/>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6403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6405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6407 Barrie Road</w:t>
            </w:r>
          </w:p>
        </w:tc>
        <w:tc>
          <w:tcPr>
            <w:tcW w:w="688"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4"/>
              <w:jc w:val="right"/>
              <w:rPr>
                <w:sz w:val="18"/>
              </w:rPr>
            </w:pPr>
            <w:r>
              <w:rPr>
                <w:color w:val="231F20"/>
                <w:sz w:val="18"/>
              </w:rPr>
              <w:t>2BR</w:t>
            </w:r>
          </w:p>
        </w:tc>
        <w:tc>
          <w:tcPr>
            <w:tcW w:w="1295" w:type="dxa"/>
          </w:tcPr>
          <w:p>
            <w:pPr>
              <w:pStyle w:val="TableParagraph"/>
              <w:spacing w:line="201" w:lineRule="exact"/>
              <w:ind w:left="276"/>
              <w:rPr>
                <w:sz w:val="18"/>
              </w:rPr>
            </w:pPr>
            <w:r>
              <w:rPr>
                <w:color w:val="231F20"/>
                <w:sz w:val="18"/>
              </w:rPr>
              <w:t>4 + 1½ Bath</w:t>
            </w:r>
          </w:p>
        </w:tc>
        <w:tc>
          <w:tcPr>
            <w:tcW w:w="1329" w:type="dxa"/>
          </w:tcPr>
          <w:p>
            <w:pPr>
              <w:pStyle w:val="TableParagraph"/>
              <w:spacing w:line="201" w:lineRule="exact"/>
              <w:ind w:left="724"/>
              <w:rPr>
                <w:sz w:val="18"/>
              </w:rPr>
            </w:pPr>
            <w:r>
              <w:rPr>
                <w:color w:val="231F20"/>
                <w:sz w:val="18"/>
              </w:rPr>
              <w:t>918</w:t>
            </w:r>
          </w:p>
        </w:tc>
        <w:tc>
          <w:tcPr>
            <w:tcW w:w="1192" w:type="dxa"/>
          </w:tcPr>
          <w:p>
            <w:pPr>
              <w:pStyle w:val="TableParagraph"/>
              <w:spacing w:line="201" w:lineRule="exact"/>
              <w:ind w:right="104"/>
              <w:jc w:val="right"/>
              <w:rPr>
                <w:sz w:val="18"/>
              </w:rPr>
            </w:pPr>
            <w:r>
              <w:rPr>
                <w:color w:val="231F20"/>
                <w:sz w:val="18"/>
              </w:rPr>
              <w:t>900.00</w:t>
            </w:r>
          </w:p>
        </w:tc>
        <w:tc>
          <w:tcPr>
            <w:tcW w:w="1195" w:type="dxa"/>
          </w:tcPr>
          <w:p>
            <w:pPr>
              <w:pStyle w:val="TableParagraph"/>
              <w:spacing w:line="201" w:lineRule="exact"/>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6409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6411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6413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1" w:type="dxa"/>
          </w:tcPr>
          <w:p>
            <w:pPr>
              <w:pStyle w:val="TableParagraph"/>
              <w:spacing w:line="203" w:lineRule="exact"/>
              <w:ind w:right="145"/>
              <w:jc w:val="right"/>
              <w:rPr>
                <w:sz w:val="18"/>
              </w:rPr>
            </w:pPr>
            <w:r>
              <w:rPr>
                <w:color w:val="231F20"/>
                <w:sz w:val="18"/>
              </w:rPr>
              <w:t>6415 Barrie Road</w:t>
            </w:r>
          </w:p>
        </w:tc>
        <w:tc>
          <w:tcPr>
            <w:tcW w:w="688" w:type="dxa"/>
          </w:tcPr>
          <w:p>
            <w:pPr>
              <w:pStyle w:val="TableParagraph"/>
              <w:spacing w:line="203" w:lineRule="exact"/>
              <w:ind w:left="145"/>
              <w:rPr>
                <w:sz w:val="18"/>
              </w:rPr>
            </w:pPr>
            <w:r>
              <w:rPr>
                <w:color w:val="231F20"/>
                <w:sz w:val="18"/>
              </w:rPr>
              <w:t>**</w:t>
            </w:r>
          </w:p>
        </w:tc>
        <w:tc>
          <w:tcPr>
            <w:tcW w:w="1106" w:type="dxa"/>
          </w:tcPr>
          <w:p>
            <w:pPr>
              <w:pStyle w:val="TableParagraph"/>
              <w:spacing w:line="203" w:lineRule="exact"/>
              <w:ind w:right="274"/>
              <w:jc w:val="right"/>
              <w:rPr>
                <w:sz w:val="18"/>
              </w:rPr>
            </w:pPr>
            <w:r>
              <w:rPr>
                <w:color w:val="231F20"/>
                <w:sz w:val="18"/>
              </w:rPr>
              <w:t>2BR</w:t>
            </w:r>
          </w:p>
        </w:tc>
        <w:tc>
          <w:tcPr>
            <w:tcW w:w="1295" w:type="dxa"/>
          </w:tcPr>
          <w:p>
            <w:pPr>
              <w:pStyle w:val="TableParagraph"/>
              <w:spacing w:line="203" w:lineRule="exact"/>
              <w:ind w:left="276"/>
              <w:rPr>
                <w:sz w:val="18"/>
              </w:rPr>
            </w:pPr>
            <w:r>
              <w:rPr>
                <w:color w:val="231F20"/>
                <w:sz w:val="18"/>
              </w:rPr>
              <w:t>4 + 1½ Bath</w:t>
            </w:r>
          </w:p>
        </w:tc>
        <w:tc>
          <w:tcPr>
            <w:tcW w:w="1329" w:type="dxa"/>
          </w:tcPr>
          <w:p>
            <w:pPr>
              <w:pStyle w:val="TableParagraph"/>
              <w:spacing w:line="203" w:lineRule="exact"/>
              <w:ind w:left="587"/>
              <w:rPr>
                <w:sz w:val="18"/>
              </w:rPr>
            </w:pPr>
            <w:r>
              <w:rPr>
                <w:color w:val="231F20"/>
                <w:sz w:val="18"/>
              </w:rPr>
              <w:t>1,084</w:t>
            </w:r>
          </w:p>
        </w:tc>
        <w:tc>
          <w:tcPr>
            <w:tcW w:w="1192" w:type="dxa"/>
          </w:tcPr>
          <w:p>
            <w:pPr>
              <w:pStyle w:val="TableParagraph"/>
              <w:spacing w:line="203" w:lineRule="exact"/>
              <w:ind w:right="104"/>
              <w:jc w:val="right"/>
              <w:rPr>
                <w:sz w:val="18"/>
              </w:rPr>
            </w:pPr>
            <w:r>
              <w:rPr>
                <w:color w:val="231F20"/>
                <w:sz w:val="18"/>
              </w:rPr>
              <w:t>1,100.00</w:t>
            </w:r>
          </w:p>
        </w:tc>
        <w:tc>
          <w:tcPr>
            <w:tcW w:w="1195" w:type="dxa"/>
          </w:tcPr>
          <w:p>
            <w:pPr>
              <w:pStyle w:val="TableParagraph"/>
              <w:spacing w:line="203" w:lineRule="exact"/>
              <w:ind w:left="392"/>
              <w:rPr>
                <w:sz w:val="18"/>
              </w:rPr>
            </w:pPr>
            <w:r>
              <w:rPr>
                <w:color w:val="231F20"/>
                <w:sz w:val="18"/>
              </w:rPr>
              <w:t>0.360</w:t>
            </w:r>
          </w:p>
        </w:tc>
      </w:tr>
      <w:tr>
        <w:trPr>
          <w:trHeight w:val="291" w:hRule="atLeast"/>
        </w:trPr>
        <w:tc>
          <w:tcPr>
            <w:tcW w:w="900" w:type="dxa"/>
          </w:tcPr>
          <w:p>
            <w:pPr>
              <w:pStyle w:val="TableParagraph"/>
              <w:spacing w:line="216" w:lineRule="exact" w:before="56"/>
              <w:ind w:left="108"/>
              <w:rPr>
                <w:sz w:val="18"/>
              </w:rPr>
            </w:pPr>
            <w:r>
              <w:rPr>
                <w:color w:val="231F20"/>
                <w:sz w:val="18"/>
              </w:rPr>
              <w:t>TH9</w:t>
            </w:r>
          </w:p>
        </w:tc>
        <w:tc>
          <w:tcPr>
            <w:tcW w:w="1871" w:type="dxa"/>
          </w:tcPr>
          <w:p>
            <w:pPr>
              <w:pStyle w:val="TableParagraph"/>
              <w:spacing w:line="216" w:lineRule="exact" w:before="56"/>
              <w:ind w:right="145"/>
              <w:jc w:val="right"/>
              <w:rPr>
                <w:sz w:val="18"/>
              </w:rPr>
            </w:pPr>
            <w:r>
              <w:rPr>
                <w:color w:val="231F20"/>
                <w:sz w:val="18"/>
              </w:rPr>
              <w:t>6417 Barrie Road</w:t>
            </w:r>
          </w:p>
        </w:tc>
        <w:tc>
          <w:tcPr>
            <w:tcW w:w="688" w:type="dxa"/>
          </w:tcPr>
          <w:p>
            <w:pPr>
              <w:pStyle w:val="TableParagraph"/>
              <w:spacing w:line="216" w:lineRule="exact" w:before="56"/>
              <w:ind w:left="145"/>
              <w:rPr>
                <w:sz w:val="18"/>
              </w:rPr>
            </w:pPr>
            <w:r>
              <w:rPr>
                <w:color w:val="231F20"/>
                <w:sz w:val="18"/>
              </w:rPr>
              <w:t>**</w:t>
            </w:r>
          </w:p>
        </w:tc>
        <w:tc>
          <w:tcPr>
            <w:tcW w:w="1106" w:type="dxa"/>
          </w:tcPr>
          <w:p>
            <w:pPr>
              <w:pStyle w:val="TableParagraph"/>
              <w:spacing w:line="216" w:lineRule="exact" w:before="56"/>
              <w:ind w:right="274"/>
              <w:jc w:val="right"/>
              <w:rPr>
                <w:sz w:val="18"/>
              </w:rPr>
            </w:pPr>
            <w:r>
              <w:rPr>
                <w:color w:val="231F20"/>
                <w:sz w:val="18"/>
              </w:rPr>
              <w:t>2BR</w:t>
            </w:r>
          </w:p>
        </w:tc>
        <w:tc>
          <w:tcPr>
            <w:tcW w:w="1295" w:type="dxa"/>
          </w:tcPr>
          <w:p>
            <w:pPr>
              <w:pStyle w:val="TableParagraph"/>
              <w:spacing w:line="216" w:lineRule="exact" w:before="56"/>
              <w:ind w:left="276"/>
              <w:rPr>
                <w:sz w:val="18"/>
              </w:rPr>
            </w:pPr>
            <w:r>
              <w:rPr>
                <w:color w:val="231F20"/>
                <w:sz w:val="18"/>
              </w:rPr>
              <w:t>4 + 1½ Bath</w:t>
            </w:r>
          </w:p>
        </w:tc>
        <w:tc>
          <w:tcPr>
            <w:tcW w:w="1329" w:type="dxa"/>
          </w:tcPr>
          <w:p>
            <w:pPr>
              <w:pStyle w:val="TableParagraph"/>
              <w:spacing w:line="216" w:lineRule="exact" w:before="56"/>
              <w:ind w:left="587"/>
              <w:rPr>
                <w:sz w:val="18"/>
              </w:rPr>
            </w:pPr>
            <w:r>
              <w:rPr>
                <w:color w:val="231F20"/>
                <w:sz w:val="18"/>
              </w:rPr>
              <w:t>1,084</w:t>
            </w:r>
          </w:p>
        </w:tc>
        <w:tc>
          <w:tcPr>
            <w:tcW w:w="1192" w:type="dxa"/>
          </w:tcPr>
          <w:p>
            <w:pPr>
              <w:pStyle w:val="TableParagraph"/>
              <w:spacing w:line="216" w:lineRule="exact" w:before="56"/>
              <w:ind w:right="104"/>
              <w:jc w:val="right"/>
              <w:rPr>
                <w:sz w:val="18"/>
              </w:rPr>
            </w:pPr>
            <w:r>
              <w:rPr>
                <w:color w:val="231F20"/>
                <w:sz w:val="18"/>
              </w:rPr>
              <w:t>1,100.00</w:t>
            </w:r>
          </w:p>
        </w:tc>
        <w:tc>
          <w:tcPr>
            <w:tcW w:w="1195" w:type="dxa"/>
          </w:tcPr>
          <w:p>
            <w:pPr>
              <w:pStyle w:val="TableParagraph"/>
              <w:spacing w:line="216" w:lineRule="exact" w:before="56"/>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6419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6421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4"/>
              <w:jc w:val="right"/>
              <w:rPr>
                <w:sz w:val="18"/>
              </w:rPr>
            </w:pPr>
            <w:r>
              <w:rPr>
                <w:color w:val="231F20"/>
                <w:sz w:val="18"/>
              </w:rPr>
              <w:t>6423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6425 Barrie Road</w:t>
            </w:r>
          </w:p>
        </w:tc>
        <w:tc>
          <w:tcPr>
            <w:tcW w:w="688"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4"/>
              <w:jc w:val="right"/>
              <w:rPr>
                <w:sz w:val="18"/>
              </w:rPr>
            </w:pPr>
            <w:r>
              <w:rPr>
                <w:color w:val="231F20"/>
                <w:sz w:val="18"/>
              </w:rPr>
              <w:t>2BR</w:t>
            </w:r>
          </w:p>
        </w:tc>
        <w:tc>
          <w:tcPr>
            <w:tcW w:w="1295" w:type="dxa"/>
          </w:tcPr>
          <w:p>
            <w:pPr>
              <w:pStyle w:val="TableParagraph"/>
              <w:spacing w:line="201" w:lineRule="exact"/>
              <w:ind w:left="276"/>
              <w:rPr>
                <w:sz w:val="18"/>
              </w:rPr>
            </w:pPr>
            <w:r>
              <w:rPr>
                <w:color w:val="231F20"/>
                <w:sz w:val="18"/>
              </w:rPr>
              <w:t>4 + 1½ Bath</w:t>
            </w:r>
          </w:p>
        </w:tc>
        <w:tc>
          <w:tcPr>
            <w:tcW w:w="1329" w:type="dxa"/>
          </w:tcPr>
          <w:p>
            <w:pPr>
              <w:pStyle w:val="TableParagraph"/>
              <w:spacing w:line="201" w:lineRule="exact"/>
              <w:ind w:left="724"/>
              <w:rPr>
                <w:sz w:val="18"/>
              </w:rPr>
            </w:pPr>
            <w:r>
              <w:rPr>
                <w:color w:val="231F20"/>
                <w:sz w:val="18"/>
              </w:rPr>
              <w:t>918</w:t>
            </w:r>
          </w:p>
        </w:tc>
        <w:tc>
          <w:tcPr>
            <w:tcW w:w="1192" w:type="dxa"/>
          </w:tcPr>
          <w:p>
            <w:pPr>
              <w:pStyle w:val="TableParagraph"/>
              <w:spacing w:line="201" w:lineRule="exact"/>
              <w:ind w:right="104"/>
              <w:jc w:val="right"/>
              <w:rPr>
                <w:sz w:val="18"/>
              </w:rPr>
            </w:pPr>
            <w:r>
              <w:rPr>
                <w:color w:val="231F20"/>
                <w:sz w:val="18"/>
              </w:rPr>
              <w:t>900.00</w:t>
            </w:r>
          </w:p>
        </w:tc>
        <w:tc>
          <w:tcPr>
            <w:tcW w:w="1195" w:type="dxa"/>
          </w:tcPr>
          <w:p>
            <w:pPr>
              <w:pStyle w:val="TableParagraph"/>
              <w:spacing w:line="201" w:lineRule="exact"/>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6427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6429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6431 Barrie Road</w:t>
            </w:r>
          </w:p>
        </w:tc>
        <w:tc>
          <w:tcPr>
            <w:tcW w:w="688"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4"/>
              <w:jc w:val="right"/>
              <w:rPr>
                <w:sz w:val="18"/>
              </w:rPr>
            </w:pPr>
            <w:r>
              <w:rPr>
                <w:color w:val="231F20"/>
                <w:sz w:val="18"/>
              </w:rPr>
              <w:t>2BR</w:t>
            </w:r>
          </w:p>
        </w:tc>
        <w:tc>
          <w:tcPr>
            <w:tcW w:w="1295" w:type="dxa"/>
          </w:tcPr>
          <w:p>
            <w:pPr>
              <w:pStyle w:val="TableParagraph"/>
              <w:spacing w:line="204" w:lineRule="exact"/>
              <w:ind w:left="276"/>
              <w:rPr>
                <w:sz w:val="18"/>
              </w:rPr>
            </w:pPr>
            <w:r>
              <w:rPr>
                <w:color w:val="231F20"/>
                <w:sz w:val="18"/>
              </w:rPr>
              <w:t>4 + 1½ Bath</w:t>
            </w:r>
          </w:p>
        </w:tc>
        <w:tc>
          <w:tcPr>
            <w:tcW w:w="1329" w:type="dxa"/>
          </w:tcPr>
          <w:p>
            <w:pPr>
              <w:pStyle w:val="TableParagraph"/>
              <w:spacing w:line="204" w:lineRule="exact"/>
              <w:ind w:left="587"/>
              <w:rPr>
                <w:sz w:val="18"/>
              </w:rPr>
            </w:pPr>
            <w:r>
              <w:rPr>
                <w:color w:val="231F20"/>
                <w:sz w:val="18"/>
              </w:rPr>
              <w:t>1,084</w:t>
            </w:r>
          </w:p>
        </w:tc>
        <w:tc>
          <w:tcPr>
            <w:tcW w:w="1192" w:type="dxa"/>
          </w:tcPr>
          <w:p>
            <w:pPr>
              <w:pStyle w:val="TableParagraph"/>
              <w:spacing w:line="204" w:lineRule="exact"/>
              <w:ind w:right="104"/>
              <w:jc w:val="right"/>
              <w:rPr>
                <w:sz w:val="18"/>
              </w:rPr>
            </w:pPr>
            <w:r>
              <w:rPr>
                <w:color w:val="231F20"/>
                <w:sz w:val="18"/>
              </w:rPr>
              <w:t>1,100.00</w:t>
            </w:r>
          </w:p>
        </w:tc>
        <w:tc>
          <w:tcPr>
            <w:tcW w:w="1195" w:type="dxa"/>
          </w:tcPr>
          <w:p>
            <w:pPr>
              <w:pStyle w:val="TableParagraph"/>
              <w:spacing w:line="204" w:lineRule="exact"/>
              <w:ind w:left="392"/>
              <w:rPr>
                <w:sz w:val="18"/>
              </w:rPr>
            </w:pPr>
            <w:r>
              <w:rPr>
                <w:color w:val="231F20"/>
                <w:sz w:val="18"/>
              </w:rPr>
              <w:t>0.360</w:t>
            </w:r>
          </w:p>
        </w:tc>
      </w:tr>
      <w:tr>
        <w:trPr>
          <w:trHeight w:val="291" w:hRule="atLeast"/>
        </w:trPr>
        <w:tc>
          <w:tcPr>
            <w:tcW w:w="900" w:type="dxa"/>
          </w:tcPr>
          <w:p>
            <w:pPr>
              <w:pStyle w:val="TableParagraph"/>
              <w:spacing w:line="217" w:lineRule="exact" w:before="55"/>
              <w:ind w:left="108"/>
              <w:rPr>
                <w:sz w:val="18"/>
              </w:rPr>
            </w:pPr>
            <w:r>
              <w:rPr>
                <w:color w:val="231F20"/>
                <w:sz w:val="18"/>
              </w:rPr>
              <w:t>TH10</w:t>
            </w:r>
          </w:p>
        </w:tc>
        <w:tc>
          <w:tcPr>
            <w:tcW w:w="1871" w:type="dxa"/>
          </w:tcPr>
          <w:p>
            <w:pPr>
              <w:pStyle w:val="TableParagraph"/>
              <w:spacing w:line="217" w:lineRule="exact" w:before="55"/>
              <w:ind w:right="145"/>
              <w:jc w:val="right"/>
              <w:rPr>
                <w:sz w:val="18"/>
              </w:rPr>
            </w:pPr>
            <w:r>
              <w:rPr>
                <w:color w:val="231F20"/>
                <w:sz w:val="18"/>
              </w:rPr>
              <w:t>6433 Barrie Road</w:t>
            </w:r>
          </w:p>
        </w:tc>
        <w:tc>
          <w:tcPr>
            <w:tcW w:w="688" w:type="dxa"/>
          </w:tcPr>
          <w:p>
            <w:pPr>
              <w:pStyle w:val="TableParagraph"/>
              <w:spacing w:line="217" w:lineRule="exact" w:before="55"/>
              <w:ind w:left="145"/>
              <w:rPr>
                <w:sz w:val="18"/>
              </w:rPr>
            </w:pPr>
            <w:r>
              <w:rPr>
                <w:color w:val="231F20"/>
                <w:sz w:val="18"/>
              </w:rPr>
              <w:t>**</w:t>
            </w:r>
          </w:p>
        </w:tc>
        <w:tc>
          <w:tcPr>
            <w:tcW w:w="1106" w:type="dxa"/>
          </w:tcPr>
          <w:p>
            <w:pPr>
              <w:pStyle w:val="TableParagraph"/>
              <w:spacing w:line="217" w:lineRule="exact" w:before="55"/>
              <w:ind w:right="274"/>
              <w:jc w:val="right"/>
              <w:rPr>
                <w:sz w:val="18"/>
              </w:rPr>
            </w:pPr>
            <w:r>
              <w:rPr>
                <w:color w:val="231F20"/>
                <w:sz w:val="18"/>
              </w:rPr>
              <w:t>2BR</w:t>
            </w:r>
          </w:p>
        </w:tc>
        <w:tc>
          <w:tcPr>
            <w:tcW w:w="1295" w:type="dxa"/>
          </w:tcPr>
          <w:p>
            <w:pPr>
              <w:pStyle w:val="TableParagraph"/>
              <w:spacing w:line="217" w:lineRule="exact" w:before="55"/>
              <w:ind w:left="276"/>
              <w:rPr>
                <w:sz w:val="18"/>
              </w:rPr>
            </w:pPr>
            <w:r>
              <w:rPr>
                <w:color w:val="231F20"/>
                <w:sz w:val="18"/>
              </w:rPr>
              <w:t>4 + 1½ Bath</w:t>
            </w:r>
          </w:p>
        </w:tc>
        <w:tc>
          <w:tcPr>
            <w:tcW w:w="1329" w:type="dxa"/>
          </w:tcPr>
          <w:p>
            <w:pPr>
              <w:pStyle w:val="TableParagraph"/>
              <w:spacing w:line="217" w:lineRule="exact" w:before="55"/>
              <w:ind w:left="587"/>
              <w:rPr>
                <w:sz w:val="18"/>
              </w:rPr>
            </w:pPr>
            <w:r>
              <w:rPr>
                <w:color w:val="231F20"/>
                <w:sz w:val="18"/>
              </w:rPr>
              <w:t>1,084</w:t>
            </w:r>
          </w:p>
        </w:tc>
        <w:tc>
          <w:tcPr>
            <w:tcW w:w="1192" w:type="dxa"/>
          </w:tcPr>
          <w:p>
            <w:pPr>
              <w:pStyle w:val="TableParagraph"/>
              <w:spacing w:line="217" w:lineRule="exact" w:before="55"/>
              <w:ind w:right="104"/>
              <w:jc w:val="right"/>
              <w:rPr>
                <w:sz w:val="18"/>
              </w:rPr>
            </w:pPr>
            <w:r>
              <w:rPr>
                <w:color w:val="231F20"/>
                <w:sz w:val="18"/>
              </w:rPr>
              <w:t>1,100.00</w:t>
            </w:r>
          </w:p>
        </w:tc>
        <w:tc>
          <w:tcPr>
            <w:tcW w:w="1195" w:type="dxa"/>
          </w:tcPr>
          <w:p>
            <w:pPr>
              <w:pStyle w:val="TableParagraph"/>
              <w:spacing w:line="217" w:lineRule="exact" w:before="55"/>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6435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6437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6439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6441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6443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6445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93"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6447 Barrie Road</w:t>
            </w:r>
          </w:p>
        </w:tc>
        <w:tc>
          <w:tcPr>
            <w:tcW w:w="688"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4"/>
              <w:jc w:val="right"/>
              <w:rPr>
                <w:sz w:val="18"/>
              </w:rPr>
            </w:pPr>
            <w:r>
              <w:rPr>
                <w:color w:val="231F20"/>
                <w:sz w:val="18"/>
              </w:rPr>
              <w:t>2BR</w:t>
            </w:r>
          </w:p>
        </w:tc>
        <w:tc>
          <w:tcPr>
            <w:tcW w:w="1295" w:type="dxa"/>
          </w:tcPr>
          <w:p>
            <w:pPr>
              <w:pStyle w:val="TableParagraph"/>
              <w:spacing w:line="204" w:lineRule="exact"/>
              <w:ind w:left="276"/>
              <w:rPr>
                <w:sz w:val="18"/>
              </w:rPr>
            </w:pPr>
            <w:r>
              <w:rPr>
                <w:color w:val="231F20"/>
                <w:sz w:val="18"/>
              </w:rPr>
              <w:t>4 + 1½ Bath</w:t>
            </w:r>
          </w:p>
        </w:tc>
        <w:tc>
          <w:tcPr>
            <w:tcW w:w="1329" w:type="dxa"/>
          </w:tcPr>
          <w:p>
            <w:pPr>
              <w:pStyle w:val="TableParagraph"/>
              <w:spacing w:line="204" w:lineRule="exact"/>
              <w:ind w:left="587"/>
              <w:rPr>
                <w:sz w:val="18"/>
              </w:rPr>
            </w:pPr>
            <w:r>
              <w:rPr>
                <w:color w:val="231F20"/>
                <w:sz w:val="18"/>
              </w:rPr>
              <w:t>1,084</w:t>
            </w:r>
          </w:p>
        </w:tc>
        <w:tc>
          <w:tcPr>
            <w:tcW w:w="1192" w:type="dxa"/>
          </w:tcPr>
          <w:p>
            <w:pPr>
              <w:pStyle w:val="TableParagraph"/>
              <w:spacing w:line="204" w:lineRule="exact"/>
              <w:ind w:right="104"/>
              <w:jc w:val="right"/>
              <w:rPr>
                <w:sz w:val="18"/>
              </w:rPr>
            </w:pPr>
            <w:r>
              <w:rPr>
                <w:color w:val="231F20"/>
                <w:sz w:val="18"/>
              </w:rPr>
              <w:t>1,100.00</w:t>
            </w:r>
          </w:p>
        </w:tc>
        <w:tc>
          <w:tcPr>
            <w:tcW w:w="1195" w:type="dxa"/>
          </w:tcPr>
          <w:p>
            <w:pPr>
              <w:pStyle w:val="TableParagraph"/>
              <w:spacing w:line="204" w:lineRule="exact"/>
              <w:ind w:left="392"/>
              <w:rPr>
                <w:sz w:val="18"/>
              </w:rPr>
            </w:pPr>
            <w:r>
              <w:rPr>
                <w:color w:val="231F20"/>
                <w:sz w:val="18"/>
              </w:rPr>
              <w:t>0.360</w:t>
            </w:r>
          </w:p>
        </w:tc>
      </w:tr>
      <w:tr>
        <w:trPr>
          <w:trHeight w:val="291" w:hRule="atLeast"/>
        </w:trPr>
        <w:tc>
          <w:tcPr>
            <w:tcW w:w="900" w:type="dxa"/>
          </w:tcPr>
          <w:p>
            <w:pPr>
              <w:pStyle w:val="TableParagraph"/>
              <w:spacing w:line="216" w:lineRule="exact" w:before="56"/>
              <w:ind w:left="108"/>
              <w:rPr>
                <w:sz w:val="18"/>
              </w:rPr>
            </w:pPr>
            <w:r>
              <w:rPr>
                <w:color w:val="231F20"/>
                <w:sz w:val="18"/>
              </w:rPr>
              <w:t>TH11</w:t>
            </w:r>
          </w:p>
        </w:tc>
        <w:tc>
          <w:tcPr>
            <w:tcW w:w="1871" w:type="dxa"/>
          </w:tcPr>
          <w:p>
            <w:pPr>
              <w:pStyle w:val="TableParagraph"/>
              <w:spacing w:line="216" w:lineRule="exact" w:before="56"/>
              <w:ind w:right="145"/>
              <w:jc w:val="right"/>
              <w:rPr>
                <w:sz w:val="18"/>
              </w:rPr>
            </w:pPr>
            <w:r>
              <w:rPr>
                <w:color w:val="231F20"/>
                <w:sz w:val="18"/>
              </w:rPr>
              <w:t>6449 Barrie Road</w:t>
            </w:r>
          </w:p>
        </w:tc>
        <w:tc>
          <w:tcPr>
            <w:tcW w:w="688" w:type="dxa"/>
          </w:tcPr>
          <w:p>
            <w:pPr>
              <w:pStyle w:val="TableParagraph"/>
              <w:spacing w:line="216" w:lineRule="exact" w:before="56"/>
              <w:ind w:left="145"/>
              <w:rPr>
                <w:sz w:val="18"/>
              </w:rPr>
            </w:pPr>
            <w:r>
              <w:rPr>
                <w:color w:val="231F20"/>
                <w:sz w:val="18"/>
              </w:rPr>
              <w:t>**</w:t>
            </w:r>
          </w:p>
        </w:tc>
        <w:tc>
          <w:tcPr>
            <w:tcW w:w="1106" w:type="dxa"/>
          </w:tcPr>
          <w:p>
            <w:pPr>
              <w:pStyle w:val="TableParagraph"/>
              <w:spacing w:line="216" w:lineRule="exact" w:before="56"/>
              <w:ind w:right="274"/>
              <w:jc w:val="right"/>
              <w:rPr>
                <w:sz w:val="18"/>
              </w:rPr>
            </w:pPr>
            <w:r>
              <w:rPr>
                <w:color w:val="231F20"/>
                <w:sz w:val="18"/>
              </w:rPr>
              <w:t>2BR</w:t>
            </w:r>
          </w:p>
        </w:tc>
        <w:tc>
          <w:tcPr>
            <w:tcW w:w="1295" w:type="dxa"/>
          </w:tcPr>
          <w:p>
            <w:pPr>
              <w:pStyle w:val="TableParagraph"/>
              <w:spacing w:line="216" w:lineRule="exact" w:before="56"/>
              <w:ind w:left="276"/>
              <w:rPr>
                <w:sz w:val="18"/>
              </w:rPr>
            </w:pPr>
            <w:r>
              <w:rPr>
                <w:color w:val="231F20"/>
                <w:sz w:val="18"/>
              </w:rPr>
              <w:t>4 + 1½ Bath</w:t>
            </w:r>
          </w:p>
        </w:tc>
        <w:tc>
          <w:tcPr>
            <w:tcW w:w="1329" w:type="dxa"/>
          </w:tcPr>
          <w:p>
            <w:pPr>
              <w:pStyle w:val="TableParagraph"/>
              <w:spacing w:line="216" w:lineRule="exact" w:before="56"/>
              <w:ind w:left="724"/>
              <w:rPr>
                <w:sz w:val="18"/>
              </w:rPr>
            </w:pPr>
            <w:r>
              <w:rPr>
                <w:color w:val="231F20"/>
                <w:sz w:val="18"/>
              </w:rPr>
              <w:t>909</w:t>
            </w:r>
          </w:p>
        </w:tc>
        <w:tc>
          <w:tcPr>
            <w:tcW w:w="1192" w:type="dxa"/>
          </w:tcPr>
          <w:p>
            <w:pPr>
              <w:pStyle w:val="TableParagraph"/>
              <w:spacing w:line="216" w:lineRule="exact" w:before="56"/>
              <w:ind w:right="104"/>
              <w:jc w:val="right"/>
              <w:rPr>
                <w:sz w:val="18"/>
              </w:rPr>
            </w:pPr>
            <w:r>
              <w:rPr>
                <w:color w:val="231F20"/>
                <w:sz w:val="18"/>
              </w:rPr>
              <w:t>900.00</w:t>
            </w:r>
          </w:p>
        </w:tc>
        <w:tc>
          <w:tcPr>
            <w:tcW w:w="1195" w:type="dxa"/>
          </w:tcPr>
          <w:p>
            <w:pPr>
              <w:pStyle w:val="TableParagraph"/>
              <w:spacing w:line="216" w:lineRule="exact" w:before="56"/>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6451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6453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6455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6457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91" w:hRule="atLeast"/>
        </w:trPr>
        <w:tc>
          <w:tcPr>
            <w:tcW w:w="900" w:type="dxa"/>
          </w:tcPr>
          <w:p>
            <w:pPr>
              <w:pStyle w:val="TableParagraph"/>
              <w:spacing w:line="203" w:lineRule="exact"/>
              <w:ind w:left="108"/>
              <w:rPr>
                <w:sz w:val="18"/>
              </w:rPr>
            </w:pPr>
            <w:r>
              <w:rPr>
                <w:color w:val="231F20"/>
                <w:sz w:val="18"/>
              </w:rPr>
              <w:t>"</w:t>
            </w:r>
          </w:p>
        </w:tc>
        <w:tc>
          <w:tcPr>
            <w:tcW w:w="1871" w:type="dxa"/>
          </w:tcPr>
          <w:p>
            <w:pPr>
              <w:pStyle w:val="TableParagraph"/>
              <w:spacing w:line="203" w:lineRule="exact"/>
              <w:ind w:right="145"/>
              <w:jc w:val="right"/>
              <w:rPr>
                <w:sz w:val="18"/>
              </w:rPr>
            </w:pPr>
            <w:r>
              <w:rPr>
                <w:color w:val="231F20"/>
                <w:sz w:val="18"/>
              </w:rPr>
              <w:t>6459 Barrie Road</w:t>
            </w:r>
          </w:p>
        </w:tc>
        <w:tc>
          <w:tcPr>
            <w:tcW w:w="688" w:type="dxa"/>
          </w:tcPr>
          <w:p>
            <w:pPr>
              <w:pStyle w:val="TableParagraph"/>
              <w:spacing w:line="203" w:lineRule="exact"/>
              <w:ind w:left="145"/>
              <w:rPr>
                <w:sz w:val="18"/>
              </w:rPr>
            </w:pPr>
            <w:r>
              <w:rPr>
                <w:color w:val="231F20"/>
                <w:sz w:val="18"/>
              </w:rPr>
              <w:t>**</w:t>
            </w:r>
          </w:p>
        </w:tc>
        <w:tc>
          <w:tcPr>
            <w:tcW w:w="1106" w:type="dxa"/>
          </w:tcPr>
          <w:p>
            <w:pPr>
              <w:pStyle w:val="TableParagraph"/>
              <w:spacing w:line="203" w:lineRule="exact"/>
              <w:ind w:right="274"/>
              <w:jc w:val="right"/>
              <w:rPr>
                <w:sz w:val="18"/>
              </w:rPr>
            </w:pPr>
            <w:r>
              <w:rPr>
                <w:color w:val="231F20"/>
                <w:sz w:val="18"/>
              </w:rPr>
              <w:t>2BR</w:t>
            </w:r>
          </w:p>
        </w:tc>
        <w:tc>
          <w:tcPr>
            <w:tcW w:w="1295" w:type="dxa"/>
          </w:tcPr>
          <w:p>
            <w:pPr>
              <w:pStyle w:val="TableParagraph"/>
              <w:spacing w:line="203" w:lineRule="exact"/>
              <w:ind w:left="276"/>
              <w:rPr>
                <w:sz w:val="18"/>
              </w:rPr>
            </w:pPr>
            <w:r>
              <w:rPr>
                <w:color w:val="231F20"/>
                <w:sz w:val="18"/>
              </w:rPr>
              <w:t>4 + 1½ Bath</w:t>
            </w:r>
          </w:p>
        </w:tc>
        <w:tc>
          <w:tcPr>
            <w:tcW w:w="1329" w:type="dxa"/>
          </w:tcPr>
          <w:p>
            <w:pPr>
              <w:pStyle w:val="TableParagraph"/>
              <w:spacing w:line="203" w:lineRule="exact"/>
              <w:ind w:left="724"/>
              <w:rPr>
                <w:sz w:val="18"/>
              </w:rPr>
            </w:pPr>
            <w:r>
              <w:rPr>
                <w:color w:val="231F20"/>
                <w:sz w:val="18"/>
              </w:rPr>
              <w:t>909</w:t>
            </w:r>
          </w:p>
        </w:tc>
        <w:tc>
          <w:tcPr>
            <w:tcW w:w="1192" w:type="dxa"/>
          </w:tcPr>
          <w:p>
            <w:pPr>
              <w:pStyle w:val="TableParagraph"/>
              <w:spacing w:line="203" w:lineRule="exact"/>
              <w:ind w:right="104"/>
              <w:jc w:val="right"/>
              <w:rPr>
                <w:sz w:val="18"/>
              </w:rPr>
            </w:pPr>
            <w:r>
              <w:rPr>
                <w:color w:val="231F20"/>
                <w:sz w:val="18"/>
              </w:rPr>
              <w:t>900.00</w:t>
            </w:r>
          </w:p>
        </w:tc>
        <w:tc>
          <w:tcPr>
            <w:tcW w:w="1195" w:type="dxa"/>
          </w:tcPr>
          <w:p>
            <w:pPr>
              <w:pStyle w:val="TableParagraph"/>
              <w:spacing w:line="203" w:lineRule="exact"/>
              <w:ind w:left="392"/>
              <w:rPr>
                <w:sz w:val="18"/>
              </w:rPr>
            </w:pPr>
            <w:r>
              <w:rPr>
                <w:color w:val="231F20"/>
                <w:sz w:val="18"/>
              </w:rPr>
              <w:t>0.290</w:t>
            </w:r>
          </w:p>
        </w:tc>
      </w:tr>
      <w:tr>
        <w:trPr>
          <w:trHeight w:val="291" w:hRule="atLeast"/>
        </w:trPr>
        <w:tc>
          <w:tcPr>
            <w:tcW w:w="900" w:type="dxa"/>
          </w:tcPr>
          <w:p>
            <w:pPr>
              <w:pStyle w:val="TableParagraph"/>
              <w:spacing w:line="216" w:lineRule="exact" w:before="56"/>
              <w:ind w:left="108"/>
              <w:rPr>
                <w:sz w:val="18"/>
              </w:rPr>
            </w:pPr>
            <w:r>
              <w:rPr>
                <w:color w:val="231F20"/>
                <w:sz w:val="18"/>
              </w:rPr>
              <w:t>TH12</w:t>
            </w:r>
          </w:p>
        </w:tc>
        <w:tc>
          <w:tcPr>
            <w:tcW w:w="1871" w:type="dxa"/>
          </w:tcPr>
          <w:p>
            <w:pPr>
              <w:pStyle w:val="TableParagraph"/>
              <w:spacing w:line="216" w:lineRule="exact" w:before="56"/>
              <w:ind w:right="145"/>
              <w:jc w:val="right"/>
              <w:rPr>
                <w:sz w:val="18"/>
              </w:rPr>
            </w:pPr>
            <w:r>
              <w:rPr>
                <w:color w:val="231F20"/>
                <w:sz w:val="18"/>
              </w:rPr>
              <w:t>6461 Barrie Road</w:t>
            </w:r>
          </w:p>
        </w:tc>
        <w:tc>
          <w:tcPr>
            <w:tcW w:w="688" w:type="dxa"/>
          </w:tcPr>
          <w:p>
            <w:pPr>
              <w:pStyle w:val="TableParagraph"/>
              <w:spacing w:line="216" w:lineRule="exact" w:before="56"/>
              <w:ind w:left="145"/>
              <w:rPr>
                <w:sz w:val="18"/>
              </w:rPr>
            </w:pPr>
            <w:r>
              <w:rPr>
                <w:color w:val="231F20"/>
                <w:sz w:val="18"/>
              </w:rPr>
              <w:t>**</w:t>
            </w:r>
          </w:p>
        </w:tc>
        <w:tc>
          <w:tcPr>
            <w:tcW w:w="1106" w:type="dxa"/>
          </w:tcPr>
          <w:p>
            <w:pPr>
              <w:pStyle w:val="TableParagraph"/>
              <w:spacing w:line="216" w:lineRule="exact" w:before="56"/>
              <w:ind w:right="274"/>
              <w:jc w:val="right"/>
              <w:rPr>
                <w:sz w:val="18"/>
              </w:rPr>
            </w:pPr>
            <w:r>
              <w:rPr>
                <w:color w:val="231F20"/>
                <w:sz w:val="18"/>
              </w:rPr>
              <w:t>2BR</w:t>
            </w:r>
          </w:p>
        </w:tc>
        <w:tc>
          <w:tcPr>
            <w:tcW w:w="1295" w:type="dxa"/>
          </w:tcPr>
          <w:p>
            <w:pPr>
              <w:pStyle w:val="TableParagraph"/>
              <w:spacing w:line="216" w:lineRule="exact" w:before="56"/>
              <w:ind w:left="276"/>
              <w:rPr>
                <w:sz w:val="18"/>
              </w:rPr>
            </w:pPr>
            <w:r>
              <w:rPr>
                <w:color w:val="231F20"/>
                <w:sz w:val="18"/>
              </w:rPr>
              <w:t>4 + 1½ Bath</w:t>
            </w:r>
          </w:p>
        </w:tc>
        <w:tc>
          <w:tcPr>
            <w:tcW w:w="1329" w:type="dxa"/>
          </w:tcPr>
          <w:p>
            <w:pPr>
              <w:pStyle w:val="TableParagraph"/>
              <w:spacing w:line="216" w:lineRule="exact" w:before="56"/>
              <w:ind w:left="587"/>
              <w:rPr>
                <w:sz w:val="18"/>
              </w:rPr>
            </w:pPr>
            <w:r>
              <w:rPr>
                <w:color w:val="231F20"/>
                <w:sz w:val="18"/>
              </w:rPr>
              <w:t>1,084</w:t>
            </w:r>
          </w:p>
        </w:tc>
        <w:tc>
          <w:tcPr>
            <w:tcW w:w="1192" w:type="dxa"/>
          </w:tcPr>
          <w:p>
            <w:pPr>
              <w:pStyle w:val="TableParagraph"/>
              <w:spacing w:line="216" w:lineRule="exact" w:before="56"/>
              <w:ind w:right="104"/>
              <w:jc w:val="right"/>
              <w:rPr>
                <w:sz w:val="18"/>
              </w:rPr>
            </w:pPr>
            <w:r>
              <w:rPr>
                <w:color w:val="231F20"/>
                <w:sz w:val="18"/>
              </w:rPr>
              <w:t>1,100.00</w:t>
            </w:r>
          </w:p>
        </w:tc>
        <w:tc>
          <w:tcPr>
            <w:tcW w:w="1195" w:type="dxa"/>
          </w:tcPr>
          <w:p>
            <w:pPr>
              <w:pStyle w:val="TableParagraph"/>
              <w:spacing w:line="216" w:lineRule="exact" w:before="56"/>
              <w:ind w:left="392"/>
              <w:rPr>
                <w:sz w:val="18"/>
              </w:rPr>
            </w:pPr>
            <w:r>
              <w:rPr>
                <w:color w:val="231F20"/>
                <w:sz w:val="18"/>
              </w:rPr>
              <w:t>0.360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6463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6465 Barrie Road</w:t>
            </w:r>
          </w:p>
        </w:tc>
        <w:tc>
          <w:tcPr>
            <w:tcW w:w="688"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4"/>
              <w:jc w:val="right"/>
              <w:rPr>
                <w:sz w:val="18"/>
              </w:rPr>
            </w:pPr>
            <w:r>
              <w:rPr>
                <w:color w:val="231F20"/>
                <w:sz w:val="18"/>
              </w:rPr>
              <w:t>2BR</w:t>
            </w:r>
          </w:p>
        </w:tc>
        <w:tc>
          <w:tcPr>
            <w:tcW w:w="1295" w:type="dxa"/>
          </w:tcPr>
          <w:p>
            <w:pPr>
              <w:pStyle w:val="TableParagraph"/>
              <w:spacing w:line="201" w:lineRule="exact"/>
              <w:ind w:left="276"/>
              <w:rPr>
                <w:sz w:val="18"/>
              </w:rPr>
            </w:pPr>
            <w:r>
              <w:rPr>
                <w:color w:val="231F20"/>
                <w:sz w:val="18"/>
              </w:rPr>
              <w:t>4 + 1½ Bath</w:t>
            </w:r>
          </w:p>
        </w:tc>
        <w:tc>
          <w:tcPr>
            <w:tcW w:w="1329" w:type="dxa"/>
          </w:tcPr>
          <w:p>
            <w:pPr>
              <w:pStyle w:val="TableParagraph"/>
              <w:spacing w:line="201" w:lineRule="exact"/>
              <w:ind w:left="724"/>
              <w:rPr>
                <w:sz w:val="18"/>
              </w:rPr>
            </w:pPr>
            <w:r>
              <w:rPr>
                <w:color w:val="231F20"/>
                <w:sz w:val="18"/>
              </w:rPr>
              <w:t>918</w:t>
            </w:r>
          </w:p>
        </w:tc>
        <w:tc>
          <w:tcPr>
            <w:tcW w:w="1192" w:type="dxa"/>
          </w:tcPr>
          <w:p>
            <w:pPr>
              <w:pStyle w:val="TableParagraph"/>
              <w:spacing w:line="201" w:lineRule="exact"/>
              <w:ind w:right="104"/>
              <w:jc w:val="right"/>
              <w:rPr>
                <w:sz w:val="18"/>
              </w:rPr>
            </w:pPr>
            <w:r>
              <w:rPr>
                <w:color w:val="231F20"/>
                <w:sz w:val="18"/>
              </w:rPr>
              <w:t>900.00</w:t>
            </w:r>
          </w:p>
        </w:tc>
        <w:tc>
          <w:tcPr>
            <w:tcW w:w="1195" w:type="dxa"/>
          </w:tcPr>
          <w:p>
            <w:pPr>
              <w:pStyle w:val="TableParagraph"/>
              <w:spacing w:line="201" w:lineRule="exact"/>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6467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6469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6471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918</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6473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587"/>
              <w:rPr>
                <w:sz w:val="18"/>
              </w:rPr>
            </w:pPr>
            <w:r>
              <w:rPr>
                <w:color w:val="231F20"/>
                <w:sz w:val="18"/>
              </w:rPr>
              <w:t>1,084</w:t>
            </w:r>
          </w:p>
        </w:tc>
        <w:tc>
          <w:tcPr>
            <w:tcW w:w="1192" w:type="dxa"/>
          </w:tcPr>
          <w:p>
            <w:pPr>
              <w:pStyle w:val="TableParagraph"/>
              <w:ind w:right="104"/>
              <w:jc w:val="right"/>
              <w:rPr>
                <w:sz w:val="18"/>
              </w:rPr>
            </w:pPr>
            <w:r>
              <w:rPr>
                <w:color w:val="231F20"/>
                <w:sz w:val="18"/>
              </w:rPr>
              <w:t>1,100.00</w:t>
            </w:r>
          </w:p>
        </w:tc>
        <w:tc>
          <w:tcPr>
            <w:tcW w:w="1195" w:type="dxa"/>
          </w:tcPr>
          <w:p>
            <w:pPr>
              <w:pStyle w:val="TableParagraph"/>
              <w:ind w:left="392"/>
              <w:rPr>
                <w:sz w:val="18"/>
              </w:rPr>
            </w:pPr>
            <w:r>
              <w:rPr>
                <w:color w:val="231F20"/>
                <w:sz w:val="18"/>
              </w:rPr>
              <w:t>0.360</w:t>
            </w:r>
          </w:p>
        </w:tc>
      </w:tr>
      <w:tr>
        <w:trPr>
          <w:trHeight w:val="291" w:hRule="atLeast"/>
        </w:trPr>
        <w:tc>
          <w:tcPr>
            <w:tcW w:w="900" w:type="dxa"/>
          </w:tcPr>
          <w:p>
            <w:pPr>
              <w:pStyle w:val="TableParagraph"/>
              <w:spacing w:line="204" w:lineRule="exact"/>
              <w:ind w:left="108"/>
              <w:rPr>
                <w:sz w:val="18"/>
              </w:rPr>
            </w:pPr>
            <w:r>
              <w:rPr>
                <w:color w:val="231F20"/>
                <w:sz w:val="18"/>
              </w:rPr>
              <w:t>"</w:t>
            </w:r>
          </w:p>
        </w:tc>
        <w:tc>
          <w:tcPr>
            <w:tcW w:w="1871" w:type="dxa"/>
          </w:tcPr>
          <w:p>
            <w:pPr>
              <w:pStyle w:val="TableParagraph"/>
              <w:spacing w:line="204" w:lineRule="exact"/>
              <w:ind w:right="145"/>
              <w:jc w:val="right"/>
              <w:rPr>
                <w:sz w:val="18"/>
              </w:rPr>
            </w:pPr>
            <w:r>
              <w:rPr>
                <w:color w:val="231F20"/>
                <w:sz w:val="18"/>
              </w:rPr>
              <w:t>6475 Barrie Road</w:t>
            </w:r>
          </w:p>
        </w:tc>
        <w:tc>
          <w:tcPr>
            <w:tcW w:w="688" w:type="dxa"/>
          </w:tcPr>
          <w:p>
            <w:pPr>
              <w:pStyle w:val="TableParagraph"/>
              <w:spacing w:line="204" w:lineRule="exact"/>
              <w:ind w:left="145"/>
              <w:rPr>
                <w:sz w:val="18"/>
              </w:rPr>
            </w:pPr>
            <w:r>
              <w:rPr>
                <w:color w:val="231F20"/>
                <w:sz w:val="18"/>
              </w:rPr>
              <w:t>**</w:t>
            </w:r>
          </w:p>
        </w:tc>
        <w:tc>
          <w:tcPr>
            <w:tcW w:w="1106" w:type="dxa"/>
          </w:tcPr>
          <w:p>
            <w:pPr>
              <w:pStyle w:val="TableParagraph"/>
              <w:spacing w:line="204" w:lineRule="exact"/>
              <w:ind w:right="274"/>
              <w:jc w:val="right"/>
              <w:rPr>
                <w:sz w:val="18"/>
              </w:rPr>
            </w:pPr>
            <w:r>
              <w:rPr>
                <w:color w:val="231F20"/>
                <w:sz w:val="18"/>
              </w:rPr>
              <w:t>2BR</w:t>
            </w:r>
          </w:p>
        </w:tc>
        <w:tc>
          <w:tcPr>
            <w:tcW w:w="1295" w:type="dxa"/>
          </w:tcPr>
          <w:p>
            <w:pPr>
              <w:pStyle w:val="TableParagraph"/>
              <w:spacing w:line="204" w:lineRule="exact"/>
              <w:ind w:left="276"/>
              <w:rPr>
                <w:sz w:val="18"/>
              </w:rPr>
            </w:pPr>
            <w:r>
              <w:rPr>
                <w:color w:val="231F20"/>
                <w:sz w:val="18"/>
              </w:rPr>
              <w:t>4 + 1½ Bath</w:t>
            </w:r>
          </w:p>
        </w:tc>
        <w:tc>
          <w:tcPr>
            <w:tcW w:w="1329" w:type="dxa"/>
          </w:tcPr>
          <w:p>
            <w:pPr>
              <w:pStyle w:val="TableParagraph"/>
              <w:spacing w:line="204" w:lineRule="exact"/>
              <w:ind w:left="587"/>
              <w:rPr>
                <w:sz w:val="18"/>
              </w:rPr>
            </w:pPr>
            <w:r>
              <w:rPr>
                <w:color w:val="231F20"/>
                <w:sz w:val="18"/>
              </w:rPr>
              <w:t>1,084</w:t>
            </w:r>
          </w:p>
        </w:tc>
        <w:tc>
          <w:tcPr>
            <w:tcW w:w="1192" w:type="dxa"/>
          </w:tcPr>
          <w:p>
            <w:pPr>
              <w:pStyle w:val="TableParagraph"/>
              <w:spacing w:line="204" w:lineRule="exact"/>
              <w:ind w:right="104"/>
              <w:jc w:val="right"/>
              <w:rPr>
                <w:sz w:val="18"/>
              </w:rPr>
            </w:pPr>
            <w:r>
              <w:rPr>
                <w:color w:val="231F20"/>
                <w:sz w:val="18"/>
              </w:rPr>
              <w:t>1,100.00</w:t>
            </w:r>
          </w:p>
        </w:tc>
        <w:tc>
          <w:tcPr>
            <w:tcW w:w="1195" w:type="dxa"/>
          </w:tcPr>
          <w:p>
            <w:pPr>
              <w:pStyle w:val="TableParagraph"/>
              <w:spacing w:line="204" w:lineRule="exact"/>
              <w:ind w:left="392"/>
              <w:rPr>
                <w:sz w:val="18"/>
              </w:rPr>
            </w:pPr>
            <w:r>
              <w:rPr>
                <w:color w:val="231F20"/>
                <w:sz w:val="18"/>
              </w:rPr>
              <w:t>0.360</w:t>
            </w:r>
          </w:p>
        </w:tc>
      </w:tr>
      <w:tr>
        <w:trPr>
          <w:trHeight w:val="291" w:hRule="atLeast"/>
        </w:trPr>
        <w:tc>
          <w:tcPr>
            <w:tcW w:w="900" w:type="dxa"/>
          </w:tcPr>
          <w:p>
            <w:pPr>
              <w:pStyle w:val="TableParagraph"/>
              <w:spacing w:line="217" w:lineRule="exact" w:before="55"/>
              <w:ind w:left="108"/>
              <w:rPr>
                <w:sz w:val="18"/>
              </w:rPr>
            </w:pPr>
            <w:r>
              <w:rPr>
                <w:color w:val="231F20"/>
                <w:sz w:val="18"/>
              </w:rPr>
              <w:t>TH13</w:t>
            </w:r>
          </w:p>
        </w:tc>
        <w:tc>
          <w:tcPr>
            <w:tcW w:w="1871" w:type="dxa"/>
          </w:tcPr>
          <w:p>
            <w:pPr>
              <w:pStyle w:val="TableParagraph"/>
              <w:spacing w:line="217" w:lineRule="exact" w:before="55"/>
              <w:ind w:right="145"/>
              <w:jc w:val="right"/>
              <w:rPr>
                <w:sz w:val="18"/>
              </w:rPr>
            </w:pPr>
            <w:r>
              <w:rPr>
                <w:color w:val="231F20"/>
                <w:sz w:val="18"/>
              </w:rPr>
              <w:t>6477 Barrie Road</w:t>
            </w:r>
          </w:p>
        </w:tc>
        <w:tc>
          <w:tcPr>
            <w:tcW w:w="688" w:type="dxa"/>
          </w:tcPr>
          <w:p>
            <w:pPr>
              <w:pStyle w:val="TableParagraph"/>
              <w:spacing w:line="217" w:lineRule="exact" w:before="55"/>
              <w:ind w:left="145"/>
              <w:rPr>
                <w:sz w:val="18"/>
              </w:rPr>
            </w:pPr>
            <w:r>
              <w:rPr>
                <w:color w:val="231F20"/>
                <w:sz w:val="18"/>
              </w:rPr>
              <w:t>**</w:t>
            </w:r>
          </w:p>
        </w:tc>
        <w:tc>
          <w:tcPr>
            <w:tcW w:w="1106" w:type="dxa"/>
          </w:tcPr>
          <w:p>
            <w:pPr>
              <w:pStyle w:val="TableParagraph"/>
              <w:spacing w:line="217" w:lineRule="exact" w:before="55"/>
              <w:ind w:right="274"/>
              <w:jc w:val="right"/>
              <w:rPr>
                <w:sz w:val="18"/>
              </w:rPr>
            </w:pPr>
            <w:r>
              <w:rPr>
                <w:color w:val="231F20"/>
                <w:sz w:val="18"/>
              </w:rPr>
              <w:t>2BR</w:t>
            </w:r>
          </w:p>
        </w:tc>
        <w:tc>
          <w:tcPr>
            <w:tcW w:w="1295" w:type="dxa"/>
          </w:tcPr>
          <w:p>
            <w:pPr>
              <w:pStyle w:val="TableParagraph"/>
              <w:spacing w:line="217" w:lineRule="exact" w:before="55"/>
              <w:ind w:left="276"/>
              <w:rPr>
                <w:sz w:val="18"/>
              </w:rPr>
            </w:pPr>
            <w:r>
              <w:rPr>
                <w:color w:val="231F20"/>
                <w:sz w:val="18"/>
              </w:rPr>
              <w:t>4 + 1½ Bath</w:t>
            </w:r>
          </w:p>
        </w:tc>
        <w:tc>
          <w:tcPr>
            <w:tcW w:w="1329" w:type="dxa"/>
          </w:tcPr>
          <w:p>
            <w:pPr>
              <w:pStyle w:val="TableParagraph"/>
              <w:spacing w:line="217" w:lineRule="exact" w:before="55"/>
              <w:ind w:left="724"/>
              <w:rPr>
                <w:sz w:val="18"/>
              </w:rPr>
            </w:pPr>
            <w:r>
              <w:rPr>
                <w:color w:val="231F20"/>
                <w:sz w:val="18"/>
              </w:rPr>
              <w:t>909</w:t>
            </w:r>
          </w:p>
        </w:tc>
        <w:tc>
          <w:tcPr>
            <w:tcW w:w="1192" w:type="dxa"/>
          </w:tcPr>
          <w:p>
            <w:pPr>
              <w:pStyle w:val="TableParagraph"/>
              <w:spacing w:line="217" w:lineRule="exact" w:before="55"/>
              <w:ind w:right="104"/>
              <w:jc w:val="right"/>
              <w:rPr>
                <w:sz w:val="18"/>
              </w:rPr>
            </w:pPr>
            <w:r>
              <w:rPr>
                <w:color w:val="231F20"/>
                <w:sz w:val="18"/>
              </w:rPr>
              <w:t>900.00</w:t>
            </w:r>
          </w:p>
        </w:tc>
        <w:tc>
          <w:tcPr>
            <w:tcW w:w="1195" w:type="dxa"/>
          </w:tcPr>
          <w:p>
            <w:pPr>
              <w:pStyle w:val="TableParagraph"/>
              <w:spacing w:line="217" w:lineRule="exact" w:before="55"/>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6479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6481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6483 Barrie Road</w:t>
            </w:r>
          </w:p>
        </w:tc>
        <w:tc>
          <w:tcPr>
            <w:tcW w:w="688" w:type="dxa"/>
          </w:tcPr>
          <w:p>
            <w:pPr>
              <w:pStyle w:val="TableParagraph"/>
              <w:spacing w:line="201" w:lineRule="exact"/>
              <w:ind w:left="145"/>
              <w:rPr>
                <w:sz w:val="18"/>
              </w:rPr>
            </w:pPr>
            <w:r>
              <w:rPr>
                <w:color w:val="231F20"/>
                <w:sz w:val="18"/>
              </w:rPr>
              <w:t>**</w:t>
            </w:r>
          </w:p>
        </w:tc>
        <w:tc>
          <w:tcPr>
            <w:tcW w:w="1106" w:type="dxa"/>
          </w:tcPr>
          <w:p>
            <w:pPr>
              <w:pStyle w:val="TableParagraph"/>
              <w:spacing w:line="201" w:lineRule="exact"/>
              <w:ind w:right="274"/>
              <w:jc w:val="right"/>
              <w:rPr>
                <w:sz w:val="18"/>
              </w:rPr>
            </w:pPr>
            <w:r>
              <w:rPr>
                <w:color w:val="231F20"/>
                <w:sz w:val="18"/>
              </w:rPr>
              <w:t>2BR</w:t>
            </w:r>
          </w:p>
        </w:tc>
        <w:tc>
          <w:tcPr>
            <w:tcW w:w="1295" w:type="dxa"/>
          </w:tcPr>
          <w:p>
            <w:pPr>
              <w:pStyle w:val="TableParagraph"/>
              <w:spacing w:line="201" w:lineRule="exact"/>
              <w:ind w:left="276"/>
              <w:rPr>
                <w:sz w:val="18"/>
              </w:rPr>
            </w:pPr>
            <w:r>
              <w:rPr>
                <w:color w:val="231F20"/>
                <w:sz w:val="18"/>
              </w:rPr>
              <w:t>4 + 1½ Bath</w:t>
            </w:r>
          </w:p>
        </w:tc>
        <w:tc>
          <w:tcPr>
            <w:tcW w:w="1329" w:type="dxa"/>
          </w:tcPr>
          <w:p>
            <w:pPr>
              <w:pStyle w:val="TableParagraph"/>
              <w:spacing w:line="201" w:lineRule="exact"/>
              <w:ind w:left="724"/>
              <w:rPr>
                <w:sz w:val="18"/>
              </w:rPr>
            </w:pPr>
            <w:r>
              <w:rPr>
                <w:color w:val="231F20"/>
                <w:sz w:val="18"/>
              </w:rPr>
              <w:t>909</w:t>
            </w:r>
          </w:p>
        </w:tc>
        <w:tc>
          <w:tcPr>
            <w:tcW w:w="1192" w:type="dxa"/>
          </w:tcPr>
          <w:p>
            <w:pPr>
              <w:pStyle w:val="TableParagraph"/>
              <w:spacing w:line="201" w:lineRule="exact"/>
              <w:ind w:right="104"/>
              <w:jc w:val="right"/>
              <w:rPr>
                <w:sz w:val="18"/>
              </w:rPr>
            </w:pPr>
            <w:r>
              <w:rPr>
                <w:color w:val="231F20"/>
                <w:sz w:val="18"/>
              </w:rPr>
              <w:t>900.00</w:t>
            </w:r>
          </w:p>
        </w:tc>
        <w:tc>
          <w:tcPr>
            <w:tcW w:w="1195" w:type="dxa"/>
          </w:tcPr>
          <w:p>
            <w:pPr>
              <w:pStyle w:val="TableParagraph"/>
              <w:spacing w:line="201" w:lineRule="exact"/>
              <w:ind w:left="392"/>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6485 Barrie Road</w:t>
            </w:r>
          </w:p>
        </w:tc>
        <w:tc>
          <w:tcPr>
            <w:tcW w:w="688" w:type="dxa"/>
          </w:tcPr>
          <w:p>
            <w:pPr>
              <w:pStyle w:val="TableParagraph"/>
              <w:ind w:left="145"/>
              <w:rPr>
                <w:sz w:val="18"/>
              </w:rPr>
            </w:pPr>
            <w:r>
              <w:rPr>
                <w:color w:val="231F20"/>
                <w:sz w:val="18"/>
              </w:rPr>
              <w:t>**</w:t>
            </w:r>
          </w:p>
        </w:tc>
        <w:tc>
          <w:tcPr>
            <w:tcW w:w="1106" w:type="dxa"/>
          </w:tcPr>
          <w:p>
            <w:pPr>
              <w:pStyle w:val="TableParagraph"/>
              <w:ind w:right="274"/>
              <w:jc w:val="right"/>
              <w:rPr>
                <w:sz w:val="18"/>
              </w:rPr>
            </w:pPr>
            <w:r>
              <w:rPr>
                <w:color w:val="231F20"/>
                <w:sz w:val="18"/>
              </w:rPr>
              <w:t>2BR</w:t>
            </w:r>
          </w:p>
        </w:tc>
        <w:tc>
          <w:tcPr>
            <w:tcW w:w="1295" w:type="dxa"/>
          </w:tcPr>
          <w:p>
            <w:pPr>
              <w:pStyle w:val="TableParagraph"/>
              <w:ind w:left="276"/>
              <w:rPr>
                <w:sz w:val="18"/>
              </w:rPr>
            </w:pPr>
            <w:r>
              <w:rPr>
                <w:color w:val="231F20"/>
                <w:sz w:val="18"/>
              </w:rPr>
              <w:t>4 + 1½ Bath</w:t>
            </w:r>
          </w:p>
        </w:tc>
        <w:tc>
          <w:tcPr>
            <w:tcW w:w="1329" w:type="dxa"/>
          </w:tcPr>
          <w:p>
            <w:pPr>
              <w:pStyle w:val="TableParagraph"/>
              <w:ind w:left="724"/>
              <w:rPr>
                <w:sz w:val="18"/>
              </w:rPr>
            </w:pPr>
            <w:r>
              <w:rPr>
                <w:color w:val="231F20"/>
                <w:sz w:val="18"/>
              </w:rPr>
              <w:t>909</w:t>
            </w:r>
          </w:p>
        </w:tc>
        <w:tc>
          <w:tcPr>
            <w:tcW w:w="1192" w:type="dxa"/>
          </w:tcPr>
          <w:p>
            <w:pPr>
              <w:pStyle w:val="TableParagraph"/>
              <w:ind w:right="104"/>
              <w:jc w:val="right"/>
              <w:rPr>
                <w:sz w:val="18"/>
              </w:rPr>
            </w:pPr>
            <w:r>
              <w:rPr>
                <w:color w:val="231F20"/>
                <w:sz w:val="18"/>
              </w:rPr>
              <w:t>900.00</w:t>
            </w:r>
          </w:p>
        </w:tc>
        <w:tc>
          <w:tcPr>
            <w:tcW w:w="1195" w:type="dxa"/>
          </w:tcPr>
          <w:p>
            <w:pPr>
              <w:pStyle w:val="TableParagraph"/>
              <w:ind w:left="392"/>
              <w:rPr>
                <w:sz w:val="18"/>
              </w:rPr>
            </w:pPr>
            <w:r>
              <w:rPr>
                <w:color w:val="231F20"/>
                <w:sz w:val="18"/>
              </w:rPr>
              <w:t>0.290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1" w:type="dxa"/>
          </w:tcPr>
          <w:p>
            <w:pPr>
              <w:pStyle w:val="TableParagraph"/>
              <w:spacing w:line="179" w:lineRule="exact"/>
              <w:ind w:right="145"/>
              <w:jc w:val="right"/>
              <w:rPr>
                <w:sz w:val="18"/>
              </w:rPr>
            </w:pPr>
            <w:r>
              <w:rPr>
                <w:color w:val="231F20"/>
                <w:sz w:val="18"/>
              </w:rPr>
              <w:t>6487 Barrie Road</w:t>
            </w:r>
          </w:p>
        </w:tc>
        <w:tc>
          <w:tcPr>
            <w:tcW w:w="688" w:type="dxa"/>
          </w:tcPr>
          <w:p>
            <w:pPr>
              <w:pStyle w:val="TableParagraph"/>
              <w:spacing w:line="179" w:lineRule="exact"/>
              <w:ind w:left="145"/>
              <w:rPr>
                <w:sz w:val="18"/>
              </w:rPr>
            </w:pPr>
            <w:r>
              <w:rPr>
                <w:color w:val="231F20"/>
                <w:sz w:val="18"/>
              </w:rPr>
              <w:t>**</w:t>
            </w:r>
          </w:p>
        </w:tc>
        <w:tc>
          <w:tcPr>
            <w:tcW w:w="1106" w:type="dxa"/>
          </w:tcPr>
          <w:p>
            <w:pPr>
              <w:pStyle w:val="TableParagraph"/>
              <w:spacing w:line="179" w:lineRule="exact"/>
              <w:ind w:right="274"/>
              <w:jc w:val="right"/>
              <w:rPr>
                <w:sz w:val="18"/>
              </w:rPr>
            </w:pPr>
            <w:r>
              <w:rPr>
                <w:color w:val="231F20"/>
                <w:sz w:val="18"/>
              </w:rPr>
              <w:t>2BR</w:t>
            </w:r>
          </w:p>
        </w:tc>
        <w:tc>
          <w:tcPr>
            <w:tcW w:w="1295" w:type="dxa"/>
          </w:tcPr>
          <w:p>
            <w:pPr>
              <w:pStyle w:val="TableParagraph"/>
              <w:spacing w:line="179" w:lineRule="exact"/>
              <w:ind w:left="276"/>
              <w:rPr>
                <w:sz w:val="18"/>
              </w:rPr>
            </w:pPr>
            <w:r>
              <w:rPr>
                <w:color w:val="231F20"/>
                <w:sz w:val="18"/>
              </w:rPr>
              <w:t>4 + 1½ Bath</w:t>
            </w:r>
          </w:p>
        </w:tc>
        <w:tc>
          <w:tcPr>
            <w:tcW w:w="1329" w:type="dxa"/>
          </w:tcPr>
          <w:p>
            <w:pPr>
              <w:pStyle w:val="TableParagraph"/>
              <w:spacing w:line="179" w:lineRule="exact"/>
              <w:ind w:left="724"/>
              <w:rPr>
                <w:sz w:val="18"/>
              </w:rPr>
            </w:pPr>
            <w:r>
              <w:rPr>
                <w:color w:val="231F20"/>
                <w:sz w:val="18"/>
              </w:rPr>
              <w:t>909</w:t>
            </w:r>
          </w:p>
        </w:tc>
        <w:tc>
          <w:tcPr>
            <w:tcW w:w="1192" w:type="dxa"/>
          </w:tcPr>
          <w:p>
            <w:pPr>
              <w:pStyle w:val="TableParagraph"/>
              <w:spacing w:line="179" w:lineRule="exact"/>
              <w:ind w:right="104"/>
              <w:jc w:val="right"/>
              <w:rPr>
                <w:sz w:val="18"/>
              </w:rPr>
            </w:pPr>
            <w:r>
              <w:rPr>
                <w:color w:val="231F20"/>
                <w:sz w:val="18"/>
              </w:rPr>
              <w:t>900.00</w:t>
            </w:r>
          </w:p>
        </w:tc>
        <w:tc>
          <w:tcPr>
            <w:tcW w:w="1195" w:type="dxa"/>
          </w:tcPr>
          <w:p>
            <w:pPr>
              <w:pStyle w:val="TableParagraph"/>
              <w:spacing w:line="179" w:lineRule="exact"/>
              <w:ind w:left="392"/>
              <w:rPr>
                <w:sz w:val="18"/>
              </w:rPr>
            </w:pPr>
            <w:r>
              <w:rPr>
                <w:color w:val="231F20"/>
                <w:sz w:val="18"/>
              </w:rPr>
              <w:t>0.290</w:t>
            </w:r>
          </w:p>
        </w:tc>
      </w:tr>
    </w:tbl>
    <w:p>
      <w:pPr>
        <w:rPr>
          <w:sz w:val="2"/>
          <w:szCs w:val="2"/>
        </w:rPr>
      </w:pPr>
      <w:r>
        <w:rPr/>
        <w:drawing>
          <wp:anchor distT="0" distB="0" distL="0" distR="0" allowOverlap="1" layoutInCell="1" locked="0" behindDoc="1" simplePos="0" relativeHeight="241664000">
            <wp:simplePos x="0" y="0"/>
            <wp:positionH relativeFrom="page">
              <wp:posOffset>846124</wp:posOffset>
            </wp:positionH>
            <wp:positionV relativeFrom="page">
              <wp:posOffset>1803146</wp:posOffset>
            </wp:positionV>
            <wp:extent cx="6082296" cy="6096"/>
            <wp:effectExtent l="0" t="0" r="0" b="0"/>
            <wp:wrapNone/>
            <wp:docPr id="17" name="image5.png"/>
            <wp:cNvGraphicFramePr>
              <a:graphicFrameLocks noChangeAspect="1"/>
            </wp:cNvGraphicFramePr>
            <a:graphic>
              <a:graphicData uri="http://schemas.openxmlformats.org/drawingml/2006/picture">
                <pic:pic>
                  <pic:nvPicPr>
                    <pic:cNvPr id="18" name="image5.png"/>
                    <pic:cNvPicPr/>
                  </pic:nvPicPr>
                  <pic:blipFill>
                    <a:blip r:embed="rId14" cstate="print"/>
                    <a:stretch>
                      <a:fillRect/>
                    </a:stretch>
                  </pic:blipFill>
                  <pic:spPr>
                    <a:xfrm>
                      <a:off x="0" y="0"/>
                      <a:ext cx="6082296" cy="6096"/>
                    </a:xfrm>
                    <a:prstGeom prst="rect">
                      <a:avLst/>
                    </a:prstGeom>
                  </pic:spPr>
                </pic:pic>
              </a:graphicData>
            </a:graphic>
          </wp:anchor>
        </w:drawing>
      </w:r>
    </w:p>
    <w:p>
      <w:pPr>
        <w:spacing w:after="0"/>
        <w:rPr>
          <w:sz w:val="2"/>
          <w:szCs w:val="2"/>
        </w:rPr>
        <w:sectPr>
          <w:pgSz w:w="12240" w:h="15840"/>
          <w:pgMar w:header="0" w:footer="868" w:top="1480" w:bottom="1140" w:left="1220" w:right="480"/>
        </w:sectPr>
      </w:pPr>
    </w:p>
    <w:tbl>
      <w:tblPr>
        <w:tblW w:w="0" w:type="auto"/>
        <w:jc w:val="left"/>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0"/>
        <w:gridCol w:w="1871"/>
        <w:gridCol w:w="689"/>
        <w:gridCol w:w="1107"/>
        <w:gridCol w:w="1296"/>
        <w:gridCol w:w="1330"/>
        <w:gridCol w:w="1192"/>
        <w:gridCol w:w="1195"/>
      </w:tblGrid>
      <w:tr>
        <w:trPr>
          <w:trHeight w:val="210"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9"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190" w:lineRule="exact"/>
              <w:ind w:left="164"/>
              <w:rPr>
                <w:sz w:val="20"/>
              </w:rPr>
            </w:pPr>
            <w:r>
              <w:rPr>
                <w:color w:val="231F20"/>
                <w:sz w:val="20"/>
              </w:rPr>
              <w:t>Approximate</w:t>
            </w:r>
          </w:p>
        </w:tc>
        <w:tc>
          <w:tcPr>
            <w:tcW w:w="1192" w:type="dxa"/>
          </w:tcPr>
          <w:p>
            <w:pPr>
              <w:pStyle w:val="TableParagraph"/>
              <w:spacing w:line="240" w:lineRule="auto"/>
              <w:rPr>
                <w:rFonts w:ascii="Times New Roman"/>
                <w:sz w:val="14"/>
              </w:rPr>
            </w:pPr>
          </w:p>
        </w:tc>
        <w:tc>
          <w:tcPr>
            <w:tcW w:w="1195" w:type="dxa"/>
          </w:tcPr>
          <w:p>
            <w:pPr>
              <w:pStyle w:val="TableParagraph"/>
              <w:spacing w:line="240" w:lineRule="auto"/>
              <w:rPr>
                <w:rFonts w:ascii="Times New Roman"/>
                <w:sz w:val="14"/>
              </w:rPr>
            </w:pPr>
          </w:p>
        </w:tc>
      </w:tr>
      <w:tr>
        <w:trPr>
          <w:trHeight w:val="220"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9"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Square</w:t>
            </w:r>
          </w:p>
        </w:tc>
        <w:tc>
          <w:tcPr>
            <w:tcW w:w="1192" w:type="dxa"/>
          </w:tcPr>
          <w:p>
            <w:pPr>
              <w:pStyle w:val="TableParagraph"/>
              <w:spacing w:line="240" w:lineRule="auto"/>
              <w:rPr>
                <w:rFonts w:ascii="Times New Roman"/>
                <w:sz w:val="14"/>
              </w:rPr>
            </w:pPr>
          </w:p>
        </w:tc>
        <w:tc>
          <w:tcPr>
            <w:tcW w:w="1195" w:type="dxa"/>
          </w:tcPr>
          <w:p>
            <w:pPr>
              <w:pStyle w:val="TableParagraph"/>
              <w:spacing w:line="240" w:lineRule="auto"/>
              <w:rPr>
                <w:rFonts w:ascii="Times New Roman"/>
                <w:sz w:val="14"/>
              </w:rPr>
            </w:pPr>
          </w:p>
        </w:tc>
      </w:tr>
      <w:tr>
        <w:trPr>
          <w:trHeight w:val="219" w:hRule="atLeast"/>
        </w:trPr>
        <w:tc>
          <w:tcPr>
            <w:tcW w:w="900" w:type="dxa"/>
          </w:tcPr>
          <w:p>
            <w:pPr>
              <w:pStyle w:val="TableParagraph"/>
              <w:spacing w:line="240" w:lineRule="auto"/>
              <w:rPr>
                <w:rFonts w:ascii="Times New Roman"/>
                <w:sz w:val="14"/>
              </w:rPr>
            </w:pPr>
          </w:p>
        </w:tc>
        <w:tc>
          <w:tcPr>
            <w:tcW w:w="1871" w:type="dxa"/>
          </w:tcPr>
          <w:p>
            <w:pPr>
              <w:pStyle w:val="TableParagraph"/>
              <w:spacing w:line="240" w:lineRule="auto"/>
              <w:rPr>
                <w:rFonts w:ascii="Times New Roman"/>
                <w:sz w:val="14"/>
              </w:rPr>
            </w:pPr>
          </w:p>
        </w:tc>
        <w:tc>
          <w:tcPr>
            <w:tcW w:w="689"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Footage Not</w:t>
            </w:r>
          </w:p>
        </w:tc>
        <w:tc>
          <w:tcPr>
            <w:tcW w:w="1192" w:type="dxa"/>
          </w:tcPr>
          <w:p>
            <w:pPr>
              <w:pStyle w:val="TableParagraph"/>
              <w:spacing w:line="240" w:lineRule="auto"/>
              <w:rPr>
                <w:rFonts w:ascii="Times New Roman"/>
                <w:sz w:val="14"/>
              </w:rPr>
            </w:pPr>
          </w:p>
        </w:tc>
        <w:tc>
          <w:tcPr>
            <w:tcW w:w="1195" w:type="dxa"/>
          </w:tcPr>
          <w:p>
            <w:pPr>
              <w:pStyle w:val="TableParagraph"/>
              <w:ind w:left="105"/>
              <w:rPr>
                <w:sz w:val="20"/>
              </w:rPr>
            </w:pPr>
            <w:r>
              <w:rPr>
                <w:color w:val="231F20"/>
                <w:sz w:val="20"/>
              </w:rPr>
              <w:t>Percentage</w:t>
            </w:r>
          </w:p>
        </w:tc>
      </w:tr>
      <w:tr>
        <w:trPr>
          <w:trHeight w:val="219" w:hRule="atLeast"/>
        </w:trPr>
        <w:tc>
          <w:tcPr>
            <w:tcW w:w="900" w:type="dxa"/>
          </w:tcPr>
          <w:p>
            <w:pPr>
              <w:pStyle w:val="TableParagraph"/>
              <w:ind w:left="108"/>
              <w:rPr>
                <w:sz w:val="20"/>
              </w:rPr>
            </w:pPr>
            <w:r>
              <w:rPr>
                <w:color w:val="231F20"/>
                <w:sz w:val="20"/>
              </w:rPr>
              <w:t>Apt.</w:t>
            </w:r>
          </w:p>
        </w:tc>
        <w:tc>
          <w:tcPr>
            <w:tcW w:w="1871" w:type="dxa"/>
          </w:tcPr>
          <w:p>
            <w:pPr>
              <w:pStyle w:val="TableParagraph"/>
              <w:ind w:left="388"/>
              <w:rPr>
                <w:sz w:val="20"/>
              </w:rPr>
            </w:pPr>
            <w:r>
              <w:rPr>
                <w:color w:val="231F20"/>
                <w:sz w:val="20"/>
              </w:rPr>
              <w:t>Apartment</w:t>
            </w:r>
          </w:p>
        </w:tc>
        <w:tc>
          <w:tcPr>
            <w:tcW w:w="689" w:type="dxa"/>
          </w:tcPr>
          <w:p>
            <w:pPr>
              <w:pStyle w:val="TableParagraph"/>
              <w:spacing w:line="240" w:lineRule="auto"/>
              <w:rPr>
                <w:rFonts w:ascii="Times New Roman"/>
                <w:sz w:val="14"/>
              </w:rPr>
            </w:pP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ind w:left="164"/>
              <w:rPr>
                <w:sz w:val="20"/>
              </w:rPr>
            </w:pPr>
            <w:r>
              <w:rPr>
                <w:color w:val="231F20"/>
                <w:sz w:val="20"/>
              </w:rPr>
              <w:t>Including</w:t>
            </w:r>
          </w:p>
        </w:tc>
        <w:tc>
          <w:tcPr>
            <w:tcW w:w="1192" w:type="dxa"/>
          </w:tcPr>
          <w:p>
            <w:pPr>
              <w:pStyle w:val="TableParagraph"/>
              <w:spacing w:line="240" w:lineRule="auto"/>
              <w:rPr>
                <w:rFonts w:ascii="Times New Roman"/>
                <w:sz w:val="14"/>
              </w:rPr>
            </w:pPr>
          </w:p>
        </w:tc>
        <w:tc>
          <w:tcPr>
            <w:tcW w:w="1195" w:type="dxa"/>
          </w:tcPr>
          <w:p>
            <w:pPr>
              <w:pStyle w:val="TableParagraph"/>
              <w:ind w:left="105"/>
              <w:rPr>
                <w:sz w:val="20"/>
              </w:rPr>
            </w:pPr>
            <w:r>
              <w:rPr>
                <w:color w:val="231F20"/>
                <w:sz w:val="20"/>
              </w:rPr>
              <w:t>of</w:t>
            </w:r>
          </w:p>
        </w:tc>
      </w:tr>
      <w:tr>
        <w:trPr>
          <w:trHeight w:val="220" w:hRule="atLeast"/>
        </w:trPr>
        <w:tc>
          <w:tcPr>
            <w:tcW w:w="900" w:type="dxa"/>
          </w:tcPr>
          <w:p>
            <w:pPr>
              <w:pStyle w:val="TableParagraph"/>
              <w:spacing w:line="201" w:lineRule="exact"/>
              <w:ind w:left="108"/>
              <w:rPr>
                <w:sz w:val="20"/>
              </w:rPr>
            </w:pPr>
            <w:r>
              <w:rPr>
                <w:color w:val="231F20"/>
                <w:sz w:val="20"/>
              </w:rPr>
              <w:t>Bldg.</w:t>
            </w:r>
          </w:p>
        </w:tc>
        <w:tc>
          <w:tcPr>
            <w:tcW w:w="1871" w:type="dxa"/>
          </w:tcPr>
          <w:p>
            <w:pPr>
              <w:pStyle w:val="TableParagraph"/>
              <w:spacing w:line="201" w:lineRule="exact"/>
              <w:ind w:left="388"/>
              <w:rPr>
                <w:sz w:val="20"/>
              </w:rPr>
            </w:pPr>
            <w:r>
              <w:rPr>
                <w:color w:val="231F20"/>
                <w:sz w:val="20"/>
              </w:rPr>
              <w:t>Building</w:t>
            </w:r>
          </w:p>
        </w:tc>
        <w:tc>
          <w:tcPr>
            <w:tcW w:w="689" w:type="dxa"/>
          </w:tcPr>
          <w:p>
            <w:pPr>
              <w:pStyle w:val="TableParagraph"/>
              <w:spacing w:line="201" w:lineRule="exact"/>
              <w:ind w:left="145"/>
              <w:rPr>
                <w:sz w:val="20"/>
              </w:rPr>
            </w:pPr>
            <w:r>
              <w:rPr>
                <w:color w:val="231F20"/>
                <w:sz w:val="20"/>
              </w:rPr>
              <w:t>Apt.</w:t>
            </w:r>
          </w:p>
        </w:tc>
        <w:tc>
          <w:tcPr>
            <w:tcW w:w="1107" w:type="dxa"/>
          </w:tcPr>
          <w:p>
            <w:pPr>
              <w:pStyle w:val="TableParagraph"/>
              <w:spacing w:line="240" w:lineRule="auto"/>
              <w:rPr>
                <w:rFonts w:ascii="Times New Roman"/>
                <w:sz w:val="14"/>
              </w:rPr>
            </w:pPr>
          </w:p>
        </w:tc>
        <w:tc>
          <w:tcPr>
            <w:tcW w:w="1296" w:type="dxa"/>
          </w:tcPr>
          <w:p>
            <w:pPr>
              <w:pStyle w:val="TableParagraph"/>
              <w:spacing w:line="240" w:lineRule="auto"/>
              <w:rPr>
                <w:rFonts w:ascii="Times New Roman"/>
                <w:sz w:val="14"/>
              </w:rPr>
            </w:pPr>
          </w:p>
        </w:tc>
        <w:tc>
          <w:tcPr>
            <w:tcW w:w="1330" w:type="dxa"/>
          </w:tcPr>
          <w:p>
            <w:pPr>
              <w:pStyle w:val="TableParagraph"/>
              <w:spacing w:line="201" w:lineRule="exact"/>
              <w:ind w:left="164"/>
              <w:rPr>
                <w:sz w:val="20"/>
              </w:rPr>
            </w:pPr>
            <w:r>
              <w:rPr>
                <w:color w:val="231F20"/>
                <w:sz w:val="20"/>
              </w:rPr>
              <w:t>Balcony or</w:t>
            </w:r>
          </w:p>
        </w:tc>
        <w:tc>
          <w:tcPr>
            <w:tcW w:w="1192" w:type="dxa"/>
          </w:tcPr>
          <w:p>
            <w:pPr>
              <w:pStyle w:val="TableParagraph"/>
              <w:spacing w:line="201" w:lineRule="exact"/>
              <w:ind w:left="106"/>
              <w:rPr>
                <w:sz w:val="20"/>
              </w:rPr>
            </w:pPr>
            <w:r>
              <w:rPr>
                <w:color w:val="231F20"/>
                <w:sz w:val="20"/>
              </w:rPr>
              <w:t>Declared</w:t>
            </w:r>
          </w:p>
        </w:tc>
        <w:tc>
          <w:tcPr>
            <w:tcW w:w="1195" w:type="dxa"/>
          </w:tcPr>
          <w:p>
            <w:pPr>
              <w:pStyle w:val="TableParagraph"/>
              <w:spacing w:line="201" w:lineRule="exact"/>
              <w:ind w:left="105"/>
              <w:rPr>
                <w:sz w:val="20"/>
              </w:rPr>
            </w:pPr>
            <w:r>
              <w:rPr>
                <w:color w:val="231F20"/>
                <w:sz w:val="20"/>
              </w:rPr>
              <w:t>Undivided</w:t>
            </w:r>
          </w:p>
        </w:tc>
      </w:tr>
      <w:tr>
        <w:trPr>
          <w:trHeight w:val="263" w:hRule="atLeast"/>
        </w:trPr>
        <w:tc>
          <w:tcPr>
            <w:tcW w:w="900" w:type="dxa"/>
            <w:tcBorders>
              <w:bottom w:val="single" w:sz="4" w:space="0" w:color="000000"/>
            </w:tcBorders>
          </w:tcPr>
          <w:p>
            <w:pPr>
              <w:pStyle w:val="TableParagraph"/>
              <w:spacing w:line="214" w:lineRule="exact"/>
              <w:ind w:left="108"/>
              <w:rPr>
                <w:sz w:val="20"/>
              </w:rPr>
            </w:pPr>
            <w:r>
              <w:rPr>
                <w:color w:val="231F20"/>
                <w:sz w:val="20"/>
              </w:rPr>
              <w:t>No.</w:t>
            </w:r>
          </w:p>
        </w:tc>
        <w:tc>
          <w:tcPr>
            <w:tcW w:w="1871" w:type="dxa"/>
            <w:tcBorders>
              <w:bottom w:val="single" w:sz="4" w:space="0" w:color="000000"/>
            </w:tcBorders>
          </w:tcPr>
          <w:p>
            <w:pPr>
              <w:pStyle w:val="TableParagraph"/>
              <w:spacing w:line="214" w:lineRule="exact"/>
              <w:ind w:left="388"/>
              <w:rPr>
                <w:sz w:val="20"/>
              </w:rPr>
            </w:pPr>
            <w:r>
              <w:rPr>
                <w:color w:val="231F20"/>
                <w:sz w:val="20"/>
              </w:rPr>
              <w:t>Address</w:t>
            </w:r>
          </w:p>
        </w:tc>
        <w:tc>
          <w:tcPr>
            <w:tcW w:w="689" w:type="dxa"/>
            <w:tcBorders>
              <w:bottom w:val="single" w:sz="4" w:space="0" w:color="000000"/>
            </w:tcBorders>
          </w:tcPr>
          <w:p>
            <w:pPr>
              <w:pStyle w:val="TableParagraph"/>
              <w:spacing w:line="214" w:lineRule="exact"/>
              <w:ind w:left="145"/>
              <w:rPr>
                <w:sz w:val="20"/>
              </w:rPr>
            </w:pPr>
            <w:r>
              <w:rPr>
                <w:color w:val="231F20"/>
                <w:sz w:val="20"/>
              </w:rPr>
              <w:t>No.</w:t>
            </w:r>
          </w:p>
        </w:tc>
        <w:tc>
          <w:tcPr>
            <w:tcW w:w="1107" w:type="dxa"/>
            <w:tcBorders>
              <w:bottom w:val="single" w:sz="4" w:space="0" w:color="000000"/>
            </w:tcBorders>
          </w:tcPr>
          <w:p>
            <w:pPr>
              <w:pStyle w:val="TableParagraph"/>
              <w:spacing w:line="214" w:lineRule="exact"/>
              <w:ind w:left="202"/>
              <w:rPr>
                <w:sz w:val="20"/>
              </w:rPr>
            </w:pPr>
            <w:r>
              <w:rPr>
                <w:color w:val="231F20"/>
                <w:sz w:val="20"/>
              </w:rPr>
              <w:t>Type</w:t>
            </w:r>
          </w:p>
        </w:tc>
        <w:tc>
          <w:tcPr>
            <w:tcW w:w="1296" w:type="dxa"/>
            <w:tcBorders>
              <w:bottom w:val="single" w:sz="4" w:space="0" w:color="000000"/>
            </w:tcBorders>
          </w:tcPr>
          <w:p>
            <w:pPr>
              <w:pStyle w:val="TableParagraph"/>
              <w:spacing w:line="214" w:lineRule="exact"/>
              <w:ind w:left="274"/>
              <w:rPr>
                <w:sz w:val="20"/>
              </w:rPr>
            </w:pPr>
            <w:r>
              <w:rPr>
                <w:color w:val="231F20"/>
                <w:sz w:val="20"/>
              </w:rPr>
              <w:t>Rooms</w:t>
            </w:r>
          </w:p>
        </w:tc>
        <w:tc>
          <w:tcPr>
            <w:tcW w:w="1330" w:type="dxa"/>
            <w:tcBorders>
              <w:bottom w:val="single" w:sz="4" w:space="0" w:color="000000"/>
            </w:tcBorders>
          </w:tcPr>
          <w:p>
            <w:pPr>
              <w:pStyle w:val="TableParagraph"/>
              <w:spacing w:line="214" w:lineRule="exact"/>
              <w:ind w:left="164"/>
              <w:rPr>
                <w:sz w:val="20"/>
              </w:rPr>
            </w:pPr>
            <w:r>
              <w:rPr>
                <w:color w:val="231F20"/>
                <w:sz w:val="20"/>
              </w:rPr>
              <w:t>Patio</w:t>
            </w:r>
          </w:p>
        </w:tc>
        <w:tc>
          <w:tcPr>
            <w:tcW w:w="1192" w:type="dxa"/>
            <w:tcBorders>
              <w:bottom w:val="single" w:sz="4" w:space="0" w:color="000000"/>
            </w:tcBorders>
          </w:tcPr>
          <w:p>
            <w:pPr>
              <w:pStyle w:val="TableParagraph"/>
              <w:spacing w:line="214" w:lineRule="exact"/>
              <w:ind w:left="106"/>
              <w:rPr>
                <w:sz w:val="20"/>
              </w:rPr>
            </w:pPr>
            <w:r>
              <w:rPr>
                <w:color w:val="231F20"/>
                <w:sz w:val="20"/>
              </w:rPr>
              <w:t>Value</w:t>
            </w:r>
          </w:p>
        </w:tc>
        <w:tc>
          <w:tcPr>
            <w:tcW w:w="1195" w:type="dxa"/>
            <w:tcBorders>
              <w:bottom w:val="single" w:sz="4" w:space="0" w:color="000000"/>
            </w:tcBorders>
          </w:tcPr>
          <w:p>
            <w:pPr>
              <w:pStyle w:val="TableParagraph"/>
              <w:spacing w:line="214" w:lineRule="exact"/>
              <w:ind w:left="105"/>
              <w:rPr>
                <w:sz w:val="20"/>
              </w:rPr>
            </w:pPr>
            <w:r>
              <w:rPr>
                <w:color w:val="231F20"/>
                <w:sz w:val="20"/>
              </w:rPr>
              <w:t>Interest</w:t>
            </w:r>
          </w:p>
        </w:tc>
      </w:tr>
      <w:tr>
        <w:trPr>
          <w:trHeight w:val="370" w:hRule="atLeast"/>
        </w:trPr>
        <w:tc>
          <w:tcPr>
            <w:tcW w:w="900" w:type="dxa"/>
          </w:tcPr>
          <w:p>
            <w:pPr>
              <w:pStyle w:val="TableParagraph"/>
              <w:spacing w:line="217" w:lineRule="exact" w:before="128"/>
              <w:ind w:left="108"/>
              <w:rPr>
                <w:sz w:val="18"/>
              </w:rPr>
            </w:pPr>
            <w:r>
              <w:rPr>
                <w:color w:val="231F20"/>
                <w:sz w:val="18"/>
              </w:rPr>
              <w:t>TH14</w:t>
            </w:r>
          </w:p>
        </w:tc>
        <w:tc>
          <w:tcPr>
            <w:tcW w:w="1871" w:type="dxa"/>
          </w:tcPr>
          <w:p>
            <w:pPr>
              <w:pStyle w:val="TableParagraph"/>
              <w:spacing w:line="217" w:lineRule="exact" w:before="128"/>
              <w:ind w:right="145"/>
              <w:jc w:val="right"/>
              <w:rPr>
                <w:sz w:val="18"/>
              </w:rPr>
            </w:pPr>
            <w:r>
              <w:rPr>
                <w:color w:val="231F20"/>
                <w:sz w:val="18"/>
              </w:rPr>
              <w:t>6489 Barrie Road</w:t>
            </w:r>
          </w:p>
        </w:tc>
        <w:tc>
          <w:tcPr>
            <w:tcW w:w="689" w:type="dxa"/>
          </w:tcPr>
          <w:p>
            <w:pPr>
              <w:pStyle w:val="TableParagraph"/>
              <w:spacing w:line="217" w:lineRule="exact" w:before="128"/>
              <w:ind w:left="145"/>
              <w:rPr>
                <w:sz w:val="18"/>
              </w:rPr>
            </w:pPr>
            <w:r>
              <w:rPr>
                <w:color w:val="231F20"/>
                <w:sz w:val="18"/>
              </w:rPr>
              <w:t>**</w:t>
            </w:r>
          </w:p>
        </w:tc>
        <w:tc>
          <w:tcPr>
            <w:tcW w:w="1107" w:type="dxa"/>
          </w:tcPr>
          <w:p>
            <w:pPr>
              <w:pStyle w:val="TableParagraph"/>
              <w:spacing w:line="217" w:lineRule="exact" w:before="128"/>
              <w:ind w:right="276"/>
              <w:jc w:val="right"/>
              <w:rPr>
                <w:sz w:val="18"/>
              </w:rPr>
            </w:pPr>
            <w:r>
              <w:rPr>
                <w:color w:val="231F20"/>
                <w:sz w:val="18"/>
              </w:rPr>
              <w:t>2BR</w:t>
            </w:r>
          </w:p>
        </w:tc>
        <w:tc>
          <w:tcPr>
            <w:tcW w:w="1296" w:type="dxa"/>
          </w:tcPr>
          <w:p>
            <w:pPr>
              <w:pStyle w:val="TableParagraph"/>
              <w:spacing w:line="217" w:lineRule="exact" w:before="128"/>
              <w:ind w:left="274"/>
              <w:rPr>
                <w:sz w:val="18"/>
              </w:rPr>
            </w:pPr>
            <w:r>
              <w:rPr>
                <w:color w:val="231F20"/>
                <w:sz w:val="18"/>
              </w:rPr>
              <w:t>4 + 1½ Bath</w:t>
            </w:r>
          </w:p>
        </w:tc>
        <w:tc>
          <w:tcPr>
            <w:tcW w:w="1330" w:type="dxa"/>
          </w:tcPr>
          <w:p>
            <w:pPr>
              <w:pStyle w:val="TableParagraph"/>
              <w:spacing w:line="217" w:lineRule="exact" w:before="128"/>
              <w:ind w:left="721"/>
              <w:rPr>
                <w:sz w:val="18"/>
              </w:rPr>
            </w:pPr>
            <w:r>
              <w:rPr>
                <w:color w:val="231F20"/>
                <w:sz w:val="18"/>
              </w:rPr>
              <w:t>909</w:t>
            </w:r>
          </w:p>
        </w:tc>
        <w:tc>
          <w:tcPr>
            <w:tcW w:w="1192" w:type="dxa"/>
          </w:tcPr>
          <w:p>
            <w:pPr>
              <w:pStyle w:val="TableParagraph"/>
              <w:spacing w:line="217" w:lineRule="exact" w:before="128"/>
              <w:ind w:right="108"/>
              <w:jc w:val="right"/>
              <w:rPr>
                <w:sz w:val="18"/>
              </w:rPr>
            </w:pPr>
            <w:r>
              <w:rPr>
                <w:color w:val="231F20"/>
                <w:sz w:val="18"/>
              </w:rPr>
              <w:t>$900.00</w:t>
            </w:r>
          </w:p>
        </w:tc>
        <w:tc>
          <w:tcPr>
            <w:tcW w:w="1195" w:type="dxa"/>
          </w:tcPr>
          <w:p>
            <w:pPr>
              <w:pStyle w:val="TableParagraph"/>
              <w:spacing w:line="217" w:lineRule="exact" w:before="128"/>
              <w:ind w:left="388"/>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6491 Barrie Road</w:t>
            </w:r>
          </w:p>
        </w:tc>
        <w:tc>
          <w:tcPr>
            <w:tcW w:w="689" w:type="dxa"/>
          </w:tcPr>
          <w:p>
            <w:pPr>
              <w:pStyle w:val="TableParagraph"/>
              <w:ind w:left="145"/>
              <w:rPr>
                <w:sz w:val="18"/>
              </w:rPr>
            </w:pPr>
            <w:r>
              <w:rPr>
                <w:color w:val="231F20"/>
                <w:sz w:val="18"/>
              </w:rPr>
              <w:t>**</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721"/>
              <w:rPr>
                <w:sz w:val="18"/>
              </w:rPr>
            </w:pPr>
            <w:r>
              <w:rPr>
                <w:color w:val="231F20"/>
                <w:sz w:val="18"/>
              </w:rPr>
              <w:t>909</w:t>
            </w:r>
          </w:p>
        </w:tc>
        <w:tc>
          <w:tcPr>
            <w:tcW w:w="1192" w:type="dxa"/>
          </w:tcPr>
          <w:p>
            <w:pPr>
              <w:pStyle w:val="TableParagraph"/>
              <w:ind w:right="108"/>
              <w:jc w:val="right"/>
              <w:rPr>
                <w:sz w:val="18"/>
              </w:rPr>
            </w:pPr>
            <w:r>
              <w:rPr>
                <w:color w:val="231F20"/>
                <w:sz w:val="18"/>
              </w:rPr>
              <w:t>900.00</w:t>
            </w:r>
          </w:p>
        </w:tc>
        <w:tc>
          <w:tcPr>
            <w:tcW w:w="1195" w:type="dxa"/>
          </w:tcPr>
          <w:p>
            <w:pPr>
              <w:pStyle w:val="TableParagraph"/>
              <w:ind w:left="388"/>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6493 Barrie Road</w:t>
            </w:r>
          </w:p>
        </w:tc>
        <w:tc>
          <w:tcPr>
            <w:tcW w:w="689" w:type="dxa"/>
          </w:tcPr>
          <w:p>
            <w:pPr>
              <w:pStyle w:val="TableParagraph"/>
              <w:ind w:left="145"/>
              <w:rPr>
                <w:sz w:val="18"/>
              </w:rPr>
            </w:pPr>
            <w:r>
              <w:rPr>
                <w:color w:val="231F20"/>
                <w:sz w:val="18"/>
              </w:rPr>
              <w:t>**</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721"/>
              <w:rPr>
                <w:sz w:val="18"/>
              </w:rPr>
            </w:pPr>
            <w:r>
              <w:rPr>
                <w:color w:val="231F20"/>
                <w:sz w:val="18"/>
              </w:rPr>
              <w:t>909</w:t>
            </w:r>
          </w:p>
        </w:tc>
        <w:tc>
          <w:tcPr>
            <w:tcW w:w="1192" w:type="dxa"/>
          </w:tcPr>
          <w:p>
            <w:pPr>
              <w:pStyle w:val="TableParagraph"/>
              <w:ind w:right="108"/>
              <w:jc w:val="right"/>
              <w:rPr>
                <w:sz w:val="18"/>
              </w:rPr>
            </w:pPr>
            <w:r>
              <w:rPr>
                <w:color w:val="231F20"/>
                <w:sz w:val="18"/>
              </w:rPr>
              <w:t>900.00</w:t>
            </w:r>
          </w:p>
        </w:tc>
        <w:tc>
          <w:tcPr>
            <w:tcW w:w="1195" w:type="dxa"/>
          </w:tcPr>
          <w:p>
            <w:pPr>
              <w:pStyle w:val="TableParagraph"/>
              <w:ind w:left="388"/>
              <w:rPr>
                <w:sz w:val="18"/>
              </w:rPr>
            </w:pPr>
            <w:r>
              <w:rPr>
                <w:color w:val="231F20"/>
                <w:sz w:val="18"/>
              </w:rPr>
              <w:t>0.290</w:t>
            </w:r>
          </w:p>
        </w:tc>
      </w:tr>
      <w:tr>
        <w:trPr>
          <w:trHeight w:val="220" w:hRule="atLeast"/>
        </w:trPr>
        <w:tc>
          <w:tcPr>
            <w:tcW w:w="900" w:type="dxa"/>
          </w:tcPr>
          <w:p>
            <w:pPr>
              <w:pStyle w:val="TableParagraph"/>
              <w:spacing w:line="201" w:lineRule="exact"/>
              <w:ind w:left="108"/>
              <w:rPr>
                <w:sz w:val="18"/>
              </w:rPr>
            </w:pPr>
            <w:r>
              <w:rPr>
                <w:color w:val="231F20"/>
                <w:sz w:val="18"/>
              </w:rPr>
              <w:t>"</w:t>
            </w:r>
          </w:p>
        </w:tc>
        <w:tc>
          <w:tcPr>
            <w:tcW w:w="1871" w:type="dxa"/>
          </w:tcPr>
          <w:p>
            <w:pPr>
              <w:pStyle w:val="TableParagraph"/>
              <w:spacing w:line="201" w:lineRule="exact"/>
              <w:ind w:right="145"/>
              <w:jc w:val="right"/>
              <w:rPr>
                <w:sz w:val="18"/>
              </w:rPr>
            </w:pPr>
            <w:r>
              <w:rPr>
                <w:color w:val="231F20"/>
                <w:sz w:val="18"/>
              </w:rPr>
              <w:t>6495 Barrie Road</w:t>
            </w:r>
          </w:p>
        </w:tc>
        <w:tc>
          <w:tcPr>
            <w:tcW w:w="689" w:type="dxa"/>
          </w:tcPr>
          <w:p>
            <w:pPr>
              <w:pStyle w:val="TableParagraph"/>
              <w:spacing w:line="201" w:lineRule="exact"/>
              <w:ind w:left="145"/>
              <w:rPr>
                <w:sz w:val="18"/>
              </w:rPr>
            </w:pPr>
            <w:r>
              <w:rPr>
                <w:color w:val="231F20"/>
                <w:sz w:val="18"/>
              </w:rPr>
              <w:t>**</w:t>
            </w:r>
          </w:p>
        </w:tc>
        <w:tc>
          <w:tcPr>
            <w:tcW w:w="1107" w:type="dxa"/>
          </w:tcPr>
          <w:p>
            <w:pPr>
              <w:pStyle w:val="TableParagraph"/>
              <w:spacing w:line="201" w:lineRule="exact"/>
              <w:ind w:right="276"/>
              <w:jc w:val="right"/>
              <w:rPr>
                <w:sz w:val="18"/>
              </w:rPr>
            </w:pPr>
            <w:r>
              <w:rPr>
                <w:color w:val="231F20"/>
                <w:sz w:val="18"/>
              </w:rPr>
              <w:t>2BR</w:t>
            </w:r>
          </w:p>
        </w:tc>
        <w:tc>
          <w:tcPr>
            <w:tcW w:w="1296" w:type="dxa"/>
          </w:tcPr>
          <w:p>
            <w:pPr>
              <w:pStyle w:val="TableParagraph"/>
              <w:spacing w:line="201" w:lineRule="exact"/>
              <w:ind w:left="274"/>
              <w:rPr>
                <w:sz w:val="18"/>
              </w:rPr>
            </w:pPr>
            <w:r>
              <w:rPr>
                <w:color w:val="231F20"/>
                <w:sz w:val="18"/>
              </w:rPr>
              <w:t>4 + 1½ Bath</w:t>
            </w:r>
          </w:p>
        </w:tc>
        <w:tc>
          <w:tcPr>
            <w:tcW w:w="1330" w:type="dxa"/>
          </w:tcPr>
          <w:p>
            <w:pPr>
              <w:pStyle w:val="TableParagraph"/>
              <w:spacing w:line="201" w:lineRule="exact"/>
              <w:ind w:left="721"/>
              <w:rPr>
                <w:sz w:val="18"/>
              </w:rPr>
            </w:pPr>
            <w:r>
              <w:rPr>
                <w:color w:val="231F20"/>
                <w:sz w:val="18"/>
              </w:rPr>
              <w:t>909</w:t>
            </w:r>
          </w:p>
        </w:tc>
        <w:tc>
          <w:tcPr>
            <w:tcW w:w="1192" w:type="dxa"/>
          </w:tcPr>
          <w:p>
            <w:pPr>
              <w:pStyle w:val="TableParagraph"/>
              <w:spacing w:line="201" w:lineRule="exact"/>
              <w:ind w:right="108"/>
              <w:jc w:val="right"/>
              <w:rPr>
                <w:sz w:val="18"/>
              </w:rPr>
            </w:pPr>
            <w:r>
              <w:rPr>
                <w:color w:val="231F20"/>
                <w:sz w:val="18"/>
              </w:rPr>
              <w:t>900.00</w:t>
            </w:r>
          </w:p>
        </w:tc>
        <w:tc>
          <w:tcPr>
            <w:tcW w:w="1195" w:type="dxa"/>
          </w:tcPr>
          <w:p>
            <w:pPr>
              <w:pStyle w:val="TableParagraph"/>
              <w:spacing w:line="201" w:lineRule="exact"/>
              <w:ind w:left="388"/>
              <w:rPr>
                <w:sz w:val="18"/>
              </w:rPr>
            </w:pPr>
            <w:r>
              <w:rPr>
                <w:color w:val="231F20"/>
                <w:sz w:val="18"/>
              </w:rPr>
              <w:t>0.290</w:t>
            </w:r>
          </w:p>
        </w:tc>
      </w:tr>
      <w:tr>
        <w:trPr>
          <w:trHeight w:val="219" w:hRule="atLeast"/>
        </w:trPr>
        <w:tc>
          <w:tcPr>
            <w:tcW w:w="900" w:type="dxa"/>
          </w:tcPr>
          <w:p>
            <w:pPr>
              <w:pStyle w:val="TableParagraph"/>
              <w:ind w:left="108"/>
              <w:rPr>
                <w:sz w:val="18"/>
              </w:rPr>
            </w:pPr>
            <w:r>
              <w:rPr>
                <w:color w:val="231F20"/>
                <w:sz w:val="18"/>
              </w:rPr>
              <w:t>"</w:t>
            </w:r>
          </w:p>
        </w:tc>
        <w:tc>
          <w:tcPr>
            <w:tcW w:w="1871" w:type="dxa"/>
          </w:tcPr>
          <w:p>
            <w:pPr>
              <w:pStyle w:val="TableParagraph"/>
              <w:ind w:right="145"/>
              <w:jc w:val="right"/>
              <w:rPr>
                <w:sz w:val="18"/>
              </w:rPr>
            </w:pPr>
            <w:r>
              <w:rPr>
                <w:color w:val="231F20"/>
                <w:sz w:val="18"/>
              </w:rPr>
              <w:t>6497 Barrie Road</w:t>
            </w:r>
          </w:p>
        </w:tc>
        <w:tc>
          <w:tcPr>
            <w:tcW w:w="689" w:type="dxa"/>
          </w:tcPr>
          <w:p>
            <w:pPr>
              <w:pStyle w:val="TableParagraph"/>
              <w:ind w:left="145"/>
              <w:rPr>
                <w:sz w:val="18"/>
              </w:rPr>
            </w:pPr>
            <w:r>
              <w:rPr>
                <w:color w:val="231F20"/>
                <w:sz w:val="18"/>
              </w:rPr>
              <w:t>**</w:t>
            </w:r>
          </w:p>
        </w:tc>
        <w:tc>
          <w:tcPr>
            <w:tcW w:w="1107" w:type="dxa"/>
          </w:tcPr>
          <w:p>
            <w:pPr>
              <w:pStyle w:val="TableParagraph"/>
              <w:ind w:right="276"/>
              <w:jc w:val="right"/>
              <w:rPr>
                <w:sz w:val="18"/>
              </w:rPr>
            </w:pPr>
            <w:r>
              <w:rPr>
                <w:color w:val="231F20"/>
                <w:sz w:val="18"/>
              </w:rPr>
              <w:t>2BR</w:t>
            </w:r>
          </w:p>
        </w:tc>
        <w:tc>
          <w:tcPr>
            <w:tcW w:w="1296" w:type="dxa"/>
          </w:tcPr>
          <w:p>
            <w:pPr>
              <w:pStyle w:val="TableParagraph"/>
              <w:ind w:left="274"/>
              <w:rPr>
                <w:sz w:val="18"/>
              </w:rPr>
            </w:pPr>
            <w:r>
              <w:rPr>
                <w:color w:val="231F20"/>
                <w:sz w:val="18"/>
              </w:rPr>
              <w:t>4 + 1½ Bath</w:t>
            </w:r>
          </w:p>
        </w:tc>
        <w:tc>
          <w:tcPr>
            <w:tcW w:w="1330" w:type="dxa"/>
          </w:tcPr>
          <w:p>
            <w:pPr>
              <w:pStyle w:val="TableParagraph"/>
              <w:ind w:left="721"/>
              <w:rPr>
                <w:sz w:val="18"/>
              </w:rPr>
            </w:pPr>
            <w:r>
              <w:rPr>
                <w:color w:val="231F20"/>
                <w:sz w:val="18"/>
              </w:rPr>
              <w:t>909</w:t>
            </w:r>
          </w:p>
        </w:tc>
        <w:tc>
          <w:tcPr>
            <w:tcW w:w="1192" w:type="dxa"/>
          </w:tcPr>
          <w:p>
            <w:pPr>
              <w:pStyle w:val="TableParagraph"/>
              <w:ind w:right="108"/>
              <w:jc w:val="right"/>
              <w:rPr>
                <w:sz w:val="18"/>
              </w:rPr>
            </w:pPr>
            <w:r>
              <w:rPr>
                <w:color w:val="231F20"/>
                <w:sz w:val="18"/>
              </w:rPr>
              <w:t>900.00</w:t>
            </w:r>
          </w:p>
        </w:tc>
        <w:tc>
          <w:tcPr>
            <w:tcW w:w="1195" w:type="dxa"/>
          </w:tcPr>
          <w:p>
            <w:pPr>
              <w:pStyle w:val="TableParagraph"/>
              <w:ind w:left="388"/>
              <w:rPr>
                <w:sz w:val="18"/>
              </w:rPr>
            </w:pPr>
            <w:r>
              <w:rPr>
                <w:color w:val="231F20"/>
                <w:sz w:val="18"/>
              </w:rPr>
              <w:t>0.290</w:t>
            </w:r>
          </w:p>
        </w:tc>
      </w:tr>
      <w:tr>
        <w:trPr>
          <w:trHeight w:val="199" w:hRule="atLeast"/>
        </w:trPr>
        <w:tc>
          <w:tcPr>
            <w:tcW w:w="900" w:type="dxa"/>
          </w:tcPr>
          <w:p>
            <w:pPr>
              <w:pStyle w:val="TableParagraph"/>
              <w:spacing w:line="179" w:lineRule="exact"/>
              <w:ind w:left="108"/>
              <w:rPr>
                <w:sz w:val="18"/>
              </w:rPr>
            </w:pPr>
            <w:r>
              <w:rPr>
                <w:color w:val="231F20"/>
                <w:sz w:val="18"/>
              </w:rPr>
              <w:t>"</w:t>
            </w:r>
          </w:p>
        </w:tc>
        <w:tc>
          <w:tcPr>
            <w:tcW w:w="1871" w:type="dxa"/>
          </w:tcPr>
          <w:p>
            <w:pPr>
              <w:pStyle w:val="TableParagraph"/>
              <w:spacing w:line="179" w:lineRule="exact"/>
              <w:ind w:right="145"/>
              <w:jc w:val="right"/>
              <w:rPr>
                <w:sz w:val="18"/>
              </w:rPr>
            </w:pPr>
            <w:r>
              <w:rPr>
                <w:color w:val="231F20"/>
                <w:sz w:val="18"/>
              </w:rPr>
              <w:t>6499 Barrie Road</w:t>
            </w:r>
          </w:p>
        </w:tc>
        <w:tc>
          <w:tcPr>
            <w:tcW w:w="689" w:type="dxa"/>
          </w:tcPr>
          <w:p>
            <w:pPr>
              <w:pStyle w:val="TableParagraph"/>
              <w:spacing w:line="179" w:lineRule="exact"/>
              <w:ind w:left="145"/>
              <w:rPr>
                <w:sz w:val="18"/>
              </w:rPr>
            </w:pPr>
            <w:r>
              <w:rPr>
                <w:color w:val="231F20"/>
                <w:sz w:val="18"/>
              </w:rPr>
              <w:t>**</w:t>
            </w:r>
          </w:p>
        </w:tc>
        <w:tc>
          <w:tcPr>
            <w:tcW w:w="1107" w:type="dxa"/>
          </w:tcPr>
          <w:p>
            <w:pPr>
              <w:pStyle w:val="TableParagraph"/>
              <w:spacing w:line="179" w:lineRule="exact"/>
              <w:ind w:right="276"/>
              <w:jc w:val="right"/>
              <w:rPr>
                <w:sz w:val="18"/>
              </w:rPr>
            </w:pPr>
            <w:r>
              <w:rPr>
                <w:color w:val="231F20"/>
                <w:sz w:val="18"/>
              </w:rPr>
              <w:t>2BR</w:t>
            </w:r>
          </w:p>
        </w:tc>
        <w:tc>
          <w:tcPr>
            <w:tcW w:w="1296" w:type="dxa"/>
          </w:tcPr>
          <w:p>
            <w:pPr>
              <w:pStyle w:val="TableParagraph"/>
              <w:spacing w:line="179" w:lineRule="exact"/>
              <w:ind w:left="274"/>
              <w:rPr>
                <w:sz w:val="18"/>
              </w:rPr>
            </w:pPr>
            <w:r>
              <w:rPr>
                <w:color w:val="231F20"/>
                <w:sz w:val="18"/>
              </w:rPr>
              <w:t>4 + 1½ Bath</w:t>
            </w:r>
          </w:p>
        </w:tc>
        <w:tc>
          <w:tcPr>
            <w:tcW w:w="1330" w:type="dxa"/>
          </w:tcPr>
          <w:p>
            <w:pPr>
              <w:pStyle w:val="TableParagraph"/>
              <w:spacing w:line="179" w:lineRule="exact"/>
              <w:ind w:left="721"/>
              <w:rPr>
                <w:sz w:val="18"/>
              </w:rPr>
            </w:pPr>
            <w:r>
              <w:rPr>
                <w:color w:val="231F20"/>
                <w:sz w:val="18"/>
              </w:rPr>
              <w:t>909</w:t>
            </w:r>
          </w:p>
        </w:tc>
        <w:tc>
          <w:tcPr>
            <w:tcW w:w="1192" w:type="dxa"/>
          </w:tcPr>
          <w:p>
            <w:pPr>
              <w:pStyle w:val="TableParagraph"/>
              <w:spacing w:line="179" w:lineRule="exact"/>
              <w:ind w:right="108"/>
              <w:jc w:val="right"/>
              <w:rPr>
                <w:sz w:val="18"/>
              </w:rPr>
            </w:pPr>
            <w:r>
              <w:rPr>
                <w:color w:val="231F20"/>
                <w:sz w:val="18"/>
              </w:rPr>
              <w:t>900.00</w:t>
            </w:r>
          </w:p>
        </w:tc>
        <w:tc>
          <w:tcPr>
            <w:tcW w:w="1195" w:type="dxa"/>
          </w:tcPr>
          <w:p>
            <w:pPr>
              <w:pStyle w:val="TableParagraph"/>
              <w:spacing w:line="179" w:lineRule="exact"/>
              <w:ind w:left="388"/>
              <w:rPr>
                <w:sz w:val="18"/>
              </w:rPr>
            </w:pPr>
            <w:r>
              <w:rPr>
                <w:color w:val="231F20"/>
                <w:sz w:val="18"/>
              </w:rPr>
              <w:t>0.290</w:t>
            </w:r>
          </w:p>
        </w:tc>
      </w:tr>
    </w:tbl>
    <w:p>
      <w:pPr>
        <w:pStyle w:val="BodyText"/>
        <w:spacing w:before="5"/>
        <w:rPr>
          <w:sz w:val="13"/>
        </w:rPr>
      </w:pPr>
    </w:p>
    <w:p>
      <w:pPr>
        <w:tabs>
          <w:tab w:pos="7474" w:val="left" w:leader="none"/>
        </w:tabs>
        <w:spacing w:before="64"/>
        <w:ind w:left="3029" w:right="0" w:firstLine="0"/>
        <w:jc w:val="left"/>
        <w:rPr>
          <w:sz w:val="18"/>
        </w:rPr>
      </w:pPr>
      <w:r>
        <w:rPr>
          <w:color w:val="231F20"/>
          <w:sz w:val="18"/>
        </w:rPr>
        <w:t>TOTAL</w:t>
      </w:r>
      <w:r>
        <w:rPr>
          <w:color w:val="231F20"/>
          <w:spacing w:val="-2"/>
          <w:sz w:val="18"/>
        </w:rPr>
        <w:t> </w:t>
      </w:r>
      <w:r>
        <w:rPr>
          <w:color w:val="231F20"/>
          <w:sz w:val="18"/>
        </w:rPr>
        <w:t>DECLARED</w:t>
      </w:r>
      <w:r>
        <w:rPr>
          <w:color w:val="231F20"/>
          <w:spacing w:val="-4"/>
          <w:sz w:val="18"/>
        </w:rPr>
        <w:t> </w:t>
      </w:r>
      <w:r>
        <w:rPr>
          <w:color w:val="231F20"/>
          <w:sz w:val="18"/>
        </w:rPr>
        <w:t>VALUE</w:t>
        <w:tab/>
        <w:t>$309,200.00</w:t>
      </w:r>
    </w:p>
    <w:p>
      <w:pPr>
        <w:pStyle w:val="BodyText"/>
        <w:spacing w:before="12"/>
        <w:rPr>
          <w:sz w:val="17"/>
        </w:rPr>
      </w:pPr>
    </w:p>
    <w:p>
      <w:pPr>
        <w:tabs>
          <w:tab w:pos="8775" w:val="left" w:leader="none"/>
        </w:tabs>
        <w:spacing w:before="0"/>
        <w:ind w:left="3029" w:right="0" w:firstLine="0"/>
        <w:jc w:val="left"/>
        <w:rPr>
          <w:sz w:val="18"/>
        </w:rPr>
      </w:pPr>
      <w:r>
        <w:rPr>
          <w:color w:val="231F20"/>
          <w:sz w:val="18"/>
        </w:rPr>
        <w:t>TOTAL PERCENTAGE OF</w:t>
      </w:r>
      <w:r>
        <w:rPr>
          <w:color w:val="231F20"/>
          <w:spacing w:val="-12"/>
          <w:sz w:val="18"/>
        </w:rPr>
        <w:t> </w:t>
      </w:r>
      <w:r>
        <w:rPr>
          <w:color w:val="231F20"/>
          <w:sz w:val="18"/>
        </w:rPr>
        <w:t>UNDIVIDED INTEREST</w:t>
        <w:tab/>
        <w:t>100.00%</w:t>
      </w:r>
    </w:p>
    <w:p>
      <w:pPr>
        <w:pStyle w:val="BodyText"/>
        <w:spacing w:before="2"/>
      </w:pPr>
    </w:p>
    <w:p>
      <w:pPr>
        <w:pStyle w:val="BodyText"/>
        <w:ind w:left="460"/>
      </w:pPr>
      <w:r>
        <w:rPr>
          <w:color w:val="231F20"/>
        </w:rPr>
        <w:t>* The Letter "I" has been intentionally omitted from the sequence of apartment numbers.</w:t>
      </w:r>
    </w:p>
    <w:p>
      <w:pPr>
        <w:pStyle w:val="BodyText"/>
        <w:spacing w:before="11"/>
        <w:rPr>
          <w:sz w:val="23"/>
        </w:rPr>
      </w:pPr>
    </w:p>
    <w:p>
      <w:pPr>
        <w:pStyle w:val="BodyText"/>
        <w:spacing w:before="1"/>
        <w:ind w:left="340"/>
      </w:pPr>
      <w:r>
        <w:rPr>
          <w:color w:val="231F20"/>
        </w:rPr>
        <w:t>** Townhouse apartment numbers are the same as the Apartment Building Address.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4"/>
        </w:rPr>
      </w:pPr>
    </w:p>
    <w:p>
      <w:pPr>
        <w:pStyle w:val="BodyText"/>
        <w:spacing w:before="51"/>
        <w:ind w:left="3477" w:right="4212"/>
        <w:jc w:val="center"/>
      </w:pPr>
      <w:r>
        <w:rPr>
          <w:color w:val="231F20"/>
        </w:rPr>
        <w:t>-25-</w:t>
      </w:r>
    </w:p>
    <w:p>
      <w:pPr>
        <w:spacing w:after="0"/>
        <w:jc w:val="center"/>
        <w:sectPr>
          <w:footerReference w:type="default" r:id="rId15"/>
          <w:pgSz w:w="12240" w:h="15840"/>
          <w:pgMar w:footer="628" w:header="0" w:top="1480" w:bottom="820" w:left="12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52"/>
        <w:ind w:left="2983"/>
      </w:pPr>
      <w:r>
        <w:rPr>
          <w:color w:val="231F20"/>
        </w:rPr>
        <w:t>THIS PAGE LEFT BLANK INTENTIONALLY</w:t>
      </w:r>
    </w:p>
    <w:p>
      <w:pPr>
        <w:spacing w:after="0"/>
        <w:sectPr>
          <w:pgSz w:w="12240" w:h="15840"/>
          <w:pgMar w:header="0" w:footer="628" w:top="1500" w:bottom="1000" w:left="1220" w:right="480"/>
        </w:sectPr>
      </w:pPr>
    </w:p>
    <w:p>
      <w:pPr>
        <w:pStyle w:val="BodyText"/>
        <w:spacing w:before="39"/>
        <w:ind w:left="3475" w:right="4213"/>
        <w:jc w:val="center"/>
      </w:pPr>
      <w:r>
        <w:rPr>
          <w:color w:val="231F20"/>
          <w:u w:val="single" w:color="231F20"/>
        </w:rPr>
        <w:t>EXHIBIT B</w:t>
      </w:r>
    </w:p>
    <w:p>
      <w:pPr>
        <w:pStyle w:val="BodyText"/>
        <w:spacing w:before="10"/>
        <w:rPr>
          <w:sz w:val="19"/>
        </w:rPr>
      </w:pPr>
    </w:p>
    <w:p>
      <w:pPr>
        <w:pStyle w:val="BodyText"/>
        <w:spacing w:before="51"/>
        <w:ind w:left="4457" w:right="5194"/>
        <w:jc w:val="center"/>
      </w:pPr>
      <w:r>
        <w:rPr>
          <w:color w:val="231F20"/>
        </w:rPr>
        <w:t>BY-LAWS OF</w:t>
      </w:r>
    </w:p>
    <w:p>
      <w:pPr>
        <w:pStyle w:val="BodyText"/>
        <w:ind w:left="3410" w:right="4145" w:hanging="2"/>
        <w:jc w:val="center"/>
      </w:pPr>
      <w:r>
        <w:rPr>
          <w:color w:val="231F20"/>
        </w:rPr>
        <w:t>THE COLONY AT EDINA CONDOMINIUM ASSOCIATION</w:t>
      </w:r>
    </w:p>
    <w:p>
      <w:pPr>
        <w:pStyle w:val="BodyText"/>
        <w:spacing w:before="9"/>
        <w:rPr>
          <w:sz w:val="19"/>
        </w:rPr>
      </w:pPr>
    </w:p>
    <w:p>
      <w:pPr>
        <w:pStyle w:val="ListParagraph"/>
        <w:numPr>
          <w:ilvl w:val="0"/>
          <w:numId w:val="13"/>
        </w:numPr>
        <w:tabs>
          <w:tab w:pos="940" w:val="left" w:leader="none"/>
          <w:tab w:pos="941" w:val="left" w:leader="none"/>
        </w:tabs>
        <w:spacing w:line="240" w:lineRule="auto" w:before="51" w:after="0"/>
        <w:ind w:left="940" w:right="0" w:hanging="721"/>
        <w:jc w:val="left"/>
        <w:rPr>
          <w:sz w:val="24"/>
        </w:rPr>
      </w:pPr>
      <w:r>
        <w:rPr>
          <w:color w:val="231F20"/>
          <w:sz w:val="24"/>
        </w:rPr>
        <w:t>IDENTIFY,</w:t>
      </w:r>
      <w:r>
        <w:rPr>
          <w:color w:val="231F20"/>
          <w:spacing w:val="-3"/>
          <w:sz w:val="24"/>
        </w:rPr>
        <w:t> </w:t>
      </w:r>
      <w:r>
        <w:rPr>
          <w:color w:val="231F20"/>
          <w:sz w:val="24"/>
        </w:rPr>
        <w:t>DEFINITIONS:</w:t>
      </w:r>
    </w:p>
    <w:p>
      <w:pPr>
        <w:pStyle w:val="BodyText"/>
        <w:spacing w:before="2"/>
      </w:pPr>
    </w:p>
    <w:p>
      <w:pPr>
        <w:pStyle w:val="BodyText"/>
        <w:spacing w:before="1"/>
        <w:ind w:left="220" w:right="901" w:firstLine="719"/>
      </w:pPr>
      <w:r>
        <w:rPr>
          <w:color w:val="231F20"/>
        </w:rPr>
        <w:t>Whereas certain real property situated in the City of Edina, County of Hennepin, State of Minnesota, has been submitted to the provisions of the Minnesota Condominium Act, Minnesota Statutes, Chapter 515, by a Declaration filed in the office of the Registrar of Titles of said Hennepin County simultaneously herewith, and shall hereinafter be known as "The Colony at Edina Condominium" (hereinafter called the "Condominium").</w:t>
      </w:r>
    </w:p>
    <w:p>
      <w:pPr>
        <w:pStyle w:val="BodyText"/>
        <w:spacing w:before="11"/>
        <w:rPr>
          <w:sz w:val="23"/>
        </w:rPr>
      </w:pPr>
    </w:p>
    <w:p>
      <w:pPr>
        <w:pStyle w:val="BodyText"/>
        <w:ind w:left="220" w:right="950" w:firstLine="719"/>
      </w:pPr>
      <w:r>
        <w:rPr>
          <w:color w:val="231F20"/>
        </w:rPr>
        <w:t>The following shall and do constitute the By-Laws of The Colony at Edina Condominium Association (hereinafter called the Association). The by-laws are subject to the Declaration of Apartment Ownership of the Condominium, hereinafter referred to as the Declaration. The Association has been organized for the purpose of administering the Condominium.</w:t>
      </w:r>
    </w:p>
    <w:p>
      <w:pPr>
        <w:pStyle w:val="BodyText"/>
        <w:spacing w:before="12"/>
        <w:rPr>
          <w:sz w:val="23"/>
        </w:rPr>
      </w:pPr>
    </w:p>
    <w:p>
      <w:pPr>
        <w:pStyle w:val="BodyText"/>
        <w:ind w:left="940"/>
      </w:pPr>
      <w:r>
        <w:rPr>
          <w:color w:val="231F20"/>
        </w:rPr>
        <w:t>Terms used in these By-Laws shall have the same meaning ascribed by the Declaration.</w:t>
      </w:r>
    </w:p>
    <w:p>
      <w:pPr>
        <w:pStyle w:val="BodyText"/>
        <w:ind w:left="220" w:right="950"/>
      </w:pPr>
      <w:r>
        <w:rPr>
          <w:color w:val="231F20"/>
        </w:rPr>
        <w:t>The term "majority of members," as used herein, shall mean members with more than 50 percent of the votes in accordance with the percentages assigned in the Declaration to the apartments for voting purposes.</w:t>
      </w:r>
    </w:p>
    <w:p>
      <w:pPr>
        <w:pStyle w:val="BodyText"/>
        <w:spacing w:before="1"/>
      </w:pPr>
    </w:p>
    <w:p>
      <w:pPr>
        <w:pStyle w:val="ListParagraph"/>
        <w:numPr>
          <w:ilvl w:val="0"/>
          <w:numId w:val="13"/>
        </w:numPr>
        <w:tabs>
          <w:tab w:pos="940" w:val="left" w:leader="none"/>
          <w:tab w:pos="941" w:val="left" w:leader="none"/>
        </w:tabs>
        <w:spacing w:line="240" w:lineRule="auto" w:before="1" w:after="0"/>
        <w:ind w:left="940" w:right="0" w:hanging="721"/>
        <w:jc w:val="left"/>
        <w:rPr>
          <w:sz w:val="24"/>
        </w:rPr>
      </w:pPr>
      <w:r>
        <w:rPr>
          <w:color w:val="231F20"/>
          <w:sz w:val="24"/>
        </w:rPr>
        <w:t>MEMBERS:</w:t>
      </w:r>
    </w:p>
    <w:p>
      <w:pPr>
        <w:pStyle w:val="BodyText"/>
        <w:spacing w:before="11"/>
        <w:rPr>
          <w:sz w:val="23"/>
        </w:rPr>
      </w:pPr>
    </w:p>
    <w:p>
      <w:pPr>
        <w:pStyle w:val="BodyText"/>
        <w:spacing w:before="1"/>
        <w:ind w:left="220" w:right="1208" w:firstLine="719"/>
      </w:pPr>
      <w:r>
        <w:rPr>
          <w:color w:val="231F20"/>
        </w:rPr>
        <w:t>The qualifications of members and the manner of their admission into the Association shall be as follows:</w:t>
      </w:r>
    </w:p>
    <w:p>
      <w:pPr>
        <w:pStyle w:val="BodyText"/>
        <w:spacing w:before="11"/>
        <w:rPr>
          <w:sz w:val="23"/>
        </w:rPr>
      </w:pPr>
    </w:p>
    <w:p>
      <w:pPr>
        <w:pStyle w:val="ListParagraph"/>
        <w:numPr>
          <w:ilvl w:val="1"/>
          <w:numId w:val="13"/>
        </w:numPr>
        <w:tabs>
          <w:tab w:pos="1302" w:val="left" w:leader="none"/>
        </w:tabs>
        <w:spacing w:line="240" w:lineRule="auto" w:before="0" w:after="0"/>
        <w:ind w:left="1300" w:right="1154" w:hanging="361"/>
        <w:jc w:val="left"/>
        <w:rPr>
          <w:sz w:val="24"/>
        </w:rPr>
      </w:pPr>
      <w:r>
        <w:rPr>
          <w:color w:val="231F20"/>
          <w:sz w:val="24"/>
        </w:rPr>
        <w:t>An owner of an apartment in the Condominium shall by virtue of such interest be</w:t>
      </w:r>
      <w:r>
        <w:rPr>
          <w:color w:val="231F20"/>
          <w:spacing w:val="-36"/>
          <w:sz w:val="24"/>
        </w:rPr>
        <w:t> </w:t>
      </w:r>
      <w:r>
        <w:rPr>
          <w:color w:val="231F20"/>
          <w:sz w:val="24"/>
        </w:rPr>
        <w:t>a member of this Association. A Contract for Deed Vendee of a recorded contract shall be deemed an</w:t>
      </w:r>
      <w:r>
        <w:rPr>
          <w:color w:val="231F20"/>
          <w:spacing w:val="1"/>
          <w:sz w:val="24"/>
        </w:rPr>
        <w:t> </w:t>
      </w:r>
      <w:r>
        <w:rPr>
          <w:color w:val="231F20"/>
          <w:sz w:val="24"/>
        </w:rPr>
        <w:t>owner.</w:t>
      </w:r>
    </w:p>
    <w:p>
      <w:pPr>
        <w:pStyle w:val="BodyText"/>
        <w:spacing w:before="12"/>
        <w:rPr>
          <w:sz w:val="23"/>
        </w:rPr>
      </w:pPr>
    </w:p>
    <w:p>
      <w:pPr>
        <w:pStyle w:val="ListParagraph"/>
        <w:numPr>
          <w:ilvl w:val="1"/>
          <w:numId w:val="13"/>
        </w:numPr>
        <w:tabs>
          <w:tab w:pos="1301" w:val="left" w:leader="none"/>
        </w:tabs>
        <w:spacing w:line="240" w:lineRule="auto" w:before="0" w:after="0"/>
        <w:ind w:left="1300" w:right="1177" w:hanging="361"/>
        <w:jc w:val="left"/>
        <w:rPr>
          <w:sz w:val="24"/>
        </w:rPr>
      </w:pPr>
      <w:r>
        <w:rPr>
          <w:color w:val="231F20"/>
          <w:sz w:val="24"/>
        </w:rPr>
        <w:t>When one or more persons hold an interest in an apartment, all such persons shall be members, subject to the qualifications set forth</w:t>
      </w:r>
      <w:r>
        <w:rPr>
          <w:color w:val="231F20"/>
          <w:spacing w:val="-9"/>
          <w:sz w:val="24"/>
        </w:rPr>
        <w:t> </w:t>
      </w:r>
      <w:r>
        <w:rPr>
          <w:color w:val="231F20"/>
          <w:sz w:val="24"/>
        </w:rPr>
        <w:t>hereafter.</w:t>
      </w:r>
    </w:p>
    <w:p>
      <w:pPr>
        <w:pStyle w:val="BodyText"/>
        <w:spacing w:before="2"/>
      </w:pPr>
    </w:p>
    <w:p>
      <w:pPr>
        <w:pStyle w:val="ListParagraph"/>
        <w:numPr>
          <w:ilvl w:val="1"/>
          <w:numId w:val="13"/>
        </w:numPr>
        <w:tabs>
          <w:tab w:pos="1302" w:val="left" w:leader="none"/>
        </w:tabs>
        <w:spacing w:line="240" w:lineRule="auto" w:before="0" w:after="0"/>
        <w:ind w:left="1300" w:right="1042" w:hanging="361"/>
        <w:jc w:val="left"/>
        <w:rPr>
          <w:sz w:val="24"/>
        </w:rPr>
      </w:pPr>
      <w:r>
        <w:rPr>
          <w:color w:val="231F20"/>
          <w:sz w:val="24"/>
        </w:rPr>
        <w:t>It shall be the duty of each owner to register his name and the nature of his interest with the Secretary of the Association, who shall maintain a Roll of Members</w:t>
      </w:r>
      <w:r>
        <w:rPr>
          <w:color w:val="231F20"/>
          <w:spacing w:val="-34"/>
          <w:sz w:val="24"/>
        </w:rPr>
        <w:t> </w:t>
      </w:r>
      <w:r>
        <w:rPr>
          <w:color w:val="231F20"/>
          <w:sz w:val="24"/>
        </w:rPr>
        <w:t>("Roll"). If the owner does not register his interest, he may not exercise his right to vote, but his other rights and obligations under the Declaration, By-Laws and Rules of Regulations shall not be</w:t>
      </w:r>
      <w:r>
        <w:rPr>
          <w:color w:val="231F20"/>
          <w:spacing w:val="-4"/>
          <w:sz w:val="24"/>
        </w:rPr>
        <w:t> </w:t>
      </w:r>
      <w:r>
        <w:rPr>
          <w:color w:val="231F20"/>
          <w:sz w:val="24"/>
        </w:rPr>
        <w:t>impaired.</w:t>
      </w:r>
    </w:p>
    <w:p>
      <w:pPr>
        <w:spacing w:after="0" w:line="240" w:lineRule="auto"/>
        <w:jc w:val="left"/>
        <w:rPr>
          <w:sz w:val="24"/>
        </w:rPr>
        <w:sectPr>
          <w:footerReference w:type="default" r:id="rId16"/>
          <w:pgSz w:w="12240" w:h="15840"/>
          <w:pgMar w:footer="948" w:header="0" w:top="1400" w:bottom="1140" w:left="1220" w:right="480"/>
          <w:pgNumType w:start="1"/>
        </w:sectPr>
      </w:pPr>
    </w:p>
    <w:p>
      <w:pPr>
        <w:pStyle w:val="ListParagraph"/>
        <w:numPr>
          <w:ilvl w:val="1"/>
          <w:numId w:val="13"/>
        </w:numPr>
        <w:tabs>
          <w:tab w:pos="1300" w:val="left" w:leader="none"/>
        </w:tabs>
        <w:spacing w:line="240" w:lineRule="auto" w:before="39" w:after="0"/>
        <w:ind w:left="1300" w:right="1856" w:hanging="361"/>
        <w:jc w:val="left"/>
        <w:rPr>
          <w:sz w:val="24"/>
        </w:rPr>
      </w:pPr>
      <w:r>
        <w:rPr>
          <w:color w:val="231F20"/>
          <w:sz w:val="24"/>
        </w:rPr>
        <w:t>The share of a member in the funds and assets of the Association cannot be assigned, pledged, encumbered or transferred in any manner, except as an appurtenance to his apartment in the</w:t>
      </w:r>
      <w:r>
        <w:rPr>
          <w:color w:val="231F20"/>
          <w:spacing w:val="-7"/>
          <w:sz w:val="24"/>
        </w:rPr>
        <w:t> </w:t>
      </w:r>
      <w:r>
        <w:rPr>
          <w:color w:val="231F20"/>
          <w:sz w:val="24"/>
        </w:rPr>
        <w:t>condominium.</w:t>
      </w:r>
    </w:p>
    <w:p>
      <w:pPr>
        <w:pStyle w:val="BodyText"/>
      </w:pPr>
    </w:p>
    <w:p>
      <w:pPr>
        <w:pStyle w:val="ListParagraph"/>
        <w:numPr>
          <w:ilvl w:val="0"/>
          <w:numId w:val="13"/>
        </w:numPr>
        <w:tabs>
          <w:tab w:pos="940" w:val="left" w:leader="none"/>
          <w:tab w:pos="941" w:val="left" w:leader="none"/>
        </w:tabs>
        <w:spacing w:line="240" w:lineRule="auto" w:before="0" w:after="0"/>
        <w:ind w:left="940" w:right="0" w:hanging="721"/>
        <w:jc w:val="left"/>
        <w:rPr>
          <w:sz w:val="24"/>
        </w:rPr>
      </w:pPr>
      <w:r>
        <w:rPr>
          <w:color w:val="231F20"/>
          <w:sz w:val="24"/>
        </w:rPr>
        <w:t>APARTMENT OWNERS' MEETINGS AND</w:t>
      </w:r>
      <w:r>
        <w:rPr>
          <w:color w:val="231F20"/>
          <w:spacing w:val="-4"/>
          <w:sz w:val="24"/>
        </w:rPr>
        <w:t> </w:t>
      </w:r>
      <w:r>
        <w:rPr>
          <w:color w:val="231F20"/>
          <w:sz w:val="24"/>
        </w:rPr>
        <w:t>VOTING:</w:t>
      </w:r>
    </w:p>
    <w:p>
      <w:pPr>
        <w:pStyle w:val="BodyText"/>
        <w:spacing w:before="12"/>
        <w:rPr>
          <w:sz w:val="23"/>
        </w:rPr>
      </w:pPr>
    </w:p>
    <w:p>
      <w:pPr>
        <w:pStyle w:val="ListParagraph"/>
        <w:numPr>
          <w:ilvl w:val="1"/>
          <w:numId w:val="13"/>
        </w:numPr>
        <w:tabs>
          <w:tab w:pos="1302" w:val="left" w:leader="none"/>
        </w:tabs>
        <w:spacing w:line="240" w:lineRule="auto" w:before="0" w:after="0"/>
        <w:ind w:left="1300" w:right="970" w:hanging="361"/>
        <w:jc w:val="left"/>
        <w:rPr>
          <w:sz w:val="24"/>
        </w:rPr>
      </w:pPr>
      <w:r>
        <w:rPr>
          <w:color w:val="231F20"/>
          <w:sz w:val="24"/>
        </w:rPr>
        <w:t>Annual Meetings – Subsequent to the earlier of a) five years from the date of recording the Declaration or b) when apartments representing sixty (60%) (3/5) in undivided interests in the common areas and facilities are owned by apartment owners (including those holding interests as vendees under contracts for deed from declarant) other than Declarant, the Declarant shall notify all apartment owners thereof, and the first annual meeting of the apartment owners shall be held within forty-five (45) days thereafter on a call issued by the Declarant. At said first annual meeting all of the officers and directors of the Declarant shall resign as members of the Board of Directors. At said first annual meeting of apartment owners, the apartment owners shall elect two (2) members of the Board of Directors for terms</w:t>
      </w:r>
      <w:r>
        <w:rPr>
          <w:color w:val="231F20"/>
          <w:spacing w:val="-31"/>
          <w:sz w:val="24"/>
        </w:rPr>
        <w:t> </w:t>
      </w:r>
      <w:r>
        <w:rPr>
          <w:color w:val="231F20"/>
          <w:sz w:val="24"/>
        </w:rPr>
        <w:t>to expire with the second annual meeting and three (3) for terms to expire with the third annual meeting of the apartment owners.</w:t>
      </w:r>
    </w:p>
    <w:p>
      <w:pPr>
        <w:pStyle w:val="BodyText"/>
      </w:pPr>
    </w:p>
    <w:p>
      <w:pPr>
        <w:pStyle w:val="ListParagraph"/>
        <w:numPr>
          <w:ilvl w:val="1"/>
          <w:numId w:val="13"/>
        </w:numPr>
        <w:tabs>
          <w:tab w:pos="1301" w:val="left" w:leader="none"/>
        </w:tabs>
        <w:spacing w:line="240" w:lineRule="auto" w:before="1" w:after="0"/>
        <w:ind w:left="1300" w:right="988" w:hanging="361"/>
        <w:jc w:val="left"/>
        <w:rPr>
          <w:sz w:val="24"/>
        </w:rPr>
      </w:pPr>
      <w:r>
        <w:rPr>
          <w:color w:val="231F20"/>
          <w:sz w:val="24"/>
        </w:rPr>
        <w:t>Thereafter the annual meeting of the members shall be held on the third Saturday</w:t>
      </w:r>
      <w:r>
        <w:rPr>
          <w:color w:val="231F20"/>
          <w:spacing w:val="-37"/>
          <w:sz w:val="24"/>
        </w:rPr>
        <w:t> </w:t>
      </w:r>
      <w:r>
        <w:rPr>
          <w:color w:val="231F20"/>
          <w:sz w:val="24"/>
        </w:rPr>
        <w:t>in April in every year commencing in the next year following at such time and place as is specified by the Board of Directors for the purpose of electing a Board of Directors and transacting any other business authorized to be transacted by the</w:t>
      </w:r>
      <w:r>
        <w:rPr>
          <w:color w:val="231F20"/>
          <w:spacing w:val="-23"/>
          <w:sz w:val="24"/>
        </w:rPr>
        <w:t> </w:t>
      </w:r>
      <w:r>
        <w:rPr>
          <w:color w:val="231F20"/>
          <w:sz w:val="24"/>
        </w:rPr>
        <w:t>members.</w:t>
      </w:r>
    </w:p>
    <w:p>
      <w:pPr>
        <w:pStyle w:val="BodyText"/>
        <w:spacing w:before="1"/>
      </w:pPr>
    </w:p>
    <w:p>
      <w:pPr>
        <w:pStyle w:val="ListParagraph"/>
        <w:numPr>
          <w:ilvl w:val="1"/>
          <w:numId w:val="13"/>
        </w:numPr>
        <w:tabs>
          <w:tab w:pos="1302" w:val="left" w:leader="none"/>
        </w:tabs>
        <w:spacing w:line="240" w:lineRule="auto" w:before="1" w:after="0"/>
        <w:ind w:left="1300" w:right="1067" w:hanging="361"/>
        <w:jc w:val="left"/>
        <w:rPr>
          <w:sz w:val="24"/>
        </w:rPr>
      </w:pPr>
      <w:r>
        <w:rPr>
          <w:color w:val="231F20"/>
          <w:sz w:val="24"/>
        </w:rPr>
        <w:t>Special Meetings of the members may be called at any time by the President, or the Vice President, or by the Board of Directors, and must be called by the President upon receipt of written requests from a majority of the</w:t>
      </w:r>
      <w:r>
        <w:rPr>
          <w:color w:val="231F20"/>
          <w:spacing w:val="-16"/>
          <w:sz w:val="24"/>
        </w:rPr>
        <w:t> </w:t>
      </w:r>
      <w:r>
        <w:rPr>
          <w:color w:val="231F20"/>
          <w:sz w:val="24"/>
        </w:rPr>
        <w:t>members.</w:t>
      </w:r>
    </w:p>
    <w:p>
      <w:pPr>
        <w:pStyle w:val="BodyText"/>
        <w:spacing w:before="11"/>
        <w:rPr>
          <w:sz w:val="23"/>
        </w:rPr>
      </w:pPr>
    </w:p>
    <w:p>
      <w:pPr>
        <w:pStyle w:val="ListParagraph"/>
        <w:numPr>
          <w:ilvl w:val="1"/>
          <w:numId w:val="13"/>
        </w:numPr>
        <w:tabs>
          <w:tab w:pos="1300" w:val="left" w:leader="none"/>
        </w:tabs>
        <w:spacing w:line="240" w:lineRule="auto" w:before="0" w:after="0"/>
        <w:ind w:left="1300" w:right="964" w:hanging="361"/>
        <w:jc w:val="left"/>
        <w:rPr>
          <w:sz w:val="24"/>
        </w:rPr>
      </w:pPr>
      <w:r>
        <w:rPr>
          <w:color w:val="231F20"/>
          <w:sz w:val="24"/>
        </w:rPr>
        <w:t>Notice of all meetings of the members starting the time and place and the objects for which the meeting is called shall be given by the Secretary.  The Secretary shall, at least twenty-one days in advance of any annual meeting and at least seven days</w:t>
      </w:r>
      <w:r>
        <w:rPr>
          <w:color w:val="231F20"/>
          <w:spacing w:val="-32"/>
          <w:sz w:val="24"/>
        </w:rPr>
        <w:t> </w:t>
      </w:r>
      <w:r>
        <w:rPr>
          <w:color w:val="231F20"/>
          <w:sz w:val="24"/>
        </w:rPr>
        <w:t>in advance of any other meeting, send to each member notice of the time, place and complete agenda of the meeting.  The notice shall be sent by United States mail to all members of record at the addresses as any of them may have designated to the Secretary.</w:t>
      </w:r>
    </w:p>
    <w:p>
      <w:pPr>
        <w:pStyle w:val="BodyText"/>
        <w:spacing w:before="2"/>
      </w:pPr>
    </w:p>
    <w:p>
      <w:pPr>
        <w:pStyle w:val="ListParagraph"/>
        <w:numPr>
          <w:ilvl w:val="1"/>
          <w:numId w:val="13"/>
        </w:numPr>
        <w:tabs>
          <w:tab w:pos="1302" w:val="left" w:leader="none"/>
        </w:tabs>
        <w:spacing w:line="240" w:lineRule="auto" w:before="0" w:after="0"/>
        <w:ind w:left="1300" w:right="1043" w:hanging="361"/>
        <w:jc w:val="left"/>
        <w:rPr>
          <w:sz w:val="24"/>
        </w:rPr>
      </w:pPr>
      <w:r>
        <w:rPr>
          <w:color w:val="231F20"/>
          <w:sz w:val="24"/>
        </w:rPr>
        <w:t>The mortgagee of any individual apartment may attend and participate in any general or special meeting but shall have no vote unless granted by written proxy or otherwise provided for in the</w:t>
      </w:r>
      <w:r>
        <w:rPr>
          <w:color w:val="231F20"/>
          <w:spacing w:val="1"/>
          <w:sz w:val="24"/>
        </w:rPr>
        <w:t> </w:t>
      </w:r>
      <w:r>
        <w:rPr>
          <w:color w:val="231F20"/>
          <w:sz w:val="24"/>
        </w:rPr>
        <w:t>Declaration.</w:t>
      </w:r>
    </w:p>
    <w:p>
      <w:pPr>
        <w:spacing w:after="0" w:line="240" w:lineRule="auto"/>
        <w:jc w:val="left"/>
        <w:rPr>
          <w:sz w:val="24"/>
        </w:rPr>
        <w:sectPr>
          <w:pgSz w:w="12240" w:h="15840"/>
          <w:pgMar w:header="0" w:footer="948" w:top="1400" w:bottom="1140" w:left="1220" w:right="480"/>
        </w:sectPr>
      </w:pPr>
    </w:p>
    <w:p>
      <w:pPr>
        <w:pStyle w:val="ListParagraph"/>
        <w:numPr>
          <w:ilvl w:val="1"/>
          <w:numId w:val="13"/>
        </w:numPr>
        <w:tabs>
          <w:tab w:pos="1300" w:val="left" w:leader="none"/>
          <w:tab w:pos="1301" w:val="left" w:leader="none"/>
        </w:tabs>
        <w:spacing w:line="240" w:lineRule="auto" w:before="39" w:after="0"/>
        <w:ind w:left="1300" w:right="1625" w:hanging="360"/>
        <w:jc w:val="left"/>
        <w:rPr>
          <w:sz w:val="24"/>
        </w:rPr>
      </w:pPr>
      <w:r>
        <w:rPr>
          <w:color w:val="231F20"/>
          <w:sz w:val="24"/>
        </w:rPr>
        <w:t>Only members shown on the Roll as of the date of meeting shall be entitled</w:t>
      </w:r>
      <w:r>
        <w:rPr>
          <w:color w:val="231F20"/>
          <w:spacing w:val="-31"/>
          <w:sz w:val="24"/>
        </w:rPr>
        <w:t> </w:t>
      </w:r>
      <w:r>
        <w:rPr>
          <w:color w:val="231F20"/>
          <w:sz w:val="24"/>
        </w:rPr>
        <w:t>to attend and</w:t>
      </w:r>
      <w:r>
        <w:rPr>
          <w:color w:val="231F20"/>
          <w:spacing w:val="-1"/>
          <w:sz w:val="24"/>
        </w:rPr>
        <w:t> </w:t>
      </w:r>
      <w:r>
        <w:rPr>
          <w:color w:val="231F20"/>
          <w:sz w:val="24"/>
        </w:rPr>
        <w:t>vote.</w:t>
      </w:r>
    </w:p>
    <w:p>
      <w:pPr>
        <w:pStyle w:val="BodyText"/>
      </w:pPr>
    </w:p>
    <w:p>
      <w:pPr>
        <w:pStyle w:val="ListParagraph"/>
        <w:numPr>
          <w:ilvl w:val="1"/>
          <w:numId w:val="13"/>
        </w:numPr>
        <w:tabs>
          <w:tab w:pos="1303" w:val="left" w:leader="none"/>
        </w:tabs>
        <w:spacing w:line="240" w:lineRule="auto" w:before="0" w:after="0"/>
        <w:ind w:left="1300" w:right="1034" w:hanging="361"/>
        <w:jc w:val="left"/>
        <w:rPr>
          <w:sz w:val="24"/>
        </w:rPr>
      </w:pPr>
      <w:r>
        <w:rPr>
          <w:color w:val="231F20"/>
          <w:sz w:val="24"/>
        </w:rPr>
        <w:t>A quorum at meetings of the members shall consist of a majority of the voting power of the members computed in accordance with the percentage of interest in the common areas and facilities as set forth in Exhibit A attached to the</w:t>
      </w:r>
      <w:r>
        <w:rPr>
          <w:color w:val="231F20"/>
          <w:spacing w:val="-31"/>
          <w:sz w:val="24"/>
        </w:rPr>
        <w:t> </w:t>
      </w:r>
      <w:r>
        <w:rPr>
          <w:color w:val="231F20"/>
          <w:sz w:val="24"/>
        </w:rPr>
        <w:t>Declaration.</w:t>
      </w:r>
    </w:p>
    <w:p>
      <w:pPr>
        <w:pStyle w:val="BodyText"/>
        <w:spacing w:before="11"/>
        <w:rPr>
          <w:sz w:val="23"/>
        </w:rPr>
      </w:pPr>
    </w:p>
    <w:p>
      <w:pPr>
        <w:pStyle w:val="ListParagraph"/>
        <w:numPr>
          <w:ilvl w:val="1"/>
          <w:numId w:val="13"/>
        </w:numPr>
        <w:tabs>
          <w:tab w:pos="1301" w:val="left" w:leader="none"/>
        </w:tabs>
        <w:spacing w:line="240" w:lineRule="auto" w:before="1" w:after="0"/>
        <w:ind w:left="1300" w:right="995" w:hanging="360"/>
        <w:jc w:val="left"/>
        <w:rPr>
          <w:sz w:val="24"/>
        </w:rPr>
      </w:pPr>
      <w:r>
        <w:rPr>
          <w:color w:val="231F20"/>
          <w:sz w:val="24"/>
        </w:rPr>
        <w:t>All holders of an interest in an apartment shall collectively have that percentage vote set forth in Exhibit A to the Declaration. In the case of joint ownership of an apartment, the vote may be cast by any fee owner of an apartment shown on the Roll; however, should any other fee owner of that apartment raise an objection to the casting of the vote, then neither joint owner shall be recognized. In other cases where there is more than one holder of an interest in an apartment, either all the holders may collectively cast the vote, or all the holders may designate, by appropriate certificate delivered to the Secretary prior to the meeting, one of their number to cast their vote for all purposes at the meeting. Such certificate shall be valid until revoked by any of the holders of an interest. In the event no such certificate is filed and if all the holders do not agree as to the manner of casting</w:t>
      </w:r>
      <w:r>
        <w:rPr>
          <w:color w:val="231F20"/>
          <w:spacing w:val="-35"/>
          <w:sz w:val="24"/>
        </w:rPr>
        <w:t> </w:t>
      </w:r>
      <w:r>
        <w:rPr>
          <w:color w:val="231F20"/>
          <w:sz w:val="24"/>
        </w:rPr>
        <w:t>their collective vote on any matter, then the percentage vote associated with the apartment shall not be</w:t>
      </w:r>
      <w:r>
        <w:rPr>
          <w:color w:val="231F20"/>
          <w:spacing w:val="-2"/>
          <w:sz w:val="24"/>
        </w:rPr>
        <w:t> </w:t>
      </w:r>
      <w:r>
        <w:rPr>
          <w:color w:val="231F20"/>
          <w:sz w:val="24"/>
        </w:rPr>
        <w:t>recognized.</w:t>
      </w:r>
    </w:p>
    <w:p>
      <w:pPr>
        <w:pStyle w:val="BodyText"/>
      </w:pPr>
    </w:p>
    <w:p>
      <w:pPr>
        <w:pStyle w:val="ListParagraph"/>
        <w:numPr>
          <w:ilvl w:val="1"/>
          <w:numId w:val="13"/>
        </w:numPr>
        <w:tabs>
          <w:tab w:pos="1300" w:val="left" w:leader="none"/>
          <w:tab w:pos="1301" w:val="left" w:leader="none"/>
        </w:tabs>
        <w:spacing w:line="240" w:lineRule="auto" w:before="0" w:after="0"/>
        <w:ind w:left="1300" w:right="1027" w:hanging="360"/>
        <w:jc w:val="left"/>
        <w:rPr>
          <w:sz w:val="24"/>
        </w:rPr>
      </w:pPr>
      <w:r>
        <w:rPr>
          <w:color w:val="231F20"/>
          <w:sz w:val="24"/>
        </w:rPr>
        <w:t>No vote in the Association shall be deemed to inure to any apartment during the time when the owner thereof is the Association and such apartment shall not be counted in determining the number of votes needed for quorum or other percent</w:t>
      </w:r>
      <w:r>
        <w:rPr>
          <w:color w:val="231F20"/>
          <w:spacing w:val="-38"/>
          <w:sz w:val="24"/>
        </w:rPr>
        <w:t> </w:t>
      </w:r>
      <w:r>
        <w:rPr>
          <w:color w:val="231F20"/>
          <w:sz w:val="24"/>
        </w:rPr>
        <w:t>of votes.</w:t>
      </w:r>
    </w:p>
    <w:p>
      <w:pPr>
        <w:pStyle w:val="BodyText"/>
        <w:spacing w:before="2"/>
      </w:pPr>
    </w:p>
    <w:p>
      <w:pPr>
        <w:pStyle w:val="ListParagraph"/>
        <w:numPr>
          <w:ilvl w:val="1"/>
          <w:numId w:val="13"/>
        </w:numPr>
        <w:tabs>
          <w:tab w:pos="1300" w:val="left" w:leader="none"/>
          <w:tab w:pos="1301" w:val="left" w:leader="none"/>
        </w:tabs>
        <w:spacing w:line="240" w:lineRule="auto" w:before="0" w:after="0"/>
        <w:ind w:left="1300" w:right="1110" w:hanging="361"/>
        <w:jc w:val="left"/>
        <w:rPr>
          <w:sz w:val="24"/>
        </w:rPr>
      </w:pPr>
      <w:r>
        <w:rPr>
          <w:color w:val="231F20"/>
          <w:sz w:val="24"/>
        </w:rPr>
        <w:t>Votes may be cast in person or by written proxy. Proxies must be filed with the Secretary before the appointed time of the meeting and shall be valid until</w:t>
      </w:r>
      <w:r>
        <w:rPr>
          <w:color w:val="231F20"/>
          <w:spacing w:val="-39"/>
          <w:sz w:val="24"/>
        </w:rPr>
        <w:t> </w:t>
      </w:r>
      <w:r>
        <w:rPr>
          <w:color w:val="231F20"/>
          <w:sz w:val="24"/>
        </w:rPr>
        <w:t>revoked in writing.</w:t>
      </w:r>
    </w:p>
    <w:p>
      <w:pPr>
        <w:pStyle w:val="BodyText"/>
        <w:spacing w:before="12"/>
        <w:rPr>
          <w:sz w:val="23"/>
        </w:rPr>
      </w:pPr>
    </w:p>
    <w:p>
      <w:pPr>
        <w:pStyle w:val="ListParagraph"/>
        <w:numPr>
          <w:ilvl w:val="1"/>
          <w:numId w:val="13"/>
        </w:numPr>
        <w:tabs>
          <w:tab w:pos="1301" w:val="left" w:leader="none"/>
        </w:tabs>
        <w:spacing w:line="240" w:lineRule="auto" w:before="0" w:after="0"/>
        <w:ind w:left="1300" w:right="1674" w:hanging="361"/>
        <w:jc w:val="left"/>
        <w:rPr>
          <w:sz w:val="24"/>
        </w:rPr>
      </w:pPr>
      <w:r>
        <w:rPr>
          <w:color w:val="231F20"/>
          <w:sz w:val="24"/>
        </w:rPr>
        <w:t>If any meeting cannot be organized for lack of a quorum, the meeting shall</w:t>
      </w:r>
      <w:r>
        <w:rPr>
          <w:color w:val="231F20"/>
          <w:spacing w:val="-35"/>
          <w:sz w:val="24"/>
        </w:rPr>
        <w:t> </w:t>
      </w:r>
      <w:r>
        <w:rPr>
          <w:color w:val="231F20"/>
          <w:sz w:val="24"/>
        </w:rPr>
        <w:t>be adjourned from time to time until a quorum is</w:t>
      </w:r>
      <w:r>
        <w:rPr>
          <w:color w:val="231F20"/>
          <w:spacing w:val="-11"/>
          <w:sz w:val="24"/>
        </w:rPr>
        <w:t> </w:t>
      </w:r>
      <w:r>
        <w:rPr>
          <w:color w:val="231F20"/>
          <w:sz w:val="24"/>
        </w:rPr>
        <w:t>present.</w:t>
      </w:r>
    </w:p>
    <w:p>
      <w:pPr>
        <w:pStyle w:val="BodyText"/>
        <w:spacing w:before="11"/>
        <w:rPr>
          <w:sz w:val="23"/>
        </w:rPr>
      </w:pPr>
    </w:p>
    <w:p>
      <w:pPr>
        <w:pStyle w:val="ListParagraph"/>
        <w:numPr>
          <w:ilvl w:val="1"/>
          <w:numId w:val="13"/>
        </w:numPr>
        <w:tabs>
          <w:tab w:pos="1300" w:val="left" w:leader="none"/>
          <w:tab w:pos="1301" w:val="left" w:leader="none"/>
        </w:tabs>
        <w:spacing w:line="240" w:lineRule="auto" w:before="0" w:after="0"/>
        <w:ind w:left="1300" w:right="1177" w:hanging="361"/>
        <w:jc w:val="left"/>
        <w:rPr>
          <w:sz w:val="24"/>
        </w:rPr>
      </w:pPr>
      <w:r>
        <w:rPr>
          <w:color w:val="231F20"/>
          <w:sz w:val="24"/>
        </w:rPr>
        <w:t>When a quorum is present at any meeting, any questions brought before the meeting shall be decided by a majority of the voting power present in person or</w:t>
      </w:r>
      <w:r>
        <w:rPr>
          <w:color w:val="231F20"/>
          <w:spacing w:val="-34"/>
          <w:sz w:val="24"/>
        </w:rPr>
        <w:t> </w:t>
      </w:r>
      <w:r>
        <w:rPr>
          <w:color w:val="231F20"/>
          <w:sz w:val="24"/>
        </w:rPr>
        <w:t>by proxy unless the question is one where a different vote is required to express provision of law, the Declaration or these</w:t>
      </w:r>
      <w:r>
        <w:rPr>
          <w:color w:val="231F20"/>
          <w:spacing w:val="-8"/>
          <w:sz w:val="24"/>
        </w:rPr>
        <w:t> </w:t>
      </w:r>
      <w:r>
        <w:rPr>
          <w:color w:val="231F20"/>
          <w:sz w:val="24"/>
        </w:rPr>
        <w:t>By-Laws.</w:t>
      </w:r>
    </w:p>
    <w:p>
      <w:pPr>
        <w:spacing w:after="0" w:line="240" w:lineRule="auto"/>
        <w:jc w:val="left"/>
        <w:rPr>
          <w:sz w:val="24"/>
        </w:rPr>
        <w:sectPr>
          <w:pgSz w:w="12240" w:h="15840"/>
          <w:pgMar w:header="0" w:footer="948" w:top="1400" w:bottom="1140" w:left="1220" w:right="480"/>
        </w:sectPr>
      </w:pPr>
    </w:p>
    <w:p>
      <w:pPr>
        <w:pStyle w:val="ListParagraph"/>
        <w:numPr>
          <w:ilvl w:val="1"/>
          <w:numId w:val="13"/>
        </w:numPr>
        <w:tabs>
          <w:tab w:pos="1301" w:val="left" w:leader="none"/>
        </w:tabs>
        <w:spacing w:line="240" w:lineRule="auto" w:before="39" w:after="0"/>
        <w:ind w:left="1300" w:right="1250" w:hanging="360"/>
        <w:jc w:val="left"/>
        <w:rPr>
          <w:sz w:val="24"/>
        </w:rPr>
      </w:pPr>
      <w:r>
        <w:rPr>
          <w:color w:val="231F20"/>
          <w:sz w:val="24"/>
        </w:rPr>
        <w:t>At the beginning of each meeting, the Secretary shall render and certify the Roll showing a list of all the members entitled to vote at such meeting, the</w:t>
      </w:r>
      <w:r>
        <w:rPr>
          <w:color w:val="231F20"/>
          <w:spacing w:val="-28"/>
          <w:sz w:val="24"/>
        </w:rPr>
        <w:t> </w:t>
      </w:r>
      <w:r>
        <w:rPr>
          <w:color w:val="231F20"/>
          <w:sz w:val="24"/>
        </w:rPr>
        <w:t>percentage voting power to each and the name of the person entitled to cast each such member's vote by virtue of a certificate or proxy then in</w:t>
      </w:r>
      <w:r>
        <w:rPr>
          <w:color w:val="231F20"/>
          <w:spacing w:val="-17"/>
          <w:sz w:val="24"/>
        </w:rPr>
        <w:t> </w:t>
      </w:r>
      <w:r>
        <w:rPr>
          <w:color w:val="231F20"/>
          <w:sz w:val="24"/>
        </w:rPr>
        <w:t>effect.</w:t>
      </w:r>
    </w:p>
    <w:p>
      <w:pPr>
        <w:pStyle w:val="BodyText"/>
      </w:pPr>
    </w:p>
    <w:p>
      <w:pPr>
        <w:pStyle w:val="ListParagraph"/>
        <w:numPr>
          <w:ilvl w:val="1"/>
          <w:numId w:val="13"/>
        </w:numPr>
        <w:tabs>
          <w:tab w:pos="1300" w:val="left" w:leader="none"/>
        </w:tabs>
        <w:spacing w:line="240" w:lineRule="auto" w:before="0" w:after="0"/>
        <w:ind w:left="1299" w:right="0" w:hanging="360"/>
        <w:jc w:val="left"/>
        <w:rPr>
          <w:sz w:val="24"/>
        </w:rPr>
      </w:pPr>
      <w:r>
        <w:rPr>
          <w:color w:val="231F20"/>
          <w:sz w:val="24"/>
        </w:rPr>
        <w:t>There shall be no cumulative</w:t>
      </w:r>
      <w:r>
        <w:rPr>
          <w:color w:val="231F20"/>
          <w:spacing w:val="-7"/>
          <w:sz w:val="24"/>
        </w:rPr>
        <w:t> </w:t>
      </w:r>
      <w:r>
        <w:rPr>
          <w:color w:val="231F20"/>
          <w:sz w:val="24"/>
        </w:rPr>
        <w:t>voting.</w:t>
      </w:r>
    </w:p>
    <w:p>
      <w:pPr>
        <w:pStyle w:val="BodyText"/>
        <w:spacing w:before="11"/>
        <w:rPr>
          <w:sz w:val="23"/>
        </w:rPr>
      </w:pPr>
    </w:p>
    <w:p>
      <w:pPr>
        <w:pStyle w:val="ListParagraph"/>
        <w:numPr>
          <w:ilvl w:val="1"/>
          <w:numId w:val="13"/>
        </w:numPr>
        <w:tabs>
          <w:tab w:pos="1300" w:val="left" w:leader="none"/>
        </w:tabs>
        <w:spacing w:line="242" w:lineRule="auto" w:before="1" w:after="0"/>
        <w:ind w:left="1300" w:right="1743" w:hanging="361"/>
        <w:jc w:val="left"/>
        <w:rPr>
          <w:sz w:val="24"/>
        </w:rPr>
      </w:pPr>
      <w:r>
        <w:rPr>
          <w:color w:val="231F20"/>
          <w:sz w:val="24"/>
        </w:rPr>
        <w:t>The order of business at the annual meetings of the members and as far </w:t>
      </w:r>
      <w:r>
        <w:rPr>
          <w:color w:val="231F20"/>
          <w:spacing w:val="2"/>
          <w:sz w:val="24"/>
        </w:rPr>
        <w:t>as</w:t>
      </w:r>
      <w:r>
        <w:rPr>
          <w:color w:val="231F20"/>
          <w:spacing w:val="-24"/>
          <w:sz w:val="24"/>
        </w:rPr>
        <w:t> </w:t>
      </w:r>
      <w:r>
        <w:rPr>
          <w:color w:val="231F20"/>
          <w:sz w:val="24"/>
        </w:rPr>
        <w:t>is practical at all other meetings of members shall</w:t>
      </w:r>
      <w:r>
        <w:rPr>
          <w:color w:val="231F20"/>
          <w:spacing w:val="-4"/>
          <w:sz w:val="24"/>
        </w:rPr>
        <w:t> </w:t>
      </w:r>
      <w:r>
        <w:rPr>
          <w:color w:val="231F20"/>
          <w:sz w:val="24"/>
        </w:rPr>
        <w:t>be:</w:t>
      </w:r>
    </w:p>
    <w:p>
      <w:pPr>
        <w:pStyle w:val="BodyText"/>
        <w:spacing w:before="8"/>
        <w:rPr>
          <w:sz w:val="23"/>
        </w:rPr>
      </w:pP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Calling meeting to order by President or other presiding Board</w:t>
      </w:r>
      <w:r>
        <w:rPr>
          <w:color w:val="231F20"/>
          <w:spacing w:val="-13"/>
          <w:sz w:val="24"/>
        </w:rPr>
        <w:t> </w:t>
      </w:r>
      <w:r>
        <w:rPr>
          <w:color w:val="231F20"/>
          <w:sz w:val="24"/>
        </w:rPr>
        <w:t>Member</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Calling of the roll and certifying of</w:t>
      </w:r>
      <w:r>
        <w:rPr>
          <w:color w:val="231F20"/>
          <w:spacing w:val="-7"/>
          <w:sz w:val="24"/>
        </w:rPr>
        <w:t> </w:t>
      </w:r>
      <w:r>
        <w:rPr>
          <w:color w:val="231F20"/>
          <w:sz w:val="24"/>
        </w:rPr>
        <w:t>proxies</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Proof of notice of meeting or waiver of</w:t>
      </w:r>
      <w:r>
        <w:rPr>
          <w:color w:val="231F20"/>
          <w:spacing w:val="-8"/>
          <w:sz w:val="24"/>
        </w:rPr>
        <w:t> </w:t>
      </w:r>
      <w:r>
        <w:rPr>
          <w:color w:val="231F20"/>
          <w:sz w:val="24"/>
        </w:rPr>
        <w:t>notice</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Reading and disposal of any unapproved</w:t>
      </w:r>
      <w:r>
        <w:rPr>
          <w:color w:val="231F20"/>
          <w:spacing w:val="-5"/>
          <w:sz w:val="24"/>
        </w:rPr>
        <w:t> </w:t>
      </w:r>
      <w:r>
        <w:rPr>
          <w:color w:val="231F20"/>
          <w:sz w:val="24"/>
        </w:rPr>
        <w:t>minutes</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Reports of</w:t>
      </w:r>
      <w:r>
        <w:rPr>
          <w:color w:val="231F20"/>
          <w:spacing w:val="-4"/>
          <w:sz w:val="24"/>
        </w:rPr>
        <w:t> </w:t>
      </w:r>
      <w:r>
        <w:rPr>
          <w:color w:val="231F20"/>
          <w:sz w:val="24"/>
        </w:rPr>
        <w:t>officers</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Reports of</w:t>
      </w:r>
      <w:r>
        <w:rPr>
          <w:color w:val="231F20"/>
          <w:spacing w:val="-3"/>
          <w:sz w:val="24"/>
        </w:rPr>
        <w:t> </w:t>
      </w:r>
      <w:r>
        <w:rPr>
          <w:color w:val="231F20"/>
          <w:sz w:val="24"/>
        </w:rPr>
        <w:t>committees</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Appointment of inspectors of</w:t>
      </w:r>
      <w:r>
        <w:rPr>
          <w:color w:val="231F20"/>
          <w:spacing w:val="1"/>
          <w:sz w:val="24"/>
        </w:rPr>
        <w:t> </w:t>
      </w:r>
      <w:r>
        <w:rPr>
          <w:color w:val="231F20"/>
          <w:sz w:val="24"/>
        </w:rPr>
        <w:t>election</w:t>
      </w: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Election of</w:t>
      </w:r>
      <w:r>
        <w:rPr>
          <w:color w:val="231F20"/>
          <w:spacing w:val="-4"/>
          <w:sz w:val="24"/>
        </w:rPr>
        <w:t> </w:t>
      </w:r>
      <w:r>
        <w:rPr>
          <w:color w:val="231F20"/>
          <w:sz w:val="24"/>
        </w:rPr>
        <w:t>directors</w:t>
      </w:r>
    </w:p>
    <w:p>
      <w:pPr>
        <w:pStyle w:val="ListParagraph"/>
        <w:numPr>
          <w:ilvl w:val="2"/>
          <w:numId w:val="13"/>
        </w:numPr>
        <w:tabs>
          <w:tab w:pos="1840" w:val="left" w:leader="none"/>
          <w:tab w:pos="1841" w:val="left" w:leader="none"/>
        </w:tabs>
        <w:spacing w:line="240" w:lineRule="auto" w:before="0" w:after="0"/>
        <w:ind w:left="1840" w:right="0" w:hanging="541"/>
        <w:jc w:val="left"/>
        <w:rPr>
          <w:sz w:val="24"/>
        </w:rPr>
      </w:pPr>
      <w:r>
        <w:rPr>
          <w:color w:val="231F20"/>
          <w:sz w:val="24"/>
        </w:rPr>
        <w:t>Unfinished</w:t>
      </w:r>
      <w:r>
        <w:rPr>
          <w:color w:val="231F20"/>
          <w:spacing w:val="-12"/>
          <w:sz w:val="24"/>
        </w:rPr>
        <w:t> </w:t>
      </w:r>
      <w:r>
        <w:rPr>
          <w:color w:val="231F20"/>
          <w:sz w:val="24"/>
        </w:rPr>
        <w:t>business</w:t>
      </w:r>
    </w:p>
    <w:p>
      <w:pPr>
        <w:pStyle w:val="ListParagraph"/>
        <w:numPr>
          <w:ilvl w:val="2"/>
          <w:numId w:val="13"/>
        </w:numPr>
        <w:tabs>
          <w:tab w:pos="1842" w:val="left" w:leader="none"/>
        </w:tabs>
        <w:spacing w:line="240" w:lineRule="auto" w:before="0" w:after="0"/>
        <w:ind w:left="1841" w:right="0" w:hanging="542"/>
        <w:jc w:val="left"/>
        <w:rPr>
          <w:sz w:val="24"/>
        </w:rPr>
      </w:pPr>
      <w:r>
        <w:rPr>
          <w:color w:val="231F20"/>
          <w:sz w:val="24"/>
        </w:rPr>
        <w:t>New</w:t>
      </w:r>
      <w:r>
        <w:rPr>
          <w:color w:val="231F20"/>
          <w:spacing w:val="-7"/>
          <w:sz w:val="24"/>
        </w:rPr>
        <w:t> </w:t>
      </w:r>
      <w:r>
        <w:rPr>
          <w:color w:val="231F20"/>
          <w:sz w:val="24"/>
        </w:rPr>
        <w:t>business</w:t>
      </w:r>
    </w:p>
    <w:p>
      <w:pPr>
        <w:pStyle w:val="ListParagraph"/>
        <w:numPr>
          <w:ilvl w:val="2"/>
          <w:numId w:val="13"/>
        </w:numPr>
        <w:tabs>
          <w:tab w:pos="1841" w:val="left" w:leader="none"/>
        </w:tabs>
        <w:spacing w:line="240" w:lineRule="auto" w:before="0" w:after="0"/>
        <w:ind w:left="1840" w:right="0" w:hanging="541"/>
        <w:jc w:val="left"/>
        <w:rPr>
          <w:sz w:val="24"/>
        </w:rPr>
      </w:pPr>
      <w:r>
        <w:rPr>
          <w:color w:val="231F20"/>
          <w:sz w:val="24"/>
        </w:rPr>
        <w:t>Adjournment</w:t>
      </w:r>
    </w:p>
    <w:p>
      <w:pPr>
        <w:pStyle w:val="BodyText"/>
        <w:spacing w:before="1"/>
      </w:pPr>
    </w:p>
    <w:p>
      <w:pPr>
        <w:pStyle w:val="ListParagraph"/>
        <w:numPr>
          <w:ilvl w:val="1"/>
          <w:numId w:val="13"/>
        </w:numPr>
        <w:tabs>
          <w:tab w:pos="1300" w:val="left" w:leader="none"/>
        </w:tabs>
        <w:spacing w:line="240" w:lineRule="auto" w:before="0" w:after="0"/>
        <w:ind w:left="1300" w:right="969" w:hanging="361"/>
        <w:jc w:val="left"/>
        <w:rPr>
          <w:sz w:val="24"/>
        </w:rPr>
      </w:pPr>
      <w:r>
        <w:rPr>
          <w:color w:val="231F20"/>
          <w:sz w:val="24"/>
        </w:rPr>
        <w:t>Any action which might be taken at a members' meeting may be taken upon the written consent of all those entitled to vote at any meeting, determined at such</w:t>
      </w:r>
      <w:r>
        <w:rPr>
          <w:color w:val="231F20"/>
          <w:spacing w:val="-34"/>
          <w:sz w:val="24"/>
        </w:rPr>
        <w:t> </w:t>
      </w:r>
      <w:r>
        <w:rPr>
          <w:color w:val="231F20"/>
          <w:sz w:val="24"/>
        </w:rPr>
        <w:t>time as is designated by the President, and where there is more than one holder of an interest in an apartment, all holders must give consent unless the certificate above mentioned is on file with the Secretary, in which event only the consent of the named party need be</w:t>
      </w:r>
      <w:r>
        <w:rPr>
          <w:color w:val="231F20"/>
          <w:spacing w:val="-4"/>
          <w:sz w:val="24"/>
        </w:rPr>
        <w:t> </w:t>
      </w:r>
      <w:r>
        <w:rPr>
          <w:color w:val="231F20"/>
          <w:sz w:val="24"/>
        </w:rPr>
        <w:t>obtained.</w:t>
      </w:r>
    </w:p>
    <w:p>
      <w:pPr>
        <w:pStyle w:val="BodyText"/>
        <w:spacing w:before="11"/>
        <w:rPr>
          <w:sz w:val="23"/>
        </w:rPr>
      </w:pPr>
    </w:p>
    <w:p>
      <w:pPr>
        <w:pStyle w:val="ListParagraph"/>
        <w:numPr>
          <w:ilvl w:val="0"/>
          <w:numId w:val="13"/>
        </w:numPr>
        <w:tabs>
          <w:tab w:pos="939" w:val="left" w:leader="none"/>
          <w:tab w:pos="940" w:val="left" w:leader="none"/>
        </w:tabs>
        <w:spacing w:line="240" w:lineRule="auto" w:before="0" w:after="0"/>
        <w:ind w:left="939" w:right="0" w:hanging="720"/>
        <w:jc w:val="left"/>
        <w:rPr>
          <w:sz w:val="24"/>
        </w:rPr>
      </w:pPr>
      <w:r>
        <w:rPr>
          <w:color w:val="231F20"/>
          <w:sz w:val="24"/>
        </w:rPr>
        <w:t>BOARD OF</w:t>
      </w:r>
      <w:r>
        <w:rPr>
          <w:color w:val="231F20"/>
          <w:spacing w:val="-1"/>
          <w:sz w:val="24"/>
        </w:rPr>
        <w:t> </w:t>
      </w:r>
      <w:r>
        <w:rPr>
          <w:color w:val="231F20"/>
          <w:sz w:val="24"/>
        </w:rPr>
        <w:t>DIRECTORS:</w:t>
      </w:r>
    </w:p>
    <w:p>
      <w:pPr>
        <w:pStyle w:val="BodyText"/>
      </w:pPr>
    </w:p>
    <w:p>
      <w:pPr>
        <w:pStyle w:val="ListParagraph"/>
        <w:numPr>
          <w:ilvl w:val="1"/>
          <w:numId w:val="13"/>
        </w:numPr>
        <w:tabs>
          <w:tab w:pos="1302" w:val="left" w:leader="none"/>
        </w:tabs>
        <w:spacing w:line="240" w:lineRule="auto" w:before="0" w:after="0"/>
        <w:ind w:left="1300" w:right="1022" w:hanging="360"/>
        <w:jc w:val="left"/>
        <w:rPr>
          <w:sz w:val="24"/>
        </w:rPr>
      </w:pPr>
      <w:r>
        <w:rPr>
          <w:color w:val="231F20"/>
          <w:sz w:val="24"/>
        </w:rPr>
        <w:t>The first Board of Directors shall consist of three (3) persons, as set forth in the Articles of Incorporation. Said first Directors shall serve until the first meeting of the members. At that time a new board of five (5) persons shall be elected as provided in 3a</w:t>
      </w:r>
      <w:r>
        <w:rPr>
          <w:color w:val="231F20"/>
          <w:spacing w:val="-1"/>
          <w:sz w:val="24"/>
        </w:rPr>
        <w:t> </w:t>
      </w:r>
      <w:r>
        <w:rPr>
          <w:color w:val="231F20"/>
          <w:sz w:val="24"/>
        </w:rPr>
        <w:t>herein.</w:t>
      </w:r>
    </w:p>
    <w:p>
      <w:pPr>
        <w:pStyle w:val="BodyText"/>
        <w:spacing w:before="2"/>
      </w:pPr>
    </w:p>
    <w:p>
      <w:pPr>
        <w:pStyle w:val="ListParagraph"/>
        <w:numPr>
          <w:ilvl w:val="1"/>
          <w:numId w:val="13"/>
        </w:numPr>
        <w:tabs>
          <w:tab w:pos="1300" w:val="left" w:leader="none"/>
        </w:tabs>
        <w:spacing w:line="240" w:lineRule="auto" w:before="0" w:after="0"/>
        <w:ind w:left="1300" w:right="1561" w:hanging="360"/>
        <w:jc w:val="left"/>
        <w:rPr>
          <w:sz w:val="24"/>
        </w:rPr>
      </w:pPr>
      <w:r>
        <w:rPr>
          <w:color w:val="231F20"/>
          <w:sz w:val="24"/>
        </w:rPr>
        <w:t>Election of the second Board of Directors and of all subsequent Boards shall be conducted in the following</w:t>
      </w:r>
      <w:r>
        <w:rPr>
          <w:color w:val="231F20"/>
          <w:spacing w:val="-4"/>
          <w:sz w:val="24"/>
        </w:rPr>
        <w:t> </w:t>
      </w:r>
      <w:r>
        <w:rPr>
          <w:color w:val="231F20"/>
          <w:sz w:val="24"/>
        </w:rPr>
        <w:t>manner:</w:t>
      </w:r>
    </w:p>
    <w:p>
      <w:pPr>
        <w:spacing w:after="0" w:line="240" w:lineRule="auto"/>
        <w:jc w:val="left"/>
        <w:rPr>
          <w:sz w:val="24"/>
        </w:rPr>
        <w:sectPr>
          <w:pgSz w:w="12240" w:h="15840"/>
          <w:pgMar w:header="0" w:footer="948" w:top="1400" w:bottom="1140" w:left="1220" w:right="480"/>
        </w:sectPr>
      </w:pPr>
    </w:p>
    <w:p>
      <w:pPr>
        <w:pStyle w:val="ListParagraph"/>
        <w:numPr>
          <w:ilvl w:val="2"/>
          <w:numId w:val="13"/>
        </w:numPr>
        <w:tabs>
          <w:tab w:pos="1841" w:val="left" w:leader="none"/>
          <w:tab w:pos="1842" w:val="left" w:leader="none"/>
        </w:tabs>
        <w:spacing w:line="240" w:lineRule="auto" w:before="39" w:after="0"/>
        <w:ind w:left="1840" w:right="1096" w:hanging="541"/>
        <w:jc w:val="left"/>
        <w:rPr>
          <w:sz w:val="24"/>
        </w:rPr>
      </w:pPr>
      <w:r>
        <w:rPr>
          <w:color w:val="231F20"/>
          <w:sz w:val="24"/>
        </w:rPr>
        <w:t>Nominations for all available directorships shall be taken before voting. Only one ballot shall be taken with no more than one name for each available directorship, and those nominees receiving the most number of votes shall be elected to fill the number of directorships with the nominee(s) receiving the most votes filling the position(s) of the longest</w:t>
      </w:r>
      <w:r>
        <w:rPr>
          <w:color w:val="231F20"/>
          <w:spacing w:val="-13"/>
          <w:sz w:val="24"/>
        </w:rPr>
        <w:t> </w:t>
      </w:r>
      <w:r>
        <w:rPr>
          <w:color w:val="231F20"/>
          <w:sz w:val="24"/>
        </w:rPr>
        <w:t>term(s).</w:t>
      </w:r>
    </w:p>
    <w:p>
      <w:pPr>
        <w:pStyle w:val="BodyText"/>
        <w:spacing w:before="12"/>
        <w:rPr>
          <w:sz w:val="23"/>
        </w:rPr>
      </w:pPr>
    </w:p>
    <w:p>
      <w:pPr>
        <w:pStyle w:val="ListParagraph"/>
        <w:numPr>
          <w:ilvl w:val="2"/>
          <w:numId w:val="13"/>
        </w:numPr>
        <w:tabs>
          <w:tab w:pos="1841" w:val="left" w:leader="none"/>
          <w:tab w:pos="1842" w:val="left" w:leader="none"/>
        </w:tabs>
        <w:spacing w:line="240" w:lineRule="auto" w:before="0" w:after="0"/>
        <w:ind w:left="1840" w:right="1062" w:hanging="541"/>
        <w:jc w:val="left"/>
        <w:rPr>
          <w:sz w:val="24"/>
        </w:rPr>
      </w:pPr>
      <w:r>
        <w:rPr>
          <w:color w:val="231F20"/>
          <w:sz w:val="24"/>
        </w:rPr>
        <w:t>Vacancies on the Board of Directors occurring between meetings may be</w:t>
      </w:r>
      <w:r>
        <w:rPr>
          <w:color w:val="231F20"/>
          <w:spacing w:val="-21"/>
          <w:sz w:val="24"/>
        </w:rPr>
        <w:t> </w:t>
      </w:r>
      <w:r>
        <w:rPr>
          <w:color w:val="231F20"/>
          <w:sz w:val="24"/>
        </w:rPr>
        <w:t>filled by the remaining Directors, and such appointed Directors shall serve until the next annual meeting of the Association, and thereafter until their successors are duly elected and</w:t>
      </w:r>
      <w:r>
        <w:rPr>
          <w:color w:val="231F20"/>
          <w:spacing w:val="-2"/>
          <w:sz w:val="24"/>
        </w:rPr>
        <w:t> </w:t>
      </w:r>
      <w:r>
        <w:rPr>
          <w:color w:val="231F20"/>
          <w:sz w:val="24"/>
        </w:rPr>
        <w:t>qualified.</w:t>
      </w:r>
    </w:p>
    <w:p>
      <w:pPr>
        <w:pStyle w:val="BodyText"/>
        <w:spacing w:before="1"/>
      </w:pPr>
    </w:p>
    <w:p>
      <w:pPr>
        <w:pStyle w:val="ListParagraph"/>
        <w:numPr>
          <w:ilvl w:val="2"/>
          <w:numId w:val="13"/>
        </w:numPr>
        <w:tabs>
          <w:tab w:pos="1841" w:val="left" w:leader="none"/>
          <w:tab w:pos="1842" w:val="left" w:leader="none"/>
        </w:tabs>
        <w:spacing w:line="240" w:lineRule="auto" w:before="0" w:after="0"/>
        <w:ind w:left="1840" w:right="1528" w:hanging="541"/>
        <w:jc w:val="left"/>
        <w:rPr>
          <w:sz w:val="24"/>
        </w:rPr>
      </w:pPr>
      <w:r>
        <w:rPr>
          <w:color w:val="231F20"/>
          <w:sz w:val="24"/>
        </w:rPr>
        <w:t>The term of each Director's service shall be two years, or until the next respective annual meeting of the members, and until his successor is</w:t>
      </w:r>
      <w:r>
        <w:rPr>
          <w:color w:val="231F20"/>
          <w:spacing w:val="-28"/>
          <w:sz w:val="24"/>
        </w:rPr>
        <w:t> </w:t>
      </w:r>
      <w:r>
        <w:rPr>
          <w:color w:val="231F20"/>
          <w:sz w:val="24"/>
        </w:rPr>
        <w:t>duly elected and</w:t>
      </w:r>
      <w:r>
        <w:rPr>
          <w:color w:val="231F20"/>
          <w:spacing w:val="-4"/>
          <w:sz w:val="24"/>
        </w:rPr>
        <w:t> </w:t>
      </w:r>
      <w:r>
        <w:rPr>
          <w:color w:val="231F20"/>
          <w:sz w:val="24"/>
        </w:rPr>
        <w:t>qualified.</w:t>
      </w:r>
    </w:p>
    <w:p>
      <w:pPr>
        <w:pStyle w:val="BodyText"/>
      </w:pPr>
    </w:p>
    <w:p>
      <w:pPr>
        <w:pStyle w:val="ListParagraph"/>
        <w:numPr>
          <w:ilvl w:val="1"/>
          <w:numId w:val="13"/>
        </w:numPr>
        <w:tabs>
          <w:tab w:pos="1302" w:val="left" w:leader="none"/>
        </w:tabs>
        <w:spacing w:line="240" w:lineRule="auto" w:before="0" w:after="0"/>
        <w:ind w:left="1300" w:right="1283" w:hanging="361"/>
        <w:jc w:val="left"/>
        <w:rPr>
          <w:sz w:val="24"/>
        </w:rPr>
      </w:pPr>
      <w:r>
        <w:rPr>
          <w:color w:val="231F20"/>
          <w:sz w:val="24"/>
        </w:rPr>
        <w:t>A Director may be removed by a sixty percent (60%) vote of the voting power at</w:t>
      </w:r>
      <w:r>
        <w:rPr>
          <w:color w:val="231F20"/>
          <w:spacing w:val="-28"/>
          <w:sz w:val="24"/>
        </w:rPr>
        <w:t> </w:t>
      </w:r>
      <w:r>
        <w:rPr>
          <w:color w:val="231F20"/>
          <w:sz w:val="24"/>
        </w:rPr>
        <w:t>a special meeting noticed for that</w:t>
      </w:r>
      <w:r>
        <w:rPr>
          <w:color w:val="231F20"/>
          <w:spacing w:val="-1"/>
          <w:sz w:val="24"/>
        </w:rPr>
        <w:t> </w:t>
      </w:r>
      <w:r>
        <w:rPr>
          <w:color w:val="231F20"/>
          <w:sz w:val="24"/>
        </w:rPr>
        <w:t>purpose.</w:t>
      </w:r>
    </w:p>
    <w:p>
      <w:pPr>
        <w:pStyle w:val="BodyText"/>
      </w:pPr>
    </w:p>
    <w:p>
      <w:pPr>
        <w:pStyle w:val="ListParagraph"/>
        <w:numPr>
          <w:ilvl w:val="1"/>
          <w:numId w:val="13"/>
        </w:numPr>
        <w:tabs>
          <w:tab w:pos="1300" w:val="left" w:leader="none"/>
        </w:tabs>
        <w:spacing w:line="240" w:lineRule="auto" w:before="0" w:after="0"/>
        <w:ind w:left="1300" w:right="1003" w:hanging="361"/>
        <w:jc w:val="left"/>
        <w:rPr>
          <w:sz w:val="24"/>
        </w:rPr>
      </w:pPr>
      <w:r>
        <w:rPr>
          <w:color w:val="231F20"/>
          <w:sz w:val="24"/>
        </w:rPr>
        <w:t>Regular meetings of the Board of Directors may be held at such time and place as shall be determined from time to time by a majority of the Directors. Written notice of regular meetings shall be given to each Director personally or by mail, at least seven (7) days prior to the date established for such meeting unless such notice is waived in</w:t>
      </w:r>
      <w:r>
        <w:rPr>
          <w:color w:val="231F20"/>
          <w:spacing w:val="-1"/>
          <w:sz w:val="24"/>
        </w:rPr>
        <w:t> </w:t>
      </w:r>
      <w:r>
        <w:rPr>
          <w:color w:val="231F20"/>
          <w:sz w:val="24"/>
        </w:rPr>
        <w:t>writing.</w:t>
      </w:r>
    </w:p>
    <w:p>
      <w:pPr>
        <w:pStyle w:val="BodyText"/>
        <w:spacing w:before="1"/>
      </w:pPr>
    </w:p>
    <w:p>
      <w:pPr>
        <w:pStyle w:val="ListParagraph"/>
        <w:numPr>
          <w:ilvl w:val="1"/>
          <w:numId w:val="13"/>
        </w:numPr>
        <w:tabs>
          <w:tab w:pos="1302" w:val="left" w:leader="none"/>
        </w:tabs>
        <w:spacing w:line="240" w:lineRule="auto" w:before="1" w:after="0"/>
        <w:ind w:left="1300" w:right="1112" w:hanging="361"/>
        <w:jc w:val="both"/>
        <w:rPr>
          <w:sz w:val="24"/>
        </w:rPr>
      </w:pPr>
      <w:r>
        <w:rPr>
          <w:color w:val="231F20"/>
          <w:sz w:val="24"/>
        </w:rPr>
        <w:t>Special meetings of the Board of Directors may be called by the President and must be called by the Secretary at the written request of one-third (1/3) of the Directors. Not less than seven (7) days written notice of the meeting shall be given personally or by mail, which notice shall state the time, place and purpose of the</w:t>
      </w:r>
      <w:r>
        <w:rPr>
          <w:color w:val="231F20"/>
          <w:spacing w:val="-21"/>
          <w:sz w:val="24"/>
        </w:rPr>
        <w:t> </w:t>
      </w:r>
      <w:r>
        <w:rPr>
          <w:color w:val="231F20"/>
          <w:sz w:val="24"/>
        </w:rPr>
        <w:t>meeting.</w:t>
      </w:r>
    </w:p>
    <w:p>
      <w:pPr>
        <w:pStyle w:val="BodyText"/>
        <w:spacing w:before="11"/>
        <w:rPr>
          <w:sz w:val="23"/>
        </w:rPr>
      </w:pPr>
    </w:p>
    <w:p>
      <w:pPr>
        <w:pStyle w:val="ListParagraph"/>
        <w:numPr>
          <w:ilvl w:val="1"/>
          <w:numId w:val="13"/>
        </w:numPr>
        <w:tabs>
          <w:tab w:pos="1300" w:val="left" w:leader="none"/>
          <w:tab w:pos="1301" w:val="left" w:leader="none"/>
        </w:tabs>
        <w:spacing w:line="240" w:lineRule="auto" w:before="0" w:after="0"/>
        <w:ind w:left="1300" w:right="1265" w:hanging="361"/>
        <w:jc w:val="left"/>
        <w:rPr>
          <w:sz w:val="24"/>
        </w:rPr>
      </w:pPr>
      <w:r>
        <w:rPr>
          <w:color w:val="231F20"/>
          <w:sz w:val="24"/>
        </w:rPr>
        <w:t>Any Director may in writing waive notice of a meeting before or after the meeting and such waiver shall be deemed equivalent to the giving of</w:t>
      </w:r>
      <w:r>
        <w:rPr>
          <w:color w:val="231F20"/>
          <w:spacing w:val="-15"/>
          <w:sz w:val="24"/>
        </w:rPr>
        <w:t> </w:t>
      </w:r>
      <w:r>
        <w:rPr>
          <w:color w:val="231F20"/>
          <w:sz w:val="24"/>
        </w:rPr>
        <w:t>notice.</w:t>
      </w:r>
    </w:p>
    <w:p>
      <w:pPr>
        <w:pStyle w:val="BodyText"/>
        <w:spacing w:before="11"/>
        <w:rPr>
          <w:sz w:val="23"/>
        </w:rPr>
      </w:pPr>
    </w:p>
    <w:p>
      <w:pPr>
        <w:pStyle w:val="ListParagraph"/>
        <w:numPr>
          <w:ilvl w:val="1"/>
          <w:numId w:val="13"/>
        </w:numPr>
        <w:tabs>
          <w:tab w:pos="1302" w:val="left" w:leader="none"/>
        </w:tabs>
        <w:spacing w:line="240" w:lineRule="auto" w:before="1" w:after="0"/>
        <w:ind w:left="1300" w:right="1453" w:hanging="361"/>
        <w:jc w:val="left"/>
        <w:rPr>
          <w:sz w:val="24"/>
        </w:rPr>
      </w:pPr>
      <w:r>
        <w:rPr>
          <w:color w:val="231F20"/>
          <w:sz w:val="24"/>
        </w:rPr>
        <w:t>Any quorum at a Directors meeting shall consist of a majority in number of the Directors. The acts of the Board approved by a majority at a meeting at which</w:t>
      </w:r>
      <w:r>
        <w:rPr>
          <w:color w:val="231F20"/>
          <w:spacing w:val="-23"/>
          <w:sz w:val="24"/>
        </w:rPr>
        <w:t> </w:t>
      </w:r>
      <w:r>
        <w:rPr>
          <w:color w:val="231F20"/>
          <w:sz w:val="24"/>
        </w:rPr>
        <w:t>a quorum is present shall constitute the acts of the Board of Directors. If at any meeting of the</w:t>
      </w:r>
      <w:r>
        <w:rPr>
          <w:color w:val="231F20"/>
          <w:spacing w:val="-3"/>
          <w:sz w:val="24"/>
        </w:rPr>
        <w:t> </w:t>
      </w:r>
      <w:r>
        <w:rPr>
          <w:color w:val="231F20"/>
          <w:sz w:val="24"/>
        </w:rPr>
        <w:t>Board,</w:t>
      </w:r>
    </w:p>
    <w:p>
      <w:pPr>
        <w:spacing w:after="0" w:line="240" w:lineRule="auto"/>
        <w:jc w:val="left"/>
        <w:rPr>
          <w:sz w:val="24"/>
        </w:rPr>
        <w:sectPr>
          <w:pgSz w:w="12240" w:h="15840"/>
          <w:pgMar w:header="0" w:footer="948" w:top="1400" w:bottom="1140" w:left="1220" w:right="480"/>
        </w:sectPr>
      </w:pPr>
    </w:p>
    <w:p>
      <w:pPr>
        <w:pStyle w:val="BodyText"/>
        <w:spacing w:before="39"/>
        <w:ind w:left="1300" w:right="950" w:hanging="1"/>
      </w:pPr>
      <w:r>
        <w:rPr>
          <w:color w:val="231F20"/>
        </w:rPr>
        <w:t>there should be less than a quorum present, the majority of those present may adjourn the meeting from time to time until a quorum is present. At an adjourned meeting any business which might have been transacted at the meeting originally called may be transacted without further notice.</w:t>
      </w:r>
    </w:p>
    <w:p>
      <w:pPr>
        <w:pStyle w:val="BodyText"/>
      </w:pPr>
    </w:p>
    <w:p>
      <w:pPr>
        <w:pStyle w:val="ListParagraph"/>
        <w:numPr>
          <w:ilvl w:val="1"/>
          <w:numId w:val="13"/>
        </w:numPr>
        <w:tabs>
          <w:tab w:pos="1300" w:val="left" w:leader="none"/>
        </w:tabs>
        <w:spacing w:line="240" w:lineRule="auto" w:before="0" w:after="0"/>
        <w:ind w:left="1300" w:right="1141" w:hanging="361"/>
        <w:jc w:val="left"/>
        <w:rPr>
          <w:sz w:val="24"/>
        </w:rPr>
      </w:pPr>
      <w:r>
        <w:rPr>
          <w:color w:val="231F20"/>
          <w:sz w:val="24"/>
        </w:rPr>
        <w:t>The presiding officer of the meeting of the Directors shall be the President, and in his absence the Vice President. In the absence of the President and Vice</w:t>
      </w:r>
      <w:r>
        <w:rPr>
          <w:color w:val="231F20"/>
          <w:spacing w:val="-32"/>
          <w:sz w:val="24"/>
        </w:rPr>
        <w:t> </w:t>
      </w:r>
      <w:r>
        <w:rPr>
          <w:color w:val="231F20"/>
          <w:sz w:val="24"/>
        </w:rPr>
        <w:t>President, the majority in number of the Directors may designate one of their number to preside.</w:t>
      </w:r>
    </w:p>
    <w:p>
      <w:pPr>
        <w:pStyle w:val="BodyText"/>
        <w:spacing w:before="1"/>
      </w:pPr>
    </w:p>
    <w:p>
      <w:pPr>
        <w:pStyle w:val="ListParagraph"/>
        <w:numPr>
          <w:ilvl w:val="1"/>
          <w:numId w:val="13"/>
        </w:numPr>
        <w:tabs>
          <w:tab w:pos="1300" w:val="left" w:leader="none"/>
          <w:tab w:pos="1301" w:val="left" w:leader="none"/>
        </w:tabs>
        <w:spacing w:line="240" w:lineRule="auto" w:before="0" w:after="0"/>
        <w:ind w:left="1300" w:right="0" w:hanging="361"/>
        <w:jc w:val="left"/>
        <w:rPr>
          <w:sz w:val="24"/>
        </w:rPr>
      </w:pPr>
      <w:r>
        <w:rPr>
          <w:color w:val="231F20"/>
          <w:sz w:val="24"/>
        </w:rPr>
        <w:t>Directors shall receive no compensation for their</w:t>
      </w:r>
      <w:r>
        <w:rPr>
          <w:color w:val="231F20"/>
          <w:spacing w:val="-9"/>
          <w:sz w:val="24"/>
        </w:rPr>
        <w:t> </w:t>
      </w:r>
      <w:r>
        <w:rPr>
          <w:color w:val="231F20"/>
          <w:sz w:val="24"/>
        </w:rPr>
        <w:t>services.</w:t>
      </w:r>
    </w:p>
    <w:p>
      <w:pPr>
        <w:pStyle w:val="BodyText"/>
      </w:pPr>
    </w:p>
    <w:p>
      <w:pPr>
        <w:pStyle w:val="ListParagraph"/>
        <w:numPr>
          <w:ilvl w:val="1"/>
          <w:numId w:val="13"/>
        </w:numPr>
        <w:tabs>
          <w:tab w:pos="1300" w:val="left" w:leader="none"/>
          <w:tab w:pos="1301" w:val="left" w:leader="none"/>
        </w:tabs>
        <w:spacing w:line="240" w:lineRule="auto" w:before="1" w:after="0"/>
        <w:ind w:left="1300" w:right="1135" w:hanging="360"/>
        <w:jc w:val="left"/>
        <w:rPr>
          <w:sz w:val="24"/>
        </w:rPr>
      </w:pPr>
      <w:r>
        <w:rPr>
          <w:color w:val="231F20"/>
          <w:sz w:val="24"/>
        </w:rPr>
        <w:t>Any action that could be taken at a meeting of the Board of Directors may be</w:t>
      </w:r>
      <w:r>
        <w:rPr>
          <w:color w:val="231F20"/>
          <w:spacing w:val="-27"/>
          <w:sz w:val="24"/>
        </w:rPr>
        <w:t> </w:t>
      </w:r>
      <w:r>
        <w:rPr>
          <w:color w:val="231F20"/>
          <w:sz w:val="24"/>
        </w:rPr>
        <w:t>taken without a meeting when authorized in writing by all of the</w:t>
      </w:r>
      <w:r>
        <w:rPr>
          <w:color w:val="231F20"/>
          <w:spacing w:val="-16"/>
          <w:sz w:val="24"/>
        </w:rPr>
        <w:t> </w:t>
      </w:r>
      <w:r>
        <w:rPr>
          <w:color w:val="231F20"/>
          <w:sz w:val="24"/>
        </w:rPr>
        <w:t>Directors.</w:t>
      </w:r>
    </w:p>
    <w:p>
      <w:pPr>
        <w:pStyle w:val="BodyText"/>
        <w:spacing w:before="11"/>
        <w:rPr>
          <w:sz w:val="23"/>
        </w:rPr>
      </w:pPr>
    </w:p>
    <w:p>
      <w:pPr>
        <w:pStyle w:val="ListParagraph"/>
        <w:numPr>
          <w:ilvl w:val="0"/>
          <w:numId w:val="13"/>
        </w:numPr>
        <w:tabs>
          <w:tab w:pos="940" w:val="left" w:leader="none"/>
          <w:tab w:pos="941" w:val="left" w:leader="none"/>
        </w:tabs>
        <w:spacing w:line="240" w:lineRule="auto" w:before="0" w:after="0"/>
        <w:ind w:left="940" w:right="0" w:hanging="721"/>
        <w:jc w:val="left"/>
        <w:rPr>
          <w:sz w:val="24"/>
        </w:rPr>
      </w:pPr>
      <w:r>
        <w:rPr>
          <w:color w:val="231F20"/>
          <w:sz w:val="24"/>
        </w:rPr>
        <w:t>POWER AND DUTIES OF THE BOARD OF</w:t>
      </w:r>
      <w:r>
        <w:rPr>
          <w:color w:val="231F20"/>
          <w:spacing w:val="-6"/>
          <w:sz w:val="24"/>
        </w:rPr>
        <w:t> </w:t>
      </w:r>
      <w:r>
        <w:rPr>
          <w:color w:val="231F20"/>
          <w:sz w:val="24"/>
        </w:rPr>
        <w:t>DIRECTORS:</w:t>
      </w:r>
    </w:p>
    <w:p>
      <w:pPr>
        <w:pStyle w:val="BodyText"/>
      </w:pPr>
    </w:p>
    <w:p>
      <w:pPr>
        <w:pStyle w:val="ListParagraph"/>
        <w:numPr>
          <w:ilvl w:val="1"/>
          <w:numId w:val="13"/>
        </w:numPr>
        <w:tabs>
          <w:tab w:pos="1302" w:val="left" w:leader="none"/>
        </w:tabs>
        <w:spacing w:line="240" w:lineRule="auto" w:before="0" w:after="0"/>
        <w:ind w:left="1300" w:right="1239" w:hanging="361"/>
        <w:jc w:val="left"/>
        <w:rPr>
          <w:sz w:val="24"/>
        </w:rPr>
      </w:pPr>
      <w:r>
        <w:rPr>
          <w:color w:val="231F20"/>
          <w:sz w:val="24"/>
        </w:rPr>
        <w:t>All of the powers and duties of the Association shall be exercised by the Board of Directors, including those existing under the common law, statutes, the Articles</w:t>
      </w:r>
      <w:r>
        <w:rPr>
          <w:color w:val="231F20"/>
          <w:spacing w:val="-28"/>
          <w:sz w:val="24"/>
        </w:rPr>
        <w:t> </w:t>
      </w:r>
      <w:r>
        <w:rPr>
          <w:color w:val="231F20"/>
          <w:sz w:val="24"/>
        </w:rPr>
        <w:t>of Incorporation and those powers and duties designated for the Association of Apartment Owners by the Act and the documents establishing the condominium. Such powers and duties shall include, but shall not be limited to, the</w:t>
      </w:r>
      <w:r>
        <w:rPr>
          <w:color w:val="231F20"/>
          <w:spacing w:val="-28"/>
          <w:sz w:val="24"/>
        </w:rPr>
        <w:t> </w:t>
      </w:r>
      <w:r>
        <w:rPr>
          <w:color w:val="231F20"/>
          <w:sz w:val="24"/>
        </w:rPr>
        <w:t>following:</w:t>
      </w:r>
    </w:p>
    <w:p>
      <w:pPr>
        <w:pStyle w:val="BodyText"/>
        <w:spacing w:before="1"/>
      </w:pP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To elect annually the officers of the</w:t>
      </w:r>
      <w:r>
        <w:rPr>
          <w:color w:val="231F20"/>
          <w:spacing w:val="-2"/>
          <w:sz w:val="24"/>
        </w:rPr>
        <w:t> </w:t>
      </w:r>
      <w:r>
        <w:rPr>
          <w:color w:val="231F20"/>
          <w:sz w:val="24"/>
        </w:rPr>
        <w:t>Association.</w:t>
      </w:r>
    </w:p>
    <w:p>
      <w:pPr>
        <w:pStyle w:val="BodyText"/>
      </w:pPr>
    </w:p>
    <w:p>
      <w:pPr>
        <w:pStyle w:val="ListParagraph"/>
        <w:numPr>
          <w:ilvl w:val="2"/>
          <w:numId w:val="13"/>
        </w:numPr>
        <w:tabs>
          <w:tab w:pos="1841" w:val="left" w:leader="none"/>
          <w:tab w:pos="1842" w:val="left" w:leader="none"/>
        </w:tabs>
        <w:spacing w:line="240" w:lineRule="auto" w:before="0" w:after="0"/>
        <w:ind w:left="1840" w:right="1135" w:hanging="541"/>
        <w:jc w:val="left"/>
        <w:rPr>
          <w:sz w:val="24"/>
        </w:rPr>
      </w:pPr>
      <w:r>
        <w:rPr>
          <w:color w:val="231F20"/>
          <w:sz w:val="24"/>
        </w:rPr>
        <w:t>To prepare and render to the members annually, on or before thirty (30)</w:t>
      </w:r>
      <w:r>
        <w:rPr>
          <w:color w:val="231F20"/>
          <w:spacing w:val="-35"/>
          <w:sz w:val="24"/>
        </w:rPr>
        <w:t> </w:t>
      </w:r>
      <w:r>
        <w:rPr>
          <w:color w:val="231F20"/>
          <w:sz w:val="24"/>
        </w:rPr>
        <w:t>days prior to the first day of each fiscal year showing anticipated income and operating expenses, including reasonable</w:t>
      </w:r>
      <w:r>
        <w:rPr>
          <w:color w:val="231F20"/>
          <w:spacing w:val="-5"/>
          <w:sz w:val="24"/>
        </w:rPr>
        <w:t> </w:t>
      </w:r>
      <w:r>
        <w:rPr>
          <w:color w:val="231F20"/>
          <w:sz w:val="24"/>
        </w:rPr>
        <w:t>reserves.</w:t>
      </w:r>
    </w:p>
    <w:p>
      <w:pPr>
        <w:pStyle w:val="BodyText"/>
      </w:pPr>
    </w:p>
    <w:p>
      <w:pPr>
        <w:pStyle w:val="ListParagraph"/>
        <w:numPr>
          <w:ilvl w:val="2"/>
          <w:numId w:val="13"/>
        </w:numPr>
        <w:tabs>
          <w:tab w:pos="1840" w:val="left" w:leader="none"/>
          <w:tab w:pos="1841" w:val="left" w:leader="none"/>
        </w:tabs>
        <w:spacing w:line="240" w:lineRule="auto" w:before="0" w:after="0"/>
        <w:ind w:left="1840" w:right="1019" w:hanging="541"/>
        <w:jc w:val="left"/>
        <w:rPr>
          <w:sz w:val="24"/>
        </w:rPr>
      </w:pPr>
      <w:r>
        <w:rPr>
          <w:color w:val="231F20"/>
          <w:sz w:val="24"/>
        </w:rPr>
        <w:t>To submit at each annual meeting of the members a statement of the</w:t>
      </w:r>
      <w:r>
        <w:rPr>
          <w:color w:val="231F20"/>
          <w:spacing w:val="-30"/>
          <w:sz w:val="24"/>
        </w:rPr>
        <w:t> </w:t>
      </w:r>
      <w:r>
        <w:rPr>
          <w:color w:val="231F20"/>
          <w:sz w:val="24"/>
        </w:rPr>
        <w:t>business transacted during the preceding year, a report of the general financial condition of the Association and its tangible property, and the proposed budget for the current fiscal year. This statement and report may be incorporated in an Annual Report, which the Directors shall also prepare and mail to the members in the same manner as provided in Paragraph 3.d. of the By-Laws. The Annual Report shall contain at a minimum, the</w:t>
      </w:r>
      <w:r>
        <w:rPr>
          <w:color w:val="231F20"/>
          <w:spacing w:val="-15"/>
          <w:sz w:val="24"/>
        </w:rPr>
        <w:t> </w:t>
      </w:r>
      <w:r>
        <w:rPr>
          <w:color w:val="231F20"/>
          <w:sz w:val="24"/>
        </w:rPr>
        <w:t>following:</w:t>
      </w:r>
    </w:p>
    <w:p>
      <w:pPr>
        <w:spacing w:after="0" w:line="240" w:lineRule="auto"/>
        <w:jc w:val="left"/>
        <w:rPr>
          <w:sz w:val="24"/>
        </w:rPr>
        <w:sectPr>
          <w:pgSz w:w="12240" w:h="15840"/>
          <w:pgMar w:header="0" w:footer="948" w:top="1400" w:bottom="1140" w:left="1220" w:right="480"/>
        </w:sectPr>
      </w:pPr>
    </w:p>
    <w:p>
      <w:pPr>
        <w:pStyle w:val="ListParagraph"/>
        <w:numPr>
          <w:ilvl w:val="3"/>
          <w:numId w:val="13"/>
        </w:numPr>
        <w:tabs>
          <w:tab w:pos="2382" w:val="left" w:leader="none"/>
          <w:tab w:pos="2383" w:val="left" w:leader="none"/>
        </w:tabs>
        <w:spacing w:line="240" w:lineRule="auto" w:before="39" w:after="0"/>
        <w:ind w:left="2381" w:right="1065" w:hanging="541"/>
        <w:jc w:val="left"/>
        <w:rPr>
          <w:sz w:val="24"/>
        </w:rPr>
      </w:pPr>
      <w:r>
        <w:rPr>
          <w:color w:val="231F20"/>
          <w:sz w:val="24"/>
        </w:rPr>
        <w:t>A statement of any capital expenditures in excess of $1,000.00 anticipated by the Association during the current year or succeeding two fiscal years;</w:t>
      </w:r>
    </w:p>
    <w:p>
      <w:pPr>
        <w:pStyle w:val="BodyText"/>
        <w:spacing w:before="1"/>
        <w:rPr>
          <w:sz w:val="18"/>
        </w:rPr>
      </w:pPr>
    </w:p>
    <w:p>
      <w:pPr>
        <w:pStyle w:val="ListParagraph"/>
        <w:numPr>
          <w:ilvl w:val="3"/>
          <w:numId w:val="13"/>
        </w:numPr>
        <w:tabs>
          <w:tab w:pos="2381" w:val="left" w:leader="none"/>
          <w:tab w:pos="2382" w:val="left" w:leader="none"/>
        </w:tabs>
        <w:spacing w:line="240" w:lineRule="auto" w:before="0" w:after="0"/>
        <w:ind w:left="2381" w:right="1137" w:hanging="541"/>
        <w:jc w:val="left"/>
        <w:rPr>
          <w:sz w:val="24"/>
        </w:rPr>
      </w:pPr>
      <w:r>
        <w:rPr>
          <w:color w:val="231F20"/>
          <w:sz w:val="24"/>
        </w:rPr>
        <w:t>A statement of the status and amount of any reserve or replacement fund and any portion of the fund designated for any specified project</w:t>
      </w:r>
      <w:r>
        <w:rPr>
          <w:color w:val="231F20"/>
          <w:spacing w:val="-32"/>
          <w:sz w:val="24"/>
        </w:rPr>
        <w:t> </w:t>
      </w:r>
      <w:r>
        <w:rPr>
          <w:color w:val="231F20"/>
          <w:sz w:val="24"/>
        </w:rPr>
        <w:t>by the Board of</w:t>
      </w:r>
      <w:r>
        <w:rPr>
          <w:color w:val="231F20"/>
          <w:spacing w:val="-4"/>
          <w:sz w:val="24"/>
        </w:rPr>
        <w:t> </w:t>
      </w:r>
      <w:r>
        <w:rPr>
          <w:color w:val="231F20"/>
          <w:sz w:val="24"/>
        </w:rPr>
        <w:t>Directors;</w:t>
      </w:r>
    </w:p>
    <w:p>
      <w:pPr>
        <w:pStyle w:val="BodyText"/>
        <w:spacing w:before="1"/>
        <w:rPr>
          <w:sz w:val="18"/>
        </w:rPr>
      </w:pPr>
    </w:p>
    <w:p>
      <w:pPr>
        <w:pStyle w:val="ListParagraph"/>
        <w:numPr>
          <w:ilvl w:val="3"/>
          <w:numId w:val="13"/>
        </w:numPr>
        <w:tabs>
          <w:tab w:pos="2382" w:val="left" w:leader="none"/>
          <w:tab w:pos="2383" w:val="left" w:leader="none"/>
        </w:tabs>
        <w:spacing w:line="240" w:lineRule="auto" w:before="0" w:after="0"/>
        <w:ind w:left="2381" w:right="1103" w:hanging="541"/>
        <w:jc w:val="left"/>
        <w:rPr>
          <w:sz w:val="24"/>
        </w:rPr>
      </w:pPr>
      <w:r>
        <w:rPr>
          <w:color w:val="231F20"/>
          <w:sz w:val="24"/>
        </w:rPr>
        <w:t>A copy of the statement of financial condition for the Association for</w:t>
      </w:r>
      <w:r>
        <w:rPr>
          <w:color w:val="231F20"/>
          <w:spacing w:val="-36"/>
          <w:sz w:val="24"/>
        </w:rPr>
        <w:t> </w:t>
      </w:r>
      <w:r>
        <w:rPr>
          <w:color w:val="231F20"/>
          <w:sz w:val="24"/>
        </w:rPr>
        <w:t>the last fiscal</w:t>
      </w:r>
      <w:r>
        <w:rPr>
          <w:color w:val="231F20"/>
          <w:spacing w:val="-3"/>
          <w:sz w:val="24"/>
        </w:rPr>
        <w:t> </w:t>
      </w:r>
      <w:r>
        <w:rPr>
          <w:color w:val="231F20"/>
          <w:sz w:val="24"/>
        </w:rPr>
        <w:t>year;</w:t>
      </w:r>
    </w:p>
    <w:p>
      <w:pPr>
        <w:pStyle w:val="BodyText"/>
        <w:rPr>
          <w:sz w:val="18"/>
        </w:rPr>
      </w:pPr>
    </w:p>
    <w:p>
      <w:pPr>
        <w:pStyle w:val="ListParagraph"/>
        <w:numPr>
          <w:ilvl w:val="3"/>
          <w:numId w:val="13"/>
        </w:numPr>
        <w:tabs>
          <w:tab w:pos="2381" w:val="left" w:leader="none"/>
          <w:tab w:pos="2382" w:val="left" w:leader="none"/>
        </w:tabs>
        <w:spacing w:line="240" w:lineRule="auto" w:before="0" w:after="0"/>
        <w:ind w:left="2381" w:right="1076" w:hanging="541"/>
        <w:jc w:val="left"/>
        <w:rPr>
          <w:sz w:val="24"/>
        </w:rPr>
      </w:pPr>
      <w:r>
        <w:rPr>
          <w:color w:val="231F20"/>
          <w:sz w:val="24"/>
        </w:rPr>
        <w:t>A statement of the status of any pending suits or judgments in which</w:t>
      </w:r>
      <w:r>
        <w:rPr>
          <w:color w:val="231F20"/>
          <w:spacing w:val="-34"/>
          <w:sz w:val="24"/>
        </w:rPr>
        <w:t> </w:t>
      </w:r>
      <w:r>
        <w:rPr>
          <w:color w:val="231F20"/>
          <w:sz w:val="24"/>
        </w:rPr>
        <w:t>the Association is a</w:t>
      </w:r>
      <w:r>
        <w:rPr>
          <w:color w:val="231F20"/>
          <w:spacing w:val="-2"/>
          <w:sz w:val="24"/>
        </w:rPr>
        <w:t> </w:t>
      </w:r>
      <w:r>
        <w:rPr>
          <w:color w:val="231F20"/>
          <w:sz w:val="24"/>
        </w:rPr>
        <w:t>party;</w:t>
      </w:r>
    </w:p>
    <w:p>
      <w:pPr>
        <w:pStyle w:val="BodyText"/>
        <w:spacing w:before="11"/>
        <w:rPr>
          <w:sz w:val="17"/>
        </w:rPr>
      </w:pPr>
    </w:p>
    <w:p>
      <w:pPr>
        <w:pStyle w:val="ListParagraph"/>
        <w:numPr>
          <w:ilvl w:val="3"/>
          <w:numId w:val="13"/>
        </w:numPr>
        <w:tabs>
          <w:tab w:pos="2382" w:val="left" w:leader="none"/>
          <w:tab w:pos="2383" w:val="left" w:leader="none"/>
        </w:tabs>
        <w:spacing w:line="240" w:lineRule="auto" w:before="1" w:after="0"/>
        <w:ind w:left="2382" w:right="0" w:hanging="543"/>
        <w:jc w:val="left"/>
        <w:rPr>
          <w:sz w:val="24"/>
        </w:rPr>
      </w:pPr>
      <w:r>
        <w:rPr>
          <w:color w:val="231F20"/>
          <w:sz w:val="24"/>
        </w:rPr>
        <w:t>A statement of the insurance coverage provided by the Association;</w:t>
      </w:r>
      <w:r>
        <w:rPr>
          <w:color w:val="231F20"/>
          <w:spacing w:val="-11"/>
          <w:sz w:val="24"/>
        </w:rPr>
        <w:t> </w:t>
      </w:r>
      <w:r>
        <w:rPr>
          <w:color w:val="231F20"/>
          <w:sz w:val="24"/>
        </w:rPr>
        <w:t>and</w:t>
      </w:r>
    </w:p>
    <w:p>
      <w:pPr>
        <w:pStyle w:val="BodyText"/>
        <w:rPr>
          <w:sz w:val="18"/>
        </w:rPr>
      </w:pPr>
    </w:p>
    <w:p>
      <w:pPr>
        <w:pStyle w:val="ListParagraph"/>
        <w:numPr>
          <w:ilvl w:val="3"/>
          <w:numId w:val="13"/>
        </w:numPr>
        <w:tabs>
          <w:tab w:pos="2381" w:val="left" w:leader="none"/>
          <w:tab w:pos="2382" w:val="left" w:leader="none"/>
        </w:tabs>
        <w:spacing w:line="240" w:lineRule="auto" w:before="1" w:after="0"/>
        <w:ind w:left="2381" w:right="1155" w:hanging="541"/>
        <w:jc w:val="left"/>
        <w:rPr>
          <w:sz w:val="24"/>
        </w:rPr>
      </w:pPr>
      <w:r>
        <w:rPr>
          <w:color w:val="231F20"/>
          <w:sz w:val="24"/>
        </w:rPr>
        <w:t>A statement of any unpaid assessments by the Association on</w:t>
      </w:r>
      <w:r>
        <w:rPr>
          <w:color w:val="231F20"/>
          <w:spacing w:val="-29"/>
          <w:sz w:val="24"/>
        </w:rPr>
        <w:t> </w:t>
      </w:r>
      <w:r>
        <w:rPr>
          <w:color w:val="231F20"/>
          <w:sz w:val="24"/>
        </w:rPr>
        <w:t>individual apartments, identifying the apartment number and the amount of the unpaid</w:t>
      </w:r>
      <w:r>
        <w:rPr>
          <w:color w:val="231F20"/>
          <w:spacing w:val="-1"/>
          <w:sz w:val="24"/>
        </w:rPr>
        <w:t> </w:t>
      </w:r>
      <w:r>
        <w:rPr>
          <w:color w:val="231F20"/>
          <w:sz w:val="24"/>
        </w:rPr>
        <w:t>assessment.</w:t>
      </w:r>
    </w:p>
    <w:p>
      <w:pPr>
        <w:pStyle w:val="BodyText"/>
        <w:rPr>
          <w:sz w:val="18"/>
        </w:rPr>
      </w:pPr>
    </w:p>
    <w:p>
      <w:pPr>
        <w:pStyle w:val="ListParagraph"/>
        <w:numPr>
          <w:ilvl w:val="2"/>
          <w:numId w:val="13"/>
        </w:numPr>
        <w:tabs>
          <w:tab w:pos="1841" w:val="left" w:leader="none"/>
          <w:tab w:pos="1842" w:val="left" w:leader="none"/>
        </w:tabs>
        <w:spacing w:line="240" w:lineRule="auto" w:before="0" w:after="0"/>
        <w:ind w:left="1840" w:right="1567" w:hanging="541"/>
        <w:jc w:val="left"/>
        <w:rPr>
          <w:sz w:val="24"/>
        </w:rPr>
      </w:pPr>
      <w:r>
        <w:rPr>
          <w:color w:val="231F20"/>
          <w:sz w:val="24"/>
        </w:rPr>
        <w:t>To make and collect assessments to defray the costs of the</w:t>
      </w:r>
      <w:r>
        <w:rPr>
          <w:color w:val="231F20"/>
          <w:spacing w:val="-27"/>
          <w:sz w:val="24"/>
        </w:rPr>
        <w:t> </w:t>
      </w:r>
      <w:r>
        <w:rPr>
          <w:color w:val="231F20"/>
          <w:sz w:val="24"/>
        </w:rPr>
        <w:t>condominium expenses.</w:t>
      </w:r>
    </w:p>
    <w:p>
      <w:pPr>
        <w:pStyle w:val="BodyText"/>
        <w:spacing w:before="1"/>
        <w:rPr>
          <w:sz w:val="18"/>
        </w:rPr>
      </w:pPr>
    </w:p>
    <w:p>
      <w:pPr>
        <w:pStyle w:val="ListParagraph"/>
        <w:numPr>
          <w:ilvl w:val="2"/>
          <w:numId w:val="13"/>
        </w:numPr>
        <w:tabs>
          <w:tab w:pos="1841" w:val="left" w:leader="none"/>
          <w:tab w:pos="1842" w:val="left" w:leader="none"/>
        </w:tabs>
        <w:spacing w:line="240" w:lineRule="auto" w:before="0" w:after="0"/>
        <w:ind w:left="1841" w:right="0" w:hanging="542"/>
        <w:jc w:val="left"/>
        <w:rPr>
          <w:sz w:val="24"/>
        </w:rPr>
      </w:pPr>
      <w:r>
        <w:rPr>
          <w:color w:val="231F20"/>
          <w:sz w:val="24"/>
        </w:rPr>
        <w:t>To use the proceeds of assessments in the exercise of its powers and</w:t>
      </w:r>
      <w:r>
        <w:rPr>
          <w:color w:val="231F20"/>
          <w:spacing w:val="-19"/>
          <w:sz w:val="24"/>
        </w:rPr>
        <w:t> </w:t>
      </w:r>
      <w:r>
        <w:rPr>
          <w:color w:val="231F20"/>
          <w:sz w:val="24"/>
        </w:rPr>
        <w:t>duties.</w:t>
      </w:r>
    </w:p>
    <w:p>
      <w:pPr>
        <w:pStyle w:val="BodyText"/>
        <w:spacing w:before="1"/>
        <w:rPr>
          <w:sz w:val="18"/>
        </w:rPr>
      </w:pPr>
    </w:p>
    <w:p>
      <w:pPr>
        <w:pStyle w:val="ListParagraph"/>
        <w:numPr>
          <w:ilvl w:val="2"/>
          <w:numId w:val="13"/>
        </w:numPr>
        <w:tabs>
          <w:tab w:pos="1841" w:val="left" w:leader="none"/>
          <w:tab w:pos="1842" w:val="left" w:leader="none"/>
        </w:tabs>
        <w:spacing w:line="240" w:lineRule="auto" w:before="0" w:after="0"/>
        <w:ind w:left="1840" w:right="1186" w:hanging="541"/>
        <w:jc w:val="left"/>
        <w:rPr>
          <w:sz w:val="24"/>
        </w:rPr>
      </w:pPr>
      <w:r>
        <w:rPr>
          <w:color w:val="231F20"/>
          <w:sz w:val="24"/>
        </w:rPr>
        <w:t>To maintain, repair, replace and operate the common areas and facilities</w:t>
      </w:r>
      <w:r>
        <w:rPr>
          <w:color w:val="231F20"/>
          <w:spacing w:val="-33"/>
          <w:sz w:val="24"/>
        </w:rPr>
        <w:t> </w:t>
      </w:r>
      <w:r>
        <w:rPr>
          <w:color w:val="231F20"/>
          <w:sz w:val="24"/>
        </w:rPr>
        <w:t>and portions of the apartments as outlined in Article X of the</w:t>
      </w:r>
      <w:r>
        <w:rPr>
          <w:color w:val="231F20"/>
          <w:spacing w:val="-17"/>
          <w:sz w:val="24"/>
        </w:rPr>
        <w:t> </w:t>
      </w:r>
      <w:r>
        <w:rPr>
          <w:color w:val="231F20"/>
          <w:sz w:val="24"/>
        </w:rPr>
        <w:t>Declaration.</w:t>
      </w:r>
    </w:p>
    <w:p>
      <w:pPr>
        <w:pStyle w:val="BodyText"/>
        <w:spacing w:before="10"/>
        <w:rPr>
          <w:sz w:val="17"/>
        </w:rPr>
      </w:pPr>
    </w:p>
    <w:p>
      <w:pPr>
        <w:pStyle w:val="ListParagraph"/>
        <w:numPr>
          <w:ilvl w:val="2"/>
          <w:numId w:val="13"/>
        </w:numPr>
        <w:tabs>
          <w:tab w:pos="1841" w:val="left" w:leader="none"/>
          <w:tab w:pos="1842" w:val="left" w:leader="none"/>
        </w:tabs>
        <w:spacing w:line="240" w:lineRule="auto" w:before="1" w:after="0"/>
        <w:ind w:left="1840" w:right="2013" w:hanging="541"/>
        <w:jc w:val="left"/>
        <w:rPr>
          <w:sz w:val="24"/>
        </w:rPr>
      </w:pPr>
      <w:r>
        <w:rPr>
          <w:color w:val="231F20"/>
          <w:sz w:val="24"/>
        </w:rPr>
        <w:t>To restore improvements after damage except as provided for in</w:t>
      </w:r>
      <w:r>
        <w:rPr>
          <w:color w:val="231F20"/>
          <w:spacing w:val="-24"/>
          <w:sz w:val="24"/>
        </w:rPr>
        <w:t> </w:t>
      </w:r>
      <w:r>
        <w:rPr>
          <w:color w:val="231F20"/>
          <w:sz w:val="24"/>
        </w:rPr>
        <w:t>the Declaration.</w:t>
      </w:r>
    </w:p>
    <w:p>
      <w:pPr>
        <w:pStyle w:val="BodyText"/>
        <w:rPr>
          <w:sz w:val="18"/>
        </w:rPr>
      </w:pPr>
    </w:p>
    <w:p>
      <w:pPr>
        <w:pStyle w:val="ListParagraph"/>
        <w:numPr>
          <w:ilvl w:val="2"/>
          <w:numId w:val="13"/>
        </w:numPr>
        <w:tabs>
          <w:tab w:pos="1840" w:val="left" w:leader="none"/>
          <w:tab w:pos="1841" w:val="left" w:leader="none"/>
        </w:tabs>
        <w:spacing w:line="240" w:lineRule="auto" w:before="0" w:after="0"/>
        <w:ind w:left="1840" w:right="1801" w:hanging="541"/>
        <w:jc w:val="left"/>
        <w:rPr>
          <w:sz w:val="24"/>
        </w:rPr>
      </w:pPr>
      <w:r>
        <w:rPr>
          <w:color w:val="231F20"/>
          <w:sz w:val="24"/>
        </w:rPr>
        <w:t>To establish and amend rules and regulations respecting the use of</w:t>
      </w:r>
      <w:r>
        <w:rPr>
          <w:color w:val="231F20"/>
          <w:spacing w:val="-33"/>
          <w:sz w:val="24"/>
        </w:rPr>
        <w:t> </w:t>
      </w:r>
      <w:r>
        <w:rPr>
          <w:color w:val="231F20"/>
          <w:sz w:val="24"/>
        </w:rPr>
        <w:t>the Property.</w:t>
      </w:r>
    </w:p>
    <w:p>
      <w:pPr>
        <w:pStyle w:val="BodyText"/>
        <w:spacing w:before="1"/>
        <w:rPr>
          <w:sz w:val="18"/>
        </w:rPr>
      </w:pPr>
    </w:p>
    <w:p>
      <w:pPr>
        <w:pStyle w:val="ListParagraph"/>
        <w:numPr>
          <w:ilvl w:val="2"/>
          <w:numId w:val="13"/>
        </w:numPr>
        <w:tabs>
          <w:tab w:pos="1841" w:val="left" w:leader="none"/>
          <w:tab w:pos="1842" w:val="left" w:leader="none"/>
        </w:tabs>
        <w:spacing w:line="240" w:lineRule="auto" w:before="0" w:after="0"/>
        <w:ind w:left="1840" w:right="1131" w:hanging="541"/>
        <w:jc w:val="left"/>
        <w:rPr>
          <w:sz w:val="24"/>
        </w:rPr>
      </w:pPr>
      <w:r>
        <w:rPr>
          <w:color w:val="231F20"/>
          <w:sz w:val="24"/>
        </w:rPr>
        <w:t>To appoint from the members committees as it deems advisable for the purpose of recommending action or policy in respect to any matter</w:t>
      </w:r>
      <w:r>
        <w:rPr>
          <w:color w:val="231F20"/>
          <w:spacing w:val="-32"/>
          <w:sz w:val="24"/>
        </w:rPr>
        <w:t> </w:t>
      </w:r>
      <w:r>
        <w:rPr>
          <w:color w:val="231F20"/>
          <w:sz w:val="24"/>
        </w:rPr>
        <w:t>otherwise within the control of the</w:t>
      </w:r>
      <w:r>
        <w:rPr>
          <w:color w:val="231F20"/>
          <w:spacing w:val="-4"/>
          <w:sz w:val="24"/>
        </w:rPr>
        <w:t> </w:t>
      </w:r>
      <w:r>
        <w:rPr>
          <w:color w:val="231F20"/>
          <w:sz w:val="24"/>
        </w:rPr>
        <w:t>Directors.</w:t>
      </w:r>
    </w:p>
    <w:p>
      <w:pPr>
        <w:pStyle w:val="BodyText"/>
        <w:spacing w:before="1"/>
        <w:rPr>
          <w:sz w:val="18"/>
        </w:rPr>
      </w:pPr>
    </w:p>
    <w:p>
      <w:pPr>
        <w:pStyle w:val="ListParagraph"/>
        <w:numPr>
          <w:ilvl w:val="2"/>
          <w:numId w:val="13"/>
        </w:numPr>
        <w:tabs>
          <w:tab w:pos="1840" w:val="left" w:leader="none"/>
        </w:tabs>
        <w:spacing w:line="240" w:lineRule="auto" w:before="0" w:after="0"/>
        <w:ind w:left="1840" w:right="1096" w:hanging="541"/>
        <w:jc w:val="left"/>
        <w:rPr>
          <w:sz w:val="24"/>
        </w:rPr>
      </w:pPr>
      <w:r>
        <w:rPr>
          <w:color w:val="231F20"/>
          <w:sz w:val="24"/>
        </w:rPr>
        <w:t>To enforce by legal means the provisions of the condominium documents,</w:t>
      </w:r>
      <w:r>
        <w:rPr>
          <w:color w:val="231F20"/>
          <w:spacing w:val="-32"/>
          <w:sz w:val="24"/>
        </w:rPr>
        <w:t> </w:t>
      </w:r>
      <w:r>
        <w:rPr>
          <w:color w:val="231F20"/>
          <w:sz w:val="24"/>
        </w:rPr>
        <w:t>the Articles of Incorporation, the By-Laws of the Association and the rules and regulations for the use of the</w:t>
      </w:r>
      <w:r>
        <w:rPr>
          <w:color w:val="231F20"/>
          <w:spacing w:val="-8"/>
          <w:sz w:val="24"/>
        </w:rPr>
        <w:t> </w:t>
      </w:r>
      <w:r>
        <w:rPr>
          <w:color w:val="231F20"/>
          <w:sz w:val="24"/>
        </w:rPr>
        <w:t>property.</w:t>
      </w:r>
    </w:p>
    <w:p>
      <w:pPr>
        <w:pStyle w:val="BodyText"/>
        <w:spacing w:before="1"/>
        <w:rPr>
          <w:sz w:val="18"/>
        </w:rPr>
      </w:pPr>
    </w:p>
    <w:p>
      <w:pPr>
        <w:pStyle w:val="ListParagraph"/>
        <w:numPr>
          <w:ilvl w:val="2"/>
          <w:numId w:val="13"/>
        </w:numPr>
        <w:tabs>
          <w:tab w:pos="1841" w:val="left" w:leader="none"/>
        </w:tabs>
        <w:spacing w:line="240" w:lineRule="auto" w:before="0" w:after="0"/>
        <w:ind w:left="1840" w:right="1100" w:hanging="541"/>
        <w:jc w:val="left"/>
        <w:rPr>
          <w:sz w:val="24"/>
        </w:rPr>
      </w:pPr>
      <w:r>
        <w:rPr>
          <w:color w:val="231F20"/>
          <w:sz w:val="24"/>
        </w:rPr>
        <w:t>To contract for management of the Property except no such contract shall exceed two (2) years and may be terminated by either party without</w:t>
      </w:r>
      <w:r>
        <w:rPr>
          <w:color w:val="231F20"/>
          <w:spacing w:val="-28"/>
          <w:sz w:val="24"/>
        </w:rPr>
        <w:t> </w:t>
      </w:r>
      <w:r>
        <w:rPr>
          <w:color w:val="231F20"/>
          <w:sz w:val="24"/>
        </w:rPr>
        <w:t>payment of</w:t>
      </w:r>
    </w:p>
    <w:p>
      <w:pPr>
        <w:spacing w:after="0" w:line="240" w:lineRule="auto"/>
        <w:jc w:val="left"/>
        <w:rPr>
          <w:sz w:val="24"/>
        </w:rPr>
        <w:sectPr>
          <w:pgSz w:w="12240" w:h="15840"/>
          <w:pgMar w:header="0" w:footer="948" w:top="1400" w:bottom="1140" w:left="1220" w:right="480"/>
        </w:sectPr>
      </w:pPr>
    </w:p>
    <w:p>
      <w:pPr>
        <w:pStyle w:val="BodyText"/>
        <w:spacing w:before="39"/>
        <w:ind w:left="1840" w:right="1020" w:hanging="1"/>
      </w:pPr>
      <w:r>
        <w:rPr>
          <w:color w:val="231F20"/>
        </w:rPr>
        <w:t>penalty upon ninety (90) days written notice, and to delegate to such manager all powers and duties except when the condominium documents or the Act require approval of the Board of Directors or the membership of the Association.</w:t>
      </w:r>
    </w:p>
    <w:p>
      <w:pPr>
        <w:pStyle w:val="BodyText"/>
      </w:pPr>
    </w:p>
    <w:p>
      <w:pPr>
        <w:pStyle w:val="ListParagraph"/>
        <w:numPr>
          <w:ilvl w:val="2"/>
          <w:numId w:val="13"/>
        </w:numPr>
        <w:tabs>
          <w:tab w:pos="1841" w:val="left" w:leader="none"/>
        </w:tabs>
        <w:spacing w:line="240" w:lineRule="auto" w:before="0" w:after="0"/>
        <w:ind w:left="1840" w:right="0" w:hanging="541"/>
        <w:jc w:val="left"/>
        <w:rPr>
          <w:sz w:val="24"/>
        </w:rPr>
      </w:pPr>
      <w:r>
        <w:rPr>
          <w:color w:val="231F20"/>
          <w:sz w:val="24"/>
        </w:rPr>
        <w:t>To purchase such policies of insurance as allowed by the</w:t>
      </w:r>
      <w:r>
        <w:rPr>
          <w:color w:val="231F20"/>
          <w:spacing w:val="-11"/>
          <w:sz w:val="24"/>
        </w:rPr>
        <w:t> </w:t>
      </w:r>
      <w:r>
        <w:rPr>
          <w:color w:val="231F20"/>
          <w:sz w:val="24"/>
        </w:rPr>
        <w:t>Declaration.</w:t>
      </w:r>
    </w:p>
    <w:p>
      <w:pPr>
        <w:pStyle w:val="BodyText"/>
        <w:spacing w:before="11"/>
        <w:rPr>
          <w:sz w:val="23"/>
        </w:rPr>
      </w:pPr>
    </w:p>
    <w:p>
      <w:pPr>
        <w:pStyle w:val="ListParagraph"/>
        <w:numPr>
          <w:ilvl w:val="2"/>
          <w:numId w:val="13"/>
        </w:numPr>
        <w:tabs>
          <w:tab w:pos="1841" w:val="left" w:leader="none"/>
        </w:tabs>
        <w:spacing w:line="240" w:lineRule="auto" w:before="1" w:after="0"/>
        <w:ind w:left="1841" w:right="0" w:hanging="541"/>
        <w:jc w:val="left"/>
        <w:rPr>
          <w:sz w:val="24"/>
        </w:rPr>
      </w:pPr>
      <w:r>
        <w:rPr>
          <w:color w:val="231F20"/>
          <w:sz w:val="24"/>
        </w:rPr>
        <w:t>To pay all statements rendered for common</w:t>
      </w:r>
      <w:r>
        <w:rPr>
          <w:color w:val="231F20"/>
          <w:spacing w:val="-6"/>
          <w:sz w:val="24"/>
        </w:rPr>
        <w:t> </w:t>
      </w:r>
      <w:r>
        <w:rPr>
          <w:color w:val="231F20"/>
          <w:sz w:val="24"/>
        </w:rPr>
        <w:t>expenses.</w:t>
      </w:r>
    </w:p>
    <w:p>
      <w:pPr>
        <w:pStyle w:val="BodyText"/>
        <w:spacing w:before="1"/>
      </w:pPr>
    </w:p>
    <w:p>
      <w:pPr>
        <w:pStyle w:val="ListParagraph"/>
        <w:numPr>
          <w:ilvl w:val="2"/>
          <w:numId w:val="13"/>
        </w:numPr>
        <w:tabs>
          <w:tab w:pos="1842" w:val="left" w:leader="none"/>
        </w:tabs>
        <w:spacing w:line="240" w:lineRule="auto" w:before="1" w:after="0"/>
        <w:ind w:left="1840" w:right="1321" w:hanging="541"/>
        <w:jc w:val="left"/>
        <w:rPr>
          <w:sz w:val="24"/>
        </w:rPr>
      </w:pPr>
      <w:r>
        <w:rPr>
          <w:color w:val="231F20"/>
          <w:sz w:val="24"/>
        </w:rPr>
        <w:t>To employ personnel at a reasonable compensation to perform the</w:t>
      </w:r>
      <w:r>
        <w:rPr>
          <w:color w:val="231F20"/>
          <w:spacing w:val="-29"/>
          <w:sz w:val="24"/>
        </w:rPr>
        <w:t> </w:t>
      </w:r>
      <w:r>
        <w:rPr>
          <w:color w:val="231F20"/>
          <w:sz w:val="24"/>
        </w:rPr>
        <w:t>services required for proper administration of the purposes of the</w:t>
      </w:r>
      <w:r>
        <w:rPr>
          <w:color w:val="231F20"/>
          <w:spacing w:val="-17"/>
          <w:sz w:val="24"/>
        </w:rPr>
        <w:t> </w:t>
      </w:r>
      <w:r>
        <w:rPr>
          <w:color w:val="231F20"/>
          <w:sz w:val="24"/>
        </w:rPr>
        <w:t>Association.</w:t>
      </w:r>
    </w:p>
    <w:p>
      <w:pPr>
        <w:pStyle w:val="BodyText"/>
      </w:pPr>
    </w:p>
    <w:p>
      <w:pPr>
        <w:pStyle w:val="ListParagraph"/>
        <w:numPr>
          <w:ilvl w:val="2"/>
          <w:numId w:val="13"/>
        </w:numPr>
        <w:tabs>
          <w:tab w:pos="1840" w:val="left" w:leader="none"/>
        </w:tabs>
        <w:spacing w:line="240" w:lineRule="auto" w:before="0" w:after="0"/>
        <w:ind w:left="1840" w:right="1217" w:hanging="541"/>
        <w:jc w:val="left"/>
        <w:rPr>
          <w:sz w:val="24"/>
        </w:rPr>
      </w:pPr>
      <w:r>
        <w:rPr>
          <w:color w:val="231F20"/>
          <w:sz w:val="24"/>
        </w:rPr>
        <w:t>To give the mortgagee notice in writing of any loss to, or taking of, the common elements of the condominium project if such loss or taking</w:t>
      </w:r>
      <w:r>
        <w:rPr>
          <w:color w:val="231F20"/>
          <w:spacing w:val="-19"/>
          <w:sz w:val="24"/>
        </w:rPr>
        <w:t> </w:t>
      </w:r>
      <w:r>
        <w:rPr>
          <w:color w:val="231F20"/>
          <w:sz w:val="24"/>
        </w:rPr>
        <w:t>exceeds</w:t>
      </w:r>
    </w:p>
    <w:p>
      <w:pPr>
        <w:pStyle w:val="BodyText"/>
        <w:spacing w:line="293" w:lineRule="exact"/>
        <w:ind w:left="1840"/>
      </w:pPr>
      <w:r>
        <w:rPr>
          <w:color w:val="231F20"/>
        </w:rPr>
        <w:t>$10,000.00 or damage to a condominium unit covered by a mortgage exceeds</w:t>
      </w:r>
    </w:p>
    <w:p>
      <w:pPr>
        <w:pStyle w:val="BodyText"/>
        <w:ind w:left="1840"/>
      </w:pPr>
      <w:r>
        <w:rPr>
          <w:color w:val="231F20"/>
        </w:rPr>
        <w:t>$1,000.00.</w:t>
      </w:r>
    </w:p>
    <w:p>
      <w:pPr>
        <w:pStyle w:val="BodyText"/>
        <w:spacing w:before="11"/>
        <w:rPr>
          <w:sz w:val="23"/>
        </w:rPr>
      </w:pPr>
    </w:p>
    <w:p>
      <w:pPr>
        <w:pStyle w:val="ListParagraph"/>
        <w:numPr>
          <w:ilvl w:val="2"/>
          <w:numId w:val="13"/>
        </w:numPr>
        <w:tabs>
          <w:tab w:pos="1841" w:val="left" w:leader="none"/>
        </w:tabs>
        <w:spacing w:line="240" w:lineRule="auto" w:before="1" w:after="0"/>
        <w:ind w:left="1840" w:right="1021" w:hanging="541"/>
        <w:jc w:val="left"/>
        <w:rPr>
          <w:sz w:val="24"/>
        </w:rPr>
      </w:pPr>
      <w:r>
        <w:rPr>
          <w:color w:val="231F20"/>
          <w:sz w:val="24"/>
        </w:rPr>
        <w:t>To own, convey, encumber, lease or otherwise deal with apartments for the benefit of the Association primarily for the purpose of providing living accommodations for maintenance and staff personnel or as a result of enforcement of the lien for assessments or otherwise. In the event the Board deems it to be in the best interest to sell or to purchase (except in the case of the original purchase of three (3) apartments on or about the time of the filing of the Declaration by the Declarant) thirty (30) days notice of such action must be given all apartment owners after which time the Board may take action unless the Secretary of the Association is notified in writing of the disapproval of twenty five percent (25%) of the unit owners, computed according to the aggregate percentage of undivided interest in the common areas and facilities represented thereby, at which time the action will be delayed until the Board directs a special meeting of the unit owners by resolution to consider such</w:t>
      </w:r>
      <w:r>
        <w:rPr>
          <w:color w:val="231F20"/>
          <w:spacing w:val="-30"/>
          <w:sz w:val="24"/>
        </w:rPr>
        <w:t> </w:t>
      </w:r>
      <w:r>
        <w:rPr>
          <w:color w:val="231F20"/>
          <w:sz w:val="24"/>
        </w:rPr>
        <w:t>sale or purchase. Notification of said special meeting will be given, and voting thereat will be in accordance with the notice and voting provisions of the By- Laws.</w:t>
      </w:r>
    </w:p>
    <w:p>
      <w:pPr>
        <w:pStyle w:val="BodyText"/>
        <w:spacing w:before="12"/>
        <w:rPr>
          <w:sz w:val="23"/>
        </w:rPr>
      </w:pPr>
    </w:p>
    <w:p>
      <w:pPr>
        <w:pStyle w:val="ListParagraph"/>
        <w:numPr>
          <w:ilvl w:val="2"/>
          <w:numId w:val="13"/>
        </w:numPr>
        <w:tabs>
          <w:tab w:pos="1841" w:val="left" w:leader="none"/>
        </w:tabs>
        <w:spacing w:line="240" w:lineRule="auto" w:before="0" w:after="0"/>
        <w:ind w:left="1840" w:right="0" w:hanging="541"/>
        <w:jc w:val="left"/>
        <w:rPr>
          <w:sz w:val="24"/>
        </w:rPr>
      </w:pPr>
      <w:r>
        <w:rPr>
          <w:color w:val="231F20"/>
          <w:sz w:val="24"/>
        </w:rPr>
        <w:t>To collect rentals for extra garages, party room and guest</w:t>
      </w:r>
      <w:r>
        <w:rPr>
          <w:color w:val="231F20"/>
          <w:spacing w:val="-15"/>
          <w:sz w:val="24"/>
        </w:rPr>
        <w:t> </w:t>
      </w:r>
      <w:r>
        <w:rPr>
          <w:color w:val="231F20"/>
          <w:sz w:val="24"/>
        </w:rPr>
        <w:t>apartment.</w:t>
      </w:r>
    </w:p>
    <w:p>
      <w:pPr>
        <w:pStyle w:val="BodyText"/>
        <w:spacing w:before="2"/>
      </w:pPr>
    </w:p>
    <w:p>
      <w:pPr>
        <w:pStyle w:val="ListParagraph"/>
        <w:numPr>
          <w:ilvl w:val="0"/>
          <w:numId w:val="13"/>
        </w:numPr>
        <w:tabs>
          <w:tab w:pos="940" w:val="left" w:leader="none"/>
          <w:tab w:pos="941" w:val="left" w:leader="none"/>
        </w:tabs>
        <w:spacing w:line="240" w:lineRule="auto" w:before="0" w:after="0"/>
        <w:ind w:left="940" w:right="0" w:hanging="721"/>
        <w:jc w:val="left"/>
        <w:rPr>
          <w:sz w:val="24"/>
        </w:rPr>
      </w:pPr>
      <w:r>
        <w:rPr>
          <w:color w:val="231F20"/>
          <w:sz w:val="24"/>
        </w:rPr>
        <w:t>OFFICERS:</w:t>
      </w:r>
    </w:p>
    <w:p>
      <w:pPr>
        <w:pStyle w:val="BodyText"/>
      </w:pPr>
    </w:p>
    <w:p>
      <w:pPr>
        <w:pStyle w:val="ListParagraph"/>
        <w:numPr>
          <w:ilvl w:val="1"/>
          <w:numId w:val="13"/>
        </w:numPr>
        <w:tabs>
          <w:tab w:pos="1302" w:val="left" w:leader="none"/>
        </w:tabs>
        <w:spacing w:line="240" w:lineRule="auto" w:before="0" w:after="0"/>
        <w:ind w:left="1300" w:right="1259" w:hanging="361"/>
        <w:jc w:val="left"/>
        <w:rPr>
          <w:sz w:val="24"/>
        </w:rPr>
      </w:pPr>
      <w:r>
        <w:rPr>
          <w:color w:val="231F20"/>
          <w:sz w:val="24"/>
        </w:rPr>
        <w:t>The officers of this Association shall be a President, who shall be a Director, a</w:t>
      </w:r>
      <w:r>
        <w:rPr>
          <w:color w:val="231F20"/>
          <w:spacing w:val="-28"/>
          <w:sz w:val="24"/>
        </w:rPr>
        <w:t> </w:t>
      </w:r>
      <w:r>
        <w:rPr>
          <w:color w:val="231F20"/>
          <w:sz w:val="24"/>
        </w:rPr>
        <w:t>Vice President, a Treasurer, and a Secretary. Each officer shall be a member or</w:t>
      </w:r>
      <w:r>
        <w:rPr>
          <w:color w:val="231F20"/>
          <w:spacing w:val="-11"/>
          <w:sz w:val="24"/>
        </w:rPr>
        <w:t> </w:t>
      </w:r>
      <w:r>
        <w:rPr>
          <w:color w:val="231F20"/>
          <w:sz w:val="24"/>
        </w:rPr>
        <w:t>an</w:t>
      </w:r>
    </w:p>
    <w:p>
      <w:pPr>
        <w:spacing w:after="0" w:line="240" w:lineRule="auto"/>
        <w:jc w:val="left"/>
        <w:rPr>
          <w:sz w:val="24"/>
        </w:rPr>
        <w:sectPr>
          <w:pgSz w:w="12240" w:h="15840"/>
          <w:pgMar w:header="0" w:footer="948" w:top="1400" w:bottom="1140" w:left="1220" w:right="480"/>
        </w:sectPr>
      </w:pPr>
    </w:p>
    <w:p>
      <w:pPr>
        <w:pStyle w:val="BodyText"/>
        <w:spacing w:before="39"/>
        <w:ind w:left="1300" w:right="950" w:hanging="1"/>
      </w:pPr>
      <w:r>
        <w:rPr>
          <w:color w:val="231F20"/>
        </w:rPr>
        <w:t>officer or agent of a corporate member. Each officer may be preemptorily removed by vote of the Directors at any meeting. Any person may hold two or more offices except that the offices of President and Vice President, and the offices of President and Secretary shall be held by different persons. The Board of Directors shall from time to time elect such other officers and designate their powers and duties as the Board shall find to be required to manage the affairs of the Association.</w:t>
      </w:r>
    </w:p>
    <w:p>
      <w:pPr>
        <w:pStyle w:val="BodyText"/>
        <w:spacing w:before="11"/>
        <w:rPr>
          <w:sz w:val="23"/>
        </w:rPr>
      </w:pPr>
    </w:p>
    <w:p>
      <w:pPr>
        <w:pStyle w:val="ListParagraph"/>
        <w:numPr>
          <w:ilvl w:val="1"/>
          <w:numId w:val="13"/>
        </w:numPr>
        <w:tabs>
          <w:tab w:pos="1300" w:val="left" w:leader="none"/>
        </w:tabs>
        <w:spacing w:line="240" w:lineRule="auto" w:before="1" w:after="0"/>
        <w:ind w:left="1300" w:right="963" w:hanging="361"/>
        <w:jc w:val="left"/>
        <w:rPr>
          <w:sz w:val="24"/>
        </w:rPr>
      </w:pPr>
      <w:r>
        <w:rPr>
          <w:color w:val="231F20"/>
          <w:sz w:val="24"/>
        </w:rPr>
        <w:t>The President shall be the chief executive officer of the Association. He shall have all the powers and duties which are usually vested in the office of the President of a corporation, including, but not limited to, the duty to preside at all Directors and members meetings at which he is present, and the general supervision over other officers and the affairs of the Association. He shall execute all contracts, agreements and obligations of the Association except as such authority may be otherwise delegated by resolution of the Board of</w:t>
      </w:r>
      <w:r>
        <w:rPr>
          <w:color w:val="231F20"/>
          <w:spacing w:val="-9"/>
          <w:sz w:val="24"/>
        </w:rPr>
        <w:t> </w:t>
      </w:r>
      <w:r>
        <w:rPr>
          <w:color w:val="231F20"/>
          <w:sz w:val="24"/>
        </w:rPr>
        <w:t>Directors.</w:t>
      </w:r>
    </w:p>
    <w:p>
      <w:pPr>
        <w:pStyle w:val="BodyText"/>
        <w:spacing w:before="1"/>
      </w:pPr>
    </w:p>
    <w:p>
      <w:pPr>
        <w:pStyle w:val="ListParagraph"/>
        <w:numPr>
          <w:ilvl w:val="1"/>
          <w:numId w:val="13"/>
        </w:numPr>
        <w:tabs>
          <w:tab w:pos="1302" w:val="left" w:leader="none"/>
        </w:tabs>
        <w:spacing w:line="240" w:lineRule="auto" w:before="0" w:after="0"/>
        <w:ind w:left="1300" w:right="1080" w:hanging="361"/>
        <w:jc w:val="left"/>
        <w:rPr>
          <w:sz w:val="24"/>
        </w:rPr>
      </w:pPr>
      <w:r>
        <w:rPr>
          <w:color w:val="231F20"/>
          <w:sz w:val="24"/>
        </w:rPr>
        <w:t>The Vice President shall in the absence or disability of the President exercise the powers and perform the duties of the President. He shall also generally assist the President and exercise such other powers and perform such other duties as shall be prescribed by the</w:t>
      </w:r>
      <w:r>
        <w:rPr>
          <w:color w:val="231F20"/>
          <w:spacing w:val="-5"/>
          <w:sz w:val="24"/>
        </w:rPr>
        <w:t> </w:t>
      </w:r>
      <w:r>
        <w:rPr>
          <w:color w:val="231F20"/>
          <w:sz w:val="24"/>
        </w:rPr>
        <w:t>Directors.</w:t>
      </w:r>
    </w:p>
    <w:p>
      <w:pPr>
        <w:pStyle w:val="BodyText"/>
        <w:spacing w:before="11"/>
        <w:rPr>
          <w:sz w:val="23"/>
        </w:rPr>
      </w:pPr>
    </w:p>
    <w:p>
      <w:pPr>
        <w:pStyle w:val="ListParagraph"/>
        <w:numPr>
          <w:ilvl w:val="1"/>
          <w:numId w:val="13"/>
        </w:numPr>
        <w:tabs>
          <w:tab w:pos="1300" w:val="left" w:leader="none"/>
        </w:tabs>
        <w:spacing w:line="240" w:lineRule="auto" w:before="1" w:after="0"/>
        <w:ind w:left="1300" w:right="1323" w:hanging="361"/>
        <w:jc w:val="left"/>
        <w:rPr>
          <w:sz w:val="24"/>
        </w:rPr>
      </w:pPr>
      <w:r>
        <w:rPr>
          <w:color w:val="231F20"/>
          <w:sz w:val="24"/>
        </w:rPr>
        <w:t>The Secretary shall keep the minutes of all proceedings of the Directors and the members. He shall attend to the giving and serving of all notices to the members and Directors and other notices required by</w:t>
      </w:r>
      <w:r>
        <w:rPr>
          <w:color w:val="231F20"/>
          <w:spacing w:val="-9"/>
          <w:sz w:val="24"/>
        </w:rPr>
        <w:t> </w:t>
      </w:r>
      <w:r>
        <w:rPr>
          <w:color w:val="231F20"/>
          <w:sz w:val="24"/>
        </w:rPr>
        <w:t>law.</w:t>
      </w:r>
    </w:p>
    <w:p>
      <w:pPr>
        <w:pStyle w:val="BodyText"/>
        <w:spacing w:before="2"/>
      </w:pPr>
    </w:p>
    <w:p>
      <w:pPr>
        <w:pStyle w:val="BodyText"/>
        <w:ind w:left="1300" w:right="950" w:hanging="1"/>
      </w:pPr>
      <w:r>
        <w:rPr>
          <w:color w:val="231F20"/>
        </w:rPr>
        <w:t>He shall keep the records of the Association, except those of the Treasurer, and shall perform all other duties incident to the office of Secretary of a corporation and as may be required by the Directors or the President.</w:t>
      </w:r>
    </w:p>
    <w:p>
      <w:pPr>
        <w:pStyle w:val="BodyText"/>
        <w:spacing w:before="11"/>
        <w:rPr>
          <w:sz w:val="23"/>
        </w:rPr>
      </w:pPr>
    </w:p>
    <w:p>
      <w:pPr>
        <w:pStyle w:val="ListParagraph"/>
        <w:numPr>
          <w:ilvl w:val="1"/>
          <w:numId w:val="13"/>
        </w:numPr>
        <w:tabs>
          <w:tab w:pos="1302" w:val="left" w:leader="none"/>
        </w:tabs>
        <w:spacing w:line="240" w:lineRule="auto" w:before="0" w:after="0"/>
        <w:ind w:left="1300" w:right="1007" w:hanging="361"/>
        <w:jc w:val="left"/>
        <w:rPr>
          <w:sz w:val="24"/>
        </w:rPr>
      </w:pPr>
      <w:r>
        <w:rPr>
          <w:color w:val="231F20"/>
          <w:sz w:val="24"/>
        </w:rPr>
        <w:t>The Treasurer shall have custody of all intangible property of the Association, including funds, securities, and evidences in indebtedness and shall give bond in such sum and with such sureties as the Directors may require. He shall keep the assessment rolls and accounts of the members. He shall keep the books of the Association in accordance with good accounting practices and shall submit them together with all his vouchers, receipts, records and other papers to the Directors for their examination and approval as often as they may require. He shall deposit all monies and other valuable effects in the name of or to the credit of the Association in such depositories as may be designated by the Board of Directors and shall disburse the funds of the Association as ordered by the Board and shall perform all other duties incident to the office of Treasurer. If a managing agent or manager be employed, the Board of Directors may designate some or all of the foregoing functions to be entrusted to him or</w:t>
      </w:r>
      <w:r>
        <w:rPr>
          <w:color w:val="231F20"/>
          <w:spacing w:val="-4"/>
          <w:sz w:val="24"/>
        </w:rPr>
        <w:t> </w:t>
      </w:r>
      <w:r>
        <w:rPr>
          <w:color w:val="231F20"/>
          <w:sz w:val="24"/>
        </w:rPr>
        <w:t>it</w:t>
      </w:r>
    </w:p>
    <w:p>
      <w:pPr>
        <w:spacing w:after="0" w:line="240" w:lineRule="auto"/>
        <w:jc w:val="left"/>
        <w:rPr>
          <w:sz w:val="24"/>
        </w:rPr>
        <w:sectPr>
          <w:pgSz w:w="12240" w:h="15840"/>
          <w:pgMar w:header="0" w:footer="948" w:top="1400" w:bottom="1140" w:left="1220" w:right="480"/>
        </w:sectPr>
      </w:pPr>
    </w:p>
    <w:p>
      <w:pPr>
        <w:pStyle w:val="BodyText"/>
        <w:spacing w:before="39"/>
        <w:ind w:left="1300"/>
      </w:pPr>
      <w:r>
        <w:rPr>
          <w:color w:val="231F20"/>
        </w:rPr>
        <w:t>subject to overseeing control by the Treasurer.</w:t>
      </w:r>
    </w:p>
    <w:p>
      <w:pPr>
        <w:pStyle w:val="BodyText"/>
      </w:pPr>
    </w:p>
    <w:p>
      <w:pPr>
        <w:pStyle w:val="ListParagraph"/>
        <w:numPr>
          <w:ilvl w:val="1"/>
          <w:numId w:val="13"/>
        </w:numPr>
        <w:tabs>
          <w:tab w:pos="1299" w:val="left" w:leader="none"/>
          <w:tab w:pos="1300" w:val="left" w:leader="none"/>
        </w:tabs>
        <w:spacing w:line="240" w:lineRule="auto" w:before="0" w:after="0"/>
        <w:ind w:left="1300" w:right="1207" w:hanging="360"/>
        <w:jc w:val="left"/>
        <w:rPr>
          <w:sz w:val="24"/>
        </w:rPr>
      </w:pPr>
      <w:r>
        <w:rPr>
          <w:color w:val="231F20"/>
          <w:sz w:val="24"/>
        </w:rPr>
        <w:t>Officers of the corporation shall receive no compensation for their services in</w:t>
      </w:r>
      <w:r>
        <w:rPr>
          <w:color w:val="231F20"/>
          <w:spacing w:val="-26"/>
          <w:sz w:val="24"/>
        </w:rPr>
        <w:t> </w:t>
      </w:r>
      <w:r>
        <w:rPr>
          <w:color w:val="231F20"/>
          <w:sz w:val="24"/>
        </w:rPr>
        <w:t>such capacity.</w:t>
      </w:r>
    </w:p>
    <w:p>
      <w:pPr>
        <w:pStyle w:val="BodyText"/>
      </w:pPr>
    </w:p>
    <w:p>
      <w:pPr>
        <w:pStyle w:val="BodyText"/>
        <w:ind w:left="940"/>
      </w:pPr>
      <w:r>
        <w:rPr>
          <w:color w:val="231F20"/>
        </w:rPr>
        <w:t>FISCAL MANAGEMENT:</w:t>
      </w:r>
    </w:p>
    <w:p>
      <w:pPr>
        <w:pStyle w:val="BodyText"/>
        <w:spacing w:before="11"/>
        <w:rPr>
          <w:sz w:val="23"/>
        </w:rPr>
      </w:pPr>
    </w:p>
    <w:p>
      <w:pPr>
        <w:pStyle w:val="ListParagraph"/>
        <w:numPr>
          <w:ilvl w:val="0"/>
          <w:numId w:val="14"/>
        </w:numPr>
        <w:tabs>
          <w:tab w:pos="1301" w:val="left" w:leader="none"/>
        </w:tabs>
        <w:spacing w:line="240" w:lineRule="auto" w:before="1" w:after="0"/>
        <w:ind w:left="1300" w:right="1012" w:hanging="360"/>
        <w:jc w:val="left"/>
        <w:rPr>
          <w:sz w:val="24"/>
        </w:rPr>
      </w:pPr>
      <w:r>
        <w:rPr>
          <w:color w:val="231F20"/>
          <w:sz w:val="24"/>
        </w:rPr>
        <w:t>All funds and the titles of all properties acquired by the Association, and the proceeds thereof, after deducting therefrom the costs incurred by the Association</w:t>
      </w:r>
      <w:r>
        <w:rPr>
          <w:color w:val="231F20"/>
          <w:spacing w:val="-30"/>
          <w:sz w:val="24"/>
        </w:rPr>
        <w:t> </w:t>
      </w:r>
      <w:r>
        <w:rPr>
          <w:color w:val="231F20"/>
          <w:sz w:val="24"/>
        </w:rPr>
        <w:t>in acquiring the same, shall be held for the benefit of the members for the purposes stated in the Declaration and</w:t>
      </w:r>
      <w:r>
        <w:rPr>
          <w:color w:val="231F20"/>
          <w:spacing w:val="-3"/>
          <w:sz w:val="24"/>
        </w:rPr>
        <w:t> </w:t>
      </w:r>
      <w:r>
        <w:rPr>
          <w:color w:val="231F20"/>
          <w:sz w:val="24"/>
        </w:rPr>
        <w:t>herein.</w:t>
      </w:r>
    </w:p>
    <w:p>
      <w:pPr>
        <w:pStyle w:val="BodyText"/>
        <w:spacing w:before="2"/>
      </w:pPr>
    </w:p>
    <w:p>
      <w:pPr>
        <w:pStyle w:val="ListParagraph"/>
        <w:numPr>
          <w:ilvl w:val="0"/>
          <w:numId w:val="14"/>
        </w:numPr>
        <w:tabs>
          <w:tab w:pos="1301" w:val="left" w:leader="none"/>
        </w:tabs>
        <w:spacing w:line="240" w:lineRule="auto" w:before="0" w:after="0"/>
        <w:ind w:left="1300" w:right="1143" w:hanging="361"/>
        <w:jc w:val="left"/>
        <w:rPr>
          <w:sz w:val="24"/>
        </w:rPr>
      </w:pPr>
      <w:r>
        <w:rPr>
          <w:color w:val="231F20"/>
          <w:sz w:val="24"/>
        </w:rPr>
        <w:t>The depository of the Association shall be such saving and loan associations, bank, or</w:t>
      </w:r>
      <w:r>
        <w:rPr>
          <w:color w:val="231F20"/>
          <w:spacing w:val="-2"/>
          <w:sz w:val="24"/>
        </w:rPr>
        <w:t> </w:t>
      </w:r>
      <w:r>
        <w:rPr>
          <w:color w:val="231F20"/>
          <w:sz w:val="24"/>
        </w:rPr>
        <w:t>banks</w:t>
      </w:r>
      <w:r>
        <w:rPr>
          <w:color w:val="231F20"/>
          <w:spacing w:val="-1"/>
          <w:sz w:val="24"/>
        </w:rPr>
        <w:t> </w:t>
      </w:r>
      <w:r>
        <w:rPr>
          <w:color w:val="231F20"/>
          <w:sz w:val="24"/>
        </w:rPr>
        <w:t>as</w:t>
      </w:r>
      <w:r>
        <w:rPr>
          <w:color w:val="231F20"/>
          <w:spacing w:val="-1"/>
          <w:sz w:val="24"/>
        </w:rPr>
        <w:t> </w:t>
      </w:r>
      <w:r>
        <w:rPr>
          <w:color w:val="231F20"/>
          <w:sz w:val="24"/>
        </w:rPr>
        <w:t>shall</w:t>
      </w:r>
      <w:r>
        <w:rPr>
          <w:color w:val="231F20"/>
          <w:spacing w:val="-2"/>
          <w:sz w:val="24"/>
        </w:rPr>
        <w:t> </w:t>
      </w:r>
      <w:r>
        <w:rPr>
          <w:color w:val="231F20"/>
          <w:sz w:val="24"/>
        </w:rPr>
        <w:t>be</w:t>
      </w:r>
      <w:r>
        <w:rPr>
          <w:color w:val="231F20"/>
          <w:spacing w:val="-2"/>
          <w:sz w:val="24"/>
        </w:rPr>
        <w:t> </w:t>
      </w:r>
      <w:r>
        <w:rPr>
          <w:color w:val="231F20"/>
          <w:sz w:val="24"/>
        </w:rPr>
        <w:t>designated</w:t>
      </w:r>
      <w:r>
        <w:rPr>
          <w:color w:val="231F20"/>
          <w:spacing w:val="-3"/>
          <w:sz w:val="24"/>
        </w:rPr>
        <w:t> </w:t>
      </w:r>
      <w:r>
        <w:rPr>
          <w:color w:val="231F20"/>
          <w:sz w:val="24"/>
        </w:rPr>
        <w:t>from</w:t>
      </w:r>
      <w:r>
        <w:rPr>
          <w:color w:val="231F20"/>
          <w:spacing w:val="-3"/>
          <w:sz w:val="24"/>
        </w:rPr>
        <w:t> </w:t>
      </w:r>
      <w:r>
        <w:rPr>
          <w:color w:val="231F20"/>
          <w:sz w:val="24"/>
        </w:rPr>
        <w:t>time</w:t>
      </w:r>
      <w:r>
        <w:rPr>
          <w:color w:val="231F20"/>
          <w:spacing w:val="-3"/>
          <w:sz w:val="24"/>
        </w:rPr>
        <w:t> </w:t>
      </w:r>
      <w:r>
        <w:rPr>
          <w:color w:val="231F20"/>
          <w:sz w:val="24"/>
        </w:rPr>
        <w:t>to</w:t>
      </w:r>
      <w:r>
        <w:rPr>
          <w:color w:val="231F20"/>
          <w:spacing w:val="-2"/>
          <w:sz w:val="24"/>
        </w:rPr>
        <w:t> </w:t>
      </w:r>
      <w:r>
        <w:rPr>
          <w:color w:val="231F20"/>
          <w:sz w:val="24"/>
        </w:rPr>
        <w:t>time</w:t>
      </w:r>
      <w:r>
        <w:rPr>
          <w:color w:val="231F20"/>
          <w:spacing w:val="-2"/>
          <w:sz w:val="24"/>
        </w:rPr>
        <w:t> </w:t>
      </w:r>
      <w:r>
        <w:rPr>
          <w:color w:val="231F20"/>
          <w:sz w:val="24"/>
        </w:rPr>
        <w:t>by</w:t>
      </w:r>
      <w:r>
        <w:rPr>
          <w:color w:val="231F20"/>
          <w:spacing w:val="-4"/>
          <w:sz w:val="24"/>
        </w:rPr>
        <w:t> </w:t>
      </w:r>
      <w:r>
        <w:rPr>
          <w:color w:val="231F20"/>
          <w:sz w:val="24"/>
        </w:rPr>
        <w:t>the</w:t>
      </w:r>
      <w:r>
        <w:rPr>
          <w:color w:val="231F20"/>
          <w:spacing w:val="-4"/>
          <w:sz w:val="24"/>
        </w:rPr>
        <w:t> </w:t>
      </w:r>
      <w:r>
        <w:rPr>
          <w:color w:val="231F20"/>
          <w:sz w:val="24"/>
        </w:rPr>
        <w:t>Directors</w:t>
      </w:r>
      <w:r>
        <w:rPr>
          <w:color w:val="231F20"/>
          <w:spacing w:val="-4"/>
          <w:sz w:val="24"/>
        </w:rPr>
        <w:t> </w:t>
      </w:r>
      <w:r>
        <w:rPr>
          <w:color w:val="231F20"/>
          <w:sz w:val="24"/>
        </w:rPr>
        <w:t>and</w:t>
      </w:r>
      <w:r>
        <w:rPr>
          <w:color w:val="231F20"/>
          <w:spacing w:val="-1"/>
          <w:sz w:val="24"/>
        </w:rPr>
        <w:t> </w:t>
      </w:r>
      <w:r>
        <w:rPr>
          <w:color w:val="231F20"/>
          <w:sz w:val="24"/>
        </w:rPr>
        <w:t>in</w:t>
      </w:r>
      <w:r>
        <w:rPr>
          <w:color w:val="231F20"/>
          <w:spacing w:val="-5"/>
          <w:sz w:val="24"/>
        </w:rPr>
        <w:t> </w:t>
      </w:r>
      <w:r>
        <w:rPr>
          <w:color w:val="231F20"/>
          <w:sz w:val="24"/>
        </w:rPr>
        <w:t>which</w:t>
      </w:r>
      <w:r>
        <w:rPr>
          <w:color w:val="231F20"/>
          <w:spacing w:val="-1"/>
          <w:sz w:val="24"/>
        </w:rPr>
        <w:t> </w:t>
      </w:r>
      <w:r>
        <w:rPr>
          <w:color w:val="231F20"/>
          <w:sz w:val="24"/>
        </w:rPr>
        <w:t>the monies of the Association shall be deposited. Withdrawal of monies from such accounts shall be only by checks or withdrawal requests signed by such persons as are authorized by the</w:t>
      </w:r>
      <w:r>
        <w:rPr>
          <w:color w:val="231F20"/>
          <w:spacing w:val="-4"/>
          <w:sz w:val="24"/>
        </w:rPr>
        <w:t> </w:t>
      </w:r>
      <w:r>
        <w:rPr>
          <w:color w:val="231F20"/>
          <w:sz w:val="24"/>
        </w:rPr>
        <w:t>Directors.</w:t>
      </w:r>
    </w:p>
    <w:p>
      <w:pPr>
        <w:pStyle w:val="BodyText"/>
        <w:spacing w:before="11"/>
        <w:rPr>
          <w:sz w:val="23"/>
        </w:rPr>
      </w:pPr>
    </w:p>
    <w:p>
      <w:pPr>
        <w:pStyle w:val="ListParagraph"/>
        <w:numPr>
          <w:ilvl w:val="0"/>
          <w:numId w:val="14"/>
        </w:numPr>
        <w:tabs>
          <w:tab w:pos="1302" w:val="left" w:leader="none"/>
        </w:tabs>
        <w:spacing w:line="240" w:lineRule="auto" w:before="0" w:after="0"/>
        <w:ind w:left="1300" w:right="1072" w:hanging="361"/>
        <w:jc w:val="left"/>
        <w:rPr>
          <w:sz w:val="24"/>
        </w:rPr>
      </w:pPr>
      <w:r>
        <w:rPr>
          <w:color w:val="231F20"/>
          <w:sz w:val="24"/>
        </w:rPr>
        <w:t>The books, accounts and records of the Association shall be open to inspection by any Director at all times. Members of the Association shall have the right to inspect the books, accounts and records of the Association during reasonable business hours.</w:t>
      </w:r>
    </w:p>
    <w:p>
      <w:pPr>
        <w:pStyle w:val="BodyText"/>
        <w:spacing w:before="1"/>
      </w:pPr>
    </w:p>
    <w:p>
      <w:pPr>
        <w:pStyle w:val="ListParagraph"/>
        <w:numPr>
          <w:ilvl w:val="0"/>
          <w:numId w:val="14"/>
        </w:numPr>
        <w:tabs>
          <w:tab w:pos="1301" w:val="left" w:leader="none"/>
        </w:tabs>
        <w:spacing w:line="240" w:lineRule="auto" w:before="1" w:after="0"/>
        <w:ind w:left="1300" w:right="1110" w:hanging="361"/>
        <w:jc w:val="left"/>
        <w:rPr>
          <w:sz w:val="24"/>
        </w:rPr>
      </w:pPr>
      <w:r>
        <w:rPr>
          <w:color w:val="231F20"/>
          <w:sz w:val="24"/>
        </w:rPr>
        <w:t>Annual fiscal reports of the accounts of the Association shall be made and a copy</w:t>
      </w:r>
      <w:r>
        <w:rPr>
          <w:color w:val="231F20"/>
          <w:spacing w:val="-30"/>
          <w:sz w:val="24"/>
        </w:rPr>
        <w:t> </w:t>
      </w:r>
      <w:r>
        <w:rPr>
          <w:color w:val="231F20"/>
          <w:sz w:val="24"/>
        </w:rPr>
        <w:t>of the report shall be furnished to each member not later than the annual meeting in April of the year following the year for which the report is</w:t>
      </w:r>
      <w:r>
        <w:rPr>
          <w:color w:val="231F20"/>
          <w:spacing w:val="-11"/>
          <w:sz w:val="24"/>
        </w:rPr>
        <w:t> </w:t>
      </w:r>
      <w:r>
        <w:rPr>
          <w:color w:val="231F20"/>
          <w:sz w:val="24"/>
        </w:rPr>
        <w:t>made.</w:t>
      </w:r>
    </w:p>
    <w:p>
      <w:pPr>
        <w:pStyle w:val="BodyText"/>
        <w:spacing w:before="11"/>
        <w:rPr>
          <w:sz w:val="23"/>
        </w:rPr>
      </w:pPr>
    </w:p>
    <w:p>
      <w:pPr>
        <w:pStyle w:val="ListParagraph"/>
        <w:numPr>
          <w:ilvl w:val="0"/>
          <w:numId w:val="14"/>
        </w:numPr>
        <w:tabs>
          <w:tab w:pos="1301" w:val="left" w:leader="none"/>
        </w:tabs>
        <w:spacing w:line="240" w:lineRule="auto" w:before="0" w:after="0"/>
        <w:ind w:left="1300" w:right="1088" w:hanging="361"/>
        <w:jc w:val="left"/>
        <w:rPr>
          <w:sz w:val="24"/>
        </w:rPr>
      </w:pPr>
      <w:r>
        <w:rPr>
          <w:color w:val="231F20"/>
          <w:sz w:val="24"/>
        </w:rPr>
        <w:t>Fidelity bonds may be required by the Board of Directors from all officers and employees of the Association and from any contractor handling or responsible for Association funds. The amount of such bonds shall be determined by the Directors. The premiums on such bonds shall be paid by the</w:t>
      </w:r>
      <w:r>
        <w:rPr>
          <w:color w:val="231F20"/>
          <w:spacing w:val="-11"/>
          <w:sz w:val="24"/>
        </w:rPr>
        <w:t> </w:t>
      </w:r>
      <w:r>
        <w:rPr>
          <w:color w:val="231F20"/>
          <w:sz w:val="24"/>
        </w:rPr>
        <w:t>Association.</w:t>
      </w:r>
    </w:p>
    <w:p>
      <w:pPr>
        <w:pStyle w:val="BodyText"/>
        <w:spacing w:before="12"/>
        <w:rPr>
          <w:sz w:val="23"/>
        </w:rPr>
      </w:pPr>
    </w:p>
    <w:p>
      <w:pPr>
        <w:pStyle w:val="ListParagraph"/>
        <w:numPr>
          <w:ilvl w:val="0"/>
          <w:numId w:val="14"/>
        </w:numPr>
        <w:tabs>
          <w:tab w:pos="1300" w:val="left" w:leader="none"/>
          <w:tab w:pos="1301" w:val="left" w:leader="none"/>
        </w:tabs>
        <w:spacing w:line="240" w:lineRule="auto" w:before="0" w:after="0"/>
        <w:ind w:left="1300" w:right="957" w:hanging="360"/>
        <w:jc w:val="left"/>
        <w:rPr>
          <w:sz w:val="24"/>
        </w:rPr>
      </w:pPr>
      <w:r>
        <w:rPr>
          <w:color w:val="231F20"/>
          <w:sz w:val="24"/>
        </w:rPr>
        <w:t>Payment vouchers shall be approved by the Board of Directors or authority to approve vouchers may be delegated to the manager at the discretion of the Board of Directors.</w:t>
      </w:r>
    </w:p>
    <w:p>
      <w:pPr>
        <w:pStyle w:val="BodyText"/>
        <w:spacing w:before="2"/>
      </w:pPr>
    </w:p>
    <w:p>
      <w:pPr>
        <w:pStyle w:val="BodyText"/>
        <w:ind w:left="940"/>
      </w:pPr>
      <w:r>
        <w:rPr>
          <w:color w:val="231F20"/>
        </w:rPr>
        <w:t>ASSESSMENTS:</w:t>
      </w:r>
    </w:p>
    <w:p>
      <w:pPr>
        <w:pStyle w:val="BodyText"/>
      </w:pPr>
    </w:p>
    <w:p>
      <w:pPr>
        <w:pStyle w:val="BodyText"/>
        <w:ind w:left="940" w:right="1061" w:hanging="1"/>
      </w:pPr>
      <w:r>
        <w:rPr>
          <w:color w:val="231F20"/>
        </w:rPr>
        <w:t>Assessments shall be levied by a majority vote of the Board Directors of the Association and paid by the members to the sociation in accordance with the following provisions:</w:t>
      </w:r>
    </w:p>
    <w:p>
      <w:pPr>
        <w:pStyle w:val="BodyText"/>
        <w:spacing w:before="11"/>
        <w:rPr>
          <w:sz w:val="23"/>
        </w:rPr>
      </w:pPr>
    </w:p>
    <w:p>
      <w:pPr>
        <w:pStyle w:val="ListParagraph"/>
        <w:numPr>
          <w:ilvl w:val="0"/>
          <w:numId w:val="15"/>
        </w:numPr>
        <w:tabs>
          <w:tab w:pos="1301" w:val="left" w:leader="none"/>
        </w:tabs>
        <w:spacing w:line="240" w:lineRule="auto" w:before="1" w:after="0"/>
        <w:ind w:left="1300" w:right="1200" w:hanging="361"/>
        <w:jc w:val="left"/>
        <w:rPr>
          <w:sz w:val="24"/>
        </w:rPr>
      </w:pPr>
      <w:r>
        <w:rPr>
          <w:color w:val="231F20"/>
          <w:sz w:val="24"/>
        </w:rPr>
        <w:t>Notwithstanding the foregoing, any special assessment for alterations or additions to improvements of the common</w:t>
      </w:r>
      <w:r>
        <w:rPr>
          <w:color w:val="231F20"/>
          <w:spacing w:val="-1"/>
          <w:sz w:val="24"/>
        </w:rPr>
        <w:t> </w:t>
      </w:r>
      <w:r>
        <w:rPr>
          <w:color w:val="231F20"/>
          <w:sz w:val="24"/>
        </w:rPr>
        <w:t>areas</w:t>
      </w:r>
    </w:p>
    <w:p>
      <w:pPr>
        <w:spacing w:after="0" w:line="240" w:lineRule="auto"/>
        <w:jc w:val="left"/>
        <w:rPr>
          <w:sz w:val="24"/>
        </w:rPr>
        <w:sectPr>
          <w:pgSz w:w="12240" w:h="15840"/>
          <w:pgMar w:header="0" w:footer="948" w:top="1400" w:bottom="1140" w:left="1220" w:right="480"/>
        </w:sectPr>
      </w:pPr>
    </w:p>
    <w:p>
      <w:pPr>
        <w:pStyle w:val="BodyText"/>
        <w:spacing w:before="39"/>
        <w:ind w:left="1300" w:right="950" w:hanging="1"/>
      </w:pPr>
      <w:r>
        <w:rPr>
          <w:color w:val="231F20"/>
        </w:rPr>
        <w:t>or facilities, involving the expenditure of $10,000.00 or more shall first be approved by a majority of the voting power of the Association.</w:t>
      </w:r>
    </w:p>
    <w:p>
      <w:pPr>
        <w:pStyle w:val="BodyText"/>
      </w:pPr>
    </w:p>
    <w:p>
      <w:pPr>
        <w:pStyle w:val="ListParagraph"/>
        <w:numPr>
          <w:ilvl w:val="0"/>
          <w:numId w:val="15"/>
        </w:numPr>
        <w:tabs>
          <w:tab w:pos="1300" w:val="left" w:leader="none"/>
        </w:tabs>
        <w:spacing w:line="240" w:lineRule="auto" w:before="0" w:after="0"/>
        <w:ind w:left="1300" w:right="1004" w:hanging="361"/>
        <w:jc w:val="left"/>
        <w:rPr>
          <w:sz w:val="24"/>
        </w:rPr>
      </w:pPr>
      <w:r>
        <w:rPr>
          <w:color w:val="231F20"/>
          <w:sz w:val="24"/>
        </w:rPr>
        <w:t>Each member shall be jointly and severally liable with all other holders of an interest for the common expenses which are assessed against the apartment in which he</w:t>
      </w:r>
      <w:r>
        <w:rPr>
          <w:color w:val="231F20"/>
          <w:spacing w:val="-37"/>
          <w:sz w:val="24"/>
        </w:rPr>
        <w:t> </w:t>
      </w:r>
      <w:r>
        <w:rPr>
          <w:color w:val="231F20"/>
          <w:sz w:val="24"/>
        </w:rPr>
        <w:t>has an interest. The assessments shall be computed in accordance with the percentage of interest in the common areas and facilities allocated to his apartment. Any common surplus shall be allocated to each apartment in accordance with the percentage of interest in the common areas and facilities and shall be jointly owned by the holders of an interest in each</w:t>
      </w:r>
      <w:r>
        <w:rPr>
          <w:color w:val="231F20"/>
          <w:spacing w:val="2"/>
          <w:sz w:val="24"/>
        </w:rPr>
        <w:t> </w:t>
      </w:r>
      <w:r>
        <w:rPr>
          <w:color w:val="231F20"/>
          <w:sz w:val="24"/>
        </w:rPr>
        <w:t>apartment.</w:t>
      </w:r>
    </w:p>
    <w:p>
      <w:pPr>
        <w:pStyle w:val="BodyText"/>
        <w:spacing w:before="1"/>
      </w:pPr>
    </w:p>
    <w:p>
      <w:pPr>
        <w:pStyle w:val="ListParagraph"/>
        <w:numPr>
          <w:ilvl w:val="0"/>
          <w:numId w:val="15"/>
        </w:numPr>
        <w:tabs>
          <w:tab w:pos="1302" w:val="left" w:leader="none"/>
        </w:tabs>
        <w:spacing w:line="240" w:lineRule="auto" w:before="0" w:after="0"/>
        <w:ind w:left="1300" w:right="1084" w:hanging="361"/>
        <w:jc w:val="left"/>
        <w:rPr>
          <w:sz w:val="24"/>
        </w:rPr>
      </w:pPr>
      <w:r>
        <w:rPr>
          <w:color w:val="231F20"/>
          <w:sz w:val="24"/>
        </w:rPr>
        <w:t>Assessments shall include an adequate reserve fund, as determined by the Board</w:t>
      </w:r>
      <w:r>
        <w:rPr>
          <w:color w:val="231F20"/>
          <w:spacing w:val="-32"/>
          <w:sz w:val="24"/>
        </w:rPr>
        <w:t> </w:t>
      </w:r>
      <w:r>
        <w:rPr>
          <w:color w:val="231F20"/>
          <w:sz w:val="24"/>
        </w:rPr>
        <w:t>of Directors, for maintenance, repairs and replacement of those common areas and facilities that must be replaced on a periodic</w:t>
      </w:r>
      <w:r>
        <w:rPr>
          <w:color w:val="231F20"/>
          <w:spacing w:val="-11"/>
          <w:sz w:val="24"/>
        </w:rPr>
        <w:t> </w:t>
      </w:r>
      <w:r>
        <w:rPr>
          <w:color w:val="231F20"/>
          <w:sz w:val="24"/>
        </w:rPr>
        <w:t>basis.</w:t>
      </w:r>
    </w:p>
    <w:p>
      <w:pPr>
        <w:pStyle w:val="BodyText"/>
      </w:pPr>
    </w:p>
    <w:p>
      <w:pPr>
        <w:pStyle w:val="ListParagraph"/>
        <w:numPr>
          <w:ilvl w:val="0"/>
          <w:numId w:val="15"/>
        </w:numPr>
        <w:tabs>
          <w:tab w:pos="1300" w:val="left" w:leader="none"/>
        </w:tabs>
        <w:spacing w:line="240" w:lineRule="auto" w:before="0" w:after="0"/>
        <w:ind w:left="1300" w:right="1165" w:hanging="361"/>
        <w:jc w:val="left"/>
        <w:rPr>
          <w:sz w:val="24"/>
        </w:rPr>
      </w:pPr>
      <w:r>
        <w:rPr>
          <w:color w:val="231F20"/>
          <w:sz w:val="24"/>
        </w:rPr>
        <w:t>All sums collected by the Association as assessments may be comingled in a single fund but they shall be held for and allocated for the apartments in the respective shares in which they are paid and shall be credited to accounts from which shall</w:t>
      </w:r>
      <w:r>
        <w:rPr>
          <w:color w:val="231F20"/>
          <w:spacing w:val="-29"/>
          <w:sz w:val="24"/>
        </w:rPr>
        <w:t> </w:t>
      </w:r>
      <w:r>
        <w:rPr>
          <w:color w:val="231F20"/>
          <w:sz w:val="24"/>
        </w:rPr>
        <w:t>be paid the expenses for which the respective assessments are</w:t>
      </w:r>
      <w:r>
        <w:rPr>
          <w:color w:val="231F20"/>
          <w:spacing w:val="-13"/>
          <w:sz w:val="24"/>
        </w:rPr>
        <w:t> </w:t>
      </w:r>
      <w:r>
        <w:rPr>
          <w:color w:val="231F20"/>
          <w:sz w:val="24"/>
        </w:rPr>
        <w:t>made.</w:t>
      </w:r>
    </w:p>
    <w:p>
      <w:pPr>
        <w:pStyle w:val="BodyText"/>
        <w:spacing w:before="11"/>
        <w:rPr>
          <w:sz w:val="23"/>
        </w:rPr>
      </w:pPr>
    </w:p>
    <w:p>
      <w:pPr>
        <w:pStyle w:val="ListParagraph"/>
        <w:numPr>
          <w:ilvl w:val="0"/>
          <w:numId w:val="15"/>
        </w:numPr>
        <w:tabs>
          <w:tab w:pos="1302" w:val="left" w:leader="none"/>
        </w:tabs>
        <w:spacing w:line="240" w:lineRule="auto" w:before="0" w:after="0"/>
        <w:ind w:left="1300" w:right="1219" w:hanging="361"/>
        <w:jc w:val="left"/>
        <w:rPr>
          <w:sz w:val="24"/>
        </w:rPr>
      </w:pPr>
      <w:r>
        <w:rPr>
          <w:color w:val="231F20"/>
          <w:sz w:val="24"/>
        </w:rPr>
        <w:t>All assessments, both annual and special, shall become a lien on the apartment</w:t>
      </w:r>
      <w:r>
        <w:rPr>
          <w:color w:val="231F20"/>
          <w:spacing w:val="-24"/>
          <w:sz w:val="24"/>
        </w:rPr>
        <w:t> </w:t>
      </w:r>
      <w:r>
        <w:rPr>
          <w:color w:val="231F20"/>
          <w:sz w:val="24"/>
        </w:rPr>
        <w:t>on the date they become due and</w:t>
      </w:r>
      <w:r>
        <w:rPr>
          <w:color w:val="231F20"/>
          <w:spacing w:val="-2"/>
          <w:sz w:val="24"/>
        </w:rPr>
        <w:t> </w:t>
      </w:r>
      <w:r>
        <w:rPr>
          <w:color w:val="231F20"/>
          <w:sz w:val="24"/>
        </w:rPr>
        <w:t>payable.</w:t>
      </w:r>
    </w:p>
    <w:p>
      <w:pPr>
        <w:pStyle w:val="BodyText"/>
        <w:spacing w:before="2"/>
      </w:pPr>
    </w:p>
    <w:p>
      <w:pPr>
        <w:pStyle w:val="BodyText"/>
        <w:ind w:left="1300" w:right="967" w:hanging="1"/>
      </w:pPr>
      <w:r>
        <w:rPr>
          <w:color w:val="231F20"/>
        </w:rPr>
        <w:t>Annual assessments for common expenses shall be made in advance on or before twenty (20) days prior to the first day of the fiscal year for which the assessments are made, and special assessments at such other additional times as in the judgment of the Board of Directors, additional common expenses assessments are required for the proper management, maintenance and operation of the common areas and facilities. Such annual assessments shall be due and payable in equal quarterly installments beginning with the first day of the first quarter and the first day of each quarter thereafter. Special assessments shall be due and payable as determined by the Board of Directors. If an annual assessment is not made, there shall be an assessment in the amount of the last prior annual assessment which shall be due and payable as above set</w:t>
      </w:r>
      <w:r>
        <w:rPr>
          <w:color w:val="231F20"/>
          <w:spacing w:val="-4"/>
        </w:rPr>
        <w:t> </w:t>
      </w:r>
      <w:r>
        <w:rPr>
          <w:color w:val="231F20"/>
        </w:rPr>
        <w:t>forth.</w:t>
      </w:r>
    </w:p>
    <w:p>
      <w:pPr>
        <w:pStyle w:val="BodyText"/>
        <w:spacing w:before="11"/>
        <w:rPr>
          <w:sz w:val="23"/>
        </w:rPr>
      </w:pPr>
    </w:p>
    <w:p>
      <w:pPr>
        <w:pStyle w:val="ListParagraph"/>
        <w:numPr>
          <w:ilvl w:val="0"/>
          <w:numId w:val="15"/>
        </w:numPr>
        <w:tabs>
          <w:tab w:pos="1300" w:val="left" w:leader="none"/>
          <w:tab w:pos="1301" w:val="left" w:leader="none"/>
        </w:tabs>
        <w:spacing w:line="240" w:lineRule="auto" w:before="0" w:after="0"/>
        <w:ind w:left="1300" w:right="1112" w:hanging="361"/>
        <w:jc w:val="left"/>
        <w:rPr>
          <w:sz w:val="24"/>
        </w:rPr>
      </w:pPr>
      <w:r>
        <w:rPr>
          <w:color w:val="231F20"/>
          <w:sz w:val="24"/>
        </w:rPr>
        <w:t>The assessments against all apartments shall be set forth upon the roll which shall be available in the office of the Association for inspection at all reasonable times</w:t>
      </w:r>
      <w:r>
        <w:rPr>
          <w:color w:val="231F20"/>
          <w:spacing w:val="-37"/>
          <w:sz w:val="24"/>
        </w:rPr>
        <w:t> </w:t>
      </w:r>
      <w:r>
        <w:rPr>
          <w:color w:val="231F20"/>
          <w:sz w:val="24"/>
        </w:rPr>
        <w:t>by members or their duly authorized representatives. Such roll shall indicate for each apartment the name, address and interest of the member, the assessments for all purposes</w:t>
      </w:r>
    </w:p>
    <w:p>
      <w:pPr>
        <w:spacing w:after="0" w:line="240" w:lineRule="auto"/>
        <w:jc w:val="left"/>
        <w:rPr>
          <w:sz w:val="24"/>
        </w:rPr>
        <w:sectPr>
          <w:pgSz w:w="12240" w:h="15840"/>
          <w:pgMar w:header="0" w:footer="948" w:top="1400" w:bottom="1140" w:left="1220" w:right="480"/>
        </w:sectPr>
      </w:pPr>
    </w:p>
    <w:p>
      <w:pPr>
        <w:pStyle w:val="BodyText"/>
        <w:spacing w:before="39"/>
        <w:ind w:left="1300" w:right="958" w:hanging="1"/>
      </w:pPr>
      <w:r>
        <w:rPr>
          <w:color w:val="231F20"/>
        </w:rPr>
        <w:t>and the amounts of all assessments paid and unpaid. A certificate made by the Association as to the status of a member's assessment account shall limit the liability of any person for whom such certificate is made. The Association shall issue such certificates to such persons as a member may authorize in writing or to a lender, attorney, title company, or real estate agent acting on behalf of a buyer.</w:t>
      </w:r>
    </w:p>
    <w:p>
      <w:pPr>
        <w:pStyle w:val="BodyText"/>
        <w:spacing w:before="12"/>
        <w:rPr>
          <w:sz w:val="23"/>
        </w:rPr>
      </w:pPr>
    </w:p>
    <w:p>
      <w:pPr>
        <w:pStyle w:val="ListParagraph"/>
        <w:numPr>
          <w:ilvl w:val="0"/>
          <w:numId w:val="15"/>
        </w:numPr>
        <w:tabs>
          <w:tab w:pos="1302" w:val="left" w:leader="none"/>
        </w:tabs>
        <w:spacing w:line="240" w:lineRule="auto" w:before="0" w:after="0"/>
        <w:ind w:left="1300" w:right="975" w:hanging="361"/>
        <w:jc w:val="left"/>
        <w:rPr>
          <w:sz w:val="24"/>
        </w:rPr>
      </w:pPr>
      <w:r>
        <w:rPr>
          <w:color w:val="231F20"/>
          <w:sz w:val="24"/>
        </w:rPr>
        <w:t>Assessments and installments thereof paid on or before thirty (30) days after the date when due shall not bear interest, but all sums not paid on or before thirty (30) days after the date when due shall bear interest at the rate of eight percent (8%) per annum, or any other legal rate that may be set by the Board, from the end of said thirty (30) day period until paid. All payments upon account shall be applied first to interest and then to the assessment payment first due. All interest collected shall be credited to the Common Expense</w:t>
      </w:r>
      <w:r>
        <w:rPr>
          <w:color w:val="231F20"/>
          <w:spacing w:val="-6"/>
          <w:sz w:val="24"/>
        </w:rPr>
        <w:t> </w:t>
      </w:r>
      <w:r>
        <w:rPr>
          <w:color w:val="231F20"/>
          <w:sz w:val="24"/>
        </w:rPr>
        <w:t>Account.</w:t>
      </w:r>
    </w:p>
    <w:p>
      <w:pPr>
        <w:pStyle w:val="BodyText"/>
        <w:spacing w:before="1"/>
      </w:pPr>
    </w:p>
    <w:p>
      <w:pPr>
        <w:pStyle w:val="ListParagraph"/>
        <w:numPr>
          <w:ilvl w:val="0"/>
          <w:numId w:val="16"/>
        </w:numPr>
        <w:tabs>
          <w:tab w:pos="940" w:val="left" w:leader="none"/>
          <w:tab w:pos="941" w:val="left" w:leader="none"/>
        </w:tabs>
        <w:spacing w:line="240" w:lineRule="auto" w:before="0" w:after="0"/>
        <w:ind w:left="940" w:right="0" w:hanging="721"/>
        <w:jc w:val="left"/>
        <w:rPr>
          <w:sz w:val="24"/>
        </w:rPr>
      </w:pPr>
      <w:r>
        <w:rPr>
          <w:color w:val="231F20"/>
          <w:sz w:val="24"/>
        </w:rPr>
        <w:t>COMPLIANCE AND</w:t>
      </w:r>
      <w:r>
        <w:rPr>
          <w:color w:val="231F20"/>
          <w:spacing w:val="-3"/>
          <w:sz w:val="24"/>
        </w:rPr>
        <w:t> </w:t>
      </w:r>
      <w:r>
        <w:rPr>
          <w:color w:val="231F20"/>
          <w:sz w:val="24"/>
        </w:rPr>
        <w:t>DEFAULT:</w:t>
      </w:r>
    </w:p>
    <w:p>
      <w:pPr>
        <w:pStyle w:val="BodyText"/>
      </w:pPr>
    </w:p>
    <w:p>
      <w:pPr>
        <w:pStyle w:val="BodyText"/>
        <w:ind w:left="220" w:right="1142" w:firstLine="719"/>
        <w:jc w:val="both"/>
      </w:pPr>
      <w:r>
        <w:rPr>
          <w:color w:val="231F20"/>
        </w:rPr>
        <w:t>Each member shall be governed by and shall comply with the terms of the</w:t>
      </w:r>
      <w:r>
        <w:rPr>
          <w:color w:val="231F20"/>
          <w:spacing w:val="-29"/>
        </w:rPr>
        <w:t> </w:t>
      </w:r>
      <w:r>
        <w:rPr>
          <w:color w:val="231F20"/>
        </w:rPr>
        <w:t>Declaration, By-Laws and regulations adopted pursuant thereto as any of the same may be amended from time to time. A default shall entitle the Association or other members to the following</w:t>
      </w:r>
      <w:r>
        <w:rPr>
          <w:color w:val="231F20"/>
          <w:spacing w:val="-36"/>
        </w:rPr>
        <w:t> </w:t>
      </w:r>
      <w:r>
        <w:rPr>
          <w:color w:val="231F20"/>
        </w:rPr>
        <w:t>relief.</w:t>
      </w:r>
    </w:p>
    <w:p>
      <w:pPr>
        <w:pStyle w:val="BodyText"/>
        <w:spacing w:before="11"/>
        <w:rPr>
          <w:sz w:val="23"/>
        </w:rPr>
      </w:pPr>
    </w:p>
    <w:p>
      <w:pPr>
        <w:pStyle w:val="ListParagraph"/>
        <w:numPr>
          <w:ilvl w:val="1"/>
          <w:numId w:val="16"/>
        </w:numPr>
        <w:tabs>
          <w:tab w:pos="1302" w:val="left" w:leader="none"/>
        </w:tabs>
        <w:spacing w:line="240" w:lineRule="auto" w:before="1" w:after="0"/>
        <w:ind w:left="1300" w:right="1102" w:hanging="360"/>
        <w:jc w:val="left"/>
        <w:rPr>
          <w:sz w:val="24"/>
        </w:rPr>
      </w:pPr>
      <w:r>
        <w:rPr>
          <w:color w:val="231F20"/>
          <w:sz w:val="24"/>
        </w:rPr>
        <w:t>Failure to comply with any of the terms of the Declaration, By-Laws and regulations adopted pursuant thereto, shall be grounds for relief which may include, without intending to limit the same, to an action to recover sums due for damages, injunctive relief, foreclosure of lien, or any combination thereof, and which relief may be sought by the Association or if appropriate, by an aggrieved</w:t>
      </w:r>
      <w:r>
        <w:rPr>
          <w:color w:val="231F20"/>
          <w:spacing w:val="-14"/>
          <w:sz w:val="24"/>
        </w:rPr>
        <w:t> </w:t>
      </w:r>
      <w:r>
        <w:rPr>
          <w:color w:val="231F20"/>
          <w:sz w:val="24"/>
        </w:rPr>
        <w:t>member.</w:t>
      </w:r>
    </w:p>
    <w:p>
      <w:pPr>
        <w:pStyle w:val="BodyText"/>
        <w:spacing w:before="1"/>
      </w:pPr>
    </w:p>
    <w:p>
      <w:pPr>
        <w:pStyle w:val="ListParagraph"/>
        <w:numPr>
          <w:ilvl w:val="1"/>
          <w:numId w:val="16"/>
        </w:numPr>
        <w:tabs>
          <w:tab w:pos="1301" w:val="left" w:leader="none"/>
        </w:tabs>
        <w:spacing w:line="240" w:lineRule="auto" w:before="0" w:after="0"/>
        <w:ind w:left="1300" w:right="1361" w:hanging="360"/>
        <w:jc w:val="left"/>
        <w:rPr>
          <w:sz w:val="24"/>
        </w:rPr>
      </w:pPr>
      <w:r>
        <w:rPr>
          <w:color w:val="231F20"/>
          <w:sz w:val="24"/>
        </w:rPr>
        <w:t>In the event of foreclosure of lien for assessments, a reasonable rental for the apartment</w:t>
      </w:r>
      <w:r>
        <w:rPr>
          <w:color w:val="231F20"/>
          <w:spacing w:val="-2"/>
          <w:sz w:val="24"/>
        </w:rPr>
        <w:t> </w:t>
      </w:r>
      <w:r>
        <w:rPr>
          <w:color w:val="231F20"/>
          <w:sz w:val="24"/>
        </w:rPr>
        <w:t>shall</w:t>
      </w:r>
      <w:r>
        <w:rPr>
          <w:color w:val="231F20"/>
          <w:spacing w:val="-2"/>
          <w:sz w:val="24"/>
        </w:rPr>
        <w:t> </w:t>
      </w:r>
      <w:r>
        <w:rPr>
          <w:color w:val="231F20"/>
          <w:sz w:val="24"/>
        </w:rPr>
        <w:t>be</w:t>
      </w:r>
      <w:r>
        <w:rPr>
          <w:color w:val="231F20"/>
          <w:spacing w:val="-2"/>
          <w:sz w:val="24"/>
        </w:rPr>
        <w:t> </w:t>
      </w:r>
      <w:r>
        <w:rPr>
          <w:color w:val="231F20"/>
          <w:sz w:val="24"/>
        </w:rPr>
        <w:t>due</w:t>
      </w:r>
      <w:r>
        <w:rPr>
          <w:color w:val="231F20"/>
          <w:spacing w:val="-4"/>
          <w:sz w:val="24"/>
        </w:rPr>
        <w:t> </w:t>
      </w:r>
      <w:r>
        <w:rPr>
          <w:color w:val="231F20"/>
          <w:sz w:val="24"/>
        </w:rPr>
        <w:t>and</w:t>
      </w:r>
      <w:r>
        <w:rPr>
          <w:color w:val="231F20"/>
          <w:spacing w:val="-4"/>
          <w:sz w:val="24"/>
        </w:rPr>
        <w:t> </w:t>
      </w:r>
      <w:r>
        <w:rPr>
          <w:color w:val="231F20"/>
          <w:sz w:val="24"/>
        </w:rPr>
        <w:t>the</w:t>
      </w:r>
      <w:r>
        <w:rPr>
          <w:color w:val="231F20"/>
          <w:spacing w:val="-2"/>
          <w:sz w:val="24"/>
        </w:rPr>
        <w:t> </w:t>
      </w:r>
      <w:r>
        <w:rPr>
          <w:color w:val="231F20"/>
          <w:sz w:val="24"/>
        </w:rPr>
        <w:t>plaintiff</w:t>
      </w:r>
      <w:r>
        <w:rPr>
          <w:color w:val="231F20"/>
          <w:spacing w:val="-2"/>
          <w:sz w:val="24"/>
        </w:rPr>
        <w:t> </w:t>
      </w:r>
      <w:r>
        <w:rPr>
          <w:color w:val="231F20"/>
          <w:sz w:val="24"/>
        </w:rPr>
        <w:t>shall</w:t>
      </w:r>
      <w:r>
        <w:rPr>
          <w:color w:val="231F20"/>
          <w:spacing w:val="-5"/>
          <w:sz w:val="24"/>
        </w:rPr>
        <w:t> </w:t>
      </w:r>
      <w:r>
        <w:rPr>
          <w:color w:val="231F20"/>
          <w:sz w:val="24"/>
        </w:rPr>
        <w:t>be</w:t>
      </w:r>
      <w:r>
        <w:rPr>
          <w:color w:val="231F20"/>
          <w:spacing w:val="-2"/>
          <w:sz w:val="24"/>
        </w:rPr>
        <w:t> </w:t>
      </w:r>
      <w:r>
        <w:rPr>
          <w:color w:val="231F20"/>
          <w:sz w:val="24"/>
        </w:rPr>
        <w:t>entitled</w:t>
      </w:r>
      <w:r>
        <w:rPr>
          <w:color w:val="231F20"/>
          <w:spacing w:val="-3"/>
          <w:sz w:val="24"/>
        </w:rPr>
        <w:t> </w:t>
      </w:r>
      <w:r>
        <w:rPr>
          <w:color w:val="231F20"/>
          <w:sz w:val="24"/>
        </w:rPr>
        <w:t>to</w:t>
      </w:r>
      <w:r>
        <w:rPr>
          <w:color w:val="231F20"/>
          <w:spacing w:val="-3"/>
          <w:sz w:val="24"/>
        </w:rPr>
        <w:t> </w:t>
      </w:r>
      <w:r>
        <w:rPr>
          <w:color w:val="231F20"/>
          <w:sz w:val="24"/>
        </w:rPr>
        <w:t>the</w:t>
      </w:r>
      <w:r>
        <w:rPr>
          <w:color w:val="231F20"/>
          <w:spacing w:val="-2"/>
          <w:sz w:val="24"/>
        </w:rPr>
        <w:t> </w:t>
      </w:r>
      <w:r>
        <w:rPr>
          <w:color w:val="231F20"/>
          <w:sz w:val="24"/>
        </w:rPr>
        <w:t>appointment</w:t>
      </w:r>
      <w:r>
        <w:rPr>
          <w:color w:val="231F20"/>
          <w:spacing w:val="-4"/>
          <w:sz w:val="24"/>
        </w:rPr>
        <w:t> </w:t>
      </w:r>
      <w:r>
        <w:rPr>
          <w:color w:val="231F20"/>
          <w:sz w:val="24"/>
        </w:rPr>
        <w:t>of</w:t>
      </w:r>
      <w:r>
        <w:rPr>
          <w:color w:val="231F20"/>
          <w:spacing w:val="-5"/>
          <w:sz w:val="24"/>
        </w:rPr>
        <w:t> </w:t>
      </w:r>
      <w:r>
        <w:rPr>
          <w:color w:val="231F20"/>
          <w:sz w:val="24"/>
        </w:rPr>
        <w:t>a receiver to collect the same, all as provided in the</w:t>
      </w:r>
      <w:r>
        <w:rPr>
          <w:color w:val="231F20"/>
          <w:spacing w:val="-5"/>
          <w:sz w:val="24"/>
        </w:rPr>
        <w:t> </w:t>
      </w:r>
      <w:r>
        <w:rPr>
          <w:color w:val="231F20"/>
          <w:sz w:val="24"/>
        </w:rPr>
        <w:t>Declaration.</w:t>
      </w:r>
    </w:p>
    <w:p>
      <w:pPr>
        <w:pStyle w:val="BodyText"/>
      </w:pPr>
    </w:p>
    <w:p>
      <w:pPr>
        <w:pStyle w:val="ListParagraph"/>
        <w:numPr>
          <w:ilvl w:val="1"/>
          <w:numId w:val="16"/>
        </w:numPr>
        <w:tabs>
          <w:tab w:pos="1302" w:val="left" w:leader="none"/>
        </w:tabs>
        <w:spacing w:line="240" w:lineRule="auto" w:before="0" w:after="0"/>
        <w:ind w:left="1300" w:right="1024" w:hanging="360"/>
        <w:jc w:val="left"/>
        <w:rPr>
          <w:sz w:val="24"/>
        </w:rPr>
      </w:pPr>
      <w:r>
        <w:rPr>
          <w:color w:val="231F20"/>
          <w:sz w:val="24"/>
        </w:rPr>
        <w:t>If any member fails to perform any obligation imposed under the Declaration or these By-Laws or rules and regulations, then the Association may, but is not obligated to, perform the same for the member's account and for such purpose</w:t>
      </w:r>
      <w:r>
        <w:rPr>
          <w:color w:val="231F20"/>
          <w:spacing w:val="-35"/>
          <w:sz w:val="24"/>
        </w:rPr>
        <w:t> </w:t>
      </w:r>
      <w:r>
        <w:rPr>
          <w:color w:val="231F20"/>
          <w:sz w:val="24"/>
        </w:rPr>
        <w:t>may enter upon the apartment, may make necessary repairs, advance expenses or other sums necessary to cure the default, and for any such expense, may levy a special assessment upon the</w:t>
      </w:r>
      <w:r>
        <w:rPr>
          <w:color w:val="231F20"/>
          <w:spacing w:val="-2"/>
          <w:sz w:val="24"/>
        </w:rPr>
        <w:t> </w:t>
      </w:r>
      <w:r>
        <w:rPr>
          <w:color w:val="231F20"/>
          <w:sz w:val="24"/>
        </w:rPr>
        <w:t>apartment.</w:t>
      </w:r>
    </w:p>
    <w:p>
      <w:pPr>
        <w:pStyle w:val="BodyText"/>
        <w:spacing w:before="1"/>
      </w:pPr>
    </w:p>
    <w:p>
      <w:pPr>
        <w:pStyle w:val="BodyText"/>
        <w:spacing w:before="1"/>
        <w:ind w:left="1300" w:right="950" w:hanging="1"/>
      </w:pPr>
      <w:r>
        <w:rPr>
          <w:color w:val="231F20"/>
        </w:rPr>
        <w:t>Each member shall be liable for the expense of any maintenance, repair or replacement rendered necessary by</w:t>
      </w:r>
    </w:p>
    <w:p>
      <w:pPr>
        <w:spacing w:after="0"/>
        <w:sectPr>
          <w:pgSz w:w="12240" w:h="15840"/>
          <w:pgMar w:header="0" w:footer="948" w:top="1400" w:bottom="1140" w:left="1220" w:right="480"/>
        </w:sectPr>
      </w:pPr>
    </w:p>
    <w:p>
      <w:pPr>
        <w:pStyle w:val="BodyText"/>
        <w:spacing w:before="39"/>
        <w:ind w:left="1300" w:right="975" w:hanging="1"/>
      </w:pPr>
      <w:r>
        <w:rPr>
          <w:color w:val="231F20"/>
        </w:rPr>
        <w:t>his act, neglect or carelessness or by that of any member of his family or his or their guests, employees, agents or lessees, but only to the extent that such expense is not met by the proceeds of insurance carried by the Association. Such liability shall include any increase in fire insurance rates occasioned by use, misuse, occupancy, or abandonment of any apartment or its appurtenances. Nothing herein contained, however, shall be construed so as to modify any waiver by insurance companies of rights of subrogation.</w:t>
      </w:r>
    </w:p>
    <w:p>
      <w:pPr>
        <w:pStyle w:val="BodyText"/>
        <w:spacing w:before="1"/>
      </w:pPr>
    </w:p>
    <w:p>
      <w:pPr>
        <w:pStyle w:val="ListParagraph"/>
        <w:numPr>
          <w:ilvl w:val="1"/>
          <w:numId w:val="16"/>
        </w:numPr>
        <w:tabs>
          <w:tab w:pos="1301" w:val="left" w:leader="none"/>
        </w:tabs>
        <w:spacing w:line="240" w:lineRule="auto" w:before="1" w:after="0"/>
        <w:ind w:left="1300" w:right="1095" w:hanging="361"/>
        <w:jc w:val="left"/>
        <w:rPr>
          <w:sz w:val="24"/>
        </w:rPr>
      </w:pPr>
      <w:r>
        <w:rPr>
          <w:color w:val="231F20"/>
          <w:sz w:val="24"/>
        </w:rPr>
        <w:t>In any proceeding arising because of an alleged default by a member, the</w:t>
      </w:r>
      <w:r>
        <w:rPr>
          <w:color w:val="231F20"/>
          <w:spacing w:val="-26"/>
          <w:sz w:val="24"/>
        </w:rPr>
        <w:t> </w:t>
      </w:r>
      <w:r>
        <w:rPr>
          <w:color w:val="231F20"/>
          <w:sz w:val="24"/>
        </w:rPr>
        <w:t>prevailing party shall be entitled to recover the costs of the proceeding and such reasonable attorneys' fees as may be determined by the</w:t>
      </w:r>
      <w:r>
        <w:rPr>
          <w:color w:val="231F20"/>
          <w:spacing w:val="-7"/>
          <w:sz w:val="24"/>
        </w:rPr>
        <w:t> </w:t>
      </w:r>
      <w:r>
        <w:rPr>
          <w:color w:val="231F20"/>
          <w:sz w:val="24"/>
        </w:rPr>
        <w:t>court.</w:t>
      </w:r>
    </w:p>
    <w:p>
      <w:pPr>
        <w:pStyle w:val="BodyText"/>
        <w:spacing w:before="12"/>
        <w:rPr>
          <w:sz w:val="23"/>
        </w:rPr>
      </w:pPr>
    </w:p>
    <w:p>
      <w:pPr>
        <w:pStyle w:val="ListParagraph"/>
        <w:numPr>
          <w:ilvl w:val="1"/>
          <w:numId w:val="16"/>
        </w:numPr>
        <w:tabs>
          <w:tab w:pos="1302" w:val="left" w:leader="none"/>
        </w:tabs>
        <w:spacing w:line="240" w:lineRule="auto" w:before="0" w:after="0"/>
        <w:ind w:left="1300" w:right="1053" w:hanging="360"/>
        <w:jc w:val="left"/>
        <w:rPr>
          <w:sz w:val="24"/>
        </w:rPr>
      </w:pPr>
      <w:r>
        <w:rPr>
          <w:color w:val="231F20"/>
          <w:sz w:val="24"/>
        </w:rPr>
        <w:t>The failure of the Association or a member to enforce any right, provision, covenant or conditions which may be granted by the Declaration or By-Laws shall not constitute a waiver of the right of the Association or member to enforce such right, provision, covenant, or condition in the</w:t>
      </w:r>
      <w:r>
        <w:rPr>
          <w:color w:val="231F20"/>
          <w:spacing w:val="-9"/>
          <w:sz w:val="24"/>
        </w:rPr>
        <w:t> </w:t>
      </w:r>
      <w:r>
        <w:rPr>
          <w:color w:val="231F20"/>
          <w:sz w:val="24"/>
        </w:rPr>
        <w:t>future.</w:t>
      </w:r>
    </w:p>
    <w:p>
      <w:pPr>
        <w:pStyle w:val="BodyText"/>
        <w:spacing w:before="11"/>
        <w:rPr>
          <w:sz w:val="23"/>
        </w:rPr>
      </w:pPr>
    </w:p>
    <w:p>
      <w:pPr>
        <w:pStyle w:val="ListParagraph"/>
        <w:numPr>
          <w:ilvl w:val="1"/>
          <w:numId w:val="16"/>
        </w:numPr>
        <w:tabs>
          <w:tab w:pos="1299" w:val="left" w:leader="none"/>
          <w:tab w:pos="1300" w:val="left" w:leader="none"/>
        </w:tabs>
        <w:spacing w:line="240" w:lineRule="auto" w:before="0" w:after="0"/>
        <w:ind w:left="1300" w:right="1010" w:hanging="361"/>
        <w:jc w:val="left"/>
        <w:rPr>
          <w:sz w:val="24"/>
        </w:rPr>
      </w:pPr>
      <w:r>
        <w:rPr>
          <w:color w:val="231F20"/>
          <w:sz w:val="24"/>
        </w:rPr>
        <w:t>All rights, remedies and privileges granted to the Association or a member, pursuant to any terms, provisions, covenants or conditions of the Declaration or By-Laws shall not be deemed to be cumulative, and the exercise of any one or more shall not be deemed to constitute an election of</w:t>
      </w:r>
      <w:r>
        <w:rPr>
          <w:color w:val="231F20"/>
          <w:spacing w:val="-3"/>
          <w:sz w:val="24"/>
        </w:rPr>
        <w:t> </w:t>
      </w:r>
      <w:r>
        <w:rPr>
          <w:color w:val="231F20"/>
          <w:sz w:val="24"/>
        </w:rPr>
        <w:t>remedies.</w:t>
      </w:r>
    </w:p>
    <w:p>
      <w:pPr>
        <w:pStyle w:val="BodyText"/>
        <w:spacing w:before="2"/>
      </w:pPr>
    </w:p>
    <w:p>
      <w:pPr>
        <w:pStyle w:val="ListParagraph"/>
        <w:numPr>
          <w:ilvl w:val="0"/>
          <w:numId w:val="16"/>
        </w:numPr>
        <w:tabs>
          <w:tab w:pos="939" w:val="left" w:leader="none"/>
          <w:tab w:pos="940" w:val="left" w:leader="none"/>
        </w:tabs>
        <w:spacing w:line="240" w:lineRule="auto" w:before="0" w:after="0"/>
        <w:ind w:left="939" w:right="0" w:hanging="720"/>
        <w:jc w:val="left"/>
        <w:rPr>
          <w:sz w:val="24"/>
        </w:rPr>
      </w:pPr>
      <w:r>
        <w:rPr>
          <w:color w:val="231F20"/>
          <w:sz w:val="24"/>
        </w:rPr>
        <w:t>OTHER OBLIGATIONS AS TO USE AND</w:t>
      </w:r>
      <w:r>
        <w:rPr>
          <w:color w:val="231F20"/>
          <w:spacing w:val="-3"/>
          <w:sz w:val="24"/>
        </w:rPr>
        <w:t> </w:t>
      </w:r>
      <w:r>
        <w:rPr>
          <w:color w:val="231F20"/>
          <w:sz w:val="24"/>
        </w:rPr>
        <w:t>OCCUPANCY:</w:t>
      </w:r>
    </w:p>
    <w:p>
      <w:pPr>
        <w:pStyle w:val="BodyText"/>
      </w:pPr>
    </w:p>
    <w:p>
      <w:pPr>
        <w:pStyle w:val="ListParagraph"/>
        <w:numPr>
          <w:ilvl w:val="1"/>
          <w:numId w:val="16"/>
        </w:numPr>
        <w:tabs>
          <w:tab w:pos="1301" w:val="left" w:leader="none"/>
        </w:tabs>
        <w:spacing w:line="240" w:lineRule="auto" w:before="0" w:after="0"/>
        <w:ind w:left="1300" w:right="963" w:hanging="360"/>
        <w:jc w:val="left"/>
        <w:rPr>
          <w:sz w:val="24"/>
        </w:rPr>
      </w:pPr>
      <w:r>
        <w:rPr>
          <w:color w:val="231F20"/>
          <w:sz w:val="24"/>
        </w:rPr>
        <w:t>Each apartment shall be used only for residential purposes, by the owner, member of his immediate family, guests, household staff and tenants as authorized by</w:t>
      </w:r>
      <w:r>
        <w:rPr>
          <w:color w:val="231F20"/>
          <w:spacing w:val="-38"/>
          <w:sz w:val="24"/>
        </w:rPr>
        <w:t> </w:t>
      </w:r>
      <w:r>
        <w:rPr>
          <w:color w:val="231F20"/>
          <w:sz w:val="24"/>
        </w:rPr>
        <w:t>owner.</w:t>
      </w:r>
    </w:p>
    <w:p>
      <w:pPr>
        <w:pStyle w:val="BodyText"/>
        <w:spacing w:before="11"/>
        <w:rPr>
          <w:sz w:val="23"/>
        </w:rPr>
      </w:pPr>
    </w:p>
    <w:p>
      <w:pPr>
        <w:pStyle w:val="ListParagraph"/>
        <w:numPr>
          <w:ilvl w:val="1"/>
          <w:numId w:val="16"/>
        </w:numPr>
        <w:tabs>
          <w:tab w:pos="1301" w:val="left" w:leader="none"/>
        </w:tabs>
        <w:spacing w:line="240" w:lineRule="auto" w:before="0" w:after="0"/>
        <w:ind w:left="1300" w:right="987" w:hanging="360"/>
        <w:jc w:val="left"/>
        <w:rPr>
          <w:sz w:val="24"/>
        </w:rPr>
      </w:pPr>
      <w:r>
        <w:rPr>
          <w:color w:val="231F20"/>
          <w:sz w:val="24"/>
        </w:rPr>
        <w:t>No child under the age of eighteen (18) years shall be permitted as permanent resident or tenant, except by special permission of the Board of Directors. In the event a child is born to an owner while residing in his or her condominium unit, said child may remain for a reasonable time approved by the Board not to exceed two</w:t>
      </w:r>
      <w:r>
        <w:rPr>
          <w:color w:val="231F20"/>
          <w:spacing w:val="-35"/>
          <w:sz w:val="24"/>
        </w:rPr>
        <w:t> </w:t>
      </w:r>
      <w:r>
        <w:rPr>
          <w:color w:val="231F20"/>
          <w:sz w:val="24"/>
        </w:rPr>
        <w:t>(2) years.</w:t>
      </w:r>
    </w:p>
    <w:p>
      <w:pPr>
        <w:pStyle w:val="BodyText"/>
        <w:spacing w:before="11"/>
        <w:rPr>
          <w:sz w:val="23"/>
        </w:rPr>
      </w:pPr>
    </w:p>
    <w:p>
      <w:pPr>
        <w:pStyle w:val="ListParagraph"/>
        <w:numPr>
          <w:ilvl w:val="1"/>
          <w:numId w:val="16"/>
        </w:numPr>
        <w:tabs>
          <w:tab w:pos="1302" w:val="left" w:leader="none"/>
        </w:tabs>
        <w:spacing w:line="240" w:lineRule="auto" w:before="1" w:after="0"/>
        <w:ind w:left="1300" w:right="1123" w:hanging="360"/>
        <w:jc w:val="left"/>
        <w:rPr>
          <w:sz w:val="24"/>
        </w:rPr>
      </w:pPr>
      <w:r>
        <w:rPr>
          <w:color w:val="231F20"/>
          <w:sz w:val="24"/>
        </w:rPr>
        <w:t>A resident (occupant) may have guests under eighteen (18) years of age in temporary occupancy as visitors; provided however, that the visit by such guests shall not exceed a period of fourteen (14) days at any time except by special permission of the Board of Directors, and provided such occupancy does not</w:t>
      </w:r>
      <w:r>
        <w:rPr>
          <w:color w:val="231F20"/>
          <w:spacing w:val="-31"/>
          <w:sz w:val="24"/>
        </w:rPr>
        <w:t> </w:t>
      </w:r>
      <w:r>
        <w:rPr>
          <w:color w:val="231F20"/>
          <w:sz w:val="24"/>
        </w:rPr>
        <w:t>create a nuisance. No such guests will be allowed in the common areas of the property unless under the supervision of a responsible adult or unless directly entering or leaving the</w:t>
      </w:r>
      <w:r>
        <w:rPr>
          <w:color w:val="231F20"/>
          <w:spacing w:val="-5"/>
          <w:sz w:val="24"/>
        </w:rPr>
        <w:t> </w:t>
      </w:r>
      <w:r>
        <w:rPr>
          <w:color w:val="231F20"/>
          <w:sz w:val="24"/>
        </w:rPr>
        <w:t>premises.</w:t>
      </w:r>
    </w:p>
    <w:p>
      <w:pPr>
        <w:spacing w:after="0" w:line="240" w:lineRule="auto"/>
        <w:jc w:val="left"/>
        <w:rPr>
          <w:sz w:val="24"/>
        </w:rPr>
        <w:sectPr>
          <w:pgSz w:w="12240" w:h="15840"/>
          <w:pgMar w:header="0" w:footer="948" w:top="1400" w:bottom="1140" w:left="1220" w:right="480"/>
        </w:sectPr>
      </w:pPr>
    </w:p>
    <w:p>
      <w:pPr>
        <w:pStyle w:val="ListParagraph"/>
        <w:numPr>
          <w:ilvl w:val="1"/>
          <w:numId w:val="16"/>
        </w:numPr>
        <w:tabs>
          <w:tab w:pos="1300" w:val="left" w:leader="none"/>
        </w:tabs>
        <w:spacing w:line="240" w:lineRule="auto" w:before="39" w:after="0"/>
        <w:ind w:left="1300" w:right="976" w:hanging="361"/>
        <w:jc w:val="left"/>
        <w:rPr>
          <w:sz w:val="24"/>
        </w:rPr>
      </w:pPr>
      <w:r>
        <w:rPr>
          <w:color w:val="231F20"/>
          <w:sz w:val="24"/>
        </w:rPr>
        <w:t>No</w:t>
      </w:r>
      <w:r>
        <w:rPr>
          <w:color w:val="231F20"/>
          <w:spacing w:val="-3"/>
          <w:sz w:val="24"/>
        </w:rPr>
        <w:t> </w:t>
      </w:r>
      <w:r>
        <w:rPr>
          <w:color w:val="231F20"/>
          <w:sz w:val="24"/>
        </w:rPr>
        <w:t>nuisances</w:t>
      </w:r>
      <w:r>
        <w:rPr>
          <w:color w:val="231F20"/>
          <w:spacing w:val="-4"/>
          <w:sz w:val="24"/>
        </w:rPr>
        <w:t> </w:t>
      </w:r>
      <w:r>
        <w:rPr>
          <w:color w:val="231F20"/>
          <w:sz w:val="24"/>
        </w:rPr>
        <w:t>shall</w:t>
      </w:r>
      <w:r>
        <w:rPr>
          <w:color w:val="231F20"/>
          <w:spacing w:val="-4"/>
          <w:sz w:val="24"/>
        </w:rPr>
        <w:t> </w:t>
      </w:r>
      <w:r>
        <w:rPr>
          <w:color w:val="231F20"/>
          <w:sz w:val="24"/>
        </w:rPr>
        <w:t>be</w:t>
      </w:r>
      <w:r>
        <w:rPr>
          <w:color w:val="231F20"/>
          <w:spacing w:val="-4"/>
          <w:sz w:val="24"/>
        </w:rPr>
        <w:t> </w:t>
      </w:r>
      <w:r>
        <w:rPr>
          <w:color w:val="231F20"/>
          <w:sz w:val="24"/>
        </w:rPr>
        <w:t>allowed</w:t>
      </w:r>
      <w:r>
        <w:rPr>
          <w:color w:val="231F20"/>
          <w:spacing w:val="-2"/>
          <w:sz w:val="24"/>
        </w:rPr>
        <w:t> </w:t>
      </w:r>
      <w:r>
        <w:rPr>
          <w:color w:val="231F20"/>
          <w:sz w:val="24"/>
        </w:rPr>
        <w:t>upon</w:t>
      </w:r>
      <w:r>
        <w:rPr>
          <w:color w:val="231F20"/>
          <w:spacing w:val="-2"/>
          <w:sz w:val="24"/>
        </w:rPr>
        <w:t> </w:t>
      </w:r>
      <w:r>
        <w:rPr>
          <w:color w:val="231F20"/>
          <w:sz w:val="24"/>
        </w:rPr>
        <w:t>the</w:t>
      </w:r>
      <w:r>
        <w:rPr>
          <w:color w:val="231F20"/>
          <w:spacing w:val="-3"/>
          <w:sz w:val="24"/>
        </w:rPr>
        <w:t> </w:t>
      </w:r>
      <w:r>
        <w:rPr>
          <w:color w:val="231F20"/>
          <w:sz w:val="24"/>
        </w:rPr>
        <w:t>property</w:t>
      </w:r>
      <w:r>
        <w:rPr>
          <w:color w:val="231F20"/>
          <w:spacing w:val="-4"/>
          <w:sz w:val="24"/>
        </w:rPr>
        <w:t> </w:t>
      </w:r>
      <w:r>
        <w:rPr>
          <w:color w:val="231F20"/>
          <w:sz w:val="24"/>
        </w:rPr>
        <w:t>nor</w:t>
      </w:r>
      <w:r>
        <w:rPr>
          <w:color w:val="231F20"/>
          <w:spacing w:val="-2"/>
          <w:sz w:val="24"/>
        </w:rPr>
        <w:t> </w:t>
      </w:r>
      <w:r>
        <w:rPr>
          <w:color w:val="231F20"/>
          <w:sz w:val="24"/>
        </w:rPr>
        <w:t>any</w:t>
      </w:r>
      <w:r>
        <w:rPr>
          <w:color w:val="231F20"/>
          <w:spacing w:val="-1"/>
          <w:sz w:val="24"/>
        </w:rPr>
        <w:t> </w:t>
      </w:r>
      <w:r>
        <w:rPr>
          <w:color w:val="231F20"/>
          <w:sz w:val="24"/>
        </w:rPr>
        <w:t>use</w:t>
      </w:r>
      <w:r>
        <w:rPr>
          <w:color w:val="231F20"/>
          <w:spacing w:val="-1"/>
          <w:sz w:val="24"/>
        </w:rPr>
        <w:t> </w:t>
      </w:r>
      <w:r>
        <w:rPr>
          <w:color w:val="231F20"/>
          <w:sz w:val="24"/>
        </w:rPr>
        <w:t>or</w:t>
      </w:r>
      <w:r>
        <w:rPr>
          <w:color w:val="231F20"/>
          <w:spacing w:val="-4"/>
          <w:sz w:val="24"/>
        </w:rPr>
        <w:t> </w:t>
      </w:r>
      <w:r>
        <w:rPr>
          <w:color w:val="231F20"/>
          <w:sz w:val="24"/>
        </w:rPr>
        <w:t>practice</w:t>
      </w:r>
      <w:r>
        <w:rPr>
          <w:color w:val="231F20"/>
          <w:spacing w:val="-3"/>
          <w:sz w:val="24"/>
        </w:rPr>
        <w:t> </w:t>
      </w:r>
      <w:r>
        <w:rPr>
          <w:color w:val="231F20"/>
          <w:sz w:val="24"/>
        </w:rPr>
        <w:t>which</w:t>
      </w:r>
      <w:r>
        <w:rPr>
          <w:color w:val="231F20"/>
          <w:spacing w:val="-1"/>
          <w:sz w:val="24"/>
        </w:rPr>
        <w:t> </w:t>
      </w:r>
      <w:r>
        <w:rPr>
          <w:color w:val="231F20"/>
          <w:sz w:val="24"/>
        </w:rPr>
        <w:t>is</w:t>
      </w:r>
      <w:r>
        <w:rPr>
          <w:color w:val="231F20"/>
          <w:spacing w:val="-2"/>
          <w:sz w:val="24"/>
        </w:rPr>
        <w:t> </w:t>
      </w:r>
      <w:r>
        <w:rPr>
          <w:color w:val="231F20"/>
          <w:sz w:val="24"/>
        </w:rPr>
        <w:t>the source of nuisance to owners or injurious to the reputation of the condominium complex, or which interferes with the peaceful possession and proper use of the property by its owners. Neither shall there be an obstruction of the common areas nor any storage thereon except in assigned storage</w:t>
      </w:r>
      <w:r>
        <w:rPr>
          <w:color w:val="231F20"/>
          <w:spacing w:val="-1"/>
          <w:sz w:val="24"/>
        </w:rPr>
        <w:t> </w:t>
      </w:r>
      <w:r>
        <w:rPr>
          <w:color w:val="231F20"/>
          <w:sz w:val="24"/>
        </w:rPr>
        <w:t>lockers.</w:t>
      </w:r>
    </w:p>
    <w:p>
      <w:pPr>
        <w:pStyle w:val="BodyText"/>
        <w:spacing w:before="12"/>
        <w:rPr>
          <w:sz w:val="23"/>
        </w:rPr>
      </w:pPr>
    </w:p>
    <w:p>
      <w:pPr>
        <w:pStyle w:val="ListParagraph"/>
        <w:numPr>
          <w:ilvl w:val="1"/>
          <w:numId w:val="16"/>
        </w:numPr>
        <w:tabs>
          <w:tab w:pos="1302" w:val="left" w:leader="none"/>
        </w:tabs>
        <w:spacing w:line="240" w:lineRule="auto" w:before="0" w:after="0"/>
        <w:ind w:left="1300" w:right="1140" w:hanging="361"/>
        <w:jc w:val="left"/>
        <w:rPr>
          <w:sz w:val="24"/>
        </w:rPr>
      </w:pPr>
      <w:r>
        <w:rPr>
          <w:color w:val="231F20"/>
          <w:sz w:val="24"/>
        </w:rPr>
        <w:t>Nothing shall be done or kept in an apartment or in the common areas which will increase the rate of insurance on the building, or contents thereof, applicable for residential use, without the prior written consent of the Board. No owner shall permit anything to be done or kept in his apartment or in the common areas</w:t>
      </w:r>
      <w:r>
        <w:rPr>
          <w:color w:val="231F20"/>
          <w:spacing w:val="-30"/>
          <w:sz w:val="24"/>
        </w:rPr>
        <w:t> </w:t>
      </w:r>
      <w:r>
        <w:rPr>
          <w:color w:val="231F20"/>
          <w:sz w:val="24"/>
        </w:rPr>
        <w:t>which will result in the cancellation of insurance on the building, or contents thereof, or which would be in violation of any law. No waste will be placed in the common areas except in designated</w:t>
      </w:r>
      <w:r>
        <w:rPr>
          <w:color w:val="231F20"/>
          <w:spacing w:val="3"/>
          <w:sz w:val="24"/>
        </w:rPr>
        <w:t> </w:t>
      </w:r>
      <w:r>
        <w:rPr>
          <w:color w:val="231F20"/>
          <w:sz w:val="24"/>
        </w:rPr>
        <w:t>areas.</w:t>
      </w:r>
    </w:p>
    <w:p>
      <w:pPr>
        <w:pStyle w:val="BodyText"/>
        <w:spacing w:before="1"/>
      </w:pPr>
    </w:p>
    <w:p>
      <w:pPr>
        <w:pStyle w:val="ListParagraph"/>
        <w:numPr>
          <w:ilvl w:val="1"/>
          <w:numId w:val="16"/>
        </w:numPr>
        <w:tabs>
          <w:tab w:pos="1299" w:val="left" w:leader="none"/>
          <w:tab w:pos="1300" w:val="left" w:leader="none"/>
        </w:tabs>
        <w:spacing w:line="240" w:lineRule="auto" w:before="0" w:after="0"/>
        <w:ind w:left="1300" w:right="980" w:hanging="361"/>
        <w:jc w:val="left"/>
        <w:rPr>
          <w:sz w:val="24"/>
        </w:rPr>
      </w:pPr>
      <w:r>
        <w:rPr>
          <w:color w:val="231F20"/>
          <w:sz w:val="24"/>
        </w:rPr>
        <w:t>Owners shall not cause or permit anything to be hung or displayed on the outside windows or placed on the outside walls or balconies or patios of the building and no sign, awning, canopy, shutter, radio or television antenna shall be affixed to or placed upon the exterior walls or roof or any part thereof or visible from the</w:t>
      </w:r>
      <w:r>
        <w:rPr>
          <w:color w:val="231F20"/>
          <w:spacing w:val="-32"/>
          <w:sz w:val="24"/>
        </w:rPr>
        <w:t> </w:t>
      </w:r>
      <w:r>
        <w:rPr>
          <w:color w:val="231F20"/>
          <w:sz w:val="24"/>
        </w:rPr>
        <w:t>exterior of the building without prior consent of the</w:t>
      </w:r>
      <w:r>
        <w:rPr>
          <w:color w:val="231F20"/>
          <w:spacing w:val="-10"/>
          <w:sz w:val="24"/>
        </w:rPr>
        <w:t> </w:t>
      </w:r>
      <w:r>
        <w:rPr>
          <w:color w:val="231F20"/>
          <w:sz w:val="24"/>
        </w:rPr>
        <w:t>Board.</w:t>
      </w:r>
    </w:p>
    <w:p>
      <w:pPr>
        <w:pStyle w:val="BodyText"/>
        <w:spacing w:before="11"/>
        <w:rPr>
          <w:sz w:val="23"/>
        </w:rPr>
      </w:pPr>
    </w:p>
    <w:p>
      <w:pPr>
        <w:pStyle w:val="ListParagraph"/>
        <w:numPr>
          <w:ilvl w:val="1"/>
          <w:numId w:val="16"/>
        </w:numPr>
        <w:tabs>
          <w:tab w:pos="1302" w:val="left" w:leader="none"/>
        </w:tabs>
        <w:spacing w:line="240" w:lineRule="auto" w:before="1" w:after="0"/>
        <w:ind w:left="1300" w:right="1191" w:hanging="361"/>
        <w:jc w:val="left"/>
        <w:rPr>
          <w:sz w:val="24"/>
        </w:rPr>
      </w:pPr>
      <w:r>
        <w:rPr>
          <w:color w:val="231F20"/>
          <w:sz w:val="24"/>
        </w:rPr>
        <w:t>No clothes, sheets, blankets, laundry of any kind or other articles shall be hung</w:t>
      </w:r>
      <w:r>
        <w:rPr>
          <w:color w:val="231F20"/>
          <w:spacing w:val="-38"/>
          <w:sz w:val="24"/>
        </w:rPr>
        <w:t> </w:t>
      </w:r>
      <w:r>
        <w:rPr>
          <w:color w:val="231F20"/>
          <w:sz w:val="24"/>
        </w:rPr>
        <w:t>out of or on balconies, patios or in or out of windows and the same shall be kept free and clear of rubbish, debris, and other unsightly</w:t>
      </w:r>
      <w:r>
        <w:rPr>
          <w:color w:val="231F20"/>
          <w:spacing w:val="-5"/>
          <w:sz w:val="24"/>
        </w:rPr>
        <w:t> </w:t>
      </w:r>
      <w:r>
        <w:rPr>
          <w:color w:val="231F20"/>
          <w:sz w:val="24"/>
        </w:rPr>
        <w:t>materials.</w:t>
      </w:r>
    </w:p>
    <w:p>
      <w:pPr>
        <w:pStyle w:val="BodyText"/>
        <w:spacing w:before="2"/>
      </w:pPr>
    </w:p>
    <w:p>
      <w:pPr>
        <w:pStyle w:val="ListParagraph"/>
        <w:numPr>
          <w:ilvl w:val="1"/>
          <w:numId w:val="16"/>
        </w:numPr>
        <w:tabs>
          <w:tab w:pos="1301" w:val="left" w:leader="none"/>
        </w:tabs>
        <w:spacing w:line="240" w:lineRule="auto" w:before="0" w:after="0"/>
        <w:ind w:left="1300" w:right="1007" w:hanging="361"/>
        <w:jc w:val="left"/>
        <w:rPr>
          <w:sz w:val="24"/>
        </w:rPr>
      </w:pPr>
      <w:r>
        <w:rPr>
          <w:color w:val="231F20"/>
          <w:sz w:val="24"/>
        </w:rPr>
        <w:t>Nothing shall be altered or constructed in or removed from the common area, except</w:t>
      </w:r>
      <w:r>
        <w:rPr>
          <w:color w:val="231F20"/>
          <w:spacing w:val="-4"/>
          <w:sz w:val="24"/>
        </w:rPr>
        <w:t> </w:t>
      </w:r>
      <w:r>
        <w:rPr>
          <w:color w:val="231F20"/>
          <w:sz w:val="24"/>
        </w:rPr>
        <w:t>upon</w:t>
      </w:r>
      <w:r>
        <w:rPr>
          <w:color w:val="231F20"/>
          <w:spacing w:val="-4"/>
          <w:sz w:val="24"/>
        </w:rPr>
        <w:t> </w:t>
      </w:r>
      <w:r>
        <w:rPr>
          <w:color w:val="231F20"/>
          <w:sz w:val="24"/>
        </w:rPr>
        <w:t>the</w:t>
      </w:r>
      <w:r>
        <w:rPr>
          <w:color w:val="231F20"/>
          <w:spacing w:val="-3"/>
          <w:sz w:val="24"/>
        </w:rPr>
        <w:t> </w:t>
      </w:r>
      <w:r>
        <w:rPr>
          <w:color w:val="231F20"/>
          <w:sz w:val="24"/>
        </w:rPr>
        <w:t>written</w:t>
      </w:r>
      <w:r>
        <w:rPr>
          <w:color w:val="231F20"/>
          <w:spacing w:val="-5"/>
          <w:sz w:val="24"/>
        </w:rPr>
        <w:t> </w:t>
      </w:r>
      <w:r>
        <w:rPr>
          <w:color w:val="231F20"/>
          <w:sz w:val="24"/>
        </w:rPr>
        <w:t>consent of</w:t>
      </w:r>
      <w:r>
        <w:rPr>
          <w:color w:val="231F20"/>
          <w:spacing w:val="-3"/>
          <w:sz w:val="24"/>
        </w:rPr>
        <w:t> </w:t>
      </w:r>
      <w:r>
        <w:rPr>
          <w:color w:val="231F20"/>
          <w:sz w:val="24"/>
        </w:rPr>
        <w:t>the</w:t>
      </w:r>
      <w:r>
        <w:rPr>
          <w:color w:val="231F20"/>
          <w:spacing w:val="-4"/>
          <w:sz w:val="24"/>
        </w:rPr>
        <w:t> </w:t>
      </w:r>
      <w:r>
        <w:rPr>
          <w:color w:val="231F20"/>
          <w:sz w:val="24"/>
        </w:rPr>
        <w:t>Board,</w:t>
      </w:r>
      <w:r>
        <w:rPr>
          <w:color w:val="231F20"/>
          <w:spacing w:val="-3"/>
          <w:sz w:val="24"/>
        </w:rPr>
        <w:t> </w:t>
      </w:r>
      <w:r>
        <w:rPr>
          <w:color w:val="231F20"/>
          <w:sz w:val="24"/>
        </w:rPr>
        <w:t>and</w:t>
      </w:r>
      <w:r>
        <w:rPr>
          <w:color w:val="231F20"/>
          <w:spacing w:val="-1"/>
          <w:sz w:val="24"/>
        </w:rPr>
        <w:t> </w:t>
      </w:r>
      <w:r>
        <w:rPr>
          <w:color w:val="231F20"/>
          <w:sz w:val="24"/>
        </w:rPr>
        <w:t>in</w:t>
      </w:r>
      <w:r>
        <w:rPr>
          <w:color w:val="231F20"/>
          <w:spacing w:val="-2"/>
          <w:sz w:val="24"/>
        </w:rPr>
        <w:t> </w:t>
      </w:r>
      <w:r>
        <w:rPr>
          <w:color w:val="231F20"/>
          <w:sz w:val="24"/>
        </w:rPr>
        <w:t>no</w:t>
      </w:r>
      <w:r>
        <w:rPr>
          <w:color w:val="231F20"/>
          <w:spacing w:val="-4"/>
          <w:sz w:val="24"/>
        </w:rPr>
        <w:t> </w:t>
      </w:r>
      <w:r>
        <w:rPr>
          <w:color w:val="231F20"/>
          <w:sz w:val="24"/>
        </w:rPr>
        <w:t>event</w:t>
      </w:r>
      <w:r>
        <w:rPr>
          <w:color w:val="231F20"/>
          <w:spacing w:val="-2"/>
          <w:sz w:val="24"/>
        </w:rPr>
        <w:t> </w:t>
      </w:r>
      <w:r>
        <w:rPr>
          <w:color w:val="231F20"/>
          <w:sz w:val="24"/>
        </w:rPr>
        <w:t>contrary</w:t>
      </w:r>
      <w:r>
        <w:rPr>
          <w:color w:val="231F20"/>
          <w:spacing w:val="-1"/>
          <w:sz w:val="24"/>
        </w:rPr>
        <w:t> </w:t>
      </w:r>
      <w:r>
        <w:rPr>
          <w:color w:val="231F20"/>
          <w:sz w:val="24"/>
        </w:rPr>
        <w:t>to</w:t>
      </w:r>
      <w:r>
        <w:rPr>
          <w:color w:val="231F20"/>
          <w:spacing w:val="-4"/>
          <w:sz w:val="24"/>
        </w:rPr>
        <w:t> </w:t>
      </w:r>
      <w:r>
        <w:rPr>
          <w:color w:val="231F20"/>
          <w:sz w:val="24"/>
        </w:rPr>
        <w:t>the terms of the Declaration and By-laws as then in</w:t>
      </w:r>
      <w:r>
        <w:rPr>
          <w:color w:val="231F20"/>
          <w:spacing w:val="-9"/>
          <w:sz w:val="24"/>
        </w:rPr>
        <w:t> </w:t>
      </w:r>
      <w:r>
        <w:rPr>
          <w:color w:val="231F20"/>
          <w:sz w:val="24"/>
        </w:rPr>
        <w:t>force.</w:t>
      </w:r>
    </w:p>
    <w:p>
      <w:pPr>
        <w:pStyle w:val="BodyText"/>
        <w:spacing w:before="11"/>
        <w:rPr>
          <w:sz w:val="23"/>
        </w:rPr>
      </w:pPr>
    </w:p>
    <w:p>
      <w:pPr>
        <w:pStyle w:val="ListParagraph"/>
        <w:numPr>
          <w:ilvl w:val="1"/>
          <w:numId w:val="16"/>
        </w:numPr>
        <w:tabs>
          <w:tab w:pos="1300" w:val="left" w:leader="none"/>
          <w:tab w:pos="1301" w:val="left" w:leader="none"/>
        </w:tabs>
        <w:spacing w:line="240" w:lineRule="auto" w:before="0" w:after="0"/>
        <w:ind w:left="1300" w:right="1061" w:hanging="360"/>
        <w:jc w:val="left"/>
        <w:rPr>
          <w:sz w:val="24"/>
        </w:rPr>
      </w:pPr>
      <w:r>
        <w:rPr>
          <w:color w:val="231F20"/>
          <w:sz w:val="24"/>
        </w:rPr>
        <w:t>An owner shall not individually paint or otherwise decorate or change the appearance of any portions of the exterior of his apartment. The installation of any appliance or fireplace and any addition to the exterior of the building, shall first require the approval of the Board of Directors. Repairs of such items installed by</w:t>
      </w:r>
      <w:r>
        <w:rPr>
          <w:color w:val="231F20"/>
          <w:spacing w:val="-32"/>
          <w:sz w:val="24"/>
        </w:rPr>
        <w:t> </w:t>
      </w:r>
      <w:r>
        <w:rPr>
          <w:color w:val="231F20"/>
          <w:sz w:val="24"/>
        </w:rPr>
        <w:t>an owner shall be at owner's expense, unless covered by Association insurance</w:t>
      </w:r>
      <w:r>
        <w:rPr>
          <w:color w:val="231F20"/>
          <w:spacing w:val="-28"/>
          <w:sz w:val="24"/>
        </w:rPr>
        <w:t> </w:t>
      </w:r>
      <w:r>
        <w:rPr>
          <w:color w:val="231F20"/>
          <w:sz w:val="24"/>
        </w:rPr>
        <w:t>policy.</w:t>
      </w:r>
    </w:p>
    <w:p>
      <w:pPr>
        <w:pStyle w:val="BodyText"/>
        <w:spacing w:before="11"/>
        <w:rPr>
          <w:sz w:val="23"/>
        </w:rPr>
      </w:pPr>
    </w:p>
    <w:p>
      <w:pPr>
        <w:pStyle w:val="ListParagraph"/>
        <w:numPr>
          <w:ilvl w:val="1"/>
          <w:numId w:val="16"/>
        </w:numPr>
        <w:tabs>
          <w:tab w:pos="1300" w:val="left" w:leader="none"/>
          <w:tab w:pos="1301" w:val="left" w:leader="none"/>
        </w:tabs>
        <w:spacing w:line="240" w:lineRule="auto" w:before="0" w:after="0"/>
        <w:ind w:left="1300" w:right="1011" w:hanging="361"/>
        <w:jc w:val="left"/>
        <w:rPr>
          <w:sz w:val="24"/>
        </w:rPr>
      </w:pPr>
      <w:r>
        <w:rPr>
          <w:color w:val="231F20"/>
          <w:sz w:val="24"/>
        </w:rPr>
        <w:t>Common areas, including laundry rooms, garages, stairways, hallways, and other common areas shall not be obstructed littered, defaced or misused in any manner; and patios, or balconies, shall be used only for the purposes intended, and they</w:t>
      </w:r>
      <w:r>
        <w:rPr>
          <w:color w:val="231F20"/>
          <w:spacing w:val="-37"/>
          <w:sz w:val="24"/>
        </w:rPr>
        <w:t> </w:t>
      </w:r>
      <w:r>
        <w:rPr>
          <w:color w:val="231F20"/>
          <w:sz w:val="24"/>
        </w:rPr>
        <w:t>shall not be used for hanging garments or other objects or for cleaning of rugs and other household</w:t>
      </w:r>
      <w:r>
        <w:rPr>
          <w:color w:val="231F20"/>
          <w:spacing w:val="-1"/>
          <w:sz w:val="24"/>
        </w:rPr>
        <w:t> </w:t>
      </w:r>
      <w:r>
        <w:rPr>
          <w:color w:val="231F20"/>
          <w:sz w:val="24"/>
        </w:rPr>
        <w:t>items.</w:t>
      </w:r>
    </w:p>
    <w:p>
      <w:pPr>
        <w:pStyle w:val="BodyText"/>
        <w:spacing w:before="2"/>
      </w:pPr>
    </w:p>
    <w:p>
      <w:pPr>
        <w:pStyle w:val="ListParagraph"/>
        <w:numPr>
          <w:ilvl w:val="1"/>
          <w:numId w:val="16"/>
        </w:numPr>
        <w:tabs>
          <w:tab w:pos="1301" w:val="left" w:leader="none"/>
        </w:tabs>
        <w:spacing w:line="240" w:lineRule="auto" w:before="0" w:after="0"/>
        <w:ind w:left="1300" w:right="1240" w:hanging="361"/>
        <w:jc w:val="left"/>
        <w:rPr>
          <w:sz w:val="24"/>
        </w:rPr>
      </w:pPr>
      <w:r>
        <w:rPr>
          <w:color w:val="231F20"/>
          <w:sz w:val="24"/>
        </w:rPr>
        <w:t>Except as specified in Article II of the Declaration for alterations between</w:t>
      </w:r>
      <w:r>
        <w:rPr>
          <w:color w:val="231F20"/>
          <w:spacing w:val="-25"/>
          <w:sz w:val="24"/>
        </w:rPr>
        <w:t> </w:t>
      </w:r>
      <w:r>
        <w:rPr>
          <w:color w:val="231F20"/>
          <w:sz w:val="24"/>
        </w:rPr>
        <w:t>adjacent apartments, no structural changes or alterations shall be made in any apartment without prior approval of the Board of</w:t>
      </w:r>
      <w:r>
        <w:rPr>
          <w:color w:val="231F20"/>
          <w:spacing w:val="-8"/>
          <w:sz w:val="24"/>
        </w:rPr>
        <w:t> </w:t>
      </w:r>
      <w:r>
        <w:rPr>
          <w:color w:val="231F20"/>
          <w:sz w:val="24"/>
        </w:rPr>
        <w:t>Directors</w:t>
      </w:r>
    </w:p>
    <w:p>
      <w:pPr>
        <w:spacing w:after="0" w:line="240" w:lineRule="auto"/>
        <w:jc w:val="left"/>
        <w:rPr>
          <w:sz w:val="24"/>
        </w:rPr>
        <w:sectPr>
          <w:pgSz w:w="12240" w:h="15840"/>
          <w:pgMar w:header="0" w:footer="948" w:top="1400" w:bottom="1140" w:left="1220" w:right="480"/>
        </w:sectPr>
      </w:pPr>
    </w:p>
    <w:p>
      <w:pPr>
        <w:pStyle w:val="BodyText"/>
        <w:spacing w:before="39"/>
        <w:ind w:left="1300" w:right="950" w:hanging="1"/>
      </w:pPr>
      <w:r>
        <w:rPr>
          <w:color w:val="231F20"/>
        </w:rPr>
        <w:t>and no change shall be made which would adversely affect the structural soundness of the building in which such apartment is located or is otherwise prohibited by the Declaration and By-Laws as then in force.</w:t>
      </w:r>
    </w:p>
    <w:p>
      <w:pPr>
        <w:pStyle w:val="BodyText"/>
      </w:pPr>
    </w:p>
    <w:p>
      <w:pPr>
        <w:pStyle w:val="ListParagraph"/>
        <w:numPr>
          <w:ilvl w:val="1"/>
          <w:numId w:val="16"/>
        </w:numPr>
        <w:tabs>
          <w:tab w:pos="1301" w:val="left" w:leader="none"/>
          <w:tab w:pos="1302" w:val="left" w:leader="none"/>
        </w:tabs>
        <w:spacing w:line="240" w:lineRule="auto" w:before="0" w:after="0"/>
        <w:ind w:left="1300" w:right="1255" w:hanging="361"/>
        <w:jc w:val="left"/>
        <w:rPr>
          <w:sz w:val="24"/>
        </w:rPr>
      </w:pPr>
      <w:r>
        <w:rPr>
          <w:color w:val="231F20"/>
          <w:sz w:val="24"/>
        </w:rPr>
        <w:t>Garage stalls are to be used for motor vehicles and storage only, except by</w:t>
      </w:r>
      <w:r>
        <w:rPr>
          <w:color w:val="231F20"/>
          <w:spacing w:val="-29"/>
          <w:sz w:val="24"/>
        </w:rPr>
        <w:t> </w:t>
      </w:r>
      <w:r>
        <w:rPr>
          <w:color w:val="231F20"/>
          <w:sz w:val="24"/>
        </w:rPr>
        <w:t>special permission by the</w:t>
      </w:r>
      <w:r>
        <w:rPr>
          <w:color w:val="231F20"/>
          <w:spacing w:val="-2"/>
          <w:sz w:val="24"/>
        </w:rPr>
        <w:t> </w:t>
      </w:r>
      <w:r>
        <w:rPr>
          <w:color w:val="231F20"/>
          <w:sz w:val="24"/>
        </w:rPr>
        <w:t>Board.</w:t>
      </w:r>
    </w:p>
    <w:p>
      <w:pPr>
        <w:pStyle w:val="BodyText"/>
        <w:spacing w:before="11"/>
        <w:rPr>
          <w:sz w:val="23"/>
        </w:rPr>
      </w:pPr>
    </w:p>
    <w:p>
      <w:pPr>
        <w:pStyle w:val="ListParagraph"/>
        <w:numPr>
          <w:ilvl w:val="1"/>
          <w:numId w:val="16"/>
        </w:numPr>
        <w:tabs>
          <w:tab w:pos="1302" w:val="left" w:leader="none"/>
        </w:tabs>
        <w:spacing w:line="240" w:lineRule="auto" w:before="1" w:after="0"/>
        <w:ind w:left="1300" w:right="1187" w:hanging="361"/>
        <w:jc w:val="left"/>
        <w:rPr>
          <w:sz w:val="24"/>
        </w:rPr>
      </w:pPr>
      <w:r>
        <w:rPr>
          <w:color w:val="231F20"/>
          <w:sz w:val="24"/>
        </w:rPr>
        <w:t>Outside car stalls are to be used for licensed and operable passenger vehicles</w:t>
      </w:r>
      <w:r>
        <w:rPr>
          <w:color w:val="231F20"/>
          <w:spacing w:val="-33"/>
          <w:sz w:val="24"/>
        </w:rPr>
        <w:t> </w:t>
      </w:r>
      <w:r>
        <w:rPr>
          <w:color w:val="231F20"/>
          <w:sz w:val="24"/>
        </w:rPr>
        <w:t>only. Trucks (except for delivery), trailers, boats, camper buses larger than small vans, etc., shall not be</w:t>
      </w:r>
      <w:r>
        <w:rPr>
          <w:color w:val="231F20"/>
          <w:spacing w:val="-5"/>
          <w:sz w:val="24"/>
        </w:rPr>
        <w:t> </w:t>
      </w:r>
      <w:r>
        <w:rPr>
          <w:color w:val="231F20"/>
          <w:sz w:val="24"/>
        </w:rPr>
        <w:t>permitted.</w:t>
      </w:r>
    </w:p>
    <w:p>
      <w:pPr>
        <w:pStyle w:val="BodyText"/>
        <w:spacing w:before="1"/>
      </w:pPr>
    </w:p>
    <w:p>
      <w:pPr>
        <w:pStyle w:val="ListParagraph"/>
        <w:numPr>
          <w:ilvl w:val="1"/>
          <w:numId w:val="16"/>
        </w:numPr>
        <w:tabs>
          <w:tab w:pos="1300" w:val="left" w:leader="none"/>
        </w:tabs>
        <w:spacing w:line="240" w:lineRule="auto" w:before="0" w:after="0"/>
        <w:ind w:left="1300" w:right="978" w:hanging="361"/>
        <w:jc w:val="left"/>
        <w:rPr>
          <w:sz w:val="24"/>
        </w:rPr>
      </w:pPr>
      <w:r>
        <w:rPr>
          <w:color w:val="231F20"/>
          <w:sz w:val="24"/>
        </w:rPr>
        <w:t>Pets are allowed in the apartments but, because of potential problems and nuisance, shall be subject to strict rules and regulations as determined by the Board of Directors and as may be amended from time to time.  In the event the Board, in its sole judgment, determines that a pet is a nuisance, the Board may order the owner to remove the pet within ten (10) days after written notice to the owner. Nuisances may include, but are not limited to: presence in the common area except as provided herein, noise, damage and obnoxious odors. In the event pets become a major problem, irritant or nuisance this privilege to keep pets may be eliminated or modified by seventy-five (75%) of the owners as provided under paragraph "14. Amendments" herein. Pets are not allowed in the common areas other than balconies, patios and areas that the Board may, but is not obligated to, designate from time to time except when being carried or driven directly between an apartment and any such aforementioned area or an off-premise</w:t>
      </w:r>
      <w:r>
        <w:rPr>
          <w:color w:val="231F20"/>
          <w:spacing w:val="-8"/>
          <w:sz w:val="24"/>
        </w:rPr>
        <w:t> </w:t>
      </w:r>
      <w:r>
        <w:rPr>
          <w:color w:val="231F20"/>
          <w:sz w:val="24"/>
        </w:rPr>
        <w:t>location.</w:t>
      </w:r>
    </w:p>
    <w:p>
      <w:pPr>
        <w:pStyle w:val="BodyText"/>
        <w:spacing w:before="1"/>
      </w:pPr>
    </w:p>
    <w:p>
      <w:pPr>
        <w:pStyle w:val="ListParagraph"/>
        <w:numPr>
          <w:ilvl w:val="0"/>
          <w:numId w:val="16"/>
        </w:numPr>
        <w:tabs>
          <w:tab w:pos="939" w:val="left" w:leader="none"/>
          <w:tab w:pos="941" w:val="left" w:leader="none"/>
        </w:tabs>
        <w:spacing w:line="240" w:lineRule="auto" w:before="0" w:after="0"/>
        <w:ind w:left="940" w:right="0" w:hanging="721"/>
        <w:jc w:val="left"/>
        <w:rPr>
          <w:sz w:val="24"/>
        </w:rPr>
      </w:pPr>
      <w:r>
        <w:rPr>
          <w:color w:val="231F20"/>
          <w:sz w:val="24"/>
        </w:rPr>
        <w:t>LIMITATION ON CONTRACT</w:t>
      </w:r>
      <w:r>
        <w:rPr>
          <w:color w:val="231F20"/>
          <w:spacing w:val="-3"/>
          <w:sz w:val="24"/>
        </w:rPr>
        <w:t> </w:t>
      </w:r>
      <w:r>
        <w:rPr>
          <w:color w:val="231F20"/>
          <w:sz w:val="24"/>
        </w:rPr>
        <w:t>DURATION:</w:t>
      </w:r>
    </w:p>
    <w:p>
      <w:pPr>
        <w:pStyle w:val="BodyText"/>
      </w:pPr>
    </w:p>
    <w:p>
      <w:pPr>
        <w:pStyle w:val="BodyText"/>
        <w:ind w:left="220" w:right="1128" w:firstLine="719"/>
      </w:pPr>
      <w:r>
        <w:rPr>
          <w:color w:val="231F20"/>
        </w:rPr>
        <w:t>No contract, lease, management contract, employment contract, or lease of recreational areas or facilities, which is directly or indirectly made by or on behalf of the Association shall be entered into for a period exceeding two (2) years. Any contract for professional management of the condominium or any other contract providing for services by any developer, sponsor or builder, including the Declarant, shall provide for termination by either party without cause or payment of a termination fee on ninety (90) days or less written notice.</w:t>
      </w:r>
    </w:p>
    <w:p>
      <w:pPr>
        <w:pStyle w:val="BodyText"/>
        <w:spacing w:before="11"/>
        <w:rPr>
          <w:sz w:val="23"/>
        </w:rPr>
      </w:pPr>
    </w:p>
    <w:p>
      <w:pPr>
        <w:pStyle w:val="ListParagraph"/>
        <w:numPr>
          <w:ilvl w:val="0"/>
          <w:numId w:val="16"/>
        </w:numPr>
        <w:tabs>
          <w:tab w:pos="939" w:val="left" w:leader="none"/>
          <w:tab w:pos="940" w:val="left" w:leader="none"/>
        </w:tabs>
        <w:spacing w:line="240" w:lineRule="auto" w:before="0" w:after="0"/>
        <w:ind w:left="939" w:right="0" w:hanging="720"/>
        <w:jc w:val="left"/>
        <w:rPr>
          <w:sz w:val="24"/>
        </w:rPr>
      </w:pPr>
      <w:r>
        <w:rPr>
          <w:color w:val="231F20"/>
          <w:sz w:val="24"/>
        </w:rPr>
        <w:t>NOTICE TO FEDERAL HOME LOAN MORTGAGE</w:t>
      </w:r>
      <w:r>
        <w:rPr>
          <w:color w:val="231F20"/>
          <w:spacing w:val="-3"/>
          <w:sz w:val="24"/>
        </w:rPr>
        <w:t> </w:t>
      </w:r>
      <w:r>
        <w:rPr>
          <w:color w:val="231F20"/>
          <w:sz w:val="24"/>
        </w:rPr>
        <w:t>CORPORATION:</w:t>
      </w:r>
    </w:p>
    <w:p>
      <w:pPr>
        <w:pStyle w:val="BodyText"/>
        <w:spacing w:before="2"/>
      </w:pPr>
    </w:p>
    <w:p>
      <w:pPr>
        <w:pStyle w:val="BodyText"/>
        <w:spacing w:before="1"/>
        <w:ind w:left="220" w:right="1060" w:firstLine="719"/>
      </w:pPr>
      <w:r>
        <w:rPr>
          <w:color w:val="231F20"/>
        </w:rPr>
        <w:t>In the event of a sale of a mortgage loan to the Federal Home Loan Mortgage Corporation (FHLMC), the Directors shall give FHLMC notice (in care of the Servicer at the Servicer's address) in writing of any loss to, or taking of, the common areas and facilities of the condominium if such loss or taking exceeds $10,000.00 or damage to an apartment covered by a mortgage purchased in whole or in part by FHLMC exceeds $1,000.00</w:t>
      </w:r>
    </w:p>
    <w:p>
      <w:pPr>
        <w:spacing w:after="0"/>
        <w:sectPr>
          <w:pgSz w:w="12240" w:h="15840"/>
          <w:pgMar w:header="0" w:footer="948" w:top="1400" w:bottom="1140" w:left="1220" w:right="480"/>
        </w:sectPr>
      </w:pPr>
    </w:p>
    <w:p>
      <w:pPr>
        <w:pStyle w:val="ListParagraph"/>
        <w:numPr>
          <w:ilvl w:val="0"/>
          <w:numId w:val="16"/>
        </w:numPr>
        <w:tabs>
          <w:tab w:pos="939" w:val="left" w:leader="none"/>
          <w:tab w:pos="940" w:val="left" w:leader="none"/>
        </w:tabs>
        <w:spacing w:line="240" w:lineRule="auto" w:before="39" w:after="0"/>
        <w:ind w:left="939" w:right="0" w:hanging="720"/>
        <w:jc w:val="left"/>
        <w:rPr>
          <w:sz w:val="24"/>
        </w:rPr>
      </w:pPr>
      <w:r>
        <w:rPr>
          <w:color w:val="231F20"/>
          <w:sz w:val="24"/>
        </w:rPr>
        <w:t>AMENDMENTS:</w:t>
      </w:r>
    </w:p>
    <w:p>
      <w:pPr>
        <w:pStyle w:val="BodyText"/>
      </w:pPr>
    </w:p>
    <w:p>
      <w:pPr>
        <w:pStyle w:val="BodyText"/>
        <w:ind w:left="220" w:right="950" w:firstLine="719"/>
      </w:pPr>
      <w:r>
        <w:rPr>
          <w:color w:val="231F20"/>
        </w:rPr>
        <w:t>These By-Laws shall not be amended unless not less than seventy-five percent (75%) of the owners based on percentage of undivided interest and not less than seventy-five percent (75%) of the mortgagees of the apartments or their assigns (based on one vote for each first mortgage owned) agree to such amendment, provided that any amendments affecting the matters in Article XII, Sec. 4 of the Declaration must have the prior written consent required by said Section and the prior written consent of the Declarant, so long as it is an owner.</w:t>
      </w:r>
    </w:p>
    <w:p>
      <w:pPr>
        <w:pStyle w:val="BodyText"/>
        <w:spacing w:before="1"/>
      </w:pPr>
    </w:p>
    <w:p>
      <w:pPr>
        <w:pStyle w:val="ListParagraph"/>
        <w:numPr>
          <w:ilvl w:val="0"/>
          <w:numId w:val="16"/>
        </w:numPr>
        <w:tabs>
          <w:tab w:pos="939" w:val="left" w:leader="none"/>
          <w:tab w:pos="940" w:val="left" w:leader="none"/>
        </w:tabs>
        <w:spacing w:line="240" w:lineRule="auto" w:before="0" w:after="0"/>
        <w:ind w:left="939" w:right="0" w:hanging="720"/>
        <w:jc w:val="left"/>
        <w:rPr>
          <w:sz w:val="24"/>
        </w:rPr>
      </w:pPr>
      <w:r>
        <w:rPr>
          <w:color w:val="231F20"/>
          <w:sz w:val="24"/>
        </w:rPr>
        <w:t>REGULATIONS AND HOUSE</w:t>
      </w:r>
      <w:r>
        <w:rPr>
          <w:color w:val="231F20"/>
          <w:spacing w:val="-1"/>
          <w:sz w:val="24"/>
        </w:rPr>
        <w:t> </w:t>
      </w:r>
      <w:r>
        <w:rPr>
          <w:color w:val="231F20"/>
          <w:sz w:val="24"/>
        </w:rPr>
        <w:t>RULES:</w:t>
      </w:r>
    </w:p>
    <w:p>
      <w:pPr>
        <w:pStyle w:val="BodyText"/>
      </w:pPr>
    </w:p>
    <w:p>
      <w:pPr>
        <w:pStyle w:val="BodyText"/>
        <w:ind w:left="220" w:right="1041" w:firstLine="719"/>
      </w:pPr>
      <w:r>
        <w:rPr>
          <w:color w:val="231F20"/>
        </w:rPr>
        <w:t>Rules and Regulations concerning the use of the units and the common areas and facilities may be promulgated and amended by the Board of Directors, to be effective unless the Secretary of the Association is notified in writing within thirty (30) days of the publishing of the rule or regulation of the disapproval of twenty-five (25%) of the unit owners, computed according to the aggregate percentage of undivided interest in the common areas and facilities represented thereby, at which time the rule, regulation or amendment will be rescinded. The Board of Directors may direct a special meeting of the unit owners by resolution to consider said rule, regulation or amendment. Notification of said special meeting will be given and voting thereat will be in accordance with the notice and voting provisions of the By-Laws.</w:t>
      </w:r>
    </w:p>
    <w:p>
      <w:pPr>
        <w:pStyle w:val="BodyText"/>
        <w:ind w:left="220" w:right="950"/>
      </w:pPr>
      <w:r>
        <w:rPr>
          <w:color w:val="231F20"/>
        </w:rPr>
        <w:t>Copies of such rules, regulations and amendments shall be furnished by the Secretary to each owner prior to the time when they shall become effective.</w:t>
      </w:r>
    </w:p>
    <w:p>
      <w:pPr>
        <w:pStyle w:val="BodyText"/>
        <w:spacing w:before="1"/>
      </w:pPr>
    </w:p>
    <w:p>
      <w:pPr>
        <w:pStyle w:val="ListParagraph"/>
        <w:numPr>
          <w:ilvl w:val="0"/>
          <w:numId w:val="16"/>
        </w:numPr>
        <w:tabs>
          <w:tab w:pos="939" w:val="left" w:leader="none"/>
          <w:tab w:pos="940" w:val="left" w:leader="none"/>
        </w:tabs>
        <w:spacing w:line="240" w:lineRule="auto" w:before="0" w:after="0"/>
        <w:ind w:left="939" w:right="0" w:hanging="720"/>
        <w:jc w:val="left"/>
        <w:rPr>
          <w:sz w:val="24"/>
        </w:rPr>
      </w:pPr>
      <w:r>
        <w:rPr>
          <w:color w:val="231F20"/>
          <w:sz w:val="24"/>
        </w:rPr>
        <w:t>SEVERABILITY:</w:t>
      </w:r>
    </w:p>
    <w:p>
      <w:pPr>
        <w:pStyle w:val="BodyText"/>
      </w:pPr>
    </w:p>
    <w:p>
      <w:pPr>
        <w:pStyle w:val="BodyText"/>
        <w:ind w:left="220" w:right="950" w:firstLine="719"/>
      </w:pPr>
      <w:r>
        <w:rPr>
          <w:color w:val="231F20"/>
        </w:rPr>
        <w:t>If any part of these By-Laws shall be ruled invalid or ineffective for any reason whatsoever, the balance shall nevertheless remain in full force and effect.</w:t>
      </w:r>
    </w:p>
    <w:p>
      <w:pPr>
        <w:pStyle w:val="BodyText"/>
        <w:spacing w:before="12"/>
        <w:rPr>
          <w:sz w:val="23"/>
        </w:rPr>
      </w:pPr>
    </w:p>
    <w:p>
      <w:pPr>
        <w:pStyle w:val="ListParagraph"/>
        <w:numPr>
          <w:ilvl w:val="0"/>
          <w:numId w:val="16"/>
        </w:numPr>
        <w:tabs>
          <w:tab w:pos="939" w:val="left" w:leader="none"/>
          <w:tab w:pos="940" w:val="left" w:leader="none"/>
        </w:tabs>
        <w:spacing w:line="240" w:lineRule="auto" w:before="0" w:after="0"/>
        <w:ind w:left="939" w:right="0" w:hanging="720"/>
        <w:jc w:val="left"/>
        <w:rPr>
          <w:sz w:val="24"/>
        </w:rPr>
      </w:pPr>
      <w:r>
        <w:rPr>
          <w:color w:val="231F20"/>
          <w:sz w:val="24"/>
        </w:rPr>
        <w:t>CONFLICTS:</w:t>
      </w:r>
    </w:p>
    <w:p>
      <w:pPr>
        <w:pStyle w:val="BodyText"/>
        <w:spacing w:before="12"/>
        <w:rPr>
          <w:sz w:val="23"/>
        </w:rPr>
      </w:pPr>
    </w:p>
    <w:p>
      <w:pPr>
        <w:pStyle w:val="BodyText"/>
        <w:ind w:left="220" w:right="1070" w:firstLine="719"/>
      </w:pPr>
      <w:r>
        <w:rPr>
          <w:color w:val="231F20"/>
        </w:rPr>
        <w:t>In the case of any conflict between the Articles of Incorporation and these By-Laws, the Articles shall control; and in the case of any conflict between the Declaration and these By- Laws, the Declaration shall control, and in the case of any conflict with the Act, the Act shall control.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BodyText"/>
        <w:spacing w:before="52"/>
        <w:ind w:left="3477" w:right="4212"/>
        <w:jc w:val="center"/>
      </w:pPr>
      <w:r>
        <w:rPr>
          <w:color w:val="231F20"/>
        </w:rPr>
        <w:t>-16-</w:t>
      </w:r>
    </w:p>
    <w:p>
      <w:pPr>
        <w:spacing w:after="0"/>
        <w:jc w:val="center"/>
        <w:sectPr>
          <w:footerReference w:type="default" r:id="rId17"/>
          <w:pgSz w:w="12240" w:h="15840"/>
          <w:pgMar w:footer="622" w:header="0" w:top="1400" w:bottom="820" w:left="12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p>
    <w:p>
      <w:pPr>
        <w:pStyle w:val="BodyText"/>
        <w:spacing w:before="52"/>
        <w:ind w:left="2983"/>
      </w:pPr>
      <w:r>
        <w:rPr>
          <w:color w:val="231F20"/>
        </w:rPr>
        <w:t>THIS PAGE LEFT BLANK INTENTIONALLY</w:t>
      </w:r>
    </w:p>
    <w:p>
      <w:pPr>
        <w:spacing w:after="0"/>
        <w:sectPr>
          <w:pgSz w:w="12240" w:h="15840"/>
          <w:pgMar w:header="0" w:footer="622" w:top="1500" w:bottom="1000" w:left="1220" w:right="480"/>
        </w:sectPr>
      </w:pPr>
    </w:p>
    <w:p>
      <w:pPr>
        <w:pStyle w:val="BodyText"/>
        <w:ind w:left="417"/>
        <w:rPr>
          <w:sz w:val="20"/>
        </w:rPr>
      </w:pPr>
      <w:r>
        <w:rPr>
          <w:sz w:val="20"/>
        </w:rPr>
        <w:drawing>
          <wp:inline distT="0" distB="0" distL="0" distR="0">
            <wp:extent cx="5763100" cy="2510028"/>
            <wp:effectExtent l="0" t="0" r="0" b="0"/>
            <wp:docPr id="19" name="image6.jpeg"/>
            <wp:cNvGraphicFramePr>
              <a:graphicFrameLocks noChangeAspect="1"/>
            </wp:cNvGraphicFramePr>
            <a:graphic>
              <a:graphicData uri="http://schemas.openxmlformats.org/drawingml/2006/picture">
                <pic:pic>
                  <pic:nvPicPr>
                    <pic:cNvPr id="20" name="image6.jpeg"/>
                    <pic:cNvPicPr/>
                  </pic:nvPicPr>
                  <pic:blipFill>
                    <a:blip r:embed="rId18" cstate="print"/>
                    <a:stretch>
                      <a:fillRect/>
                    </a:stretch>
                  </pic:blipFill>
                  <pic:spPr>
                    <a:xfrm>
                      <a:off x="0" y="0"/>
                      <a:ext cx="5763100" cy="2510028"/>
                    </a:xfrm>
                    <a:prstGeom prst="rect">
                      <a:avLst/>
                    </a:prstGeom>
                  </pic:spPr>
                </pic:pic>
              </a:graphicData>
            </a:graphic>
          </wp:inline>
        </w:drawing>
      </w:r>
      <w:r>
        <w:rPr>
          <w:sz w:val="20"/>
        </w:rPr>
      </w:r>
    </w:p>
    <w:p>
      <w:pPr>
        <w:spacing w:after="0"/>
        <w:rPr>
          <w:sz w:val="20"/>
        </w:rPr>
        <w:sectPr>
          <w:pgSz w:w="12240" w:h="15840"/>
          <w:pgMar w:header="0" w:footer="622" w:top="1440" w:bottom="820" w:left="1220" w:right="480"/>
        </w:sectPr>
      </w:pPr>
    </w:p>
    <w:p>
      <w:pPr>
        <w:pStyle w:val="BodyText"/>
        <w:ind w:left="220"/>
        <w:rPr>
          <w:sz w:val="20"/>
        </w:rPr>
      </w:pPr>
      <w:r>
        <w:rPr>
          <w:sz w:val="20"/>
        </w:rPr>
        <w:drawing>
          <wp:inline distT="0" distB="0" distL="0" distR="0">
            <wp:extent cx="6284505" cy="3433572"/>
            <wp:effectExtent l="0" t="0" r="0" b="0"/>
            <wp:docPr id="21" name="image7.jpeg"/>
            <wp:cNvGraphicFramePr>
              <a:graphicFrameLocks noChangeAspect="1"/>
            </wp:cNvGraphicFramePr>
            <a:graphic>
              <a:graphicData uri="http://schemas.openxmlformats.org/drawingml/2006/picture">
                <pic:pic>
                  <pic:nvPicPr>
                    <pic:cNvPr id="22" name="image7.jpeg"/>
                    <pic:cNvPicPr/>
                  </pic:nvPicPr>
                  <pic:blipFill>
                    <a:blip r:embed="rId19" cstate="print"/>
                    <a:stretch>
                      <a:fillRect/>
                    </a:stretch>
                  </pic:blipFill>
                  <pic:spPr>
                    <a:xfrm>
                      <a:off x="0" y="0"/>
                      <a:ext cx="6284505" cy="3433572"/>
                    </a:xfrm>
                    <a:prstGeom prst="rect">
                      <a:avLst/>
                    </a:prstGeom>
                  </pic:spPr>
                </pic:pic>
              </a:graphicData>
            </a:graphic>
          </wp:inline>
        </w:drawing>
      </w:r>
      <w:r>
        <w:rPr>
          <w:sz w:val="20"/>
        </w:rPr>
      </w:r>
    </w:p>
    <w:p>
      <w:pPr>
        <w:spacing w:after="0"/>
        <w:rPr>
          <w:sz w:val="20"/>
        </w:rPr>
        <w:sectPr>
          <w:pgSz w:w="12240" w:h="15840"/>
          <w:pgMar w:header="0" w:footer="622" w:top="1440" w:bottom="820" w:left="1220" w:right="480"/>
        </w:sectPr>
      </w:pPr>
    </w:p>
    <w:p>
      <w:pPr>
        <w:pStyle w:val="BodyText"/>
        <w:ind w:left="220"/>
        <w:rPr>
          <w:sz w:val="20"/>
        </w:rPr>
      </w:pPr>
      <w:r>
        <w:rPr>
          <w:sz w:val="20"/>
        </w:rPr>
        <w:drawing>
          <wp:inline distT="0" distB="0" distL="0" distR="0">
            <wp:extent cx="6287234" cy="4178808"/>
            <wp:effectExtent l="0" t="0" r="0" b="0"/>
            <wp:docPr id="23" name="image8.jpeg"/>
            <wp:cNvGraphicFramePr>
              <a:graphicFrameLocks noChangeAspect="1"/>
            </wp:cNvGraphicFramePr>
            <a:graphic>
              <a:graphicData uri="http://schemas.openxmlformats.org/drawingml/2006/picture">
                <pic:pic>
                  <pic:nvPicPr>
                    <pic:cNvPr id="24" name="image8.jpeg"/>
                    <pic:cNvPicPr/>
                  </pic:nvPicPr>
                  <pic:blipFill>
                    <a:blip r:embed="rId20" cstate="print"/>
                    <a:stretch>
                      <a:fillRect/>
                    </a:stretch>
                  </pic:blipFill>
                  <pic:spPr>
                    <a:xfrm>
                      <a:off x="0" y="0"/>
                      <a:ext cx="6287234" cy="4178808"/>
                    </a:xfrm>
                    <a:prstGeom prst="rect">
                      <a:avLst/>
                    </a:prstGeom>
                  </pic:spPr>
                </pic:pic>
              </a:graphicData>
            </a:graphic>
          </wp:inline>
        </w:drawing>
      </w:r>
      <w:r>
        <w:rPr>
          <w:sz w:val="20"/>
        </w:rPr>
      </w:r>
    </w:p>
    <w:p>
      <w:pPr>
        <w:spacing w:after="0"/>
        <w:rPr>
          <w:sz w:val="20"/>
        </w:rPr>
        <w:sectPr>
          <w:pgSz w:w="12240" w:h="15840"/>
          <w:pgMar w:header="0" w:footer="622" w:top="1440" w:bottom="820" w:left="12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51"/>
        <w:ind w:left="2724"/>
      </w:pPr>
      <w:r>
        <w:rPr>
          <w:color w:val="231F20"/>
        </w:rPr>
        <w:t>THIS PAGE WAS LEFT BLANK INTENTIONALLY</w:t>
      </w:r>
    </w:p>
    <w:p>
      <w:pPr>
        <w:spacing w:after="0"/>
        <w:sectPr>
          <w:pgSz w:w="12240" w:h="15840"/>
          <w:pgMar w:header="0" w:footer="622" w:top="1500" w:bottom="820" w:left="1220" w:right="480"/>
        </w:sectPr>
      </w:pPr>
    </w:p>
    <w:p>
      <w:pPr>
        <w:pStyle w:val="BodyText"/>
        <w:spacing w:before="1"/>
        <w:rPr>
          <w:sz w:val="19"/>
        </w:rPr>
      </w:pPr>
    </w:p>
    <w:p>
      <w:pPr>
        <w:pStyle w:val="BodyText"/>
        <w:ind w:left="4502"/>
        <w:rPr>
          <w:sz w:val="20"/>
        </w:rPr>
      </w:pPr>
      <w:r>
        <w:rPr>
          <w:sz w:val="20"/>
        </w:rPr>
        <w:pict>
          <v:shape style="width:52.35pt;height:19.6pt;mso-position-horizontal-relative:char;mso-position-vertical-relative:line" type="#_x0000_t202" filled="false" stroked="true" strokeweight=".48001pt" strokecolor="#231f20">
            <w10:anchorlock/>
            <v:textbox inset="0,0,0,0">
              <w:txbxContent>
                <w:p>
                  <w:pPr>
                    <w:spacing w:before="21"/>
                    <w:ind w:left="266" w:right="0" w:firstLine="0"/>
                    <w:jc w:val="left"/>
                    <w:rPr>
                      <w:b/>
                      <w:sz w:val="28"/>
                    </w:rPr>
                  </w:pPr>
                  <w:r>
                    <w:rPr>
                      <w:b/>
                      <w:color w:val="231F20"/>
                      <w:sz w:val="28"/>
                    </w:rPr>
                    <w:t>656</w:t>
                  </w:r>
                </w:p>
              </w:txbxContent>
            </v:textbox>
            <v:stroke dashstyle="solid"/>
          </v:shape>
        </w:pict>
      </w:r>
      <w:r>
        <w:rPr>
          <w:sz w:val="20"/>
        </w:rPr>
      </w:r>
    </w:p>
    <w:p>
      <w:pPr>
        <w:pStyle w:val="BodyText"/>
        <w:spacing w:before="6"/>
        <w:rPr>
          <w:sz w:val="17"/>
        </w:rPr>
      </w:pPr>
    </w:p>
    <w:p>
      <w:pPr>
        <w:pStyle w:val="BodyText"/>
        <w:spacing w:before="51"/>
        <w:ind w:left="3474" w:right="4213"/>
        <w:jc w:val="center"/>
      </w:pPr>
      <w:r>
        <w:rPr>
          <w:color w:val="231F20"/>
        </w:rPr>
        <w:t>EXHIBIT A</w:t>
      </w:r>
    </w:p>
    <w:p>
      <w:pPr>
        <w:pStyle w:val="BodyText"/>
      </w:pPr>
    </w:p>
    <w:p>
      <w:pPr>
        <w:pStyle w:val="BodyText"/>
        <w:ind w:left="2395" w:right="3132"/>
        <w:jc w:val="center"/>
      </w:pPr>
      <w:r>
        <w:rPr>
          <w:color w:val="231F20"/>
        </w:rPr>
        <w:t>AMENDMENT TO THE DECLARATION AND BY-LAWS OF</w:t>
      </w:r>
    </w:p>
    <w:p>
      <w:pPr>
        <w:pStyle w:val="BodyText"/>
        <w:spacing w:line="293" w:lineRule="exact"/>
        <w:ind w:left="2031" w:right="2767"/>
        <w:jc w:val="center"/>
      </w:pPr>
      <w:r>
        <w:rPr>
          <w:color w:val="231F20"/>
        </w:rPr>
        <w:t>THE COLONY AT EDINA CONDOMINIUM</w:t>
      </w:r>
    </w:p>
    <w:p>
      <w:pPr>
        <w:pStyle w:val="BodyText"/>
      </w:pPr>
    </w:p>
    <w:p>
      <w:pPr>
        <w:pStyle w:val="ListParagraph"/>
        <w:numPr>
          <w:ilvl w:val="0"/>
          <w:numId w:val="17"/>
        </w:numPr>
        <w:tabs>
          <w:tab w:pos="1302" w:val="left" w:leader="none"/>
        </w:tabs>
        <w:spacing w:line="240" w:lineRule="auto" w:before="0" w:after="0"/>
        <w:ind w:left="220" w:right="1006" w:firstLine="719"/>
        <w:jc w:val="left"/>
        <w:rPr>
          <w:sz w:val="24"/>
        </w:rPr>
      </w:pPr>
      <w:r>
        <w:rPr>
          <w:color w:val="231F20"/>
          <w:sz w:val="24"/>
        </w:rPr>
        <w:t>The Declaration dated October 2, 1978, recorded February 7, 1979 as </w:t>
      </w:r>
      <w:r>
        <w:rPr>
          <w:color w:val="231F20"/>
          <w:sz w:val="24"/>
          <w:u w:val="single" w:color="231F20"/>
        </w:rPr>
        <w:t>Document No. 1316857</w:t>
      </w:r>
      <w:r>
        <w:rPr>
          <w:color w:val="231F20"/>
          <w:sz w:val="24"/>
        </w:rPr>
        <w:t> is hereby amended to read as</w:t>
      </w:r>
      <w:r>
        <w:rPr>
          <w:color w:val="231F20"/>
          <w:spacing w:val="-8"/>
          <w:sz w:val="24"/>
        </w:rPr>
        <w:t> </w:t>
      </w:r>
      <w:r>
        <w:rPr>
          <w:color w:val="231F20"/>
          <w:sz w:val="24"/>
        </w:rPr>
        <w:t>follows:</w:t>
      </w:r>
    </w:p>
    <w:p>
      <w:pPr>
        <w:pStyle w:val="BodyText"/>
        <w:spacing w:before="9"/>
        <w:rPr>
          <w:sz w:val="19"/>
        </w:rPr>
      </w:pPr>
    </w:p>
    <w:p>
      <w:pPr>
        <w:pStyle w:val="ListParagraph"/>
        <w:numPr>
          <w:ilvl w:val="1"/>
          <w:numId w:val="17"/>
        </w:numPr>
        <w:tabs>
          <w:tab w:pos="1661" w:val="left" w:leader="none"/>
        </w:tabs>
        <w:spacing w:line="240" w:lineRule="auto" w:before="52" w:after="0"/>
        <w:ind w:left="1660" w:right="0" w:hanging="361"/>
        <w:jc w:val="left"/>
        <w:rPr>
          <w:sz w:val="24"/>
        </w:rPr>
      </w:pPr>
      <w:r>
        <w:rPr>
          <w:color w:val="231F20"/>
          <w:sz w:val="24"/>
        </w:rPr>
        <w:t>The following section is added to the</w:t>
      </w:r>
      <w:r>
        <w:rPr>
          <w:color w:val="231F20"/>
          <w:spacing w:val="-13"/>
          <w:sz w:val="24"/>
        </w:rPr>
        <w:t> </w:t>
      </w:r>
      <w:r>
        <w:rPr>
          <w:color w:val="231F20"/>
          <w:sz w:val="24"/>
        </w:rPr>
        <w:t>Declaration:</w:t>
      </w:r>
    </w:p>
    <w:p>
      <w:pPr>
        <w:pStyle w:val="BodyText"/>
        <w:spacing w:before="12"/>
        <w:rPr>
          <w:sz w:val="23"/>
        </w:rPr>
      </w:pPr>
    </w:p>
    <w:p>
      <w:pPr>
        <w:pStyle w:val="BodyText"/>
        <w:ind w:left="3477" w:right="4211"/>
        <w:jc w:val="center"/>
      </w:pPr>
      <w:r>
        <w:rPr>
          <w:color w:val="231F20"/>
        </w:rPr>
        <w:t>ARTICLE XIII</w:t>
      </w:r>
    </w:p>
    <w:p>
      <w:pPr>
        <w:pStyle w:val="BodyText"/>
        <w:spacing w:before="11"/>
        <w:rPr>
          <w:sz w:val="23"/>
        </w:rPr>
      </w:pPr>
    </w:p>
    <w:p>
      <w:pPr>
        <w:pStyle w:val="BodyText"/>
        <w:spacing w:before="1"/>
        <w:ind w:left="1300" w:right="950" w:hanging="1"/>
      </w:pPr>
      <w:r>
        <w:rPr>
          <w:color w:val="231F20"/>
        </w:rPr>
        <w:t>Notwithstanding anything contained in this Declaration to the contrary, the Board of Directors of the Association shall have the power and authority to enter into an agreement for right of access and easement with the approved cable franchisee for the City of Edina for operation of a cable communications system within the City of Edina, upon such terms and conditions as the Board of Directors deems advisable.</w:t>
      </w:r>
    </w:p>
    <w:p>
      <w:pPr>
        <w:pStyle w:val="BodyText"/>
        <w:spacing w:before="1"/>
      </w:pPr>
    </w:p>
    <w:p>
      <w:pPr>
        <w:pStyle w:val="ListParagraph"/>
        <w:numPr>
          <w:ilvl w:val="1"/>
          <w:numId w:val="17"/>
        </w:numPr>
        <w:tabs>
          <w:tab w:pos="1661" w:val="left" w:leader="none"/>
        </w:tabs>
        <w:spacing w:line="240" w:lineRule="auto" w:before="0" w:after="0"/>
        <w:ind w:left="1660" w:right="0" w:hanging="361"/>
        <w:jc w:val="left"/>
        <w:rPr>
          <w:sz w:val="24"/>
        </w:rPr>
      </w:pPr>
      <w:r>
        <w:rPr>
          <w:color w:val="231F20"/>
          <w:sz w:val="24"/>
        </w:rPr>
        <w:t>All other sections of the Declaration shall remain the</w:t>
      </w:r>
      <w:r>
        <w:rPr>
          <w:color w:val="231F20"/>
          <w:spacing w:val="-12"/>
          <w:sz w:val="24"/>
        </w:rPr>
        <w:t> </w:t>
      </w:r>
      <w:r>
        <w:rPr>
          <w:color w:val="231F20"/>
          <w:sz w:val="24"/>
        </w:rPr>
        <w:t>same.</w:t>
      </w:r>
    </w:p>
    <w:p>
      <w:pPr>
        <w:pStyle w:val="BodyText"/>
      </w:pPr>
    </w:p>
    <w:p>
      <w:pPr>
        <w:pStyle w:val="ListParagraph"/>
        <w:numPr>
          <w:ilvl w:val="0"/>
          <w:numId w:val="17"/>
        </w:numPr>
        <w:tabs>
          <w:tab w:pos="1301" w:val="left" w:leader="none"/>
        </w:tabs>
        <w:spacing w:line="240" w:lineRule="auto" w:before="0" w:after="0"/>
        <w:ind w:left="220" w:right="1883" w:firstLine="719"/>
        <w:jc w:val="left"/>
        <w:rPr>
          <w:sz w:val="24"/>
        </w:rPr>
      </w:pPr>
      <w:r>
        <w:rPr>
          <w:color w:val="231F20"/>
          <w:sz w:val="24"/>
        </w:rPr>
        <w:t>The By-Laws, which are attached to the Declaration as Exhibit B, are hereby amended as</w:t>
      </w:r>
      <w:r>
        <w:rPr>
          <w:color w:val="231F20"/>
          <w:spacing w:val="-2"/>
          <w:sz w:val="24"/>
        </w:rPr>
        <w:t> </w:t>
      </w:r>
      <w:r>
        <w:rPr>
          <w:color w:val="231F20"/>
          <w:sz w:val="24"/>
        </w:rPr>
        <w:t>follows:</w:t>
      </w:r>
    </w:p>
    <w:p>
      <w:pPr>
        <w:pStyle w:val="BodyText"/>
        <w:spacing w:before="12"/>
        <w:rPr>
          <w:sz w:val="23"/>
        </w:rPr>
      </w:pPr>
    </w:p>
    <w:p>
      <w:pPr>
        <w:pStyle w:val="ListParagraph"/>
        <w:numPr>
          <w:ilvl w:val="1"/>
          <w:numId w:val="17"/>
        </w:numPr>
        <w:tabs>
          <w:tab w:pos="1661" w:val="left" w:leader="none"/>
        </w:tabs>
        <w:spacing w:line="240" w:lineRule="auto" w:before="0" w:after="0"/>
        <w:ind w:left="1660" w:right="0" w:hanging="361"/>
        <w:jc w:val="left"/>
        <w:rPr>
          <w:sz w:val="24"/>
        </w:rPr>
      </w:pPr>
      <w:r>
        <w:rPr>
          <w:color w:val="231F20"/>
          <w:sz w:val="24"/>
        </w:rPr>
        <w:t>The following section is added to the</w:t>
      </w:r>
      <w:r>
        <w:rPr>
          <w:color w:val="231F20"/>
          <w:spacing w:val="-12"/>
          <w:sz w:val="24"/>
        </w:rPr>
        <w:t> </w:t>
      </w:r>
      <w:r>
        <w:rPr>
          <w:color w:val="231F20"/>
          <w:sz w:val="24"/>
        </w:rPr>
        <w:t>By-Laws:</w:t>
      </w:r>
    </w:p>
    <w:p>
      <w:pPr>
        <w:pStyle w:val="BodyText"/>
        <w:spacing w:before="12"/>
        <w:rPr>
          <w:sz w:val="23"/>
        </w:rPr>
      </w:pPr>
    </w:p>
    <w:p>
      <w:pPr>
        <w:pStyle w:val="BodyText"/>
        <w:tabs>
          <w:tab w:pos="2200" w:val="left" w:leader="none"/>
        </w:tabs>
        <w:ind w:left="1660"/>
      </w:pPr>
      <w:r>
        <w:rPr>
          <w:color w:val="231F20"/>
        </w:rPr>
        <w:t>18.</w:t>
        <w:tab/>
        <w:t>Central Television System</w:t>
      </w:r>
    </w:p>
    <w:p>
      <w:pPr>
        <w:pStyle w:val="BodyText"/>
        <w:spacing w:before="2"/>
      </w:pPr>
    </w:p>
    <w:p>
      <w:pPr>
        <w:pStyle w:val="BodyText"/>
        <w:ind w:left="1660" w:right="1021" w:hanging="1"/>
      </w:pPr>
      <w:r>
        <w:rPr>
          <w:color w:val="231F20"/>
        </w:rPr>
        <w:t>Notwithstanding anything contained in these By-Laws to the contrary, the Board of Directors of the Association shall have the power and authority to enter into an agreement for right of access and easement with the approved cable franchisee for the City of Edina for operation of a cable communications system within the City of Edina, upon such terms and conditions as the Board of Directors deems advisable.</w:t>
      </w:r>
    </w:p>
    <w:p>
      <w:pPr>
        <w:pStyle w:val="BodyText"/>
        <w:spacing w:before="11"/>
        <w:rPr>
          <w:sz w:val="23"/>
        </w:rPr>
      </w:pPr>
    </w:p>
    <w:p>
      <w:pPr>
        <w:pStyle w:val="ListParagraph"/>
        <w:numPr>
          <w:ilvl w:val="1"/>
          <w:numId w:val="17"/>
        </w:numPr>
        <w:tabs>
          <w:tab w:pos="1661" w:val="left" w:leader="none"/>
        </w:tabs>
        <w:spacing w:line="240" w:lineRule="auto" w:before="0" w:after="0"/>
        <w:ind w:left="1660" w:right="0" w:hanging="361"/>
        <w:jc w:val="left"/>
        <w:rPr>
          <w:sz w:val="24"/>
        </w:rPr>
      </w:pPr>
      <w:r>
        <w:rPr>
          <w:color w:val="231F20"/>
          <w:sz w:val="24"/>
        </w:rPr>
        <w:t>All other sections of the By-Laws shall remain</w:t>
      </w:r>
      <w:r>
        <w:rPr>
          <w:color w:val="231F20"/>
          <w:spacing w:val="-5"/>
          <w:sz w:val="24"/>
        </w:rPr>
        <w:t> </w:t>
      </w:r>
      <w:r>
        <w:rPr>
          <w:color w:val="231F20"/>
          <w:sz w:val="24"/>
        </w:rPr>
        <w:t>unchanged.</w:t>
      </w:r>
    </w:p>
    <w:p>
      <w:pPr>
        <w:spacing w:after="0" w:line="240" w:lineRule="auto"/>
        <w:jc w:val="left"/>
        <w:rPr>
          <w:sz w:val="24"/>
        </w:rPr>
        <w:sectPr>
          <w:pgSz w:w="12240" w:h="15840"/>
          <w:pgMar w:header="0" w:footer="622" w:top="1500" w:bottom="900" w:left="1220" w:right="480"/>
        </w:sectPr>
      </w:pPr>
    </w:p>
    <w:p>
      <w:pPr>
        <w:pStyle w:val="BodyText"/>
        <w:spacing w:before="1"/>
        <w:rPr>
          <w:sz w:val="19"/>
        </w:rPr>
      </w:pPr>
    </w:p>
    <w:p>
      <w:pPr>
        <w:pStyle w:val="BodyText"/>
        <w:ind w:left="4502"/>
        <w:rPr>
          <w:sz w:val="20"/>
        </w:rPr>
      </w:pPr>
      <w:r>
        <w:rPr>
          <w:sz w:val="20"/>
        </w:rPr>
        <w:pict>
          <v:shape style="width:52.35pt;height:19.6pt;mso-position-horizontal-relative:char;mso-position-vertical-relative:line" type="#_x0000_t202" filled="false" stroked="true" strokeweight=".48001pt" strokecolor="#231f20">
            <w10:anchorlock/>
            <v:textbox inset="0,0,0,0">
              <w:txbxContent>
                <w:p>
                  <w:pPr>
                    <w:spacing w:before="21"/>
                    <w:ind w:left="266" w:right="0" w:firstLine="0"/>
                    <w:jc w:val="left"/>
                    <w:rPr>
                      <w:b/>
                      <w:sz w:val="28"/>
                    </w:rPr>
                  </w:pPr>
                  <w:r>
                    <w:rPr>
                      <w:b/>
                      <w:color w:val="231F20"/>
                      <w:sz w:val="28"/>
                    </w:rPr>
                    <w:t>656</w:t>
                  </w:r>
                </w:p>
              </w:txbxContent>
            </v:textbox>
            <v:stroke dashstyle="solid"/>
          </v:shape>
        </w:pict>
      </w:r>
      <w:r>
        <w:rPr>
          <w:sz w:val="20"/>
        </w:rPr>
      </w:r>
    </w:p>
    <w:p>
      <w:pPr>
        <w:pStyle w:val="BodyText"/>
        <w:spacing w:before="6"/>
        <w:rPr>
          <w:sz w:val="22"/>
        </w:rPr>
      </w:pPr>
      <w:r>
        <w:rPr/>
        <w:drawing>
          <wp:anchor distT="0" distB="0" distL="0" distR="0" allowOverlap="1" layoutInCell="1" locked="0" behindDoc="0" simplePos="0" relativeHeight="7">
            <wp:simplePos x="0" y="0"/>
            <wp:positionH relativeFrom="page">
              <wp:posOffset>1397635</wp:posOffset>
            </wp:positionH>
            <wp:positionV relativeFrom="paragraph">
              <wp:posOffset>199136</wp:posOffset>
            </wp:positionV>
            <wp:extent cx="4974067" cy="6798564"/>
            <wp:effectExtent l="0" t="0" r="0" b="0"/>
            <wp:wrapTopAndBottom/>
            <wp:docPr id="25" name="image9.jpeg"/>
            <wp:cNvGraphicFramePr>
              <a:graphicFrameLocks noChangeAspect="1"/>
            </wp:cNvGraphicFramePr>
            <a:graphic>
              <a:graphicData uri="http://schemas.openxmlformats.org/drawingml/2006/picture">
                <pic:pic>
                  <pic:nvPicPr>
                    <pic:cNvPr id="26" name="image9.jpeg"/>
                    <pic:cNvPicPr/>
                  </pic:nvPicPr>
                  <pic:blipFill>
                    <a:blip r:embed="rId21" cstate="print"/>
                    <a:stretch>
                      <a:fillRect/>
                    </a:stretch>
                  </pic:blipFill>
                  <pic:spPr>
                    <a:xfrm>
                      <a:off x="0" y="0"/>
                      <a:ext cx="4974067" cy="6798564"/>
                    </a:xfrm>
                    <a:prstGeom prst="rect">
                      <a:avLst/>
                    </a:prstGeom>
                  </pic:spPr>
                </pic:pic>
              </a:graphicData>
            </a:graphic>
          </wp:anchor>
        </w:drawing>
      </w:r>
    </w:p>
    <w:p>
      <w:pPr>
        <w:spacing w:after="0"/>
        <w:rPr>
          <w:sz w:val="22"/>
        </w:rPr>
        <w:sectPr>
          <w:pgSz w:w="12240" w:h="15840"/>
          <w:pgMar w:header="0" w:footer="622" w:top="1500" w:bottom="900" w:left="1220" w:right="4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8"/>
        </w:rPr>
      </w:pPr>
    </w:p>
    <w:p>
      <w:pPr>
        <w:pStyle w:val="BodyText"/>
        <w:spacing w:before="51"/>
        <w:ind w:left="2724"/>
      </w:pPr>
      <w:r>
        <w:rPr>
          <w:color w:val="231F20"/>
        </w:rPr>
        <w:t>THIS PAGE WAS LEFT BLANK INTENTIONALLY</w:t>
      </w:r>
    </w:p>
    <w:p>
      <w:pPr>
        <w:spacing w:after="0"/>
        <w:sectPr>
          <w:pgSz w:w="12240" w:h="15840"/>
          <w:pgMar w:header="0" w:footer="622" w:top="1500" w:bottom="900" w:left="1220" w:right="480"/>
        </w:sectPr>
      </w:pPr>
    </w:p>
    <w:p>
      <w:pPr>
        <w:pStyle w:val="BodyText"/>
        <w:spacing w:line="480" w:lineRule="auto" w:before="39"/>
        <w:ind w:left="2263" w:right="2301" w:hanging="685"/>
      </w:pPr>
      <w:r>
        <w:rPr>
          <w:color w:val="231F20"/>
        </w:rPr>
        <w:t>SECOND AMENDMENT TO THE DECLARATION AND THE BY-LAWS OF THE COLONY AT EDINA CONDOMINIUM ASSOCIATION</w:t>
      </w:r>
    </w:p>
    <w:p>
      <w:pPr>
        <w:pStyle w:val="BodyText"/>
        <w:tabs>
          <w:tab w:pos="6939" w:val="left" w:leader="none"/>
        </w:tabs>
        <w:spacing w:line="293" w:lineRule="exact"/>
        <w:ind w:left="940"/>
      </w:pPr>
      <w:r>
        <w:rPr>
          <w:color w:val="231F20"/>
        </w:rPr>
        <w:t>THIS AMENDMENT made as of this </w:t>
      </w:r>
      <w:r>
        <w:rPr>
          <w:color w:val="231F20"/>
          <w:u w:val="single" w:color="231F20"/>
        </w:rPr>
        <w:t>   19th   </w:t>
      </w:r>
      <w:r>
        <w:rPr>
          <w:color w:val="231F20"/>
        </w:rPr>
        <w:t> day</w:t>
      </w:r>
      <w:r>
        <w:rPr>
          <w:color w:val="231F20"/>
          <w:spacing w:val="-11"/>
        </w:rPr>
        <w:t> </w:t>
      </w:r>
      <w:r>
        <w:rPr>
          <w:color w:val="231F20"/>
        </w:rPr>
        <w:t>of</w:t>
      </w:r>
      <w:r>
        <w:rPr>
          <w:color w:val="231F20"/>
          <w:u w:val="single" w:color="231F20"/>
        </w:rPr>
        <w:t>  </w:t>
      </w:r>
      <w:r>
        <w:rPr>
          <w:color w:val="231F20"/>
          <w:spacing w:val="49"/>
          <w:u w:val="single" w:color="231F20"/>
        </w:rPr>
        <w:t> </w:t>
      </w:r>
      <w:r>
        <w:rPr>
          <w:color w:val="231F20"/>
          <w:u w:val="single" w:color="231F20"/>
        </w:rPr>
        <w:t>July</w:t>
        <w:tab/>
      </w:r>
      <w:r>
        <w:rPr>
          <w:color w:val="231F20"/>
        </w:rPr>
        <w:t>, 1988, by the Colony</w:t>
      </w:r>
      <w:r>
        <w:rPr>
          <w:color w:val="231F20"/>
          <w:spacing w:val="-4"/>
        </w:rPr>
        <w:t> </w:t>
      </w:r>
      <w:r>
        <w:rPr>
          <w:color w:val="231F20"/>
        </w:rPr>
        <w:t>at</w:t>
      </w:r>
    </w:p>
    <w:p>
      <w:pPr>
        <w:pStyle w:val="BodyText"/>
        <w:spacing w:before="9"/>
        <w:rPr>
          <w:sz w:val="19"/>
        </w:rPr>
      </w:pPr>
    </w:p>
    <w:p>
      <w:pPr>
        <w:pStyle w:val="BodyText"/>
        <w:spacing w:line="480" w:lineRule="auto" w:before="52"/>
        <w:ind w:left="220" w:right="956"/>
      </w:pPr>
      <w:r>
        <w:rPr>
          <w:color w:val="231F20"/>
        </w:rPr>
        <w:t>Edina Condominium Association, a Minnesota non-profit corporation (hereinafter referred to as "Association"), pursuant to Section 515A.2-119 of the Minnesota Uniform Condominium Act (the "Act"), and laws amendatory thereof and supplemental thereto,</w:t>
      </w:r>
    </w:p>
    <w:p>
      <w:pPr>
        <w:pStyle w:val="BodyText"/>
        <w:spacing w:before="2"/>
        <w:ind w:left="3477" w:right="4213"/>
        <w:jc w:val="center"/>
      </w:pPr>
      <w:r>
        <w:rPr>
          <w:color w:val="231F20"/>
        </w:rPr>
        <w:t>WITNESSETH:</w:t>
      </w:r>
    </w:p>
    <w:p>
      <w:pPr>
        <w:pStyle w:val="BodyText"/>
        <w:spacing w:before="12"/>
        <w:rPr>
          <w:sz w:val="23"/>
        </w:rPr>
      </w:pPr>
    </w:p>
    <w:p>
      <w:pPr>
        <w:pStyle w:val="BodyText"/>
        <w:spacing w:line="480" w:lineRule="auto"/>
        <w:ind w:left="220" w:right="950" w:firstLine="719"/>
      </w:pPr>
      <w:r>
        <w:rPr>
          <w:color w:val="231F20"/>
        </w:rPr>
        <w:t>WHEREAS, the Colony at Edina Condominium, Apartment Ownership Number 120 (the "Condominium"), was established by recording in the Office of the Registrar of Titles for Hennepin County on the 7th day of February, 1979, as Document No. 1316857, a Declaration of Condominium Ownership dated October 2, 1978 (the "Declaration"), and the By-laws of the Association were attached to the Declaration as Exhibit B thereto (the "By-laws"); and</w:t>
      </w:r>
    </w:p>
    <w:p>
      <w:pPr>
        <w:pStyle w:val="BodyText"/>
        <w:spacing w:line="480" w:lineRule="auto" w:before="1"/>
        <w:ind w:left="220" w:right="950" w:firstLine="719"/>
      </w:pPr>
      <w:r>
        <w:rPr>
          <w:color w:val="231F20"/>
        </w:rPr>
        <w:t>WHEREAS, the Declaration and By-laws were amended by an Amendment to the Declaration and By-laws dated November 11, 1982 and filed with the Registrar of Titles for Hennepin County on the 28th day of February, 1983, as Document No. 1502656; and</w:t>
      </w:r>
    </w:p>
    <w:p>
      <w:pPr>
        <w:pStyle w:val="BodyText"/>
        <w:spacing w:line="480" w:lineRule="auto"/>
        <w:ind w:left="220" w:right="1044" w:firstLine="719"/>
        <w:jc w:val="both"/>
      </w:pPr>
      <w:r>
        <w:rPr>
          <w:color w:val="231F20"/>
        </w:rPr>
        <w:t>WHEREAS, seventy-five percent (75%) of the owners of units in the Condominium have, in two separate actions, approved in writing the amendments to the Declaration and to the By- laws as provided below; and</w:t>
      </w:r>
    </w:p>
    <w:p>
      <w:pPr>
        <w:spacing w:after="0" w:line="480" w:lineRule="auto"/>
        <w:jc w:val="both"/>
        <w:sectPr>
          <w:pgSz w:w="12240" w:h="15840"/>
          <w:pgMar w:header="0" w:footer="622" w:top="1400" w:bottom="900" w:left="1220" w:right="480"/>
        </w:sectPr>
      </w:pPr>
    </w:p>
    <w:p>
      <w:pPr>
        <w:pStyle w:val="BodyText"/>
        <w:spacing w:line="480" w:lineRule="auto" w:before="39"/>
        <w:ind w:left="220" w:right="950" w:firstLine="719"/>
      </w:pPr>
      <w:r>
        <w:rPr>
          <w:color w:val="231F20"/>
        </w:rPr>
        <w:t>WHEREAS, seventy-five percent (75%) of the first mortgagees of units in the Condominium have, in two separate actions, approved in writing the amendments to the Declaration and to the By-laws as provided below.</w:t>
      </w:r>
    </w:p>
    <w:p>
      <w:pPr>
        <w:pStyle w:val="BodyText"/>
        <w:spacing w:line="292" w:lineRule="exact"/>
        <w:ind w:left="940"/>
      </w:pPr>
      <w:r>
        <w:rPr>
          <w:color w:val="231F20"/>
        </w:rPr>
        <w:t>NOW, THEREFORE, the Declaration and the By-laws are amended as follows:</w:t>
      </w:r>
    </w:p>
    <w:p>
      <w:pPr>
        <w:pStyle w:val="BodyText"/>
        <w:spacing w:before="2"/>
      </w:pPr>
    </w:p>
    <w:p>
      <w:pPr>
        <w:pStyle w:val="ListParagraph"/>
        <w:numPr>
          <w:ilvl w:val="0"/>
          <w:numId w:val="18"/>
        </w:numPr>
        <w:tabs>
          <w:tab w:pos="1301" w:val="left" w:leader="none"/>
        </w:tabs>
        <w:spacing w:line="240" w:lineRule="auto" w:before="0" w:after="0"/>
        <w:ind w:left="580" w:right="1489" w:firstLine="359"/>
        <w:jc w:val="left"/>
        <w:rPr>
          <w:sz w:val="24"/>
        </w:rPr>
      </w:pPr>
      <w:r>
        <w:rPr>
          <w:color w:val="231F20"/>
          <w:sz w:val="24"/>
        </w:rPr>
        <w:t>The first paragraph of Article V of the Declaration is hereby amended to read as follows:</w:t>
      </w:r>
    </w:p>
    <w:p>
      <w:pPr>
        <w:pStyle w:val="BodyText"/>
      </w:pPr>
    </w:p>
    <w:p>
      <w:pPr>
        <w:pStyle w:val="BodyText"/>
        <w:ind w:left="1300" w:right="998" w:firstLine="359"/>
      </w:pPr>
      <w:r>
        <w:rPr>
          <w:color w:val="231F20"/>
        </w:rPr>
        <w:t>All sums assessed by the Association for annual assessments for the share of common expenses chargeable against any apartment for any fiscal year shall constitute a lien against such apartment for the full amount of such share of assessments effective as of the first day of such fiscal year, and shall be payable quarterly in advance in equal installments in such fiscal year. All sums assessed by the Association as special assessments for the share of common expenses chargeable to any apartment shall constitute a lien for the full amount of such share as of a date specified by the Board, and shall be payable in amounts and at times determined by the Board. All such annual and special assessment liens shall be</w:t>
      </w:r>
      <w:r>
        <w:rPr>
          <w:color w:val="231F20"/>
          <w:spacing w:val="-29"/>
        </w:rPr>
        <w:t> </w:t>
      </w:r>
      <w:r>
        <w:rPr>
          <w:color w:val="231F20"/>
        </w:rPr>
        <w:t>prior to any and all other liens against an apartment excepting (i) tax liens on the apartment, including special assessments, in favor of the State of Minnesota or any taxing subdivision thereof, and (ii) all sums unpaid on the first mortgage of record against such apartment. All holders of a property interest shall be jointly and severally liable for such assessments. If any such assessment or installment thereof is not paid within thirty (30) days after the due date thereof, the Board may, in its discretion, declare the entire unpaid amount of such assessment immediately due and payable. Assessments or installments thereof that are more than thirty (30) days past due shall bear interest at the rate of eight percent (8%) per annum, or any other legal rate that may be set by the Board, from the end of</w:t>
      </w:r>
      <w:r>
        <w:rPr>
          <w:color w:val="231F20"/>
          <w:spacing w:val="-16"/>
        </w:rPr>
        <w:t> </w:t>
      </w:r>
      <w:r>
        <w:rPr>
          <w:color w:val="231F20"/>
        </w:rPr>
        <w:t>such</w:t>
      </w:r>
    </w:p>
    <w:p>
      <w:pPr>
        <w:spacing w:after="0"/>
        <w:sectPr>
          <w:footerReference w:type="default" r:id="rId22"/>
          <w:pgSz w:w="12240" w:h="15840"/>
          <w:pgMar w:footer="948" w:header="0" w:top="1400" w:bottom="1140" w:left="1220" w:right="480"/>
          <w:pgNumType w:start="2"/>
        </w:sectPr>
      </w:pPr>
    </w:p>
    <w:p>
      <w:pPr>
        <w:pStyle w:val="BodyText"/>
        <w:spacing w:before="39"/>
        <w:ind w:left="1300" w:right="952" w:hanging="1"/>
      </w:pPr>
      <w:r>
        <w:rPr>
          <w:color w:val="231F20"/>
        </w:rPr>
        <w:t>30-day period until paid. If any assessments or installments thereof are more than thirty (30) days past due, and regardless of whether acceleration has occurred, the lien of such assessment and interest thereon may be foreclosed by the Board or by the manager employed by the Board pursuant to the By-laws, acting on behalf of the Association, in the manner provided in the Minnesota statutes for foreclosure of a mortgage lien by advertisement. The Association shall have the power to bid for the apartment at any foreclosure sale, and to acquire and hold, lease, mortgage and convey the same. Suits to recover a money judgment for unpaid assessments with interest and all costs of collection including reasonable attorneys' fees shall be maintainable by the Association without foreclosing or waiving the lien securing the same.</w:t>
      </w:r>
    </w:p>
    <w:p>
      <w:pPr>
        <w:pStyle w:val="BodyText"/>
        <w:spacing w:before="1"/>
      </w:pPr>
    </w:p>
    <w:p>
      <w:pPr>
        <w:pStyle w:val="ListParagraph"/>
        <w:numPr>
          <w:ilvl w:val="0"/>
          <w:numId w:val="18"/>
        </w:numPr>
        <w:tabs>
          <w:tab w:pos="1301" w:val="left" w:leader="none"/>
        </w:tabs>
        <w:spacing w:line="240" w:lineRule="auto" w:before="1" w:after="0"/>
        <w:ind w:left="1300" w:right="0" w:hanging="361"/>
        <w:jc w:val="left"/>
        <w:rPr>
          <w:sz w:val="24"/>
        </w:rPr>
      </w:pPr>
      <w:r>
        <w:rPr>
          <w:color w:val="231F20"/>
          <w:sz w:val="24"/>
        </w:rPr>
        <w:t>Paragraph a of Section 5 of the By-laws is hereby amended to include the</w:t>
      </w:r>
      <w:r>
        <w:rPr>
          <w:color w:val="231F20"/>
          <w:spacing w:val="-20"/>
          <w:sz w:val="24"/>
        </w:rPr>
        <w:t> </w:t>
      </w:r>
      <w:r>
        <w:rPr>
          <w:color w:val="231F20"/>
          <w:sz w:val="24"/>
        </w:rPr>
        <w:t>following:</w:t>
      </w:r>
    </w:p>
    <w:p>
      <w:pPr>
        <w:pStyle w:val="BodyText"/>
        <w:spacing w:before="11"/>
        <w:rPr>
          <w:sz w:val="23"/>
        </w:rPr>
      </w:pPr>
    </w:p>
    <w:p>
      <w:pPr>
        <w:pStyle w:val="BodyText"/>
        <w:ind w:left="1300" w:right="1161" w:firstLine="359"/>
        <w:jc w:val="both"/>
      </w:pPr>
      <w:r>
        <w:rPr>
          <w:color w:val="231F20"/>
        </w:rPr>
        <w:t>(19) To declare the entire unpaid amount of any assessment due and payable in full from any apartment owner who is more than thirty (30) days past due in the payment of any annual or special assessment or installment</w:t>
      </w:r>
      <w:r>
        <w:rPr>
          <w:color w:val="231F20"/>
          <w:spacing w:val="-8"/>
        </w:rPr>
        <w:t> </w:t>
      </w:r>
      <w:r>
        <w:rPr>
          <w:color w:val="231F20"/>
        </w:rPr>
        <w:t>thereof.</w:t>
      </w:r>
    </w:p>
    <w:p>
      <w:pPr>
        <w:pStyle w:val="BodyText"/>
      </w:pPr>
    </w:p>
    <w:p>
      <w:pPr>
        <w:pStyle w:val="ListParagraph"/>
        <w:numPr>
          <w:ilvl w:val="0"/>
          <w:numId w:val="18"/>
        </w:numPr>
        <w:tabs>
          <w:tab w:pos="1301" w:val="left" w:leader="none"/>
        </w:tabs>
        <w:spacing w:line="240" w:lineRule="auto" w:before="0" w:after="0"/>
        <w:ind w:left="1301" w:right="0" w:hanging="361"/>
        <w:jc w:val="left"/>
        <w:rPr>
          <w:sz w:val="24"/>
        </w:rPr>
      </w:pPr>
      <w:r>
        <w:rPr>
          <w:color w:val="231F20"/>
          <w:sz w:val="24"/>
        </w:rPr>
        <w:t>Paragraph b of Section 3 of the By-laws is hereby amended to read as</w:t>
      </w:r>
      <w:r>
        <w:rPr>
          <w:color w:val="231F20"/>
          <w:spacing w:val="-16"/>
          <w:sz w:val="24"/>
        </w:rPr>
        <w:t> </w:t>
      </w:r>
      <w:r>
        <w:rPr>
          <w:color w:val="231F20"/>
          <w:sz w:val="24"/>
        </w:rPr>
        <w:t>follows:</w:t>
      </w:r>
    </w:p>
    <w:p>
      <w:pPr>
        <w:pStyle w:val="BodyText"/>
        <w:spacing w:before="11"/>
        <w:rPr>
          <w:sz w:val="23"/>
        </w:rPr>
      </w:pPr>
    </w:p>
    <w:p>
      <w:pPr>
        <w:pStyle w:val="BodyText"/>
        <w:spacing w:before="1"/>
        <w:ind w:left="1300" w:right="1108" w:firstLine="359"/>
      </w:pPr>
      <w:r>
        <w:rPr>
          <w:color w:val="231F20"/>
        </w:rPr>
        <w:t>b. Commencing in the year following the annual meeting described in Paragraph a above, the annual meeting of the members shall be held on a Saturday in April at such time and in such place as specified by the Board of Directors for the purpose of electing a Board of Directors and transacting any other business authorized to be transacted by the members.</w:t>
      </w:r>
    </w:p>
    <w:p>
      <w:pPr>
        <w:pStyle w:val="BodyText"/>
        <w:spacing w:before="1"/>
      </w:pPr>
    </w:p>
    <w:p>
      <w:pPr>
        <w:pStyle w:val="ListParagraph"/>
        <w:numPr>
          <w:ilvl w:val="0"/>
          <w:numId w:val="18"/>
        </w:numPr>
        <w:tabs>
          <w:tab w:pos="1301" w:val="left" w:leader="none"/>
        </w:tabs>
        <w:spacing w:line="240" w:lineRule="auto" w:before="0" w:after="0"/>
        <w:ind w:left="1300" w:right="0" w:hanging="361"/>
        <w:jc w:val="left"/>
        <w:rPr>
          <w:sz w:val="24"/>
        </w:rPr>
      </w:pPr>
      <w:r>
        <w:rPr>
          <w:color w:val="231F20"/>
          <w:sz w:val="24"/>
        </w:rPr>
        <w:t>All other terms and provisions of the Declaration and the By-laws remain the</w:t>
      </w:r>
      <w:r>
        <w:rPr>
          <w:color w:val="231F20"/>
          <w:spacing w:val="-14"/>
          <w:sz w:val="24"/>
        </w:rPr>
        <w:t> </w:t>
      </w:r>
      <w:r>
        <w:rPr>
          <w:color w:val="231F20"/>
          <w:sz w:val="24"/>
        </w:rPr>
        <w:t>same.</w:t>
      </w:r>
    </w:p>
    <w:p>
      <w:pPr>
        <w:spacing w:after="0" w:line="240" w:lineRule="auto"/>
        <w:jc w:val="left"/>
        <w:rPr>
          <w:sz w:val="24"/>
        </w:rPr>
        <w:sectPr>
          <w:pgSz w:w="12240" w:h="15840"/>
          <w:pgMar w:header="0" w:footer="948" w:top="1400" w:bottom="1140" w:left="1220" w:right="480"/>
        </w:sectPr>
      </w:pPr>
    </w:p>
    <w:p>
      <w:pPr>
        <w:pStyle w:val="BodyText"/>
        <w:ind w:left="220"/>
        <w:rPr>
          <w:sz w:val="20"/>
        </w:rPr>
      </w:pPr>
      <w:r>
        <w:rPr>
          <w:sz w:val="20"/>
        </w:rPr>
        <w:drawing>
          <wp:inline distT="0" distB="0" distL="0" distR="0">
            <wp:extent cx="6229927" cy="5632704"/>
            <wp:effectExtent l="0" t="0" r="0" b="0"/>
            <wp:docPr id="27" name="image10.jpeg"/>
            <wp:cNvGraphicFramePr>
              <a:graphicFrameLocks noChangeAspect="1"/>
            </wp:cNvGraphicFramePr>
            <a:graphic>
              <a:graphicData uri="http://schemas.openxmlformats.org/drawingml/2006/picture">
                <pic:pic>
                  <pic:nvPicPr>
                    <pic:cNvPr id="28" name="image10.jpeg"/>
                    <pic:cNvPicPr/>
                  </pic:nvPicPr>
                  <pic:blipFill>
                    <a:blip r:embed="rId24" cstate="print"/>
                    <a:stretch>
                      <a:fillRect/>
                    </a:stretch>
                  </pic:blipFill>
                  <pic:spPr>
                    <a:xfrm>
                      <a:off x="0" y="0"/>
                      <a:ext cx="6229927" cy="5632704"/>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2"/>
        <w:ind w:left="3477" w:right="4209"/>
        <w:jc w:val="center"/>
      </w:pPr>
      <w:r>
        <w:rPr>
          <w:color w:val="231F20"/>
        </w:rPr>
        <w:t>-4-</w:t>
      </w:r>
    </w:p>
    <w:p>
      <w:pPr>
        <w:spacing w:after="0"/>
        <w:jc w:val="center"/>
        <w:sectPr>
          <w:footerReference w:type="default" r:id="rId23"/>
          <w:pgSz w:w="12240" w:h="15840"/>
          <w:pgMar w:footer="622" w:header="0" w:top="1440" w:bottom="820" w:left="1220" w:right="480"/>
        </w:sectPr>
      </w:pPr>
    </w:p>
    <w:p>
      <w:pPr>
        <w:pStyle w:val="BodyText"/>
        <w:spacing w:line="439" w:lineRule="auto" w:before="86"/>
        <w:ind w:left="2884" w:right="3650" w:hanging="126"/>
        <w:rPr>
          <w:rFonts w:ascii="Courier New"/>
        </w:rPr>
      </w:pPr>
      <w:r>
        <w:rPr>
          <w:rFonts w:ascii="Courier New"/>
          <w:color w:val="211F21"/>
        </w:rPr>
        <w:t>APARTMENT</w:t>
      </w:r>
      <w:r>
        <w:rPr>
          <w:rFonts w:ascii="Courier New"/>
          <w:color w:val="211F21"/>
          <w:spacing w:val="-77"/>
        </w:rPr>
        <w:t> </w:t>
      </w:r>
      <w:r>
        <w:rPr>
          <w:rFonts w:ascii="Courier New"/>
          <w:color w:val="211F21"/>
        </w:rPr>
        <w:t>OWNERSHIP</w:t>
      </w:r>
      <w:r>
        <w:rPr>
          <w:rFonts w:ascii="Courier New"/>
          <w:color w:val="211F21"/>
          <w:spacing w:val="-64"/>
        </w:rPr>
        <w:t> </w:t>
      </w:r>
      <w:r>
        <w:rPr>
          <w:rFonts w:ascii="Courier New"/>
          <w:color w:val="211F21"/>
        </w:rPr>
        <w:t>NUMBER</w:t>
      </w:r>
      <w:r>
        <w:rPr>
          <w:rFonts w:ascii="Courier New"/>
          <w:color w:val="211F21"/>
          <w:spacing w:val="-68"/>
        </w:rPr>
        <w:t> </w:t>
      </w:r>
      <w:r>
        <w:rPr>
          <w:rFonts w:ascii="Courier New"/>
          <w:color w:val="211F21"/>
        </w:rPr>
        <w:t>120 </w:t>
      </w:r>
      <w:r>
        <w:rPr>
          <w:rFonts w:ascii="Courier New"/>
          <w:color w:val="211F21"/>
          <w:u w:val="thick" w:color="211F21"/>
        </w:rPr>
        <w:t>COLONY</w:t>
      </w:r>
      <w:r>
        <w:rPr>
          <w:rFonts w:ascii="Courier New"/>
          <w:color w:val="211F21"/>
          <w:spacing w:val="-55"/>
          <w:u w:val="thick" w:color="211F21"/>
        </w:rPr>
        <w:t> </w:t>
      </w:r>
      <w:r>
        <w:rPr>
          <w:rFonts w:ascii="Courier New"/>
          <w:color w:val="211F21"/>
          <w:u w:val="thick" w:color="211F21"/>
        </w:rPr>
        <w:t>AT</w:t>
      </w:r>
      <w:r>
        <w:rPr>
          <w:rFonts w:ascii="Courier New"/>
          <w:color w:val="211F21"/>
          <w:spacing w:val="-61"/>
          <w:u w:val="thick" w:color="211F21"/>
        </w:rPr>
        <w:t> </w:t>
      </w:r>
      <w:r>
        <w:rPr>
          <w:rFonts w:ascii="Courier New"/>
          <w:color w:val="211F21"/>
          <w:u w:val="thick" w:color="211F21"/>
        </w:rPr>
        <w:t>EDINA</w:t>
      </w:r>
      <w:r>
        <w:rPr>
          <w:rFonts w:ascii="Courier New"/>
          <w:color w:val="211F21"/>
          <w:spacing w:val="-61"/>
          <w:u w:val="thick" w:color="211F21"/>
        </w:rPr>
        <w:t> </w:t>
      </w:r>
      <w:r>
        <w:rPr>
          <w:rFonts w:ascii="Courier New"/>
          <w:color w:val="211F21"/>
          <w:u w:val="thick" w:color="211F21"/>
        </w:rPr>
        <w:t>CONDOMINIUMS</w:t>
      </w:r>
    </w:p>
    <w:p>
      <w:pPr>
        <w:pStyle w:val="BodyText"/>
        <w:spacing w:line="220" w:lineRule="exact"/>
        <w:ind w:left="400"/>
        <w:rPr>
          <w:rFonts w:ascii="Courier New"/>
        </w:rPr>
      </w:pPr>
      <w:r>
        <w:rPr>
          <w:rFonts w:ascii="Courier New"/>
          <w:color w:val="211F21"/>
        </w:rPr>
        <w:t>STATE OF</w:t>
      </w:r>
      <w:r>
        <w:rPr>
          <w:rFonts w:ascii="Courier New"/>
          <w:color w:val="211F21"/>
          <w:spacing w:val="-60"/>
        </w:rPr>
        <w:t> </w:t>
      </w:r>
      <w:r>
        <w:rPr>
          <w:rFonts w:ascii="Courier New"/>
          <w:color w:val="211F21"/>
        </w:rPr>
        <w:t>MINNESOTA)</w:t>
      </w:r>
    </w:p>
    <w:p>
      <w:pPr>
        <w:pStyle w:val="BodyText"/>
        <w:spacing w:line="235" w:lineRule="exact"/>
        <w:ind w:left="2893"/>
        <w:rPr>
          <w:rFonts w:ascii="Courier New"/>
        </w:rPr>
      </w:pPr>
      <w:r>
        <w:rPr>
          <w:rFonts w:ascii="Courier New"/>
          <w:color w:val="211F21"/>
        </w:rPr>
        <w:t>) ss.</w:t>
      </w:r>
    </w:p>
    <w:p>
      <w:pPr>
        <w:pStyle w:val="BodyText"/>
        <w:tabs>
          <w:tab w:pos="5208" w:val="left" w:leader="none"/>
        </w:tabs>
        <w:spacing w:line="196" w:lineRule="auto" w:before="15"/>
        <w:ind w:left="5897" w:right="1868" w:hanging="5505"/>
        <w:rPr>
          <w:rFonts w:ascii="Courier New"/>
        </w:rPr>
      </w:pPr>
      <w:r>
        <w:rPr>
          <w:rFonts w:ascii="Courier New"/>
          <w:color w:val="211F21"/>
        </w:rPr>
        <w:t>COUNTY</w:t>
      </w:r>
      <w:r>
        <w:rPr>
          <w:rFonts w:ascii="Courier New"/>
          <w:color w:val="211F21"/>
          <w:spacing w:val="-44"/>
        </w:rPr>
        <w:t> </w:t>
      </w:r>
      <w:r>
        <w:rPr>
          <w:rFonts w:ascii="Courier New"/>
          <w:color w:val="211F21"/>
        </w:rPr>
        <w:t>OF</w:t>
      </w:r>
      <w:r>
        <w:rPr>
          <w:rFonts w:ascii="Courier New"/>
          <w:color w:val="211F21"/>
          <w:spacing w:val="-46"/>
        </w:rPr>
        <w:t> </w:t>
      </w:r>
      <w:r>
        <w:rPr>
          <w:rFonts w:ascii="Courier New"/>
          <w:color w:val="211F21"/>
        </w:rPr>
        <w:t>HENNEPIN)</w:t>
        <w:tab/>
        <w:t>AFFIDAVIT</w:t>
      </w:r>
      <w:r>
        <w:rPr>
          <w:rFonts w:ascii="Courier New"/>
          <w:color w:val="211F21"/>
          <w:spacing w:val="-46"/>
        </w:rPr>
        <w:t> </w:t>
      </w:r>
      <w:r>
        <w:rPr>
          <w:rFonts w:ascii="Courier New"/>
          <w:color w:val="211F21"/>
        </w:rPr>
        <w:t>OF</w:t>
      </w:r>
      <w:r>
        <w:rPr>
          <w:rFonts w:ascii="Courier New"/>
          <w:color w:val="211F21"/>
          <w:spacing w:val="-65"/>
        </w:rPr>
        <w:t> </w:t>
      </w:r>
      <w:r>
        <w:rPr>
          <w:rFonts w:ascii="Courier New"/>
          <w:color w:val="211F21"/>
        </w:rPr>
        <w:t>SECRETARY</w:t>
      </w:r>
      <w:r>
        <w:rPr>
          <w:rFonts w:ascii="Courier New"/>
          <w:color w:val="211F21"/>
          <w:spacing w:val="-44"/>
        </w:rPr>
        <w:t> </w:t>
      </w:r>
      <w:r>
        <w:rPr>
          <w:rFonts w:ascii="Courier New"/>
          <w:color w:val="211F21"/>
        </w:rPr>
        <w:t>OF COLONY AT</w:t>
      </w:r>
      <w:r>
        <w:rPr>
          <w:rFonts w:ascii="Courier New"/>
          <w:color w:val="211F21"/>
          <w:spacing w:val="-55"/>
        </w:rPr>
        <w:t> </w:t>
      </w:r>
      <w:r>
        <w:rPr>
          <w:rFonts w:ascii="Courier New"/>
          <w:color w:val="211F21"/>
        </w:rPr>
        <w:t>EDINA</w:t>
      </w:r>
    </w:p>
    <w:p>
      <w:pPr>
        <w:spacing w:line="239" w:lineRule="exact" w:before="0"/>
        <w:ind w:left="5363" w:right="0" w:firstLine="0"/>
        <w:jc w:val="left"/>
        <w:rPr>
          <w:rFonts w:ascii="Courier New"/>
          <w:b/>
          <w:sz w:val="22"/>
        </w:rPr>
      </w:pPr>
      <w:r>
        <w:rPr>
          <w:rFonts w:ascii="Courier New"/>
          <w:b/>
          <w:color w:val="211F21"/>
          <w:w w:val="105"/>
          <w:sz w:val="22"/>
        </w:rPr>
        <w:t>CONDOMINIUM</w:t>
      </w:r>
      <w:r>
        <w:rPr>
          <w:rFonts w:ascii="Courier New"/>
          <w:b/>
          <w:color w:val="211F21"/>
          <w:spacing w:val="-58"/>
          <w:w w:val="105"/>
          <w:sz w:val="22"/>
        </w:rPr>
        <w:t> </w:t>
      </w:r>
      <w:r>
        <w:rPr>
          <w:rFonts w:ascii="Courier New"/>
          <w:b/>
          <w:color w:val="211F21"/>
          <w:w w:val="105"/>
          <w:sz w:val="22"/>
        </w:rPr>
        <w:t>ASSOCIATION</w:t>
      </w:r>
    </w:p>
    <w:p>
      <w:pPr>
        <w:pStyle w:val="BodyText"/>
        <w:spacing w:before="7"/>
        <w:rPr>
          <w:rFonts w:ascii="Courier New"/>
          <w:b/>
          <w:sz w:val="20"/>
        </w:rPr>
      </w:pPr>
    </w:p>
    <w:p>
      <w:pPr>
        <w:pStyle w:val="BodyText"/>
        <w:spacing w:line="204" w:lineRule="auto"/>
        <w:ind w:left="5216" w:right="1463" w:hanging="683"/>
        <w:rPr>
          <w:rFonts w:ascii="Courier New"/>
        </w:rPr>
      </w:pPr>
      <w:r>
        <w:rPr>
          <w:rFonts w:ascii="Courier New"/>
          <w:color w:val="211F21"/>
        </w:rPr>
        <w:t>Pursuant</w:t>
      </w:r>
      <w:r>
        <w:rPr>
          <w:rFonts w:ascii="Courier New"/>
          <w:color w:val="211F21"/>
          <w:spacing w:val="-72"/>
        </w:rPr>
        <w:t> </w:t>
      </w:r>
      <w:r>
        <w:rPr>
          <w:rFonts w:ascii="Courier New"/>
          <w:color w:val="211F21"/>
        </w:rPr>
        <w:t>to</w:t>
      </w:r>
      <w:r>
        <w:rPr>
          <w:rFonts w:ascii="Courier New"/>
          <w:color w:val="211F21"/>
          <w:spacing w:val="-86"/>
        </w:rPr>
        <w:t> </w:t>
      </w:r>
      <w:r>
        <w:rPr>
          <w:rFonts w:ascii="Courier New"/>
          <w:color w:val="211F21"/>
        </w:rPr>
        <w:t>Section</w:t>
      </w:r>
      <w:r>
        <w:rPr>
          <w:rFonts w:ascii="Courier New"/>
          <w:color w:val="211F21"/>
          <w:spacing w:val="-71"/>
        </w:rPr>
        <w:t> </w:t>
      </w:r>
      <w:r>
        <w:rPr>
          <w:rFonts w:ascii="Courier New"/>
          <w:color w:val="211F21"/>
        </w:rPr>
        <w:t>515A.2-ll9(e) of the Minnesota</w:t>
      </w:r>
      <w:r>
        <w:rPr>
          <w:rFonts w:ascii="Courier New"/>
          <w:color w:val="211F21"/>
          <w:spacing w:val="-84"/>
        </w:rPr>
        <w:t> </w:t>
      </w:r>
      <w:r>
        <w:rPr>
          <w:rFonts w:ascii="Courier New"/>
          <w:color w:val="211F21"/>
        </w:rPr>
        <w:t>Uniform</w:t>
      </w:r>
    </w:p>
    <w:p>
      <w:pPr>
        <w:pStyle w:val="BodyText"/>
        <w:spacing w:line="242" w:lineRule="exact"/>
        <w:ind w:left="5788"/>
        <w:rPr>
          <w:rFonts w:ascii="Courier New"/>
        </w:rPr>
      </w:pPr>
      <w:r>
        <w:rPr>
          <w:rFonts w:ascii="Courier New"/>
          <w:color w:val="211F21"/>
        </w:rPr>
        <w:t>Condominium Act</w:t>
      </w:r>
    </w:p>
    <w:p>
      <w:pPr>
        <w:pStyle w:val="BodyText"/>
        <w:spacing w:before="5"/>
        <w:rPr>
          <w:rFonts w:ascii="Courier New"/>
          <w:sz w:val="13"/>
        </w:rPr>
      </w:pPr>
      <w:r>
        <w:rPr/>
        <w:pict>
          <v:shape style="position:absolute;margin-left:79.940125pt;margin-top:10.126736pt;width:450.05pt;height:.1pt;mso-position-horizontal-relative:page;mso-position-vertical-relative:paragraph;z-index:-251650048;mso-wrap-distance-left:0;mso-wrap-distance-right:0" coordorigin="1599,203" coordsize="9001,0" path="m1599,203l10600,203e" filled="false" stroked="true" strokeweight="1.08247pt" strokecolor="#000000">
            <v:path arrowok="t"/>
            <v:stroke dashstyle="solid"/>
            <w10:wrap type="topAndBottom"/>
          </v:shape>
        </w:pict>
      </w:r>
    </w:p>
    <w:p>
      <w:pPr>
        <w:pStyle w:val="BodyText"/>
        <w:spacing w:line="211" w:lineRule="auto" w:before="195"/>
        <w:ind w:left="399" w:right="1292" w:firstLine="1937"/>
        <w:jc w:val="both"/>
        <w:rPr>
          <w:rFonts w:ascii="Courier New"/>
        </w:rPr>
      </w:pPr>
      <w:r>
        <w:rPr>
          <w:rFonts w:ascii="Courier New"/>
          <w:color w:val="211F21"/>
        </w:rPr>
        <w:t>Polly</w:t>
      </w:r>
      <w:r>
        <w:rPr>
          <w:rFonts w:ascii="Courier New"/>
          <w:color w:val="211F21"/>
          <w:spacing w:val="-30"/>
        </w:rPr>
        <w:t> </w:t>
      </w:r>
      <w:r>
        <w:rPr>
          <w:rFonts w:ascii="Courier New"/>
          <w:color w:val="211F21"/>
        </w:rPr>
        <w:t>Berg,</w:t>
      </w:r>
      <w:r>
        <w:rPr>
          <w:rFonts w:ascii="Courier New"/>
          <w:color w:val="211F21"/>
          <w:spacing w:val="-47"/>
        </w:rPr>
        <w:t> </w:t>
      </w:r>
      <w:r>
        <w:rPr>
          <w:rFonts w:ascii="Courier New"/>
          <w:color w:val="211F21"/>
        </w:rPr>
        <w:t>being</w:t>
      </w:r>
      <w:r>
        <w:rPr>
          <w:rFonts w:ascii="Courier New"/>
          <w:color w:val="211F21"/>
          <w:spacing w:val="-35"/>
        </w:rPr>
        <w:t> </w:t>
      </w:r>
      <w:r>
        <w:rPr>
          <w:rFonts w:ascii="Courier New"/>
          <w:color w:val="211F21"/>
        </w:rPr>
        <w:t>duly</w:t>
      </w:r>
      <w:r>
        <w:rPr>
          <w:rFonts w:ascii="Courier New"/>
          <w:color w:val="211F21"/>
          <w:spacing w:val="-31"/>
        </w:rPr>
        <w:t> </w:t>
      </w:r>
      <w:r>
        <w:rPr>
          <w:rFonts w:ascii="Courier New"/>
          <w:color w:val="211F21"/>
        </w:rPr>
        <w:t>sworn</w:t>
      </w:r>
      <w:r>
        <w:rPr>
          <w:rFonts w:ascii="Courier New"/>
          <w:color w:val="211F21"/>
          <w:spacing w:val="-51"/>
        </w:rPr>
        <w:t> </w:t>
      </w:r>
      <w:r>
        <w:rPr>
          <w:rFonts w:ascii="Courier New"/>
          <w:color w:val="211F21"/>
        </w:rPr>
        <w:t>on</w:t>
      </w:r>
      <w:r>
        <w:rPr>
          <w:rFonts w:ascii="Courier New"/>
          <w:color w:val="211F21"/>
          <w:spacing w:val="-51"/>
        </w:rPr>
        <w:t> </w:t>
      </w:r>
      <w:r>
        <w:rPr>
          <w:rFonts w:ascii="Courier New"/>
          <w:color w:val="211F21"/>
        </w:rPr>
        <w:t>oath,</w:t>
      </w:r>
      <w:r>
        <w:rPr>
          <w:rFonts w:ascii="Courier New"/>
          <w:color w:val="211F21"/>
          <w:spacing w:val="-55"/>
        </w:rPr>
        <w:t> </w:t>
      </w:r>
      <w:r>
        <w:rPr>
          <w:rFonts w:ascii="Courier New"/>
          <w:color w:val="211F21"/>
        </w:rPr>
        <w:t>disposes</w:t>
      </w:r>
      <w:r>
        <w:rPr>
          <w:rFonts w:ascii="Courier New"/>
          <w:color w:val="211F21"/>
          <w:spacing w:val="-39"/>
        </w:rPr>
        <w:t> </w:t>
      </w:r>
      <w:r>
        <w:rPr>
          <w:rFonts w:ascii="Courier New"/>
          <w:color w:val="211F21"/>
        </w:rPr>
        <w:t>and says</w:t>
      </w:r>
      <w:r>
        <w:rPr>
          <w:rFonts w:ascii="Courier New"/>
          <w:color w:val="211F21"/>
          <w:spacing w:val="-39"/>
        </w:rPr>
        <w:t> </w:t>
      </w:r>
      <w:r>
        <w:rPr>
          <w:rFonts w:ascii="Courier New"/>
          <w:color w:val="211F21"/>
        </w:rPr>
        <w:t>that:</w:t>
      </w:r>
      <w:r>
        <w:rPr>
          <w:rFonts w:ascii="Courier New"/>
          <w:color w:val="211F21"/>
          <w:spacing w:val="78"/>
        </w:rPr>
        <w:t> </w:t>
      </w:r>
      <w:r>
        <w:rPr>
          <w:rFonts w:ascii="Courier New"/>
          <w:color w:val="211F21"/>
        </w:rPr>
        <w:t>she</w:t>
      </w:r>
      <w:r>
        <w:rPr>
          <w:rFonts w:ascii="Courier New"/>
          <w:color w:val="211F21"/>
          <w:spacing w:val="-31"/>
        </w:rPr>
        <w:t> </w:t>
      </w:r>
      <w:r>
        <w:rPr>
          <w:rFonts w:ascii="Courier New"/>
          <w:color w:val="211F21"/>
        </w:rPr>
        <w:t>is</w:t>
      </w:r>
      <w:r>
        <w:rPr>
          <w:rFonts w:ascii="Courier New"/>
          <w:color w:val="211F21"/>
          <w:spacing w:val="-32"/>
        </w:rPr>
        <w:t> </w:t>
      </w:r>
      <w:r>
        <w:rPr>
          <w:rFonts w:ascii="Courier New"/>
          <w:color w:val="211F21"/>
        </w:rPr>
        <w:t>the</w:t>
      </w:r>
      <w:r>
        <w:rPr>
          <w:rFonts w:ascii="Courier New"/>
          <w:color w:val="211F21"/>
          <w:spacing w:val="-42"/>
        </w:rPr>
        <w:t> </w:t>
      </w:r>
      <w:r>
        <w:rPr>
          <w:rFonts w:ascii="Courier New"/>
          <w:color w:val="211F21"/>
        </w:rPr>
        <w:t>duly</w:t>
      </w:r>
      <w:r>
        <w:rPr>
          <w:rFonts w:ascii="Courier New"/>
          <w:color w:val="211F21"/>
          <w:spacing w:val="-34"/>
        </w:rPr>
        <w:t> </w:t>
      </w:r>
      <w:r>
        <w:rPr>
          <w:rFonts w:ascii="Courier New"/>
          <w:color w:val="211F21"/>
        </w:rPr>
        <w:t>elected</w:t>
      </w:r>
      <w:r>
        <w:rPr>
          <w:rFonts w:ascii="Courier New"/>
          <w:color w:val="211F21"/>
          <w:spacing w:val="-22"/>
        </w:rPr>
        <w:t> </w:t>
      </w:r>
      <w:r>
        <w:rPr>
          <w:rFonts w:ascii="Courier New"/>
          <w:color w:val="211F21"/>
        </w:rPr>
        <w:t>and</w:t>
      </w:r>
      <w:r>
        <w:rPr>
          <w:rFonts w:ascii="Courier New"/>
          <w:color w:val="211F21"/>
          <w:spacing w:val="-35"/>
        </w:rPr>
        <w:t> </w:t>
      </w:r>
      <w:r>
        <w:rPr>
          <w:rFonts w:ascii="Courier New"/>
          <w:color w:val="211F21"/>
        </w:rPr>
        <w:t>acting</w:t>
      </w:r>
      <w:r>
        <w:rPr>
          <w:rFonts w:ascii="Courier New"/>
          <w:color w:val="211F21"/>
          <w:spacing w:val="-33"/>
        </w:rPr>
        <w:t> </w:t>
      </w:r>
      <w:r>
        <w:rPr>
          <w:rFonts w:ascii="Courier New"/>
          <w:color w:val="211F21"/>
        </w:rPr>
        <w:t>Secretary</w:t>
      </w:r>
      <w:r>
        <w:rPr>
          <w:rFonts w:ascii="Courier New"/>
          <w:color w:val="211F21"/>
          <w:spacing w:val="-33"/>
        </w:rPr>
        <w:t> </w:t>
      </w:r>
      <w:r>
        <w:rPr>
          <w:rFonts w:ascii="Courier New"/>
          <w:color w:val="211F21"/>
        </w:rPr>
        <w:t>of</w:t>
      </w:r>
      <w:r>
        <w:rPr>
          <w:rFonts w:ascii="Courier New"/>
          <w:color w:val="211F21"/>
          <w:spacing w:val="-51"/>
        </w:rPr>
        <w:t> </w:t>
      </w:r>
      <w:r>
        <w:rPr>
          <w:rFonts w:ascii="Courier New"/>
          <w:color w:val="211F21"/>
        </w:rPr>
        <w:t>The Colony</w:t>
      </w:r>
      <w:r>
        <w:rPr>
          <w:rFonts w:ascii="Courier New"/>
          <w:color w:val="211F21"/>
          <w:spacing w:val="-59"/>
        </w:rPr>
        <w:t> </w:t>
      </w:r>
      <w:r>
        <w:rPr>
          <w:rFonts w:ascii="Courier New"/>
          <w:color w:val="211F21"/>
        </w:rPr>
        <w:t>at</w:t>
      </w:r>
      <w:r>
        <w:rPr>
          <w:rFonts w:ascii="Courier New"/>
          <w:color w:val="211F21"/>
          <w:spacing w:val="-61"/>
        </w:rPr>
        <w:t> </w:t>
      </w:r>
      <w:r>
        <w:rPr>
          <w:rFonts w:ascii="Courier New"/>
          <w:color w:val="211F21"/>
        </w:rPr>
        <w:t>Edina</w:t>
      </w:r>
      <w:r>
        <w:rPr>
          <w:rFonts w:ascii="Courier New"/>
          <w:color w:val="211F21"/>
          <w:spacing w:val="-57"/>
        </w:rPr>
        <w:t> </w:t>
      </w:r>
      <w:r>
        <w:rPr>
          <w:rFonts w:ascii="Courier New"/>
          <w:color w:val="211F21"/>
        </w:rPr>
        <w:t>Condominium</w:t>
      </w:r>
      <w:r>
        <w:rPr>
          <w:rFonts w:ascii="Courier New"/>
          <w:color w:val="211F21"/>
          <w:spacing w:val="-46"/>
        </w:rPr>
        <w:t> </w:t>
      </w:r>
      <w:r>
        <w:rPr>
          <w:rFonts w:ascii="Courier New"/>
          <w:color w:val="211F21"/>
        </w:rPr>
        <w:t>Association,</w:t>
      </w:r>
      <w:r>
        <w:rPr>
          <w:rFonts w:ascii="Courier New"/>
          <w:color w:val="211F21"/>
          <w:spacing w:val="-55"/>
        </w:rPr>
        <w:t> </w:t>
      </w:r>
      <w:r>
        <w:rPr>
          <w:rFonts w:ascii="Courier New"/>
          <w:color w:val="211F21"/>
        </w:rPr>
        <w:t>a</w:t>
      </w:r>
      <w:r>
        <w:rPr>
          <w:rFonts w:ascii="Courier New"/>
          <w:color w:val="211F21"/>
          <w:spacing w:val="-41"/>
        </w:rPr>
        <w:t> </w:t>
      </w:r>
      <w:r>
        <w:rPr>
          <w:rFonts w:ascii="Courier New"/>
          <w:color w:val="211F21"/>
        </w:rPr>
        <w:t>Minnesota</w:t>
      </w:r>
      <w:r>
        <w:rPr>
          <w:rFonts w:ascii="Courier New"/>
          <w:color w:val="211F21"/>
          <w:spacing w:val="-46"/>
        </w:rPr>
        <w:t> </w:t>
      </w:r>
      <w:r>
        <w:rPr>
          <w:rFonts w:ascii="Courier New"/>
          <w:color w:val="211F21"/>
        </w:rPr>
        <w:t>non-prifit</w:t>
      </w:r>
    </w:p>
    <w:p>
      <w:pPr>
        <w:tabs>
          <w:tab w:pos="3323" w:val="left" w:leader="none"/>
        </w:tabs>
        <w:spacing w:line="196" w:lineRule="exact" w:before="0"/>
        <w:ind w:left="413" w:right="0" w:firstLine="0"/>
        <w:jc w:val="left"/>
        <w:rPr>
          <w:rFonts w:ascii="Times New Roman" w:hAnsi="Times New Roman"/>
          <w:b/>
          <w:sz w:val="23"/>
        </w:rPr>
      </w:pPr>
      <w:r>
        <w:rPr>
          <w:rFonts w:ascii="Times New Roman" w:hAnsi="Times New Roman"/>
          <w:b/>
          <w:color w:val="211F21"/>
          <w:spacing w:val="-1"/>
          <w:w w:val="116"/>
          <w:sz w:val="24"/>
        </w:rPr>
        <w:t>corpc,rati</w:t>
      </w:r>
      <w:r>
        <w:rPr>
          <w:rFonts w:ascii="Times New Roman" w:hAnsi="Times New Roman"/>
          <w:b/>
          <w:color w:val="211F21"/>
          <w:spacing w:val="-21"/>
          <w:w w:val="116"/>
          <w:sz w:val="24"/>
        </w:rPr>
        <w:t>o</w:t>
      </w:r>
      <w:r>
        <w:rPr>
          <w:rFonts w:ascii="Times New Roman" w:hAnsi="Times New Roman"/>
          <w:b/>
          <w:color w:val="595959"/>
          <w:spacing w:val="-129"/>
          <w:w w:val="116"/>
          <w:sz w:val="24"/>
        </w:rPr>
        <w:t>_</w:t>
      </w:r>
      <w:r>
        <w:rPr>
          <w:rFonts w:ascii="Times New Roman" w:hAnsi="Times New Roman"/>
          <w:b/>
          <w:color w:val="211F21"/>
          <w:spacing w:val="-1"/>
          <w:w w:val="116"/>
          <w:sz w:val="24"/>
        </w:rPr>
        <w:t>n.</w:t>
      </w:r>
      <w:r>
        <w:rPr>
          <w:rFonts w:ascii="Times New Roman" w:hAnsi="Times New Roman"/>
          <w:b/>
          <w:color w:val="211F21"/>
          <w:w w:val="116"/>
          <w:sz w:val="24"/>
        </w:rPr>
        <w:t>,</w:t>
      </w:r>
      <w:r>
        <w:rPr>
          <w:rFonts w:ascii="Times New Roman" w:hAnsi="Times New Roman"/>
          <w:b/>
          <w:color w:val="211F21"/>
          <w:spacing w:val="-27"/>
          <w:sz w:val="24"/>
        </w:rPr>
        <w:t> </w:t>
      </w:r>
      <w:r>
        <w:rPr>
          <w:rFonts w:ascii="Times New Roman" w:hAnsi="Times New Roman"/>
          <w:b/>
          <w:color w:val="9E9E9E"/>
          <w:spacing w:val="-10"/>
          <w:w w:val="46"/>
          <w:sz w:val="24"/>
        </w:rPr>
        <w:t>_</w:t>
      </w:r>
      <w:r>
        <w:rPr>
          <w:rFonts w:ascii="Times New Roman" w:hAnsi="Times New Roman"/>
          <w:b/>
          <w:color w:val="211F21"/>
          <w:w w:val="96"/>
          <w:sz w:val="25"/>
        </w:rPr>
        <w:t>1.the.</w:t>
      </w:r>
      <w:r>
        <w:rPr>
          <w:rFonts w:ascii="Times New Roman" w:hAnsi="Times New Roman"/>
          <w:b/>
          <w:color w:val="211F21"/>
          <w:spacing w:val="9"/>
          <w:sz w:val="25"/>
        </w:rPr>
        <w:t> </w:t>
      </w:r>
      <w:r>
        <w:rPr>
          <w:rFonts w:ascii="Times New Roman" w:hAnsi="Times New Roman"/>
          <w:b/>
          <w:color w:val="7B7B7B"/>
          <w:w w:val="86"/>
          <w:sz w:val="25"/>
        </w:rPr>
        <w:t>.</w:t>
      </w:r>
      <w:r>
        <w:rPr>
          <w:rFonts w:ascii="Times New Roman" w:hAnsi="Times New Roman"/>
          <w:b/>
          <w:color w:val="7B7B7B"/>
          <w:sz w:val="25"/>
        </w:rPr>
        <w:t> </w:t>
      </w:r>
      <w:r>
        <w:rPr>
          <w:rFonts w:ascii="Times New Roman" w:hAnsi="Times New Roman"/>
          <w:b/>
          <w:color w:val="7B7B7B"/>
          <w:spacing w:val="-11"/>
          <w:sz w:val="25"/>
        </w:rPr>
        <w:t> </w:t>
      </w:r>
      <w:r>
        <w:rPr>
          <w:rFonts w:ascii="Times New Roman" w:hAnsi="Times New Roman"/>
          <w:b/>
          <w:color w:val="383838"/>
          <w:w w:val="88"/>
          <w:sz w:val="25"/>
        </w:rPr>
        <w:t>A</w:t>
      </w:r>
      <w:r>
        <w:rPr>
          <w:rFonts w:ascii="Times New Roman" w:hAnsi="Times New Roman"/>
          <w:b/>
          <w:color w:val="383838"/>
          <w:sz w:val="25"/>
        </w:rPr>
        <w:tab/>
      </w:r>
      <w:r>
        <w:rPr>
          <w:rFonts w:ascii="Times New Roman" w:hAnsi="Times New Roman"/>
          <w:b/>
          <w:color w:val="383838"/>
          <w:spacing w:val="4"/>
          <w:w w:val="100"/>
          <w:sz w:val="25"/>
        </w:rPr>
        <w:t>o</w:t>
      </w:r>
      <w:r>
        <w:rPr>
          <w:rFonts w:ascii="Times New Roman" w:hAnsi="Times New Roman"/>
          <w:b/>
          <w:color w:val="383838"/>
          <w:w w:val="100"/>
          <w:sz w:val="25"/>
        </w:rPr>
        <w:t>c</w:t>
      </w:r>
      <w:r>
        <w:rPr>
          <w:rFonts w:ascii="Times New Roman" w:hAnsi="Times New Roman"/>
          <w:b/>
          <w:color w:val="383838"/>
          <w:spacing w:val="-25"/>
          <w:sz w:val="25"/>
        </w:rPr>
        <w:t> </w:t>
      </w:r>
      <w:r>
        <w:rPr>
          <w:rFonts w:ascii="Times New Roman" w:hAnsi="Times New Roman"/>
          <w:b/>
          <w:color w:val="383838"/>
          <w:w w:val="100"/>
          <w:sz w:val="25"/>
        </w:rPr>
        <w:t>a</w:t>
      </w:r>
      <w:r>
        <w:rPr>
          <w:rFonts w:ascii="Times New Roman" w:hAnsi="Times New Roman"/>
          <w:b/>
          <w:color w:val="383838"/>
          <w:sz w:val="25"/>
        </w:rPr>
        <w:t> </w:t>
      </w:r>
      <w:r>
        <w:rPr>
          <w:rFonts w:ascii="Times New Roman" w:hAnsi="Times New Roman"/>
          <w:b/>
          <w:color w:val="383838"/>
          <w:spacing w:val="23"/>
          <w:sz w:val="25"/>
        </w:rPr>
        <w:t> </w:t>
      </w:r>
      <w:r>
        <w:rPr>
          <w:rFonts w:ascii="Times New Roman" w:hAnsi="Times New Roman"/>
          <w:b/>
          <w:color w:val="383838"/>
          <w:w w:val="100"/>
          <w:sz w:val="25"/>
        </w:rPr>
        <w:t>t</w:t>
      </w:r>
      <w:r>
        <w:rPr>
          <w:rFonts w:ascii="Times New Roman" w:hAnsi="Times New Roman"/>
          <w:b/>
          <w:color w:val="383838"/>
          <w:spacing w:val="-10"/>
          <w:sz w:val="25"/>
        </w:rPr>
        <w:t> </w:t>
      </w:r>
      <w:r>
        <w:rPr>
          <w:rFonts w:ascii="Times New Roman" w:hAnsi="Times New Roman"/>
          <w:b/>
          <w:color w:val="383838"/>
          <w:w w:val="100"/>
          <w:sz w:val="25"/>
        </w:rPr>
        <w:t>i</w:t>
      </w:r>
      <w:r>
        <w:rPr>
          <w:rFonts w:ascii="Times New Roman" w:hAnsi="Times New Roman"/>
          <w:b/>
          <w:color w:val="383838"/>
          <w:spacing w:val="-7"/>
          <w:sz w:val="25"/>
        </w:rPr>
        <w:t> </w:t>
      </w:r>
      <w:r>
        <w:rPr>
          <w:rFonts w:ascii="Times New Roman" w:hAnsi="Times New Roman"/>
          <w:b/>
          <w:color w:val="383838"/>
          <w:spacing w:val="5"/>
          <w:w w:val="100"/>
          <w:sz w:val="25"/>
        </w:rPr>
        <w:t>o</w:t>
      </w:r>
      <w:r>
        <w:rPr>
          <w:rFonts w:ascii="Times New Roman" w:hAnsi="Times New Roman"/>
          <w:b/>
          <w:color w:val="383838"/>
          <w:spacing w:val="-1"/>
          <w:w w:val="73"/>
          <w:sz w:val="25"/>
        </w:rPr>
        <w:t>n</w:t>
      </w:r>
      <w:r>
        <w:rPr>
          <w:rFonts w:ascii="Times New Roman" w:hAnsi="Times New Roman"/>
          <w:b/>
          <w:color w:val="383838"/>
          <w:spacing w:val="-47"/>
          <w:w w:val="73"/>
          <w:sz w:val="25"/>
        </w:rPr>
        <w:t>_</w:t>
      </w:r>
      <w:r>
        <w:rPr>
          <w:rFonts w:ascii="Times New Roman" w:hAnsi="Times New Roman"/>
          <w:b/>
          <w:color w:val="383838"/>
          <w:spacing w:val="-1"/>
          <w:w w:val="96"/>
          <w:sz w:val="25"/>
        </w:rPr>
        <w:t>"</w:t>
      </w:r>
      <w:r>
        <w:rPr>
          <w:rFonts w:ascii="Times New Roman" w:hAnsi="Times New Roman"/>
          <w:b/>
          <w:color w:val="383838"/>
          <w:spacing w:val="-38"/>
          <w:w w:val="96"/>
          <w:sz w:val="25"/>
        </w:rPr>
        <w:t>l</w:t>
      </w:r>
      <w:r>
        <w:rPr>
          <w:rFonts w:ascii="Times New Roman" w:hAnsi="Times New Roman"/>
          <w:color w:val="211F21"/>
          <w:spacing w:val="-47"/>
          <w:w w:val="96"/>
          <w:sz w:val="25"/>
        </w:rPr>
        <w:t>•</w:t>
      </w:r>
      <w:r>
        <w:rPr>
          <w:rFonts w:ascii="Times New Roman" w:hAnsi="Times New Roman"/>
          <w:b/>
          <w:color w:val="383838"/>
          <w:w w:val="96"/>
          <w:sz w:val="25"/>
        </w:rPr>
        <w:t>.</w:t>
      </w:r>
      <w:r>
        <w:rPr>
          <w:rFonts w:ascii="Times New Roman" w:hAnsi="Times New Roman"/>
          <w:b/>
          <w:color w:val="383838"/>
          <w:sz w:val="25"/>
        </w:rPr>
        <w:t>  </w:t>
      </w:r>
      <w:r>
        <w:rPr>
          <w:rFonts w:ascii="Times New Roman" w:hAnsi="Times New Roman"/>
          <w:b/>
          <w:color w:val="383838"/>
          <w:spacing w:val="-6"/>
          <w:sz w:val="25"/>
        </w:rPr>
        <w:t> </w:t>
      </w:r>
      <w:r>
        <w:rPr>
          <w:rFonts w:ascii="Times New Roman" w:hAnsi="Times New Roman"/>
          <w:b/>
          <w:color w:val="595959"/>
          <w:spacing w:val="-14"/>
          <w:w w:val="67"/>
          <w:sz w:val="24"/>
        </w:rPr>
        <w:t>_</w:t>
      </w:r>
      <w:r>
        <w:rPr>
          <w:rFonts w:ascii="Times New Roman" w:hAnsi="Times New Roman"/>
          <w:b/>
          <w:color w:val="211F21"/>
          <w:w w:val="87"/>
          <w:sz w:val="24"/>
        </w:rPr>
        <w:t>.aJ</w:t>
      </w:r>
      <w:r>
        <w:rPr>
          <w:rFonts w:ascii="Times New Roman" w:hAnsi="Times New Roman"/>
          <w:b/>
          <w:color w:val="211F21"/>
          <w:spacing w:val="-24"/>
          <w:w w:val="87"/>
          <w:sz w:val="24"/>
        </w:rPr>
        <w:t>l</w:t>
      </w:r>
      <w:r>
        <w:rPr>
          <w:rFonts w:ascii="Times New Roman" w:hAnsi="Times New Roman"/>
          <w:b/>
          <w:color w:val="211F21"/>
          <w:w w:val="100"/>
          <w:sz w:val="24"/>
        </w:rPr>
        <w:t>.dJ</w:t>
      </w:r>
      <w:r>
        <w:rPr>
          <w:rFonts w:ascii="Times New Roman" w:hAnsi="Times New Roman"/>
          <w:b/>
          <w:color w:val="211F21"/>
          <w:spacing w:val="-16"/>
          <w:w w:val="100"/>
          <w:sz w:val="24"/>
        </w:rPr>
        <w:t>n</w:t>
      </w:r>
      <w:r>
        <w:rPr>
          <w:rFonts w:ascii="Times New Roman" w:hAnsi="Times New Roman"/>
          <w:b/>
          <w:color w:val="211F21"/>
          <w:w w:val="89"/>
          <w:sz w:val="24"/>
        </w:rPr>
        <w:t>a.</w:t>
      </w:r>
      <w:r>
        <w:rPr>
          <w:rFonts w:ascii="Times New Roman" w:hAnsi="Times New Roman"/>
          <w:b/>
          <w:color w:val="211F21"/>
          <w:sz w:val="24"/>
        </w:rPr>
        <w:t> </w:t>
      </w:r>
      <w:r>
        <w:rPr>
          <w:rFonts w:ascii="Times New Roman" w:hAnsi="Times New Roman"/>
          <w:b/>
          <w:color w:val="211F21"/>
          <w:spacing w:val="-5"/>
          <w:sz w:val="24"/>
        </w:rPr>
        <w:t> </w:t>
      </w:r>
      <w:r>
        <w:rPr>
          <w:rFonts w:ascii="Times New Roman" w:hAnsi="Times New Roman"/>
          <w:b/>
          <w:color w:val="211F21"/>
          <w:spacing w:val="-1"/>
          <w:w w:val="101"/>
          <w:sz w:val="24"/>
        </w:rPr>
        <w:t>e.</w:t>
      </w:r>
      <w:r>
        <w:rPr>
          <w:rFonts w:ascii="Times New Roman" w:hAnsi="Times New Roman"/>
          <w:b/>
          <w:color w:val="211F21"/>
          <w:w w:val="101"/>
          <w:sz w:val="24"/>
        </w:rPr>
        <w:t>s</w:t>
      </w:r>
      <w:r>
        <w:rPr>
          <w:rFonts w:ascii="Times New Roman" w:hAnsi="Times New Roman"/>
          <w:b/>
          <w:color w:val="211F21"/>
          <w:sz w:val="24"/>
        </w:rPr>
        <w:t>  </w:t>
      </w:r>
      <w:r>
        <w:rPr>
          <w:rFonts w:ascii="Times New Roman" w:hAnsi="Times New Roman"/>
          <w:b/>
          <w:color w:val="211F21"/>
          <w:spacing w:val="-12"/>
          <w:sz w:val="24"/>
        </w:rPr>
        <w:t> </w:t>
      </w:r>
      <w:r>
        <w:rPr>
          <w:rFonts w:ascii="Times New Roman" w:hAnsi="Times New Roman"/>
          <w:b/>
          <w:color w:val="211F21"/>
          <w:w w:val="101"/>
          <w:sz w:val="25"/>
        </w:rPr>
        <w:t>thi</w:t>
      </w:r>
      <w:r>
        <w:rPr>
          <w:rFonts w:ascii="Times New Roman" w:hAnsi="Times New Roman"/>
          <w:b/>
          <w:color w:val="211F21"/>
          <w:sz w:val="25"/>
        </w:rPr>
        <w:t> </w:t>
      </w:r>
      <w:r>
        <w:rPr>
          <w:rFonts w:ascii="Times New Roman" w:hAnsi="Times New Roman"/>
          <w:b/>
          <w:color w:val="211F21"/>
          <w:spacing w:val="-8"/>
          <w:sz w:val="25"/>
        </w:rPr>
        <w:t> </w:t>
      </w:r>
      <w:r>
        <w:rPr>
          <w:rFonts w:ascii="Times New Roman" w:hAnsi="Times New Roman"/>
          <w:b/>
          <w:color w:val="211F21"/>
          <w:w w:val="101"/>
          <w:sz w:val="25"/>
        </w:rPr>
        <w:t>s</w:t>
      </w:r>
      <w:r>
        <w:rPr>
          <w:rFonts w:ascii="Times New Roman" w:hAnsi="Times New Roman"/>
          <w:b/>
          <w:color w:val="211F21"/>
          <w:spacing w:val="-12"/>
          <w:sz w:val="25"/>
        </w:rPr>
        <w:t> </w:t>
      </w:r>
      <w:r>
        <w:rPr>
          <w:rFonts w:ascii="Times New Roman" w:hAnsi="Times New Roman"/>
          <w:b/>
          <w:color w:val="7B7B7B"/>
          <w:w w:val="50"/>
          <w:sz w:val="25"/>
        </w:rPr>
        <w:t>_</w:t>
      </w:r>
      <w:r>
        <w:rPr>
          <w:rFonts w:ascii="Times New Roman" w:hAnsi="Times New Roman"/>
          <w:b/>
          <w:color w:val="7B7B7B"/>
          <w:spacing w:val="-14"/>
          <w:sz w:val="25"/>
        </w:rPr>
        <w:t> </w:t>
      </w:r>
      <w:r>
        <w:rPr>
          <w:rFonts w:ascii="Times New Roman" w:hAnsi="Times New Roman"/>
          <w:b/>
          <w:color w:val="211F21"/>
          <w:spacing w:val="-1"/>
          <w:w w:val="50"/>
          <w:sz w:val="23"/>
        </w:rPr>
        <w:t>A</w:t>
      </w:r>
      <w:r>
        <w:rPr>
          <w:rFonts w:ascii="Times New Roman" w:hAnsi="Times New Roman"/>
          <w:b/>
          <w:color w:val="211F21"/>
          <w:w w:val="50"/>
          <w:sz w:val="23"/>
        </w:rPr>
        <w:t>f</w:t>
      </w:r>
      <w:r>
        <w:rPr>
          <w:rFonts w:ascii="Times New Roman" w:hAnsi="Times New Roman"/>
          <w:b/>
          <w:color w:val="211F21"/>
          <w:sz w:val="23"/>
        </w:rPr>
        <w:t>  </w:t>
      </w:r>
      <w:r>
        <w:rPr>
          <w:rFonts w:ascii="Times New Roman" w:hAnsi="Times New Roman"/>
          <w:b/>
          <w:color w:val="211F21"/>
          <w:spacing w:val="10"/>
          <w:sz w:val="23"/>
        </w:rPr>
        <w:t> </w:t>
      </w:r>
      <w:r>
        <w:rPr>
          <w:rFonts w:ascii="Times New Roman" w:hAnsi="Times New Roman"/>
          <w:b/>
          <w:color w:val="211F21"/>
          <w:w w:val="50"/>
          <w:sz w:val="23"/>
        </w:rPr>
        <w:t>f</w:t>
      </w:r>
      <w:r>
        <w:rPr>
          <w:rFonts w:ascii="Times New Roman" w:hAnsi="Times New Roman"/>
          <w:b/>
          <w:color w:val="211F21"/>
          <w:sz w:val="23"/>
        </w:rPr>
        <w:t> </w:t>
      </w:r>
      <w:r>
        <w:rPr>
          <w:rFonts w:ascii="Times New Roman" w:hAnsi="Times New Roman"/>
          <w:b/>
          <w:color w:val="211F21"/>
          <w:spacing w:val="-21"/>
          <w:sz w:val="23"/>
        </w:rPr>
        <w:t> </w:t>
      </w:r>
      <w:r>
        <w:rPr>
          <w:rFonts w:ascii="Times New Roman" w:hAnsi="Times New Roman"/>
          <w:b/>
          <w:color w:val="211F21"/>
          <w:w w:val="50"/>
          <w:sz w:val="23"/>
        </w:rPr>
        <w:t>i</w:t>
      </w:r>
      <w:r>
        <w:rPr>
          <w:rFonts w:ascii="Times New Roman" w:hAnsi="Times New Roman"/>
          <w:b/>
          <w:color w:val="211F21"/>
          <w:spacing w:val="28"/>
          <w:sz w:val="23"/>
        </w:rPr>
        <w:t> </w:t>
      </w:r>
      <w:r>
        <w:rPr>
          <w:rFonts w:ascii="Times New Roman" w:hAnsi="Times New Roman"/>
          <w:b/>
          <w:color w:val="211F21"/>
          <w:spacing w:val="-1"/>
          <w:w w:val="50"/>
          <w:sz w:val="23"/>
        </w:rPr>
        <w:t>d</w:t>
      </w:r>
      <w:r>
        <w:rPr>
          <w:rFonts w:ascii="Times New Roman" w:hAnsi="Times New Roman"/>
          <w:b/>
          <w:color w:val="211F21"/>
          <w:w w:val="50"/>
          <w:sz w:val="23"/>
        </w:rPr>
        <w:t>a</w:t>
      </w:r>
      <w:r>
        <w:rPr>
          <w:rFonts w:ascii="Times New Roman" w:hAnsi="Times New Roman"/>
          <w:b/>
          <w:color w:val="211F21"/>
          <w:sz w:val="23"/>
        </w:rPr>
        <w:t>  </w:t>
      </w:r>
      <w:r>
        <w:rPr>
          <w:rFonts w:ascii="Times New Roman" w:hAnsi="Times New Roman"/>
          <w:b/>
          <w:color w:val="211F21"/>
          <w:spacing w:val="-14"/>
          <w:sz w:val="23"/>
        </w:rPr>
        <w:t> </w:t>
      </w:r>
      <w:r>
        <w:rPr>
          <w:rFonts w:ascii="Times New Roman" w:hAnsi="Times New Roman"/>
          <w:b/>
          <w:color w:val="211F21"/>
          <w:w w:val="50"/>
          <w:sz w:val="23"/>
        </w:rPr>
        <w:t>v</w:t>
      </w:r>
      <w:r>
        <w:rPr>
          <w:rFonts w:ascii="Times New Roman" w:hAnsi="Times New Roman"/>
          <w:b/>
          <w:color w:val="211F21"/>
          <w:spacing w:val="27"/>
          <w:sz w:val="23"/>
        </w:rPr>
        <w:t> </w:t>
      </w:r>
      <w:r>
        <w:rPr>
          <w:rFonts w:ascii="Times New Roman" w:hAnsi="Times New Roman"/>
          <w:b/>
          <w:color w:val="211F21"/>
          <w:w w:val="50"/>
          <w:sz w:val="23"/>
        </w:rPr>
        <w:t>i</w:t>
      </w:r>
      <w:r>
        <w:rPr>
          <w:rFonts w:ascii="Times New Roman" w:hAnsi="Times New Roman"/>
          <w:b/>
          <w:color w:val="211F21"/>
          <w:sz w:val="23"/>
        </w:rPr>
        <w:t> </w:t>
      </w:r>
      <w:r>
        <w:rPr>
          <w:rFonts w:ascii="Times New Roman" w:hAnsi="Times New Roman"/>
          <w:b/>
          <w:color w:val="211F21"/>
          <w:spacing w:val="-17"/>
          <w:sz w:val="23"/>
        </w:rPr>
        <w:t> </w:t>
      </w:r>
      <w:r>
        <w:rPr>
          <w:rFonts w:ascii="Times New Roman" w:hAnsi="Times New Roman"/>
          <w:b/>
          <w:color w:val="211F21"/>
          <w:w w:val="50"/>
          <w:sz w:val="23"/>
        </w:rPr>
        <w:t>t</w:t>
      </w:r>
      <w:r>
        <w:rPr>
          <w:rFonts w:ascii="Times New Roman" w:hAnsi="Times New Roman"/>
          <w:b/>
          <w:color w:val="211F21"/>
          <w:sz w:val="23"/>
        </w:rPr>
        <w:t> </w:t>
      </w:r>
      <w:r>
        <w:rPr>
          <w:rFonts w:ascii="Times New Roman" w:hAnsi="Times New Roman"/>
          <w:b/>
          <w:color w:val="211F21"/>
          <w:spacing w:val="-23"/>
          <w:sz w:val="23"/>
        </w:rPr>
        <w:t> </w:t>
      </w:r>
      <w:r>
        <w:rPr>
          <w:rFonts w:ascii="Times New Roman" w:hAnsi="Times New Roman"/>
          <w:b/>
          <w:color w:val="595959"/>
          <w:w w:val="50"/>
          <w:sz w:val="23"/>
        </w:rPr>
        <w:t>.</w:t>
      </w:r>
    </w:p>
    <w:p>
      <w:pPr>
        <w:pStyle w:val="BodyText"/>
        <w:tabs>
          <w:tab w:pos="5838" w:val="left" w:leader="none"/>
        </w:tabs>
        <w:spacing w:line="216" w:lineRule="auto" w:before="20"/>
        <w:ind w:left="421" w:right="2121" w:hanging="13"/>
        <w:rPr>
          <w:rFonts w:ascii="Courier New" w:hAnsi="Courier New"/>
        </w:rPr>
      </w:pPr>
      <w:r>
        <w:rPr>
          <w:rFonts w:ascii="Courier New" w:hAnsi="Courier New"/>
          <w:color w:val="211F21"/>
        </w:rPr>
        <w:t>pursuant</w:t>
      </w:r>
      <w:r>
        <w:rPr>
          <w:rFonts w:ascii="Courier New" w:hAnsi="Courier New"/>
          <w:color w:val="211F21"/>
          <w:spacing w:val="-50"/>
        </w:rPr>
        <w:t> </w:t>
      </w:r>
      <w:r>
        <w:rPr>
          <w:rFonts w:ascii="Courier New" w:hAnsi="Courier New"/>
          <w:color w:val="211F21"/>
        </w:rPr>
        <w:t>to</w:t>
      </w:r>
      <w:r>
        <w:rPr>
          <w:rFonts w:ascii="Courier New" w:hAnsi="Courier New"/>
          <w:color w:val="211F21"/>
          <w:spacing w:val="-53"/>
        </w:rPr>
        <w:t> </w:t>
      </w:r>
      <w:r>
        <w:rPr>
          <w:rFonts w:ascii="Courier New" w:hAnsi="Courier New"/>
          <w:color w:val="211F21"/>
        </w:rPr>
        <w:t>Section</w:t>
      </w:r>
      <w:r>
        <w:rPr>
          <w:rFonts w:ascii="Courier New" w:hAnsi="Courier New"/>
          <w:color w:val="211F21"/>
          <w:spacing w:val="-48"/>
        </w:rPr>
        <w:t> </w:t>
      </w:r>
      <w:r>
        <w:rPr>
          <w:rFonts w:ascii="Courier New" w:hAnsi="Courier New"/>
          <w:color w:val="211F21"/>
        </w:rPr>
        <w:t>515A.2-119(e)</w:t>
      </w:r>
      <w:r>
        <w:rPr>
          <w:rFonts w:ascii="Courier New" w:hAnsi="Courier New"/>
          <w:color w:val="211F21"/>
          <w:spacing w:val="-51"/>
        </w:rPr>
        <w:t> </w:t>
      </w:r>
      <w:r>
        <w:rPr>
          <w:rFonts w:ascii="Courier New" w:hAnsi="Courier New"/>
          <w:color w:val="211F21"/>
        </w:rPr>
        <w:t>of</w:t>
      </w:r>
      <w:r>
        <w:rPr>
          <w:rFonts w:ascii="Courier New" w:hAnsi="Courier New"/>
          <w:color w:val="211F21"/>
          <w:spacing w:val="-71"/>
        </w:rPr>
        <w:t> </w:t>
      </w:r>
      <w:r>
        <w:rPr>
          <w:rFonts w:ascii="Courier New" w:hAnsi="Courier New"/>
          <w:color w:val="211F21"/>
        </w:rPr>
        <w:t>the</w:t>
      </w:r>
      <w:r>
        <w:rPr>
          <w:rFonts w:ascii="Courier New" w:hAnsi="Courier New"/>
          <w:color w:val="211F21"/>
          <w:spacing w:val="-62"/>
        </w:rPr>
        <w:t> </w:t>
      </w:r>
      <w:r>
        <w:rPr>
          <w:rFonts w:ascii="Courier New" w:hAnsi="Courier New"/>
          <w:color w:val="211F21"/>
        </w:rPr>
        <w:t>Minnesota</w:t>
      </w:r>
      <w:r>
        <w:rPr>
          <w:rFonts w:ascii="Courier New" w:hAnsi="Courier New"/>
          <w:color w:val="211F21"/>
          <w:spacing w:val="-44"/>
        </w:rPr>
        <w:t> </w:t>
      </w:r>
      <w:r>
        <w:rPr>
          <w:rFonts w:ascii="Courier New" w:hAnsi="Courier New"/>
          <w:color w:val="211F21"/>
        </w:rPr>
        <w:t>Uniform Condominium Act</w:t>
      </w:r>
      <w:r>
        <w:rPr>
          <w:rFonts w:ascii="Courier New" w:hAnsi="Courier New"/>
          <w:color w:val="211F21"/>
          <w:spacing w:val="-102"/>
        </w:rPr>
        <w:t> </w:t>
      </w:r>
      <w:r>
        <w:rPr>
          <w:rFonts w:ascii="Courier New" w:hAnsi="Courier New"/>
          <w:color w:val="211F21"/>
        </w:rPr>
        <w:t>(the</w:t>
      </w:r>
      <w:r>
        <w:rPr>
          <w:rFonts w:ascii="Courier New" w:hAnsi="Courier New"/>
          <w:color w:val="211F21"/>
          <w:spacing w:val="-55"/>
        </w:rPr>
        <w:t> </w:t>
      </w:r>
      <w:r>
        <w:rPr>
          <w:rFonts w:ascii="Courier New" w:hAnsi="Courier New"/>
          <w:color w:val="211F21"/>
        </w:rPr>
        <w:t>"Act•).</w:t>
        <w:tab/>
      </w:r>
      <w:r>
        <w:rPr>
          <w:rFonts w:ascii="Courier New" w:hAnsi="Courier New"/>
          <w:color w:val="9E9E9E"/>
        </w:rPr>
        <w:t>·</w:t>
      </w:r>
    </w:p>
    <w:p>
      <w:pPr>
        <w:pStyle w:val="BodyText"/>
        <w:tabs>
          <w:tab w:pos="1206" w:val="left" w:leader="none"/>
          <w:tab w:pos="2508" w:val="left" w:leader="none"/>
          <w:tab w:pos="2940" w:val="left" w:leader="none"/>
          <w:tab w:pos="8023" w:val="left" w:leader="none"/>
          <w:tab w:pos="8822" w:val="left" w:leader="none"/>
        </w:tabs>
        <w:spacing w:line="206" w:lineRule="auto" w:before="226"/>
        <w:ind w:left="385" w:right="1281" w:firstLine="1401"/>
        <w:rPr>
          <w:rFonts w:ascii="Courier New" w:hAnsi="Courier New"/>
        </w:rPr>
      </w:pPr>
      <w:r>
        <w:rPr/>
        <w:pict>
          <v:line style="position:absolute;mso-position-horizontal-relative:page;mso-position-vertical-relative:paragraph;z-index:-261646336" from="209.010529pt,66.437935pt" to="218.247902pt,66.437935pt" stroked="true" strokeweight="1.002287pt" strokecolor="#211f21">
            <v:stroke dashstyle="solid"/>
            <w10:wrap type="none"/>
          </v:line>
        </w:pict>
      </w:r>
      <w:r>
        <w:rPr>
          <w:rFonts w:ascii="Courier New" w:hAnsi="Courier New"/>
          <w:color w:val="211F21"/>
        </w:rPr>
        <w:t>Seventy</w:t>
      </w:r>
      <w:r>
        <w:rPr>
          <w:rFonts w:ascii="Courier New" w:hAnsi="Courier New"/>
          <w:color w:val="211F21"/>
          <w:spacing w:val="-25"/>
        </w:rPr>
        <w:t> </w:t>
      </w:r>
      <w:r>
        <w:rPr>
          <w:rFonts w:ascii="Courier New" w:hAnsi="Courier New"/>
          <w:color w:val="211F21"/>
        </w:rPr>
        <w:t>five</w:t>
      </w:r>
      <w:r>
        <w:rPr>
          <w:rFonts w:ascii="Courier New" w:hAnsi="Courier New"/>
          <w:color w:val="211F21"/>
          <w:spacing w:val="-4"/>
        </w:rPr>
        <w:t> </w:t>
      </w:r>
      <w:r>
        <w:rPr>
          <w:rFonts w:ascii="Courier New" w:hAnsi="Courier New"/>
          <w:color w:val="211F21"/>
        </w:rPr>
        <w:t>percent</w:t>
      </w:r>
      <w:r>
        <w:rPr>
          <w:rFonts w:ascii="Courier New" w:hAnsi="Courier New"/>
          <w:color w:val="211F21"/>
          <w:spacing w:val="-37"/>
        </w:rPr>
        <w:t> </w:t>
      </w:r>
      <w:r>
        <w:rPr>
          <w:rFonts w:ascii="Courier New" w:hAnsi="Courier New"/>
          <w:color w:val="211F21"/>
        </w:rPr>
        <w:t>(751)</w:t>
      </w:r>
      <w:r>
        <w:rPr>
          <w:rFonts w:ascii="Courier New" w:hAnsi="Courier New"/>
          <w:color w:val="211F21"/>
          <w:spacing w:val="-47"/>
        </w:rPr>
        <w:t> </w:t>
      </w:r>
      <w:r>
        <w:rPr>
          <w:rFonts w:ascii="Courier New" w:hAnsi="Courier New"/>
          <w:color w:val="211F21"/>
        </w:rPr>
        <w:t>of</w:t>
      </w:r>
      <w:r>
        <w:rPr>
          <w:rFonts w:ascii="Courier New" w:hAnsi="Courier New"/>
          <w:color w:val="211F21"/>
          <w:spacing w:val="-50"/>
        </w:rPr>
        <w:t> </w:t>
      </w:r>
      <w:r>
        <w:rPr>
          <w:rFonts w:ascii="Courier New" w:hAnsi="Courier New"/>
          <w:color w:val="211F21"/>
        </w:rPr>
        <w:t>the</w:t>
      </w:r>
      <w:r>
        <w:rPr>
          <w:rFonts w:ascii="Courier New" w:hAnsi="Courier New"/>
          <w:color w:val="211F21"/>
          <w:spacing w:val="-44"/>
        </w:rPr>
        <w:t> </w:t>
      </w:r>
      <w:r>
        <w:rPr>
          <w:rFonts w:ascii="Courier New" w:hAnsi="Courier New"/>
          <w:color w:val="211F21"/>
        </w:rPr>
        <w:t>unit</w:t>
      </w:r>
      <w:r>
        <w:rPr>
          <w:rFonts w:ascii="Courier New" w:hAnsi="Courier New"/>
          <w:color w:val="211F21"/>
          <w:spacing w:val="-49"/>
        </w:rPr>
        <w:t> </w:t>
      </w:r>
      <w:r>
        <w:rPr>
          <w:rFonts w:ascii="Courier New" w:hAnsi="Courier New"/>
          <w:color w:val="211F21"/>
        </w:rPr>
        <w:t>owners</w:t>
      </w:r>
      <w:r>
        <w:rPr>
          <w:rFonts w:ascii="Courier New" w:hAnsi="Courier New"/>
          <w:color w:val="211F21"/>
          <w:spacing w:val="-40"/>
        </w:rPr>
        <w:t> </w:t>
      </w:r>
      <w:r>
        <w:rPr>
          <w:rFonts w:ascii="Courier New" w:hAnsi="Courier New"/>
          <w:color w:val="211F21"/>
        </w:rPr>
        <w:t>of</w:t>
      </w:r>
      <w:r>
        <w:rPr>
          <w:rFonts w:ascii="Courier New" w:hAnsi="Courier New"/>
          <w:color w:val="211F21"/>
          <w:spacing w:val="-56"/>
        </w:rPr>
        <w:t> </w:t>
      </w:r>
      <w:r>
        <w:rPr>
          <w:rFonts w:ascii="Courier New" w:hAnsi="Courier New"/>
          <w:color w:val="211F21"/>
        </w:rPr>
        <w:t>units in Colony at Edina Condominiums (the "Condominium"), in two separate actions, consented and agreed in writing to the l'unendment</w:t>
      </w:r>
      <w:r>
        <w:rPr>
          <w:rFonts w:ascii="Courier New" w:hAnsi="Courier New"/>
          <w:color w:val="211F21"/>
          <w:spacing w:val="-48"/>
        </w:rPr>
        <w:t> </w:t>
      </w:r>
      <w:r>
        <w:rPr>
          <w:rFonts w:ascii="Courier New" w:hAnsi="Courier New"/>
          <w:color w:val="211F21"/>
        </w:rPr>
        <w:t>to</w:t>
      </w:r>
      <w:r>
        <w:rPr>
          <w:rFonts w:ascii="Courier New" w:hAnsi="Courier New"/>
          <w:color w:val="211F21"/>
          <w:spacing w:val="-66"/>
        </w:rPr>
        <w:t> </w:t>
      </w:r>
      <w:r>
        <w:rPr>
          <w:rFonts w:ascii="Courier New" w:hAnsi="Courier New"/>
          <w:color w:val="211F21"/>
        </w:rPr>
        <w:t>the</w:t>
      </w:r>
      <w:r>
        <w:rPr>
          <w:rFonts w:ascii="Courier New" w:hAnsi="Courier New"/>
          <w:color w:val="211F21"/>
          <w:spacing w:val="-69"/>
        </w:rPr>
        <w:t> </w:t>
      </w:r>
      <w:r>
        <w:rPr>
          <w:rFonts w:ascii="Courier New" w:hAnsi="Courier New"/>
          <w:color w:val="211F21"/>
        </w:rPr>
        <w:t>Declarat</w:t>
      </w:r>
      <w:r>
        <w:rPr>
          <w:rFonts w:ascii="Courier New" w:hAnsi="Courier New"/>
          <w:color w:val="211F21"/>
          <w:spacing w:val="-56"/>
        </w:rPr>
        <w:t> </w:t>
      </w:r>
      <w:r>
        <w:rPr>
          <w:rFonts w:ascii="Courier New" w:hAnsi="Courier New"/>
          <w:color w:val="211F21"/>
        </w:rPr>
        <w:t>on</w:t>
      </w:r>
      <w:r>
        <w:rPr>
          <w:rFonts w:ascii="Courier New" w:hAnsi="Courier New"/>
          <w:color w:val="211F21"/>
          <w:spacing w:val="-49"/>
        </w:rPr>
        <w:t> </w:t>
      </w:r>
      <w:r>
        <w:rPr>
          <w:rFonts w:ascii="Courier New" w:hAnsi="Courier New"/>
          <w:color w:val="211F21"/>
        </w:rPr>
        <w:t>and</w:t>
      </w:r>
      <w:r>
        <w:rPr>
          <w:rFonts w:ascii="Courier New" w:hAnsi="Courier New"/>
          <w:color w:val="211F21"/>
          <w:spacing w:val="-58"/>
        </w:rPr>
        <w:t> </w:t>
      </w:r>
      <w:r>
        <w:rPr>
          <w:rFonts w:ascii="Courier New" w:hAnsi="Courier New"/>
          <w:color w:val="211F21"/>
        </w:rPr>
        <w:t>to</w:t>
      </w:r>
      <w:r>
        <w:rPr>
          <w:rFonts w:ascii="Courier New" w:hAnsi="Courier New"/>
          <w:color w:val="211F21"/>
          <w:spacing w:val="-72"/>
        </w:rPr>
        <w:t> </w:t>
      </w:r>
      <w:r>
        <w:rPr>
          <w:rFonts w:ascii="Courier New" w:hAnsi="Courier New"/>
          <w:color w:val="211F21"/>
        </w:rPr>
        <w:t>the</w:t>
      </w:r>
      <w:r>
        <w:rPr>
          <w:rFonts w:ascii="Courier New" w:hAnsi="Courier New"/>
          <w:color w:val="211F21"/>
          <w:spacing w:val="-71"/>
        </w:rPr>
        <w:t> </w:t>
      </w:r>
      <w:r>
        <w:rPr>
          <w:rFonts w:ascii="Courier New" w:hAnsi="Courier New"/>
          <w:color w:val="211F21"/>
        </w:rPr>
        <w:t>By-laws</w:t>
      </w:r>
      <w:r>
        <w:rPr>
          <w:rFonts w:ascii="Courier New" w:hAnsi="Courier New"/>
          <w:color w:val="211F21"/>
          <w:spacing w:val="-64"/>
        </w:rPr>
        <w:t> </w:t>
      </w:r>
      <w:r>
        <w:rPr>
          <w:rFonts w:ascii="Courier New" w:hAnsi="Courier New"/>
          <w:color w:val="211F21"/>
        </w:rPr>
        <w:t>dated</w:t>
        <w:tab/>
      </w:r>
      <w:r>
        <w:rPr>
          <w:rFonts w:ascii="Courier New" w:hAnsi="Courier New"/>
          <w:color w:val="211F21"/>
          <w:u w:val="thick" w:color="211F21"/>
        </w:rPr>
        <w:t>19th</w:t>
      </w:r>
      <w:r>
        <w:rPr>
          <w:rFonts w:ascii="Courier New" w:hAnsi="Courier New"/>
          <w:color w:val="211F21"/>
        </w:rPr>
        <w:tab/>
      </w:r>
      <w:r>
        <w:rPr>
          <w:rFonts w:ascii="Courier New" w:hAnsi="Courier New"/>
          <w:color w:val="211F21"/>
          <w:spacing w:val="-6"/>
        </w:rPr>
        <w:t>day </w:t>
      </w:r>
      <w:r>
        <w:rPr>
          <w:rFonts w:ascii="Courier New" w:hAnsi="Courier New"/>
          <w:color w:val="211F21"/>
        </w:rPr>
        <w:t>o</w:t>
        <w:tab/>
      </w:r>
      <w:r>
        <w:rPr>
          <w:rFonts w:ascii="Courier New" w:hAnsi="Courier New"/>
          <w:color w:val="211F21"/>
          <w:u w:val="thick" w:color="211F21"/>
        </w:rPr>
        <w:t>July</w:t>
      </w:r>
      <w:r>
        <w:rPr>
          <w:rFonts w:ascii="Courier New" w:hAnsi="Courier New"/>
          <w:color w:val="211F21"/>
        </w:rPr>
        <w:tab/>
      </w:r>
      <w:r>
        <w:rPr>
          <w:rFonts w:ascii="Courier New" w:hAnsi="Courier New"/>
          <w:color w:val="9E9E9E"/>
        </w:rPr>
        <w:t>·</w:t>
        <w:tab/>
      </w:r>
      <w:r>
        <w:rPr>
          <w:rFonts w:ascii="Arial" w:hAnsi="Arial"/>
          <w:color w:val="595959"/>
          <w:sz w:val="18"/>
        </w:rPr>
        <w:t>i</w:t>
      </w:r>
      <w:r>
        <w:rPr>
          <w:rFonts w:ascii="Arial" w:hAnsi="Arial"/>
          <w:color w:val="595959"/>
          <w:spacing w:val="23"/>
          <w:sz w:val="18"/>
        </w:rPr>
        <w:t> </w:t>
      </w:r>
      <w:r>
        <w:rPr>
          <w:rFonts w:ascii="Arial" w:hAnsi="Arial"/>
          <w:color w:val="211F21"/>
          <w:sz w:val="18"/>
        </w:rPr>
        <w:t>,</w:t>
      </w:r>
      <w:r>
        <w:rPr>
          <w:rFonts w:ascii="Arial" w:hAnsi="Arial"/>
          <w:color w:val="211F21"/>
          <w:spacing w:val="24"/>
          <w:sz w:val="18"/>
        </w:rPr>
        <w:t> </w:t>
      </w:r>
      <w:r>
        <w:rPr>
          <w:rFonts w:ascii="Courier New" w:hAnsi="Courier New"/>
          <w:color w:val="211F21"/>
        </w:rPr>
        <w:t>1988</w:t>
      </w:r>
      <w:r>
        <w:rPr>
          <w:rFonts w:ascii="Courier New" w:hAnsi="Courier New"/>
          <w:color w:val="211F21"/>
          <w:spacing w:val="-46"/>
        </w:rPr>
        <w:t> </w:t>
      </w:r>
      <w:r>
        <w:rPr>
          <w:rFonts w:ascii="Courier New" w:hAnsi="Courier New"/>
          <w:color w:val="211F21"/>
        </w:rPr>
        <w:t>of</w:t>
      </w:r>
      <w:r>
        <w:rPr>
          <w:rFonts w:ascii="Courier New" w:hAnsi="Courier New"/>
          <w:color w:val="211F21"/>
          <w:spacing w:val="-52"/>
        </w:rPr>
        <w:t> </w:t>
      </w:r>
      <w:r>
        <w:rPr>
          <w:rFonts w:ascii="Courier New" w:hAnsi="Courier New"/>
          <w:color w:val="211F21"/>
        </w:rPr>
        <w:t>the</w:t>
      </w:r>
      <w:r>
        <w:rPr>
          <w:rFonts w:ascii="Courier New" w:hAnsi="Courier New"/>
          <w:color w:val="211F21"/>
          <w:spacing w:val="-37"/>
        </w:rPr>
        <w:t> </w:t>
      </w:r>
      <w:r>
        <w:rPr>
          <w:rFonts w:ascii="Courier New" w:hAnsi="Courier New"/>
          <w:color w:val="211F21"/>
        </w:rPr>
        <w:t>Colony</w:t>
      </w:r>
      <w:r>
        <w:rPr>
          <w:rFonts w:ascii="Courier New" w:hAnsi="Courier New"/>
          <w:color w:val="211F21"/>
          <w:spacing w:val="-24"/>
        </w:rPr>
        <w:t> </w:t>
      </w:r>
      <w:r>
        <w:rPr>
          <w:rFonts w:ascii="Courier New" w:hAnsi="Courier New"/>
          <w:color w:val="211F21"/>
        </w:rPr>
        <w:t>at</w:t>
      </w:r>
      <w:r>
        <w:rPr>
          <w:rFonts w:ascii="Courier New" w:hAnsi="Courier New"/>
          <w:color w:val="211F21"/>
          <w:spacing w:val="-48"/>
        </w:rPr>
        <w:t> </w:t>
      </w:r>
      <w:r>
        <w:rPr>
          <w:rFonts w:ascii="Courier New" w:hAnsi="Courier New"/>
          <w:color w:val="211F21"/>
        </w:rPr>
        <w:t>Edina</w:t>
      </w:r>
      <w:r>
        <w:rPr>
          <w:rFonts w:ascii="Courier New" w:hAnsi="Courier New"/>
          <w:color w:val="211F21"/>
          <w:spacing w:val="-31"/>
        </w:rPr>
        <w:t> </w:t>
      </w:r>
      <w:r>
        <w:rPr>
          <w:rFonts w:ascii="Courier New" w:hAnsi="Courier New"/>
          <w:color w:val="211F21"/>
        </w:rPr>
        <w:t>Condominium.</w:t>
      </w:r>
    </w:p>
    <w:p>
      <w:pPr>
        <w:pStyle w:val="BodyText"/>
        <w:tabs>
          <w:tab w:pos="1790" w:val="left" w:leader="none"/>
          <w:tab w:pos="5503" w:val="left" w:leader="none"/>
          <w:tab w:pos="7322" w:val="left" w:leader="none"/>
        </w:tabs>
        <w:spacing w:line="208" w:lineRule="auto"/>
        <w:ind w:left="412" w:right="1283" w:firstLine="6"/>
        <w:rPr>
          <w:rFonts w:ascii="Courier New" w:hAnsi="Courier New"/>
        </w:rPr>
      </w:pPr>
      <w:r>
        <w:rPr>
          <w:rFonts w:ascii="Courier New" w:hAnsi="Courier New"/>
          <w:color w:val="211F21"/>
        </w:rPr>
        <w:t>Association</w:t>
      </w:r>
      <w:r>
        <w:rPr>
          <w:rFonts w:ascii="Courier New" w:hAnsi="Courier New"/>
          <w:color w:val="211F21"/>
          <w:spacing w:val="-26"/>
        </w:rPr>
        <w:t> </w:t>
      </w:r>
      <w:r>
        <w:rPr>
          <w:rFonts w:ascii="Courier New" w:hAnsi="Courier New"/>
          <w:color w:val="211F21"/>
        </w:rPr>
        <w:t>to</w:t>
      </w:r>
      <w:r>
        <w:rPr>
          <w:rFonts w:ascii="Courier New" w:hAnsi="Courier New"/>
          <w:color w:val="211F21"/>
          <w:spacing w:val="-67"/>
        </w:rPr>
        <w:t> </w:t>
      </w:r>
      <w:r>
        <w:rPr>
          <w:rFonts w:ascii="Courier New" w:hAnsi="Courier New"/>
          <w:color w:val="211F21"/>
        </w:rPr>
        <w:t>which</w:t>
      </w:r>
      <w:r>
        <w:rPr>
          <w:rFonts w:ascii="Courier New" w:hAnsi="Courier New"/>
          <w:color w:val="211F21"/>
          <w:spacing w:val="-44"/>
        </w:rPr>
        <w:t> </w:t>
      </w:r>
      <w:r>
        <w:rPr>
          <w:rFonts w:ascii="Courier New" w:hAnsi="Courier New"/>
          <w:color w:val="211F21"/>
        </w:rPr>
        <w:t>this</w:t>
      </w:r>
      <w:r>
        <w:rPr>
          <w:rFonts w:ascii="Courier New" w:hAnsi="Courier New"/>
          <w:color w:val="211F21"/>
          <w:spacing w:val="-63"/>
        </w:rPr>
        <w:t> </w:t>
      </w:r>
      <w:r>
        <w:rPr>
          <w:rFonts w:ascii="Courier New" w:hAnsi="Courier New"/>
          <w:color w:val="211F21"/>
        </w:rPr>
        <w:t>Affidavit</w:t>
      </w:r>
      <w:r>
        <w:rPr>
          <w:rFonts w:ascii="Courier New" w:hAnsi="Courier New"/>
          <w:color w:val="211F21"/>
          <w:spacing w:val="-34"/>
        </w:rPr>
        <w:t> </w:t>
      </w:r>
      <w:r>
        <w:rPr>
          <w:rFonts w:ascii="Courier New" w:hAnsi="Courier New"/>
          <w:color w:val="211F21"/>
        </w:rPr>
        <w:t>is</w:t>
      </w:r>
      <w:r>
        <w:rPr>
          <w:rFonts w:ascii="Courier New" w:hAnsi="Courier New"/>
          <w:color w:val="211F21"/>
          <w:spacing w:val="-49"/>
        </w:rPr>
        <w:t> </w:t>
      </w:r>
      <w:r>
        <w:rPr>
          <w:rFonts w:ascii="Courier New" w:hAnsi="Courier New"/>
          <w:color w:val="211F21"/>
        </w:rPr>
        <w:t>attached.</w:t>
        <w:tab/>
        <w:t>In addition, seventy-five</w:t>
      </w:r>
      <w:r>
        <w:rPr>
          <w:rFonts w:ascii="Courier New" w:hAnsi="Courier New"/>
          <w:color w:val="211F21"/>
          <w:spacing w:val="-6"/>
        </w:rPr>
        <w:t> </w:t>
      </w:r>
      <w:r>
        <w:rPr>
          <w:rFonts w:ascii="Courier New" w:hAnsi="Courier New"/>
          <w:color w:val="211F21"/>
        </w:rPr>
        <w:t>percent</w:t>
      </w:r>
      <w:r>
        <w:rPr>
          <w:rFonts w:ascii="Courier New" w:hAnsi="Courier New"/>
          <w:color w:val="211F21"/>
          <w:spacing w:val="-25"/>
        </w:rPr>
        <w:t> </w:t>
      </w:r>
      <w:r>
        <w:rPr>
          <w:rFonts w:ascii="Courier New" w:hAnsi="Courier New"/>
          <w:color w:val="211F21"/>
          <w:sz w:val="22"/>
        </w:rPr>
        <w:t>(75J)</w:t>
      </w:r>
      <w:r>
        <w:rPr>
          <w:rFonts w:ascii="Courier New" w:hAnsi="Courier New"/>
          <w:color w:val="211F21"/>
          <w:spacing w:val="-49"/>
          <w:sz w:val="22"/>
        </w:rPr>
        <w:t> </w:t>
      </w:r>
      <w:r>
        <w:rPr>
          <w:rFonts w:ascii="Courier New" w:hAnsi="Courier New"/>
          <w:color w:val="211F21"/>
        </w:rPr>
        <w:t>of</w:t>
      </w:r>
      <w:r>
        <w:rPr>
          <w:rFonts w:ascii="Courier New" w:hAnsi="Courier New"/>
          <w:color w:val="211F21"/>
          <w:spacing w:val="-39"/>
        </w:rPr>
        <w:t> </w:t>
      </w:r>
      <w:r>
        <w:rPr>
          <w:rFonts w:ascii="Courier New" w:hAnsi="Courier New"/>
          <w:color w:val="211F21"/>
        </w:rPr>
        <w:t>the</w:t>
      </w:r>
      <w:r>
        <w:rPr>
          <w:rFonts w:ascii="Courier New" w:hAnsi="Courier New"/>
          <w:color w:val="211F21"/>
          <w:spacing w:val="-33"/>
        </w:rPr>
        <w:t> </w:t>
      </w:r>
      <w:r>
        <w:rPr>
          <w:rFonts w:ascii="Courier New" w:hAnsi="Courier New"/>
          <w:color w:val="211F21"/>
        </w:rPr>
        <w:t>first</w:t>
      </w:r>
      <w:r>
        <w:rPr>
          <w:rFonts w:ascii="Courier New" w:hAnsi="Courier New"/>
          <w:color w:val="211F21"/>
          <w:spacing w:val="-32"/>
        </w:rPr>
        <w:t> </w:t>
      </w:r>
      <w:r>
        <w:rPr>
          <w:rFonts w:ascii="Courier New" w:hAnsi="Courier New"/>
          <w:color w:val="211F21"/>
        </w:rPr>
        <w:t>mortgagees</w:t>
      </w:r>
      <w:r>
        <w:rPr>
          <w:rFonts w:ascii="Courier New" w:hAnsi="Courier New"/>
          <w:color w:val="211F21"/>
          <w:spacing w:val="-27"/>
        </w:rPr>
        <w:t> </w:t>
      </w:r>
      <w:r>
        <w:rPr>
          <w:rFonts w:ascii="Courier New" w:hAnsi="Courier New"/>
          <w:color w:val="211F21"/>
        </w:rPr>
        <w:t>of</w:t>
      </w:r>
      <w:r>
        <w:rPr>
          <w:rFonts w:ascii="Courier New" w:hAnsi="Courier New"/>
          <w:color w:val="211F21"/>
          <w:spacing w:val="-45"/>
        </w:rPr>
        <w:t> </w:t>
      </w:r>
      <w:r>
        <w:rPr>
          <w:rFonts w:ascii="Courier New" w:hAnsi="Courier New"/>
          <w:color w:val="211F21"/>
        </w:rPr>
        <w:t>units</w:t>
      </w:r>
      <w:r>
        <w:rPr>
          <w:rFonts w:ascii="Courier New" w:hAnsi="Courier New"/>
          <w:color w:val="211F21"/>
          <w:spacing w:val="-38"/>
        </w:rPr>
        <w:t> </w:t>
      </w:r>
      <w:r>
        <w:rPr>
          <w:rFonts w:ascii="Courier New" w:hAnsi="Courier New"/>
          <w:color w:val="211F21"/>
        </w:rPr>
        <w:t>in the Condominium, in two separate actions, consented to and approved</w:t>
      </w:r>
      <w:r>
        <w:rPr>
          <w:rFonts w:ascii="Courier New" w:hAnsi="Courier New"/>
          <w:color w:val="211F21"/>
          <w:spacing w:val="-36"/>
        </w:rPr>
        <w:t> </w:t>
      </w:r>
      <w:r>
        <w:rPr>
          <w:rFonts w:ascii="Courier New" w:hAnsi="Courier New"/>
          <w:color w:val="211F21"/>
        </w:rPr>
        <w:t>in</w:t>
      </w:r>
      <w:r>
        <w:rPr>
          <w:rFonts w:ascii="Courier New" w:hAnsi="Courier New"/>
          <w:color w:val="211F21"/>
          <w:spacing w:val="-67"/>
        </w:rPr>
        <w:t> </w:t>
      </w:r>
      <w:r>
        <w:rPr>
          <w:rFonts w:ascii="Courier New" w:hAnsi="Courier New"/>
          <w:color w:val="211F21"/>
        </w:rPr>
        <w:t>writing</w:t>
      </w:r>
      <w:r>
        <w:rPr>
          <w:rFonts w:ascii="Courier New" w:hAnsi="Courier New"/>
          <w:color w:val="211F21"/>
          <w:spacing w:val="-49"/>
        </w:rPr>
        <w:t> </w:t>
      </w:r>
      <w:r>
        <w:rPr>
          <w:rFonts w:ascii="Courier New" w:hAnsi="Courier New"/>
          <w:color w:val="211F21"/>
        </w:rPr>
        <w:t>this</w:t>
      </w:r>
      <w:r>
        <w:rPr>
          <w:rFonts w:ascii="Courier New" w:hAnsi="Courier New"/>
          <w:color w:val="211F21"/>
          <w:spacing w:val="-65"/>
        </w:rPr>
        <w:t> </w:t>
      </w:r>
      <w:r>
        <w:rPr>
          <w:rFonts w:ascii="Courier New" w:hAnsi="Courier New"/>
          <w:color w:val="211F21"/>
        </w:rPr>
        <w:t>Amendment.</w:t>
        <w:tab/>
        <w:t>Accordingly, the Amendment shall, for all purposes,·be deemed to have been confirmed and approved</w:t>
      </w:r>
      <w:r>
        <w:rPr>
          <w:rFonts w:ascii="Courier New" w:hAnsi="Courier New"/>
          <w:color w:val="211F21"/>
          <w:spacing w:val="-13"/>
        </w:rPr>
        <w:t> </w:t>
      </w:r>
      <w:r>
        <w:rPr>
          <w:rFonts w:ascii="Courier New" w:hAnsi="Courier New"/>
          <w:color w:val="211F21"/>
        </w:rPr>
        <w:t>by</w:t>
      </w:r>
      <w:r>
        <w:rPr>
          <w:rFonts w:ascii="Courier New" w:hAnsi="Courier New"/>
          <w:color w:val="211F21"/>
          <w:spacing w:val="-33"/>
        </w:rPr>
        <w:t> </w:t>
      </w:r>
      <w:r>
        <w:rPr>
          <w:rFonts w:ascii="Courier New" w:hAnsi="Courier New"/>
          <w:color w:val="211F21"/>
        </w:rPr>
        <w:t>all</w:t>
      </w:r>
      <w:r>
        <w:rPr>
          <w:rFonts w:ascii="Courier New" w:hAnsi="Courier New"/>
          <w:color w:val="211F21"/>
          <w:spacing w:val="-47"/>
        </w:rPr>
        <w:t> </w:t>
      </w:r>
      <w:r>
        <w:rPr>
          <w:rFonts w:ascii="Courier New" w:hAnsi="Courier New"/>
          <w:color w:val="211F21"/>
        </w:rPr>
        <w:t>of</w:t>
      </w:r>
      <w:r>
        <w:rPr>
          <w:rFonts w:ascii="Courier New" w:hAnsi="Courier New"/>
          <w:color w:val="211F21"/>
          <w:spacing w:val="-47"/>
        </w:rPr>
        <w:t> </w:t>
      </w:r>
      <w:r>
        <w:rPr>
          <w:rFonts w:ascii="Courier New" w:hAnsi="Courier New"/>
          <w:color w:val="211F21"/>
        </w:rPr>
        <w:t>the</w:t>
      </w:r>
      <w:r>
        <w:rPr>
          <w:rFonts w:ascii="Courier New" w:hAnsi="Courier New"/>
          <w:color w:val="211F21"/>
          <w:spacing w:val="-57"/>
        </w:rPr>
        <w:t> </w:t>
      </w:r>
      <w:r>
        <w:rPr>
          <w:rFonts w:ascii="Courier New" w:hAnsi="Courier New"/>
          <w:color w:val="211F21"/>
        </w:rPr>
        <w:t>u</w:t>
      </w:r>
      <w:r>
        <w:rPr>
          <w:rFonts w:ascii="Courier New" w:hAnsi="Courier New"/>
          <w:color w:val="211F21"/>
          <w:spacing w:val="-16"/>
        </w:rPr>
        <w:t> </w:t>
      </w:r>
      <w:r>
        <w:rPr>
          <w:rFonts w:ascii="Courier New" w:hAnsi="Courier New"/>
          <w:color w:val="211F21"/>
        </w:rPr>
        <w:t>it</w:t>
      </w:r>
      <w:r>
        <w:rPr>
          <w:rFonts w:ascii="Courier New" w:hAnsi="Courier New"/>
          <w:color w:val="211F21"/>
          <w:spacing w:val="-48"/>
        </w:rPr>
        <w:t> </w:t>
      </w:r>
      <w:r>
        <w:rPr>
          <w:rFonts w:ascii="Courier New" w:hAnsi="Courier New"/>
          <w:color w:val="211F21"/>
        </w:rPr>
        <w:t>owners</w:t>
      </w:r>
      <w:r>
        <w:rPr>
          <w:rFonts w:ascii="Courier New" w:hAnsi="Courier New"/>
          <w:color w:val="211F21"/>
          <w:spacing w:val="-31"/>
        </w:rPr>
        <w:t> </w:t>
      </w:r>
      <w:r>
        <w:rPr>
          <w:rFonts w:ascii="Courier New" w:hAnsi="Courier New"/>
          <w:color w:val="211F21"/>
        </w:rPr>
        <w:t>and</w:t>
      </w:r>
      <w:r>
        <w:rPr>
          <w:rFonts w:ascii="Courier New" w:hAnsi="Courier New"/>
          <w:color w:val="211F21"/>
          <w:spacing w:val="-22"/>
        </w:rPr>
        <w:t> </w:t>
      </w:r>
      <w:r>
        <w:rPr>
          <w:rFonts w:ascii="Courier New" w:hAnsi="Courier New"/>
          <w:color w:val="211F21"/>
        </w:rPr>
        <w:t>first</w:t>
      </w:r>
      <w:r>
        <w:rPr>
          <w:rFonts w:ascii="Courier New" w:hAnsi="Courier New"/>
          <w:color w:val="211F21"/>
          <w:spacing w:val="-34"/>
        </w:rPr>
        <w:t> </w:t>
      </w:r>
      <w:r>
        <w:rPr>
          <w:rFonts w:ascii="Courier New" w:hAnsi="Courier New"/>
          <w:color w:val="211F21"/>
        </w:rPr>
        <w:t>mortgagees</w:t>
      </w:r>
      <w:r>
        <w:rPr>
          <w:rFonts w:ascii="Courier New" w:hAnsi="Courier New"/>
          <w:color w:val="211F21"/>
          <w:spacing w:val="-29"/>
        </w:rPr>
        <w:t> </w:t>
      </w:r>
      <w:r>
        <w:rPr>
          <w:rFonts w:ascii="Courier New" w:hAnsi="Courier New"/>
          <w:color w:val="211F21"/>
        </w:rPr>
        <w:t>of</w:t>
      </w:r>
      <w:r>
        <w:rPr>
          <w:rFonts w:ascii="Courier New" w:hAnsi="Courier New"/>
          <w:color w:val="211F21"/>
          <w:spacing w:val="-53"/>
        </w:rPr>
        <w:t> </w:t>
      </w:r>
      <w:r>
        <w:rPr>
          <w:rFonts w:ascii="Courier New" w:hAnsi="Courier New"/>
          <w:color w:val="211F21"/>
        </w:rPr>
        <w:t>units </w:t>
      </w:r>
      <w:r>
        <w:rPr>
          <w:rFonts w:ascii="Courier New" w:hAnsi="Courier New"/>
          <w:color w:val="211F21"/>
          <w:spacing w:val="5"/>
        </w:rPr>
        <w:t>in</w:t>
      </w:r>
      <w:r>
        <w:rPr>
          <w:rFonts w:ascii="Courier New" w:hAnsi="Courier New"/>
          <w:color w:val="9E9E9E"/>
          <w:spacing w:val="5"/>
        </w:rPr>
        <w:t>.</w:t>
      </w:r>
      <w:r>
        <w:rPr>
          <w:rFonts w:ascii="Courier New" w:hAnsi="Courier New"/>
          <w:color w:val="211F21"/>
          <w:spacing w:val="5"/>
        </w:rPr>
        <w:t>t</w:t>
      </w:r>
      <w:r>
        <w:rPr>
          <w:rFonts w:ascii="Courier New" w:hAnsi="Courier New"/>
          <w:color w:val="211F21"/>
          <w:spacing w:val="-116"/>
        </w:rPr>
        <w:t> </w:t>
      </w:r>
      <w:r>
        <w:rPr>
          <w:rFonts w:ascii="Courier New" w:hAnsi="Courier New"/>
          <w:color w:val="211F21"/>
        </w:rPr>
        <w:t>he</w:t>
      </w:r>
      <w:r>
        <w:rPr>
          <w:rFonts w:ascii="Courier New" w:hAnsi="Courier New"/>
          <w:color w:val="211F21"/>
          <w:spacing w:val="-37"/>
        </w:rPr>
        <w:t> </w:t>
      </w:r>
      <w:r>
        <w:rPr>
          <w:rFonts w:ascii="Courier New" w:hAnsi="Courier New"/>
          <w:color w:val="211F21"/>
        </w:rPr>
        <w:t>Condominium</w:t>
      </w:r>
      <w:r>
        <w:rPr>
          <w:rFonts w:ascii="Courier New" w:hAnsi="Courier New"/>
          <w:color w:val="211F21"/>
          <w:spacing w:val="-2"/>
        </w:rPr>
        <w:t> </w:t>
      </w:r>
      <w:r>
        <w:rPr>
          <w:rFonts w:ascii="Courier New" w:hAnsi="Courier New"/>
          <w:color w:val="211F21"/>
        </w:rPr>
        <w:t>pursuant</w:t>
      </w:r>
      <w:r>
        <w:rPr>
          <w:rFonts w:ascii="Courier New" w:hAnsi="Courier New"/>
          <w:color w:val="211F21"/>
          <w:spacing w:val="-29"/>
        </w:rPr>
        <w:t> </w:t>
      </w:r>
      <w:r>
        <w:rPr>
          <w:rFonts w:ascii="Courier New" w:hAnsi="Courier New"/>
          <w:color w:val="211F21"/>
        </w:rPr>
        <w:t>to</w:t>
      </w:r>
      <w:r>
        <w:rPr>
          <w:rFonts w:ascii="Courier New" w:hAnsi="Courier New"/>
          <w:color w:val="211F21"/>
          <w:spacing w:val="-58"/>
        </w:rPr>
        <w:t> </w:t>
      </w:r>
      <w:r>
        <w:rPr>
          <w:rFonts w:ascii="Courier New" w:hAnsi="Courier New"/>
          <w:color w:val="211F21"/>
        </w:rPr>
        <w:t>Section</w:t>
      </w:r>
      <w:r>
        <w:rPr>
          <w:rFonts w:ascii="Courier New" w:hAnsi="Courier New"/>
          <w:color w:val="211F21"/>
          <w:spacing w:val="-18"/>
        </w:rPr>
        <w:t> </w:t>
      </w:r>
      <w:r>
        <w:rPr>
          <w:rFonts w:ascii="Courier New" w:hAnsi="Courier New"/>
          <w:b/>
          <w:color w:val="211F21"/>
          <w:sz w:val="22"/>
        </w:rPr>
        <w:t>515A.2-119(a)</w:t>
      </w:r>
      <w:r>
        <w:rPr>
          <w:rFonts w:ascii="Courier New" w:hAnsi="Courier New"/>
          <w:b/>
          <w:color w:val="211F21"/>
          <w:spacing w:val="-1"/>
          <w:sz w:val="22"/>
        </w:rPr>
        <w:t> </w:t>
      </w:r>
      <w:r>
        <w:rPr>
          <w:rFonts w:ascii="Courier New" w:hAnsi="Courier New"/>
          <w:b/>
          <w:color w:val="211F21"/>
          <w:sz w:val="22"/>
        </w:rPr>
        <w:t>and</w:t>
      </w:r>
      <w:r>
        <w:rPr>
          <w:rFonts w:ascii="Courier New" w:hAnsi="Courier New"/>
          <w:b/>
          <w:color w:val="211F21"/>
          <w:spacing w:val="-21"/>
          <w:sz w:val="22"/>
        </w:rPr>
        <w:t> </w:t>
      </w:r>
      <w:r>
        <w:rPr>
          <w:rFonts w:ascii="Courier New" w:hAnsi="Courier New"/>
          <w:color w:val="211F21"/>
        </w:rPr>
        <w:t>(c)</w:t>
      </w:r>
      <w:r>
        <w:rPr>
          <w:rFonts w:ascii="Courier New" w:hAnsi="Courier New"/>
          <w:color w:val="211F21"/>
          <w:spacing w:val="-65"/>
        </w:rPr>
        <w:t> </w:t>
      </w:r>
      <w:r>
        <w:rPr>
          <w:rFonts w:ascii="Courier New" w:hAnsi="Courier New"/>
          <w:color w:val="211F21"/>
        </w:rPr>
        <w:t>of the</w:t>
      </w:r>
      <w:r>
        <w:rPr>
          <w:rFonts w:ascii="Courier New" w:hAnsi="Courier New"/>
          <w:color w:val="211F21"/>
          <w:spacing w:val="-22"/>
        </w:rPr>
        <w:t> </w:t>
      </w:r>
      <w:r>
        <w:rPr>
          <w:rFonts w:ascii="Courier New" w:hAnsi="Courier New"/>
          <w:color w:val="211F21"/>
        </w:rPr>
        <w:t>Act.</w:t>
        <w:tab/>
      </w:r>
      <w:r>
        <w:rPr>
          <w:rFonts w:ascii="Courier New" w:hAnsi="Courier New"/>
          <w:color w:val="211F21"/>
          <w:spacing w:val="-5"/>
        </w:rPr>
        <w:t>Further,</w:t>
      </w:r>
      <w:r>
        <w:rPr>
          <w:rFonts w:ascii="Courier New" w:hAnsi="Courier New"/>
          <w:color w:val="595959"/>
          <w:spacing w:val="-5"/>
        </w:rPr>
        <w:t>:</w:t>
      </w:r>
      <w:r>
        <w:rPr>
          <w:rFonts w:ascii="Courier New" w:hAnsi="Courier New"/>
          <w:color w:val="595959"/>
          <w:spacing w:val="-123"/>
        </w:rPr>
        <w:t> </w:t>
      </w:r>
      <w:r>
        <w:rPr>
          <w:rFonts w:ascii="Courier New" w:hAnsi="Courier New"/>
          <w:color w:val="211F21"/>
        </w:rPr>
        <w:t>your</w:t>
      </w:r>
      <w:r>
        <w:rPr>
          <w:rFonts w:ascii="Courier New" w:hAnsi="Courier New"/>
          <w:color w:val="211F21"/>
          <w:spacing w:val="-52"/>
        </w:rPr>
        <w:t> </w:t>
      </w:r>
      <w:r>
        <w:rPr>
          <w:rFonts w:ascii="Courier New" w:hAnsi="Courier New"/>
          <w:color w:val="211F21"/>
        </w:rPr>
        <w:t>affiant</w:t>
      </w:r>
      <w:r>
        <w:rPr>
          <w:rFonts w:ascii="Courier New" w:hAnsi="Courier New"/>
          <w:color w:val="211F21"/>
          <w:spacing w:val="-42"/>
        </w:rPr>
        <w:t> </w:t>
      </w:r>
      <w:r>
        <w:rPr>
          <w:rFonts w:ascii="Courier New" w:hAnsi="Courier New"/>
          <w:color w:val="211F21"/>
        </w:rPr>
        <w:t>says</w:t>
      </w:r>
      <w:r>
        <w:rPr>
          <w:rFonts w:ascii="Courier New" w:hAnsi="Courier New"/>
          <w:color w:val="211F21"/>
          <w:spacing w:val="-43"/>
        </w:rPr>
        <w:t> </w:t>
      </w:r>
      <w:r>
        <w:rPr>
          <w:rFonts w:ascii="Courier New" w:hAnsi="Courier New"/>
          <w:color w:val="211F21"/>
        </w:rPr>
        <w:t>that</w:t>
      </w:r>
      <w:r>
        <w:rPr>
          <w:rFonts w:ascii="Courier New" w:hAnsi="Courier New"/>
          <w:color w:val="211F21"/>
          <w:spacing w:val="-48"/>
        </w:rPr>
        <w:t> </w:t>
      </w:r>
      <w:r>
        <w:rPr>
          <w:rFonts w:ascii="Courier New" w:hAnsi="Courier New"/>
          <w:color w:val="211F21"/>
        </w:rPr>
        <w:t>this</w:t>
      </w:r>
      <w:r>
        <w:rPr>
          <w:rFonts w:ascii="Courier New" w:hAnsi="Courier New"/>
          <w:color w:val="211F21"/>
          <w:spacing w:val="-48"/>
        </w:rPr>
        <w:t> </w:t>
      </w:r>
      <w:r>
        <w:rPr>
          <w:rFonts w:ascii="Courier New" w:hAnsi="Courier New"/>
          <w:color w:val="211F21"/>
        </w:rPr>
        <w:t>Affidavit</w:t>
      </w:r>
      <w:r>
        <w:rPr>
          <w:rFonts w:ascii="Courier New" w:hAnsi="Courier New"/>
          <w:color w:val="211F21"/>
          <w:spacing w:val="-45"/>
        </w:rPr>
        <w:t> </w:t>
      </w:r>
      <w:r>
        <w:rPr>
          <w:rFonts w:ascii="Courier New" w:hAnsi="Courier New"/>
          <w:color w:val="211F21"/>
        </w:rPr>
        <w:t>is</w:t>
      </w:r>
      <w:r>
        <w:rPr>
          <w:rFonts w:ascii="Courier New" w:hAnsi="Courier New"/>
          <w:color w:val="211F21"/>
          <w:spacing w:val="-57"/>
        </w:rPr>
        <w:t> </w:t>
      </w:r>
      <w:r>
        <w:rPr>
          <w:rFonts w:ascii="Courier New" w:hAnsi="Courier New"/>
          <w:color w:val="211F21"/>
        </w:rPr>
        <w:t>made pursuant to Section 115A.2-119(e) of the Act in order to constitute prima facie evidence of the recitals and representations</w:t>
      </w:r>
      <w:r>
        <w:rPr>
          <w:rFonts w:ascii="Courier New" w:hAnsi="Courier New"/>
          <w:color w:val="211F21"/>
          <w:spacing w:val="-49"/>
        </w:rPr>
        <w:t> </w:t>
      </w:r>
      <w:r>
        <w:rPr>
          <w:rFonts w:ascii="Courier New" w:hAnsi="Courier New"/>
          <w:color w:val="211F21"/>
        </w:rPr>
        <w:t>contained</w:t>
      </w:r>
      <w:r>
        <w:rPr>
          <w:rFonts w:ascii="Courier New" w:hAnsi="Courier New"/>
          <w:color w:val="211F21"/>
          <w:spacing w:val="1"/>
        </w:rPr>
        <w:t> </w:t>
      </w:r>
      <w:r>
        <w:rPr>
          <w:rFonts w:ascii="Courier New" w:hAnsi="Courier New"/>
          <w:color w:val="211F21"/>
        </w:rPr>
        <w:t>in</w:t>
      </w:r>
      <w:r>
        <w:rPr>
          <w:rFonts w:ascii="Courier New" w:hAnsi="Courier New"/>
          <w:color w:val="211F21"/>
          <w:spacing w:val="-40"/>
        </w:rPr>
        <w:t> </w:t>
      </w:r>
      <w:r>
        <w:rPr>
          <w:rFonts w:ascii="Courier New" w:hAnsi="Courier New"/>
          <w:color w:val="211F21"/>
        </w:rPr>
        <w:t>the</w:t>
      </w:r>
      <w:r>
        <w:rPr>
          <w:rFonts w:ascii="Courier New" w:hAnsi="Courier New"/>
          <w:color w:val="211F21"/>
          <w:spacing w:val="-28"/>
        </w:rPr>
        <w:t> </w:t>
      </w:r>
      <w:r>
        <w:rPr>
          <w:rFonts w:ascii="Courier New" w:hAnsi="Courier New"/>
          <w:color w:val="211F21"/>
        </w:rPr>
        <w:t>Amendment.</w:t>
      </w:r>
    </w:p>
    <w:p>
      <w:pPr>
        <w:pStyle w:val="BodyText"/>
        <w:rPr>
          <w:rFonts w:ascii="Courier New"/>
          <w:sz w:val="20"/>
        </w:rPr>
      </w:pPr>
    </w:p>
    <w:p>
      <w:pPr>
        <w:pStyle w:val="BodyText"/>
        <w:spacing w:before="11"/>
        <w:rPr>
          <w:rFonts w:ascii="Courier New"/>
          <w:sz w:val="14"/>
        </w:rPr>
      </w:pPr>
      <w:r>
        <w:rPr/>
        <w:pict>
          <v:group style="position:absolute;margin-left:82.468437pt;margin-top:10.431795pt;width:449.7pt;height:200.65pt;mso-position-horizontal-relative:page;mso-position-vertical-relative:paragraph;z-index:-251649024;mso-wrap-distance-left:0;mso-wrap-distance-right:0" coordorigin="1649,209" coordsize="8994,4013">
            <v:shape style="position:absolute;left:1649;top:208;width:7766;height:4013" type="#_x0000_t75" stroked="false">
              <v:imagedata r:id="rId26" o:title=""/>
            </v:shape>
            <v:line style="position:absolute" from="9408,685" to="10643,685" stroked="true" strokeweight=".721647pt" strokecolor="#000000">
              <v:stroke dashstyle="solid"/>
            </v:line>
            <w10:wrap type="topAndBottom"/>
          </v:group>
        </w:pict>
      </w:r>
    </w:p>
    <w:p>
      <w:pPr>
        <w:spacing w:after="0"/>
        <w:rPr>
          <w:rFonts w:ascii="Courier New"/>
          <w:sz w:val="14"/>
        </w:rPr>
        <w:sectPr>
          <w:footerReference w:type="default" r:id="rId25"/>
          <w:pgSz w:w="12240" w:h="15840"/>
          <w:pgMar w:footer="0" w:header="0" w:top="360" w:bottom="280" w:left="1220" w:right="480"/>
        </w:sectPr>
      </w:pPr>
    </w:p>
    <w:p>
      <w:pPr>
        <w:pStyle w:val="BodyText"/>
        <w:spacing w:before="9" w:after="1"/>
        <w:rPr>
          <w:rFonts w:ascii="Courier New"/>
          <w:sz w:val="21"/>
        </w:rPr>
      </w:pPr>
    </w:p>
    <w:p>
      <w:pPr>
        <w:pStyle w:val="BodyText"/>
        <w:ind w:left="221"/>
        <w:rPr>
          <w:rFonts w:ascii="Courier New"/>
          <w:sz w:val="20"/>
        </w:rPr>
      </w:pPr>
      <w:r>
        <w:rPr>
          <w:rFonts w:ascii="Courier New"/>
          <w:sz w:val="20"/>
        </w:rPr>
        <w:drawing>
          <wp:inline distT="0" distB="0" distL="0" distR="0">
            <wp:extent cx="5859764" cy="7392924"/>
            <wp:effectExtent l="0" t="0" r="0" b="0"/>
            <wp:docPr id="29" name="image12.jpeg"/>
            <wp:cNvGraphicFramePr>
              <a:graphicFrameLocks noChangeAspect="1"/>
            </wp:cNvGraphicFramePr>
            <a:graphic>
              <a:graphicData uri="http://schemas.openxmlformats.org/drawingml/2006/picture">
                <pic:pic>
                  <pic:nvPicPr>
                    <pic:cNvPr id="30" name="image12.jpeg"/>
                    <pic:cNvPicPr/>
                  </pic:nvPicPr>
                  <pic:blipFill>
                    <a:blip r:embed="rId28" cstate="print"/>
                    <a:stretch>
                      <a:fillRect/>
                    </a:stretch>
                  </pic:blipFill>
                  <pic:spPr>
                    <a:xfrm>
                      <a:off x="0" y="0"/>
                      <a:ext cx="5859764" cy="7392924"/>
                    </a:xfrm>
                    <a:prstGeom prst="rect">
                      <a:avLst/>
                    </a:prstGeom>
                  </pic:spPr>
                </pic:pic>
              </a:graphicData>
            </a:graphic>
          </wp:inline>
        </w:drawing>
      </w:r>
      <w:r>
        <w:rPr>
          <w:rFonts w:ascii="Courier New"/>
          <w:sz w:val="20"/>
        </w:rPr>
      </w:r>
    </w:p>
    <w:p>
      <w:pPr>
        <w:spacing w:after="0"/>
        <w:rPr>
          <w:rFonts w:ascii="Courier New"/>
          <w:sz w:val="20"/>
        </w:rPr>
        <w:sectPr>
          <w:footerReference w:type="default" r:id="rId27"/>
          <w:pgSz w:w="12240" w:h="15840"/>
          <w:pgMar w:footer="730" w:header="0" w:top="1500" w:bottom="920" w:left="1220" w:right="480"/>
        </w:sectPr>
      </w:pPr>
    </w:p>
    <w:p>
      <w:pPr>
        <w:pStyle w:val="BodyText"/>
        <w:spacing w:before="1"/>
        <w:rPr>
          <w:rFonts w:ascii="Courier New"/>
          <w:sz w:val="15"/>
        </w:rPr>
      </w:pPr>
    </w:p>
    <w:p>
      <w:pPr>
        <w:pStyle w:val="BodyText"/>
        <w:ind w:left="221"/>
        <w:rPr>
          <w:rFonts w:ascii="Courier New"/>
          <w:sz w:val="20"/>
        </w:rPr>
      </w:pPr>
      <w:r>
        <w:rPr>
          <w:rFonts w:ascii="Courier New"/>
          <w:sz w:val="20"/>
        </w:rPr>
        <w:drawing>
          <wp:inline distT="0" distB="0" distL="0" distR="0">
            <wp:extent cx="5859764" cy="7440930"/>
            <wp:effectExtent l="0" t="0" r="0" b="0"/>
            <wp:docPr id="31" name="image13.jpeg"/>
            <wp:cNvGraphicFramePr>
              <a:graphicFrameLocks noChangeAspect="1"/>
            </wp:cNvGraphicFramePr>
            <a:graphic>
              <a:graphicData uri="http://schemas.openxmlformats.org/drawingml/2006/picture">
                <pic:pic>
                  <pic:nvPicPr>
                    <pic:cNvPr id="32" name="image13.jpeg"/>
                    <pic:cNvPicPr/>
                  </pic:nvPicPr>
                  <pic:blipFill>
                    <a:blip r:embed="rId29" cstate="print"/>
                    <a:stretch>
                      <a:fillRect/>
                    </a:stretch>
                  </pic:blipFill>
                  <pic:spPr>
                    <a:xfrm>
                      <a:off x="0" y="0"/>
                      <a:ext cx="5859764" cy="7440930"/>
                    </a:xfrm>
                    <a:prstGeom prst="rect">
                      <a:avLst/>
                    </a:prstGeom>
                  </pic:spPr>
                </pic:pic>
              </a:graphicData>
            </a:graphic>
          </wp:inline>
        </w:drawing>
      </w:r>
      <w:r>
        <w:rPr>
          <w:rFonts w:ascii="Courier New"/>
          <w:sz w:val="20"/>
        </w:rPr>
      </w:r>
    </w:p>
    <w:sectPr>
      <w:pgSz w:w="12240" w:h="15840"/>
      <w:pgMar w:header="0" w:footer="730" w:top="1500" w:bottom="920" w:left="1220" w:right="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Calibri">
    <w:altName w:val="Calibri"/>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024002pt;margin-top:750.691467pt;width:32.0500pt;height:10.95pt;mso-position-horizontal-relative:page;mso-position-vertical-relative:page;z-index:-261656576"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101pt;margin-top:740.492859pt;width:32.0500pt;height:10.95pt;mso-position-horizontal-relative:page;mso-position-vertical-relative:page;z-index:-261643264"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350586pt;margin-top:721.61731pt;width:15.55pt;height:14pt;mso-position-horizontal-relative:page;mso-position-vertical-relative:page;z-index:-261655552" type="#_x0000_t202" filled="false" stroked="false">
          <v:textbox inset="0,0,0,0">
            <w:txbxContent>
              <w:p>
                <w:pPr>
                  <w:pStyle w:val="BodyText"/>
                  <w:spacing w:line="264" w:lineRule="exact"/>
                  <w:ind w:left="20"/>
                </w:pPr>
                <w:r>
                  <w:rPr>
                    <w:color w:val="231F20"/>
                  </w:rPr>
                  <w:t>-</w:t>
                </w:r>
                <w:r>
                  <w:rPr/>
                  <w:fldChar w:fldCharType="begin"/>
                </w:r>
                <w:r>
                  <w:rPr>
                    <w:color w:val="231F20"/>
                  </w:rPr>
                  <w:instrText> PAGE </w:instrText>
                </w:r>
                <w:r>
                  <w:rPr/>
                  <w:fldChar w:fldCharType="separate"/>
                </w:r>
                <w:r>
                  <w:rPr/>
                  <w:t>2</w:t>
                </w:r>
                <w:r>
                  <w:rPr/>
                  <w:fldChar w:fldCharType="end"/>
                </w:r>
                <w:r>
                  <w:rPr>
                    <w:color w:val="231F20"/>
                  </w:rPr>
                  <w:t>-</w:t>
                </w:r>
              </w:p>
            </w:txbxContent>
          </v:textbox>
          <w10:wrap type="none"/>
        </v:shape>
      </w:pict>
    </w:r>
    <w:r>
      <w:rPr/>
      <w:pict>
        <v:shape style="position:absolute;margin-left:71.024101pt;margin-top:733.892944pt;width:32pt;height:10.95pt;mso-position-horizontal-relative:page;mso-position-vertical-relative:page;z-index:-261654528"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pict>
        <v:shape style="position:absolute;margin-left:71.024101pt;margin-top:740.492859pt;width:32.0500pt;height:10.95pt;mso-position-horizontal-relative:page;mso-position-vertical-relative:page;z-index:-261653504"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30591pt;margin-top:733.61731pt;width:21.7pt;height:14pt;mso-position-horizontal-relative:page;mso-position-vertical-relative:page;z-index:-261652480" type="#_x0000_t202" filled="false" stroked="false">
          <v:textbox inset="0,0,0,0">
            <w:txbxContent>
              <w:p>
                <w:pPr>
                  <w:pStyle w:val="BodyText"/>
                  <w:spacing w:line="264" w:lineRule="exact"/>
                  <w:ind w:left="20"/>
                </w:pPr>
                <w:r>
                  <w:rPr>
                    <w:color w:val="231F20"/>
                  </w:rPr>
                  <w:t>-</w:t>
                </w:r>
                <w:r>
                  <w:rPr/>
                  <w:fldChar w:fldCharType="begin"/>
                </w:r>
                <w:r>
                  <w:rPr>
                    <w:color w:val="231F20"/>
                  </w:rPr>
                  <w:instrText> PAGE </w:instrText>
                </w:r>
                <w:r>
                  <w:rPr/>
                  <w:fldChar w:fldCharType="separate"/>
                </w:r>
                <w:r>
                  <w:rPr/>
                  <w:t>17</w:t>
                </w:r>
                <w:r>
                  <w:rPr/>
                  <w:fldChar w:fldCharType="end"/>
                </w:r>
                <w:r>
                  <w:rPr>
                    <w:color w:val="231F20"/>
                  </w:rPr>
                  <w:t>-</w:t>
                </w:r>
              </w:p>
            </w:txbxContent>
          </v:textbox>
          <w10:wrap type="none"/>
        </v:shape>
      </w:pict>
    </w:r>
    <w:r>
      <w:rPr/>
      <w:pict>
        <v:shape style="position:absolute;margin-left:71.024101pt;margin-top:745.892944pt;width:32pt;height:10.95pt;mso-position-horizontal-relative:page;mso-position-vertical-relative:page;z-index:-261651456"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101pt;margin-top:745.892944pt;width:32pt;height:10.95pt;mso-position-horizontal-relative:page;mso-position-vertical-relative:page;z-index:-261650432"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5.230591pt;margin-top:733.61731pt;width:21.7pt;height:14pt;mso-position-horizontal-relative:page;mso-position-vertical-relative:page;z-index:-261649408" type="#_x0000_t202" filled="false" stroked="false">
          <v:textbox inset="0,0,0,0">
            <w:txbxContent>
              <w:p>
                <w:pPr>
                  <w:pStyle w:val="BodyText"/>
                  <w:spacing w:line="264" w:lineRule="exact"/>
                  <w:ind w:left="20"/>
                </w:pPr>
                <w:r>
                  <w:rPr>
                    <w:color w:val="231F20"/>
                  </w:rPr>
                  <w:t>-</w:t>
                </w:r>
                <w:r>
                  <w:rPr/>
                  <w:fldChar w:fldCharType="begin"/>
                </w:r>
                <w:r>
                  <w:rPr>
                    <w:color w:val="231F20"/>
                  </w:rPr>
                  <w:instrText> PAGE </w:instrText>
                </w:r>
                <w:r>
                  <w:rPr/>
                  <w:fldChar w:fldCharType="separate"/>
                </w:r>
                <w:r>
                  <w:rPr/>
                  <w:t>10</w:t>
                </w:r>
                <w:r>
                  <w:rPr/>
                  <w:fldChar w:fldCharType="end"/>
                </w:r>
                <w:r>
                  <w:rPr>
                    <w:color w:val="231F20"/>
                  </w:rPr>
                  <w:t>-</w:t>
                </w:r>
              </w:p>
            </w:txbxContent>
          </v:textbox>
          <w10:wrap type="none"/>
        </v:shape>
      </w:pict>
    </w:r>
    <w:r>
      <w:rPr/>
      <w:pict>
        <v:shape style="position:absolute;margin-left:71.024101pt;margin-top:745.892944pt;width:32.0500pt;height:10.95pt;mso-position-horizontal-relative:page;mso-position-vertical-relative:page;z-index:-261648384"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71.024101pt;margin-top:745.892944pt;width:32.0500pt;height:10.95pt;mso-position-horizontal-relative:page;mso-position-vertical-relative:page;z-index:-261647360"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350586pt;margin-top:733.61731pt;width:15.55pt;height:14pt;mso-position-horizontal-relative:page;mso-position-vertical-relative:page;z-index:-261646336" type="#_x0000_t202" filled="false" stroked="false">
          <v:textbox inset="0,0,0,0">
            <w:txbxContent>
              <w:p>
                <w:pPr>
                  <w:pStyle w:val="BodyText"/>
                  <w:spacing w:line="264" w:lineRule="exact"/>
                  <w:ind w:left="20"/>
                </w:pPr>
                <w:r>
                  <w:rPr>
                    <w:color w:val="231F20"/>
                  </w:rPr>
                  <w:t>-</w:t>
                </w:r>
                <w:r>
                  <w:rPr/>
                  <w:fldChar w:fldCharType="begin"/>
                </w:r>
                <w:r>
                  <w:rPr>
                    <w:color w:val="231F20"/>
                  </w:rPr>
                  <w:instrText> PAGE </w:instrText>
                </w:r>
                <w:r>
                  <w:rPr/>
                  <w:fldChar w:fldCharType="separate"/>
                </w:r>
                <w:r>
                  <w:rPr/>
                  <w:t>2</w:t>
                </w:r>
                <w:r>
                  <w:rPr/>
                  <w:fldChar w:fldCharType="end"/>
                </w:r>
                <w:r>
                  <w:rPr>
                    <w:color w:val="231F20"/>
                  </w:rPr>
                  <w:t>-</w:t>
                </w:r>
              </w:p>
            </w:txbxContent>
          </v:textbox>
          <w10:wrap type="none"/>
        </v:shape>
      </w:pict>
    </w:r>
    <w:r>
      <w:rPr/>
      <w:pict>
        <v:shape style="position:absolute;margin-left:71.024101pt;margin-top:745.892944pt;width:32.0500pt;height:10.95pt;mso-position-horizontal-relative:page;mso-position-vertical-relative:page;z-index:-261645312"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24101pt;margin-top:745.892944pt;width:32.0500pt;height:10.95pt;mso-position-horizontal-relative:page;mso-position-vertical-relative:page;z-index:-261644288" type="#_x0000_t202" filled="false" stroked="false">
          <v:textbox inset="0,0,0,0">
            <w:txbxContent>
              <w:p>
                <w:pPr>
                  <w:spacing w:before="14"/>
                  <w:ind w:left="20" w:right="0" w:firstLine="0"/>
                  <w:jc w:val="left"/>
                  <w:rPr>
                    <w:rFonts w:ascii="Times New Roman"/>
                    <w:sz w:val="16"/>
                  </w:rPr>
                </w:pPr>
                <w:r>
                  <w:rPr>
                    <w:rFonts w:ascii="Times New Roman"/>
                    <w:color w:val="231F20"/>
                    <w:sz w:val="16"/>
                  </w:rPr>
                  <w:t>519297.2</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7">
    <w:multiLevelType w:val="hybridMultilevel"/>
    <w:lvl w:ilvl="0">
      <w:start w:val="1"/>
      <w:numFmt w:val="decimal"/>
      <w:lvlText w:val="%1."/>
      <w:lvlJc w:val="left"/>
      <w:pPr>
        <w:ind w:left="580" w:hanging="361"/>
        <w:jc w:val="left"/>
      </w:pPr>
      <w:rPr>
        <w:rFonts w:hint="default" w:ascii="Calibri" w:hAnsi="Calibri" w:eastAsia="Calibri" w:cs="Calibri"/>
        <w:color w:val="231F20"/>
        <w:spacing w:val="-2"/>
        <w:w w:val="100"/>
        <w:sz w:val="24"/>
        <w:szCs w:val="24"/>
      </w:rPr>
    </w:lvl>
    <w:lvl w:ilvl="1">
      <w:start w:val="0"/>
      <w:numFmt w:val="bullet"/>
      <w:lvlText w:val="•"/>
      <w:lvlJc w:val="left"/>
      <w:pPr>
        <w:ind w:left="1300" w:hanging="361"/>
      </w:pPr>
      <w:rPr>
        <w:rFonts w:hint="default"/>
      </w:rPr>
    </w:lvl>
    <w:lvl w:ilvl="2">
      <w:start w:val="0"/>
      <w:numFmt w:val="bullet"/>
      <w:lvlText w:val="•"/>
      <w:lvlJc w:val="left"/>
      <w:pPr>
        <w:ind w:left="2326" w:hanging="361"/>
      </w:pPr>
      <w:rPr>
        <w:rFonts w:hint="default"/>
      </w:rPr>
    </w:lvl>
    <w:lvl w:ilvl="3">
      <w:start w:val="0"/>
      <w:numFmt w:val="bullet"/>
      <w:lvlText w:val="•"/>
      <w:lvlJc w:val="left"/>
      <w:pPr>
        <w:ind w:left="3353" w:hanging="361"/>
      </w:pPr>
      <w:rPr>
        <w:rFonts w:hint="default"/>
      </w:rPr>
    </w:lvl>
    <w:lvl w:ilvl="4">
      <w:start w:val="0"/>
      <w:numFmt w:val="bullet"/>
      <w:lvlText w:val="•"/>
      <w:lvlJc w:val="left"/>
      <w:pPr>
        <w:ind w:left="4380" w:hanging="361"/>
      </w:pPr>
      <w:rPr>
        <w:rFonts w:hint="default"/>
      </w:rPr>
    </w:lvl>
    <w:lvl w:ilvl="5">
      <w:start w:val="0"/>
      <w:numFmt w:val="bullet"/>
      <w:lvlText w:val="•"/>
      <w:lvlJc w:val="left"/>
      <w:pPr>
        <w:ind w:left="5406" w:hanging="361"/>
      </w:pPr>
      <w:rPr>
        <w:rFonts w:hint="default"/>
      </w:rPr>
    </w:lvl>
    <w:lvl w:ilvl="6">
      <w:start w:val="0"/>
      <w:numFmt w:val="bullet"/>
      <w:lvlText w:val="•"/>
      <w:lvlJc w:val="left"/>
      <w:pPr>
        <w:ind w:left="6433" w:hanging="361"/>
      </w:pPr>
      <w:rPr>
        <w:rFonts w:hint="default"/>
      </w:rPr>
    </w:lvl>
    <w:lvl w:ilvl="7">
      <w:start w:val="0"/>
      <w:numFmt w:val="bullet"/>
      <w:lvlText w:val="•"/>
      <w:lvlJc w:val="left"/>
      <w:pPr>
        <w:ind w:left="7460" w:hanging="361"/>
      </w:pPr>
      <w:rPr>
        <w:rFonts w:hint="default"/>
      </w:rPr>
    </w:lvl>
    <w:lvl w:ilvl="8">
      <w:start w:val="0"/>
      <w:numFmt w:val="bullet"/>
      <w:lvlText w:val="•"/>
      <w:lvlJc w:val="left"/>
      <w:pPr>
        <w:ind w:left="8486" w:hanging="361"/>
      </w:pPr>
      <w:rPr>
        <w:rFonts w:hint="default"/>
      </w:rPr>
    </w:lvl>
  </w:abstractNum>
  <w:abstractNum w:abstractNumId="16">
    <w:multiLevelType w:val="hybridMultilevel"/>
    <w:lvl w:ilvl="0">
      <w:start w:val="1"/>
      <w:numFmt w:val="upperLetter"/>
      <w:lvlText w:val="%1."/>
      <w:lvlJc w:val="left"/>
      <w:pPr>
        <w:ind w:left="220" w:hanging="362"/>
        <w:jc w:val="left"/>
      </w:pPr>
      <w:rPr>
        <w:rFonts w:hint="default" w:ascii="Calibri" w:hAnsi="Calibri" w:eastAsia="Calibri" w:cs="Calibri"/>
        <w:color w:val="231F20"/>
        <w:spacing w:val="-3"/>
        <w:w w:val="100"/>
        <w:sz w:val="24"/>
        <w:szCs w:val="24"/>
      </w:rPr>
    </w:lvl>
    <w:lvl w:ilvl="1">
      <w:start w:val="1"/>
      <w:numFmt w:val="decimal"/>
      <w:lvlText w:val="%2."/>
      <w:lvlJc w:val="left"/>
      <w:pPr>
        <w:ind w:left="1660" w:hanging="360"/>
        <w:jc w:val="left"/>
      </w:pPr>
      <w:rPr>
        <w:rFonts w:hint="default" w:ascii="Calibri" w:hAnsi="Calibri" w:eastAsia="Calibri" w:cs="Calibri"/>
        <w:color w:val="231F20"/>
        <w:spacing w:val="-3"/>
        <w:w w:val="100"/>
        <w:sz w:val="24"/>
        <w:szCs w:val="24"/>
      </w:rPr>
    </w:lvl>
    <w:lvl w:ilvl="2">
      <w:start w:val="0"/>
      <w:numFmt w:val="bullet"/>
      <w:lvlText w:val="•"/>
      <w:lvlJc w:val="left"/>
      <w:pPr>
        <w:ind w:left="2200" w:hanging="360"/>
      </w:pPr>
      <w:rPr>
        <w:rFonts w:hint="default"/>
      </w:rPr>
    </w:lvl>
    <w:lvl w:ilvl="3">
      <w:start w:val="0"/>
      <w:numFmt w:val="bullet"/>
      <w:lvlText w:val="•"/>
      <w:lvlJc w:val="left"/>
      <w:pPr>
        <w:ind w:left="3242" w:hanging="360"/>
      </w:pPr>
      <w:rPr>
        <w:rFonts w:hint="default"/>
      </w:rPr>
    </w:lvl>
    <w:lvl w:ilvl="4">
      <w:start w:val="0"/>
      <w:numFmt w:val="bullet"/>
      <w:lvlText w:val="•"/>
      <w:lvlJc w:val="left"/>
      <w:pPr>
        <w:ind w:left="4285" w:hanging="360"/>
      </w:pPr>
      <w:rPr>
        <w:rFonts w:hint="default"/>
      </w:rPr>
    </w:lvl>
    <w:lvl w:ilvl="5">
      <w:start w:val="0"/>
      <w:numFmt w:val="bullet"/>
      <w:lvlText w:val="•"/>
      <w:lvlJc w:val="left"/>
      <w:pPr>
        <w:ind w:left="5327" w:hanging="360"/>
      </w:pPr>
      <w:rPr>
        <w:rFonts w:hint="default"/>
      </w:rPr>
    </w:lvl>
    <w:lvl w:ilvl="6">
      <w:start w:val="0"/>
      <w:numFmt w:val="bullet"/>
      <w:lvlText w:val="•"/>
      <w:lvlJc w:val="left"/>
      <w:pPr>
        <w:ind w:left="6370" w:hanging="360"/>
      </w:pPr>
      <w:rPr>
        <w:rFonts w:hint="default"/>
      </w:rPr>
    </w:lvl>
    <w:lvl w:ilvl="7">
      <w:start w:val="0"/>
      <w:numFmt w:val="bullet"/>
      <w:lvlText w:val="•"/>
      <w:lvlJc w:val="left"/>
      <w:pPr>
        <w:ind w:left="7412" w:hanging="360"/>
      </w:pPr>
      <w:rPr>
        <w:rFonts w:hint="default"/>
      </w:rPr>
    </w:lvl>
    <w:lvl w:ilvl="8">
      <w:start w:val="0"/>
      <w:numFmt w:val="bullet"/>
      <w:lvlText w:val="•"/>
      <w:lvlJc w:val="left"/>
      <w:pPr>
        <w:ind w:left="8455" w:hanging="360"/>
      </w:pPr>
      <w:rPr>
        <w:rFonts w:hint="default"/>
      </w:rPr>
    </w:lvl>
  </w:abstractNum>
  <w:abstractNum w:abstractNumId="15">
    <w:multiLevelType w:val="hybridMultilevel"/>
    <w:lvl w:ilvl="0">
      <w:start w:val="10"/>
      <w:numFmt w:val="decimal"/>
      <w:lvlText w:val="%1."/>
      <w:lvlJc w:val="left"/>
      <w:pPr>
        <w:ind w:left="940" w:hanging="720"/>
        <w:jc w:val="left"/>
      </w:pPr>
      <w:rPr>
        <w:rFonts w:hint="default" w:ascii="Calibri" w:hAnsi="Calibri" w:eastAsia="Calibri" w:cs="Calibri"/>
        <w:color w:val="231F20"/>
        <w:spacing w:val="-2"/>
        <w:w w:val="100"/>
        <w:sz w:val="24"/>
        <w:szCs w:val="24"/>
      </w:rPr>
    </w:lvl>
    <w:lvl w:ilvl="1">
      <w:start w:val="1"/>
      <w:numFmt w:val="lowerLetter"/>
      <w:lvlText w:val="%2."/>
      <w:lvlJc w:val="left"/>
      <w:pPr>
        <w:ind w:left="1300" w:hanging="361"/>
        <w:jc w:val="left"/>
      </w:pPr>
      <w:rPr>
        <w:rFonts w:hint="default" w:ascii="Calibri" w:hAnsi="Calibri" w:eastAsia="Calibri" w:cs="Calibri"/>
        <w:color w:val="231F20"/>
        <w:spacing w:val="-4"/>
        <w:w w:val="100"/>
        <w:sz w:val="24"/>
        <w:szCs w:val="24"/>
      </w:rPr>
    </w:lvl>
    <w:lvl w:ilvl="2">
      <w:start w:val="0"/>
      <w:numFmt w:val="bullet"/>
      <w:lvlText w:val="•"/>
      <w:lvlJc w:val="left"/>
      <w:pPr>
        <w:ind w:left="2326" w:hanging="361"/>
      </w:pPr>
      <w:rPr>
        <w:rFonts w:hint="default"/>
      </w:rPr>
    </w:lvl>
    <w:lvl w:ilvl="3">
      <w:start w:val="0"/>
      <w:numFmt w:val="bullet"/>
      <w:lvlText w:val="•"/>
      <w:lvlJc w:val="left"/>
      <w:pPr>
        <w:ind w:left="3353" w:hanging="361"/>
      </w:pPr>
      <w:rPr>
        <w:rFonts w:hint="default"/>
      </w:rPr>
    </w:lvl>
    <w:lvl w:ilvl="4">
      <w:start w:val="0"/>
      <w:numFmt w:val="bullet"/>
      <w:lvlText w:val="•"/>
      <w:lvlJc w:val="left"/>
      <w:pPr>
        <w:ind w:left="4380" w:hanging="361"/>
      </w:pPr>
      <w:rPr>
        <w:rFonts w:hint="default"/>
      </w:rPr>
    </w:lvl>
    <w:lvl w:ilvl="5">
      <w:start w:val="0"/>
      <w:numFmt w:val="bullet"/>
      <w:lvlText w:val="•"/>
      <w:lvlJc w:val="left"/>
      <w:pPr>
        <w:ind w:left="5406" w:hanging="361"/>
      </w:pPr>
      <w:rPr>
        <w:rFonts w:hint="default"/>
      </w:rPr>
    </w:lvl>
    <w:lvl w:ilvl="6">
      <w:start w:val="0"/>
      <w:numFmt w:val="bullet"/>
      <w:lvlText w:val="•"/>
      <w:lvlJc w:val="left"/>
      <w:pPr>
        <w:ind w:left="6433" w:hanging="361"/>
      </w:pPr>
      <w:rPr>
        <w:rFonts w:hint="default"/>
      </w:rPr>
    </w:lvl>
    <w:lvl w:ilvl="7">
      <w:start w:val="0"/>
      <w:numFmt w:val="bullet"/>
      <w:lvlText w:val="•"/>
      <w:lvlJc w:val="left"/>
      <w:pPr>
        <w:ind w:left="7460" w:hanging="361"/>
      </w:pPr>
      <w:rPr>
        <w:rFonts w:hint="default"/>
      </w:rPr>
    </w:lvl>
    <w:lvl w:ilvl="8">
      <w:start w:val="0"/>
      <w:numFmt w:val="bullet"/>
      <w:lvlText w:val="•"/>
      <w:lvlJc w:val="left"/>
      <w:pPr>
        <w:ind w:left="8486" w:hanging="361"/>
      </w:pPr>
      <w:rPr>
        <w:rFonts w:hint="default"/>
      </w:rPr>
    </w:lvl>
  </w:abstractNum>
  <w:abstractNum w:abstractNumId="14">
    <w:multiLevelType w:val="hybridMultilevel"/>
    <w:lvl w:ilvl="0">
      <w:start w:val="1"/>
      <w:numFmt w:val="lowerLetter"/>
      <w:lvlText w:val="%1."/>
      <w:lvlJc w:val="left"/>
      <w:pPr>
        <w:ind w:left="1300" w:hanging="361"/>
        <w:jc w:val="left"/>
      </w:pPr>
      <w:rPr>
        <w:rFonts w:hint="default" w:ascii="Calibri" w:hAnsi="Calibri" w:eastAsia="Calibri" w:cs="Calibri"/>
        <w:color w:val="231F20"/>
        <w:spacing w:val="-4"/>
        <w:w w:val="100"/>
        <w:sz w:val="24"/>
        <w:szCs w:val="24"/>
      </w:rPr>
    </w:lvl>
    <w:lvl w:ilvl="1">
      <w:start w:val="0"/>
      <w:numFmt w:val="bullet"/>
      <w:lvlText w:val="•"/>
      <w:lvlJc w:val="left"/>
      <w:pPr>
        <w:ind w:left="2224" w:hanging="361"/>
      </w:pPr>
      <w:rPr>
        <w:rFonts w:hint="default"/>
      </w:rPr>
    </w:lvl>
    <w:lvl w:ilvl="2">
      <w:start w:val="0"/>
      <w:numFmt w:val="bullet"/>
      <w:lvlText w:val="•"/>
      <w:lvlJc w:val="left"/>
      <w:pPr>
        <w:ind w:left="3148" w:hanging="361"/>
      </w:pPr>
      <w:rPr>
        <w:rFonts w:hint="default"/>
      </w:rPr>
    </w:lvl>
    <w:lvl w:ilvl="3">
      <w:start w:val="0"/>
      <w:numFmt w:val="bullet"/>
      <w:lvlText w:val="•"/>
      <w:lvlJc w:val="left"/>
      <w:pPr>
        <w:ind w:left="4072" w:hanging="361"/>
      </w:pPr>
      <w:rPr>
        <w:rFonts w:hint="default"/>
      </w:rPr>
    </w:lvl>
    <w:lvl w:ilvl="4">
      <w:start w:val="0"/>
      <w:numFmt w:val="bullet"/>
      <w:lvlText w:val="•"/>
      <w:lvlJc w:val="left"/>
      <w:pPr>
        <w:ind w:left="4996" w:hanging="361"/>
      </w:pPr>
      <w:rPr>
        <w:rFonts w:hint="default"/>
      </w:rPr>
    </w:lvl>
    <w:lvl w:ilvl="5">
      <w:start w:val="0"/>
      <w:numFmt w:val="bullet"/>
      <w:lvlText w:val="•"/>
      <w:lvlJc w:val="left"/>
      <w:pPr>
        <w:ind w:left="5920" w:hanging="361"/>
      </w:pPr>
      <w:rPr>
        <w:rFonts w:hint="default"/>
      </w:rPr>
    </w:lvl>
    <w:lvl w:ilvl="6">
      <w:start w:val="0"/>
      <w:numFmt w:val="bullet"/>
      <w:lvlText w:val="•"/>
      <w:lvlJc w:val="left"/>
      <w:pPr>
        <w:ind w:left="6844" w:hanging="361"/>
      </w:pPr>
      <w:rPr>
        <w:rFonts w:hint="default"/>
      </w:rPr>
    </w:lvl>
    <w:lvl w:ilvl="7">
      <w:start w:val="0"/>
      <w:numFmt w:val="bullet"/>
      <w:lvlText w:val="•"/>
      <w:lvlJc w:val="left"/>
      <w:pPr>
        <w:ind w:left="7768" w:hanging="361"/>
      </w:pPr>
      <w:rPr>
        <w:rFonts w:hint="default"/>
      </w:rPr>
    </w:lvl>
    <w:lvl w:ilvl="8">
      <w:start w:val="0"/>
      <w:numFmt w:val="bullet"/>
      <w:lvlText w:val="•"/>
      <w:lvlJc w:val="left"/>
      <w:pPr>
        <w:ind w:left="8692" w:hanging="361"/>
      </w:pPr>
      <w:rPr>
        <w:rFonts w:hint="default"/>
      </w:rPr>
    </w:lvl>
  </w:abstractNum>
  <w:abstractNum w:abstractNumId="13">
    <w:multiLevelType w:val="hybridMultilevel"/>
    <w:lvl w:ilvl="0">
      <w:start w:val="1"/>
      <w:numFmt w:val="lowerLetter"/>
      <w:lvlText w:val="%1."/>
      <w:lvlJc w:val="left"/>
      <w:pPr>
        <w:ind w:left="1300" w:hanging="361"/>
        <w:jc w:val="left"/>
      </w:pPr>
      <w:rPr>
        <w:rFonts w:hint="default" w:ascii="Calibri" w:hAnsi="Calibri" w:eastAsia="Calibri" w:cs="Calibri"/>
        <w:color w:val="231F20"/>
        <w:spacing w:val="-4"/>
        <w:w w:val="100"/>
        <w:sz w:val="24"/>
        <w:szCs w:val="24"/>
      </w:rPr>
    </w:lvl>
    <w:lvl w:ilvl="1">
      <w:start w:val="0"/>
      <w:numFmt w:val="bullet"/>
      <w:lvlText w:val="•"/>
      <w:lvlJc w:val="left"/>
      <w:pPr>
        <w:ind w:left="2224" w:hanging="361"/>
      </w:pPr>
      <w:rPr>
        <w:rFonts w:hint="default"/>
      </w:rPr>
    </w:lvl>
    <w:lvl w:ilvl="2">
      <w:start w:val="0"/>
      <w:numFmt w:val="bullet"/>
      <w:lvlText w:val="•"/>
      <w:lvlJc w:val="left"/>
      <w:pPr>
        <w:ind w:left="3148" w:hanging="361"/>
      </w:pPr>
      <w:rPr>
        <w:rFonts w:hint="default"/>
      </w:rPr>
    </w:lvl>
    <w:lvl w:ilvl="3">
      <w:start w:val="0"/>
      <w:numFmt w:val="bullet"/>
      <w:lvlText w:val="•"/>
      <w:lvlJc w:val="left"/>
      <w:pPr>
        <w:ind w:left="4072" w:hanging="361"/>
      </w:pPr>
      <w:rPr>
        <w:rFonts w:hint="default"/>
      </w:rPr>
    </w:lvl>
    <w:lvl w:ilvl="4">
      <w:start w:val="0"/>
      <w:numFmt w:val="bullet"/>
      <w:lvlText w:val="•"/>
      <w:lvlJc w:val="left"/>
      <w:pPr>
        <w:ind w:left="4996" w:hanging="361"/>
      </w:pPr>
      <w:rPr>
        <w:rFonts w:hint="default"/>
      </w:rPr>
    </w:lvl>
    <w:lvl w:ilvl="5">
      <w:start w:val="0"/>
      <w:numFmt w:val="bullet"/>
      <w:lvlText w:val="•"/>
      <w:lvlJc w:val="left"/>
      <w:pPr>
        <w:ind w:left="5920" w:hanging="361"/>
      </w:pPr>
      <w:rPr>
        <w:rFonts w:hint="default"/>
      </w:rPr>
    </w:lvl>
    <w:lvl w:ilvl="6">
      <w:start w:val="0"/>
      <w:numFmt w:val="bullet"/>
      <w:lvlText w:val="•"/>
      <w:lvlJc w:val="left"/>
      <w:pPr>
        <w:ind w:left="6844" w:hanging="361"/>
      </w:pPr>
      <w:rPr>
        <w:rFonts w:hint="default"/>
      </w:rPr>
    </w:lvl>
    <w:lvl w:ilvl="7">
      <w:start w:val="0"/>
      <w:numFmt w:val="bullet"/>
      <w:lvlText w:val="•"/>
      <w:lvlJc w:val="left"/>
      <w:pPr>
        <w:ind w:left="7768" w:hanging="361"/>
      </w:pPr>
      <w:rPr>
        <w:rFonts w:hint="default"/>
      </w:rPr>
    </w:lvl>
    <w:lvl w:ilvl="8">
      <w:start w:val="0"/>
      <w:numFmt w:val="bullet"/>
      <w:lvlText w:val="•"/>
      <w:lvlJc w:val="left"/>
      <w:pPr>
        <w:ind w:left="8692" w:hanging="361"/>
      </w:pPr>
      <w:rPr>
        <w:rFonts w:hint="default"/>
      </w:rPr>
    </w:lvl>
  </w:abstractNum>
  <w:abstractNum w:abstractNumId="12">
    <w:multiLevelType w:val="hybridMultilevel"/>
    <w:lvl w:ilvl="0">
      <w:start w:val="1"/>
      <w:numFmt w:val="decimal"/>
      <w:lvlText w:val="%1."/>
      <w:lvlJc w:val="left"/>
      <w:pPr>
        <w:ind w:left="940" w:hanging="721"/>
        <w:jc w:val="left"/>
      </w:pPr>
      <w:rPr>
        <w:rFonts w:hint="default" w:ascii="Calibri" w:hAnsi="Calibri" w:eastAsia="Calibri" w:cs="Calibri"/>
        <w:color w:val="231F20"/>
        <w:spacing w:val="-3"/>
        <w:w w:val="100"/>
        <w:sz w:val="24"/>
        <w:szCs w:val="24"/>
      </w:rPr>
    </w:lvl>
    <w:lvl w:ilvl="1">
      <w:start w:val="1"/>
      <w:numFmt w:val="lowerLetter"/>
      <w:lvlText w:val="%2."/>
      <w:lvlJc w:val="left"/>
      <w:pPr>
        <w:ind w:left="1300" w:hanging="361"/>
        <w:jc w:val="left"/>
      </w:pPr>
      <w:rPr>
        <w:rFonts w:hint="default" w:ascii="Calibri" w:hAnsi="Calibri" w:eastAsia="Calibri" w:cs="Calibri"/>
        <w:color w:val="231F20"/>
        <w:spacing w:val="-3"/>
        <w:w w:val="100"/>
        <w:sz w:val="24"/>
        <w:szCs w:val="24"/>
      </w:rPr>
    </w:lvl>
    <w:lvl w:ilvl="2">
      <w:start w:val="1"/>
      <w:numFmt w:val="decimal"/>
      <w:lvlText w:val="(%3)"/>
      <w:lvlJc w:val="left"/>
      <w:pPr>
        <w:ind w:left="1841" w:hanging="542"/>
        <w:jc w:val="left"/>
      </w:pPr>
      <w:rPr>
        <w:rFonts w:hint="default" w:ascii="Calibri" w:hAnsi="Calibri" w:eastAsia="Calibri" w:cs="Calibri"/>
        <w:color w:val="231F20"/>
        <w:spacing w:val="-3"/>
        <w:w w:val="100"/>
        <w:sz w:val="24"/>
        <w:szCs w:val="24"/>
      </w:rPr>
    </w:lvl>
    <w:lvl w:ilvl="3">
      <w:start w:val="1"/>
      <w:numFmt w:val="lowerLetter"/>
      <w:lvlText w:val="(%4)"/>
      <w:lvlJc w:val="left"/>
      <w:pPr>
        <w:ind w:left="2381" w:hanging="542"/>
        <w:jc w:val="left"/>
      </w:pPr>
      <w:rPr>
        <w:rFonts w:hint="default" w:ascii="Calibri" w:hAnsi="Calibri" w:eastAsia="Calibri" w:cs="Calibri"/>
        <w:color w:val="231F20"/>
        <w:spacing w:val="-3"/>
        <w:w w:val="100"/>
        <w:sz w:val="24"/>
        <w:szCs w:val="24"/>
      </w:rPr>
    </w:lvl>
    <w:lvl w:ilvl="4">
      <w:start w:val="0"/>
      <w:numFmt w:val="bullet"/>
      <w:lvlText w:val="•"/>
      <w:lvlJc w:val="left"/>
      <w:pPr>
        <w:ind w:left="3545" w:hanging="542"/>
      </w:pPr>
      <w:rPr>
        <w:rFonts w:hint="default"/>
      </w:rPr>
    </w:lvl>
    <w:lvl w:ilvl="5">
      <w:start w:val="0"/>
      <w:numFmt w:val="bullet"/>
      <w:lvlText w:val="•"/>
      <w:lvlJc w:val="left"/>
      <w:pPr>
        <w:ind w:left="4711" w:hanging="542"/>
      </w:pPr>
      <w:rPr>
        <w:rFonts w:hint="default"/>
      </w:rPr>
    </w:lvl>
    <w:lvl w:ilvl="6">
      <w:start w:val="0"/>
      <w:numFmt w:val="bullet"/>
      <w:lvlText w:val="•"/>
      <w:lvlJc w:val="left"/>
      <w:pPr>
        <w:ind w:left="5877" w:hanging="542"/>
      </w:pPr>
      <w:rPr>
        <w:rFonts w:hint="default"/>
      </w:rPr>
    </w:lvl>
    <w:lvl w:ilvl="7">
      <w:start w:val="0"/>
      <w:numFmt w:val="bullet"/>
      <w:lvlText w:val="•"/>
      <w:lvlJc w:val="left"/>
      <w:pPr>
        <w:ind w:left="7042" w:hanging="542"/>
      </w:pPr>
      <w:rPr>
        <w:rFonts w:hint="default"/>
      </w:rPr>
    </w:lvl>
    <w:lvl w:ilvl="8">
      <w:start w:val="0"/>
      <w:numFmt w:val="bullet"/>
      <w:lvlText w:val="•"/>
      <w:lvlJc w:val="left"/>
      <w:pPr>
        <w:ind w:left="8208" w:hanging="542"/>
      </w:pPr>
      <w:rPr>
        <w:rFonts w:hint="default"/>
      </w:rPr>
    </w:lvl>
  </w:abstractNum>
  <w:abstractNum w:abstractNumId="11">
    <w:multiLevelType w:val="hybridMultilevel"/>
    <w:lvl w:ilvl="0">
      <w:start w:val="1"/>
      <w:numFmt w:val="decimal"/>
      <w:lvlText w:val="%1."/>
      <w:lvlJc w:val="left"/>
      <w:pPr>
        <w:ind w:left="220" w:hanging="361"/>
        <w:jc w:val="left"/>
      </w:pPr>
      <w:rPr>
        <w:rFonts w:hint="default" w:ascii="Calibri" w:hAnsi="Calibri" w:eastAsia="Calibri" w:cs="Calibri"/>
        <w:color w:val="231F20"/>
        <w:spacing w:val="-4"/>
        <w:w w:val="100"/>
        <w:sz w:val="24"/>
        <w:szCs w:val="24"/>
      </w:rPr>
    </w:lvl>
    <w:lvl w:ilvl="1">
      <w:start w:val="1"/>
      <w:numFmt w:val="lowerLetter"/>
      <w:lvlText w:val="(%2)"/>
      <w:lvlJc w:val="left"/>
      <w:pPr>
        <w:ind w:left="1840" w:hanging="540"/>
        <w:jc w:val="left"/>
      </w:pPr>
      <w:rPr>
        <w:rFonts w:hint="default" w:ascii="Calibri" w:hAnsi="Calibri" w:eastAsia="Calibri" w:cs="Calibri"/>
        <w:color w:val="231F20"/>
        <w:spacing w:val="-3"/>
        <w:w w:val="100"/>
        <w:sz w:val="24"/>
        <w:szCs w:val="24"/>
      </w:rPr>
    </w:lvl>
    <w:lvl w:ilvl="2">
      <w:start w:val="0"/>
      <w:numFmt w:val="bullet"/>
      <w:lvlText w:val="•"/>
      <w:lvlJc w:val="left"/>
      <w:pPr>
        <w:ind w:left="2806" w:hanging="540"/>
      </w:pPr>
      <w:rPr>
        <w:rFonts w:hint="default"/>
      </w:rPr>
    </w:lvl>
    <w:lvl w:ilvl="3">
      <w:start w:val="0"/>
      <w:numFmt w:val="bullet"/>
      <w:lvlText w:val="•"/>
      <w:lvlJc w:val="left"/>
      <w:pPr>
        <w:ind w:left="3773" w:hanging="540"/>
      </w:pPr>
      <w:rPr>
        <w:rFonts w:hint="default"/>
      </w:rPr>
    </w:lvl>
    <w:lvl w:ilvl="4">
      <w:start w:val="0"/>
      <w:numFmt w:val="bullet"/>
      <w:lvlText w:val="•"/>
      <w:lvlJc w:val="left"/>
      <w:pPr>
        <w:ind w:left="4740" w:hanging="540"/>
      </w:pPr>
      <w:rPr>
        <w:rFonts w:hint="default"/>
      </w:rPr>
    </w:lvl>
    <w:lvl w:ilvl="5">
      <w:start w:val="0"/>
      <w:numFmt w:val="bullet"/>
      <w:lvlText w:val="•"/>
      <w:lvlJc w:val="left"/>
      <w:pPr>
        <w:ind w:left="5706" w:hanging="540"/>
      </w:pPr>
      <w:rPr>
        <w:rFonts w:hint="default"/>
      </w:rPr>
    </w:lvl>
    <w:lvl w:ilvl="6">
      <w:start w:val="0"/>
      <w:numFmt w:val="bullet"/>
      <w:lvlText w:val="•"/>
      <w:lvlJc w:val="left"/>
      <w:pPr>
        <w:ind w:left="6673" w:hanging="540"/>
      </w:pPr>
      <w:rPr>
        <w:rFonts w:hint="default"/>
      </w:rPr>
    </w:lvl>
    <w:lvl w:ilvl="7">
      <w:start w:val="0"/>
      <w:numFmt w:val="bullet"/>
      <w:lvlText w:val="•"/>
      <w:lvlJc w:val="left"/>
      <w:pPr>
        <w:ind w:left="7640" w:hanging="540"/>
      </w:pPr>
      <w:rPr>
        <w:rFonts w:hint="default"/>
      </w:rPr>
    </w:lvl>
    <w:lvl w:ilvl="8">
      <w:start w:val="0"/>
      <w:numFmt w:val="bullet"/>
      <w:lvlText w:val="•"/>
      <w:lvlJc w:val="left"/>
      <w:pPr>
        <w:ind w:left="8606" w:hanging="540"/>
      </w:pPr>
      <w:rPr>
        <w:rFonts w:hint="default"/>
      </w:rPr>
    </w:lvl>
  </w:abstractNum>
  <w:abstractNum w:abstractNumId="10">
    <w:multiLevelType w:val="hybridMultilevel"/>
    <w:lvl w:ilvl="0">
      <w:start w:val="1"/>
      <w:numFmt w:val="upperLetter"/>
      <w:lvlText w:val="%1."/>
      <w:lvlJc w:val="left"/>
      <w:pPr>
        <w:ind w:left="220" w:hanging="362"/>
        <w:jc w:val="left"/>
      </w:pPr>
      <w:rPr>
        <w:rFonts w:hint="default" w:ascii="Calibri" w:hAnsi="Calibri" w:eastAsia="Calibri" w:cs="Calibri"/>
        <w:color w:val="231F20"/>
        <w:spacing w:val="-4"/>
        <w:w w:val="100"/>
        <w:sz w:val="24"/>
        <w:szCs w:val="24"/>
      </w:rPr>
    </w:lvl>
    <w:lvl w:ilvl="1">
      <w:start w:val="1"/>
      <w:numFmt w:val="decimal"/>
      <w:lvlText w:val="(%2)"/>
      <w:lvlJc w:val="left"/>
      <w:pPr>
        <w:ind w:left="220" w:hanging="541"/>
        <w:jc w:val="left"/>
      </w:pPr>
      <w:rPr>
        <w:rFonts w:hint="default" w:ascii="Calibri" w:hAnsi="Calibri" w:eastAsia="Calibri" w:cs="Calibri"/>
        <w:color w:val="231F20"/>
        <w:spacing w:val="-4"/>
        <w:w w:val="100"/>
        <w:sz w:val="24"/>
        <w:szCs w:val="24"/>
      </w:rPr>
    </w:lvl>
    <w:lvl w:ilvl="2">
      <w:start w:val="0"/>
      <w:numFmt w:val="bullet"/>
      <w:lvlText w:val="•"/>
      <w:lvlJc w:val="left"/>
      <w:pPr>
        <w:ind w:left="2284" w:hanging="541"/>
      </w:pPr>
      <w:rPr>
        <w:rFonts w:hint="default"/>
      </w:rPr>
    </w:lvl>
    <w:lvl w:ilvl="3">
      <w:start w:val="0"/>
      <w:numFmt w:val="bullet"/>
      <w:lvlText w:val="•"/>
      <w:lvlJc w:val="left"/>
      <w:pPr>
        <w:ind w:left="3316" w:hanging="541"/>
      </w:pPr>
      <w:rPr>
        <w:rFonts w:hint="default"/>
      </w:rPr>
    </w:lvl>
    <w:lvl w:ilvl="4">
      <w:start w:val="0"/>
      <w:numFmt w:val="bullet"/>
      <w:lvlText w:val="•"/>
      <w:lvlJc w:val="left"/>
      <w:pPr>
        <w:ind w:left="4348" w:hanging="541"/>
      </w:pPr>
      <w:rPr>
        <w:rFonts w:hint="default"/>
      </w:rPr>
    </w:lvl>
    <w:lvl w:ilvl="5">
      <w:start w:val="0"/>
      <w:numFmt w:val="bullet"/>
      <w:lvlText w:val="•"/>
      <w:lvlJc w:val="left"/>
      <w:pPr>
        <w:ind w:left="5380" w:hanging="541"/>
      </w:pPr>
      <w:rPr>
        <w:rFonts w:hint="default"/>
      </w:rPr>
    </w:lvl>
    <w:lvl w:ilvl="6">
      <w:start w:val="0"/>
      <w:numFmt w:val="bullet"/>
      <w:lvlText w:val="•"/>
      <w:lvlJc w:val="left"/>
      <w:pPr>
        <w:ind w:left="6412" w:hanging="541"/>
      </w:pPr>
      <w:rPr>
        <w:rFonts w:hint="default"/>
      </w:rPr>
    </w:lvl>
    <w:lvl w:ilvl="7">
      <w:start w:val="0"/>
      <w:numFmt w:val="bullet"/>
      <w:lvlText w:val="•"/>
      <w:lvlJc w:val="left"/>
      <w:pPr>
        <w:ind w:left="7444" w:hanging="541"/>
      </w:pPr>
      <w:rPr>
        <w:rFonts w:hint="default"/>
      </w:rPr>
    </w:lvl>
    <w:lvl w:ilvl="8">
      <w:start w:val="0"/>
      <w:numFmt w:val="bullet"/>
      <w:lvlText w:val="•"/>
      <w:lvlJc w:val="left"/>
      <w:pPr>
        <w:ind w:left="8476" w:hanging="541"/>
      </w:pPr>
      <w:rPr>
        <w:rFonts w:hint="default"/>
      </w:rPr>
    </w:lvl>
  </w:abstractNum>
  <w:abstractNum w:abstractNumId="9">
    <w:multiLevelType w:val="hybridMultilevel"/>
    <w:lvl w:ilvl="0">
      <w:start w:val="1"/>
      <w:numFmt w:val="upperLetter"/>
      <w:lvlText w:val="%1."/>
      <w:lvlJc w:val="left"/>
      <w:pPr>
        <w:ind w:left="1301" w:hanging="362"/>
        <w:jc w:val="left"/>
      </w:pPr>
      <w:rPr>
        <w:rFonts w:hint="default" w:ascii="Calibri" w:hAnsi="Calibri" w:eastAsia="Calibri" w:cs="Calibri"/>
        <w:color w:val="231F20"/>
        <w:spacing w:val="-3"/>
        <w:w w:val="100"/>
        <w:sz w:val="24"/>
        <w:szCs w:val="24"/>
      </w:rPr>
    </w:lvl>
    <w:lvl w:ilvl="1">
      <w:start w:val="1"/>
      <w:numFmt w:val="decimal"/>
      <w:lvlText w:val="%2."/>
      <w:lvlJc w:val="left"/>
      <w:pPr>
        <w:ind w:left="220" w:hanging="361"/>
        <w:jc w:val="left"/>
      </w:pPr>
      <w:rPr>
        <w:rFonts w:hint="default" w:ascii="Calibri" w:hAnsi="Calibri" w:eastAsia="Calibri" w:cs="Calibri"/>
        <w:color w:val="231F20"/>
        <w:spacing w:val="-3"/>
        <w:w w:val="100"/>
        <w:sz w:val="24"/>
        <w:szCs w:val="24"/>
      </w:rPr>
    </w:lvl>
    <w:lvl w:ilvl="2">
      <w:start w:val="0"/>
      <w:numFmt w:val="bullet"/>
      <w:lvlText w:val="•"/>
      <w:lvlJc w:val="left"/>
      <w:pPr>
        <w:ind w:left="2326" w:hanging="361"/>
      </w:pPr>
      <w:rPr>
        <w:rFonts w:hint="default"/>
      </w:rPr>
    </w:lvl>
    <w:lvl w:ilvl="3">
      <w:start w:val="0"/>
      <w:numFmt w:val="bullet"/>
      <w:lvlText w:val="•"/>
      <w:lvlJc w:val="left"/>
      <w:pPr>
        <w:ind w:left="3353" w:hanging="361"/>
      </w:pPr>
      <w:rPr>
        <w:rFonts w:hint="default"/>
      </w:rPr>
    </w:lvl>
    <w:lvl w:ilvl="4">
      <w:start w:val="0"/>
      <w:numFmt w:val="bullet"/>
      <w:lvlText w:val="•"/>
      <w:lvlJc w:val="left"/>
      <w:pPr>
        <w:ind w:left="4380" w:hanging="361"/>
      </w:pPr>
      <w:rPr>
        <w:rFonts w:hint="default"/>
      </w:rPr>
    </w:lvl>
    <w:lvl w:ilvl="5">
      <w:start w:val="0"/>
      <w:numFmt w:val="bullet"/>
      <w:lvlText w:val="•"/>
      <w:lvlJc w:val="left"/>
      <w:pPr>
        <w:ind w:left="5406" w:hanging="361"/>
      </w:pPr>
      <w:rPr>
        <w:rFonts w:hint="default"/>
      </w:rPr>
    </w:lvl>
    <w:lvl w:ilvl="6">
      <w:start w:val="0"/>
      <w:numFmt w:val="bullet"/>
      <w:lvlText w:val="•"/>
      <w:lvlJc w:val="left"/>
      <w:pPr>
        <w:ind w:left="6433" w:hanging="361"/>
      </w:pPr>
      <w:rPr>
        <w:rFonts w:hint="default"/>
      </w:rPr>
    </w:lvl>
    <w:lvl w:ilvl="7">
      <w:start w:val="0"/>
      <w:numFmt w:val="bullet"/>
      <w:lvlText w:val="•"/>
      <w:lvlJc w:val="left"/>
      <w:pPr>
        <w:ind w:left="7460" w:hanging="361"/>
      </w:pPr>
      <w:rPr>
        <w:rFonts w:hint="default"/>
      </w:rPr>
    </w:lvl>
    <w:lvl w:ilvl="8">
      <w:start w:val="0"/>
      <w:numFmt w:val="bullet"/>
      <w:lvlText w:val="•"/>
      <w:lvlJc w:val="left"/>
      <w:pPr>
        <w:ind w:left="8486" w:hanging="361"/>
      </w:pPr>
      <w:rPr>
        <w:rFonts w:hint="default"/>
      </w:rPr>
    </w:lvl>
  </w:abstractNum>
  <w:abstractNum w:abstractNumId="8">
    <w:multiLevelType w:val="hybridMultilevel"/>
    <w:lvl w:ilvl="0">
      <w:start w:val="30"/>
      <w:numFmt w:val="decimal"/>
      <w:lvlText w:val="(%1)"/>
      <w:lvlJc w:val="left"/>
      <w:pPr>
        <w:ind w:left="220" w:hanging="443"/>
        <w:jc w:val="left"/>
      </w:pPr>
      <w:rPr>
        <w:rFonts w:hint="default" w:ascii="Calibri" w:hAnsi="Calibri" w:eastAsia="Calibri" w:cs="Calibri"/>
        <w:color w:val="231F20"/>
        <w:spacing w:val="-1"/>
        <w:w w:val="100"/>
        <w:sz w:val="24"/>
        <w:szCs w:val="24"/>
      </w:rPr>
    </w:lvl>
    <w:lvl w:ilvl="1">
      <w:start w:val="1"/>
      <w:numFmt w:val="upperLetter"/>
      <w:lvlText w:val="%2."/>
      <w:lvlJc w:val="left"/>
      <w:pPr>
        <w:ind w:left="1301" w:hanging="362"/>
        <w:jc w:val="left"/>
      </w:pPr>
      <w:rPr>
        <w:rFonts w:hint="default" w:ascii="Calibri" w:hAnsi="Calibri" w:eastAsia="Calibri" w:cs="Calibri"/>
        <w:color w:val="231F20"/>
        <w:spacing w:val="-2"/>
        <w:w w:val="100"/>
        <w:sz w:val="24"/>
        <w:szCs w:val="24"/>
      </w:rPr>
    </w:lvl>
    <w:lvl w:ilvl="2">
      <w:start w:val="0"/>
      <w:numFmt w:val="bullet"/>
      <w:lvlText w:val="•"/>
      <w:lvlJc w:val="left"/>
      <w:pPr>
        <w:ind w:left="2326" w:hanging="362"/>
      </w:pPr>
      <w:rPr>
        <w:rFonts w:hint="default"/>
      </w:rPr>
    </w:lvl>
    <w:lvl w:ilvl="3">
      <w:start w:val="0"/>
      <w:numFmt w:val="bullet"/>
      <w:lvlText w:val="•"/>
      <w:lvlJc w:val="left"/>
      <w:pPr>
        <w:ind w:left="3353" w:hanging="362"/>
      </w:pPr>
      <w:rPr>
        <w:rFonts w:hint="default"/>
      </w:rPr>
    </w:lvl>
    <w:lvl w:ilvl="4">
      <w:start w:val="0"/>
      <w:numFmt w:val="bullet"/>
      <w:lvlText w:val="•"/>
      <w:lvlJc w:val="left"/>
      <w:pPr>
        <w:ind w:left="4380" w:hanging="362"/>
      </w:pPr>
      <w:rPr>
        <w:rFonts w:hint="default"/>
      </w:rPr>
    </w:lvl>
    <w:lvl w:ilvl="5">
      <w:start w:val="0"/>
      <w:numFmt w:val="bullet"/>
      <w:lvlText w:val="•"/>
      <w:lvlJc w:val="left"/>
      <w:pPr>
        <w:ind w:left="5406" w:hanging="362"/>
      </w:pPr>
      <w:rPr>
        <w:rFonts w:hint="default"/>
      </w:rPr>
    </w:lvl>
    <w:lvl w:ilvl="6">
      <w:start w:val="0"/>
      <w:numFmt w:val="bullet"/>
      <w:lvlText w:val="•"/>
      <w:lvlJc w:val="left"/>
      <w:pPr>
        <w:ind w:left="6433" w:hanging="362"/>
      </w:pPr>
      <w:rPr>
        <w:rFonts w:hint="default"/>
      </w:rPr>
    </w:lvl>
    <w:lvl w:ilvl="7">
      <w:start w:val="0"/>
      <w:numFmt w:val="bullet"/>
      <w:lvlText w:val="•"/>
      <w:lvlJc w:val="left"/>
      <w:pPr>
        <w:ind w:left="7460" w:hanging="362"/>
      </w:pPr>
      <w:rPr>
        <w:rFonts w:hint="default"/>
      </w:rPr>
    </w:lvl>
    <w:lvl w:ilvl="8">
      <w:start w:val="0"/>
      <w:numFmt w:val="bullet"/>
      <w:lvlText w:val="•"/>
      <w:lvlJc w:val="left"/>
      <w:pPr>
        <w:ind w:left="8486" w:hanging="362"/>
      </w:pPr>
      <w:rPr>
        <w:rFonts w:hint="default"/>
      </w:rPr>
    </w:lvl>
  </w:abstractNum>
  <w:abstractNum w:abstractNumId="7">
    <w:multiLevelType w:val="hybridMultilevel"/>
    <w:lvl w:ilvl="0">
      <w:start w:val="1"/>
      <w:numFmt w:val="upperLetter"/>
      <w:lvlText w:val="%1."/>
      <w:lvlJc w:val="left"/>
      <w:pPr>
        <w:ind w:left="1301" w:hanging="361"/>
        <w:jc w:val="left"/>
      </w:pPr>
      <w:rPr>
        <w:rFonts w:hint="default" w:ascii="Calibri" w:hAnsi="Calibri" w:eastAsia="Calibri" w:cs="Calibri"/>
        <w:color w:val="231F20"/>
        <w:spacing w:val="-2"/>
        <w:w w:val="100"/>
        <w:sz w:val="24"/>
        <w:szCs w:val="24"/>
      </w:rPr>
    </w:lvl>
    <w:lvl w:ilvl="1">
      <w:start w:val="0"/>
      <w:numFmt w:val="bullet"/>
      <w:lvlText w:val="•"/>
      <w:lvlJc w:val="left"/>
      <w:pPr>
        <w:ind w:left="2224" w:hanging="361"/>
      </w:pPr>
      <w:rPr>
        <w:rFonts w:hint="default"/>
      </w:rPr>
    </w:lvl>
    <w:lvl w:ilvl="2">
      <w:start w:val="0"/>
      <w:numFmt w:val="bullet"/>
      <w:lvlText w:val="•"/>
      <w:lvlJc w:val="left"/>
      <w:pPr>
        <w:ind w:left="3148" w:hanging="361"/>
      </w:pPr>
      <w:rPr>
        <w:rFonts w:hint="default"/>
      </w:rPr>
    </w:lvl>
    <w:lvl w:ilvl="3">
      <w:start w:val="0"/>
      <w:numFmt w:val="bullet"/>
      <w:lvlText w:val="•"/>
      <w:lvlJc w:val="left"/>
      <w:pPr>
        <w:ind w:left="4072" w:hanging="361"/>
      </w:pPr>
      <w:rPr>
        <w:rFonts w:hint="default"/>
      </w:rPr>
    </w:lvl>
    <w:lvl w:ilvl="4">
      <w:start w:val="0"/>
      <w:numFmt w:val="bullet"/>
      <w:lvlText w:val="•"/>
      <w:lvlJc w:val="left"/>
      <w:pPr>
        <w:ind w:left="4996" w:hanging="361"/>
      </w:pPr>
      <w:rPr>
        <w:rFonts w:hint="default"/>
      </w:rPr>
    </w:lvl>
    <w:lvl w:ilvl="5">
      <w:start w:val="0"/>
      <w:numFmt w:val="bullet"/>
      <w:lvlText w:val="•"/>
      <w:lvlJc w:val="left"/>
      <w:pPr>
        <w:ind w:left="5920" w:hanging="361"/>
      </w:pPr>
      <w:rPr>
        <w:rFonts w:hint="default"/>
      </w:rPr>
    </w:lvl>
    <w:lvl w:ilvl="6">
      <w:start w:val="0"/>
      <w:numFmt w:val="bullet"/>
      <w:lvlText w:val="•"/>
      <w:lvlJc w:val="left"/>
      <w:pPr>
        <w:ind w:left="6844" w:hanging="361"/>
      </w:pPr>
      <w:rPr>
        <w:rFonts w:hint="default"/>
      </w:rPr>
    </w:lvl>
    <w:lvl w:ilvl="7">
      <w:start w:val="0"/>
      <w:numFmt w:val="bullet"/>
      <w:lvlText w:val="•"/>
      <w:lvlJc w:val="left"/>
      <w:pPr>
        <w:ind w:left="7768" w:hanging="361"/>
      </w:pPr>
      <w:rPr>
        <w:rFonts w:hint="default"/>
      </w:rPr>
    </w:lvl>
    <w:lvl w:ilvl="8">
      <w:start w:val="0"/>
      <w:numFmt w:val="bullet"/>
      <w:lvlText w:val="•"/>
      <w:lvlJc w:val="left"/>
      <w:pPr>
        <w:ind w:left="8692" w:hanging="361"/>
      </w:pPr>
      <w:rPr>
        <w:rFonts w:hint="default"/>
      </w:rPr>
    </w:lvl>
  </w:abstractNum>
  <w:abstractNum w:abstractNumId="6">
    <w:multiLevelType w:val="hybridMultilevel"/>
    <w:lvl w:ilvl="0">
      <w:start w:val="3"/>
      <w:numFmt w:val="decimal"/>
      <w:lvlText w:val="(%1)"/>
      <w:lvlJc w:val="left"/>
      <w:pPr>
        <w:ind w:left="220" w:hanging="322"/>
        <w:jc w:val="left"/>
      </w:pPr>
      <w:rPr>
        <w:rFonts w:hint="default" w:ascii="Calibri" w:hAnsi="Calibri" w:eastAsia="Calibri" w:cs="Calibri"/>
        <w:color w:val="231F20"/>
        <w:spacing w:val="-4"/>
        <w:w w:val="100"/>
        <w:sz w:val="24"/>
        <w:szCs w:val="24"/>
      </w:rPr>
    </w:lvl>
    <w:lvl w:ilvl="1">
      <w:start w:val="1"/>
      <w:numFmt w:val="lowerRoman"/>
      <w:lvlText w:val="(%2)"/>
      <w:lvlJc w:val="left"/>
      <w:pPr>
        <w:ind w:left="220" w:hanging="256"/>
        <w:jc w:val="left"/>
      </w:pPr>
      <w:rPr>
        <w:rFonts w:hint="default" w:ascii="Calibri" w:hAnsi="Calibri" w:eastAsia="Calibri" w:cs="Calibri"/>
        <w:color w:val="231F20"/>
        <w:spacing w:val="-5"/>
        <w:w w:val="100"/>
        <w:sz w:val="24"/>
        <w:szCs w:val="24"/>
      </w:rPr>
    </w:lvl>
    <w:lvl w:ilvl="2">
      <w:start w:val="0"/>
      <w:numFmt w:val="bullet"/>
      <w:lvlText w:val="•"/>
      <w:lvlJc w:val="left"/>
      <w:pPr>
        <w:ind w:left="2284" w:hanging="256"/>
      </w:pPr>
      <w:rPr>
        <w:rFonts w:hint="default"/>
      </w:rPr>
    </w:lvl>
    <w:lvl w:ilvl="3">
      <w:start w:val="0"/>
      <w:numFmt w:val="bullet"/>
      <w:lvlText w:val="•"/>
      <w:lvlJc w:val="left"/>
      <w:pPr>
        <w:ind w:left="3316" w:hanging="256"/>
      </w:pPr>
      <w:rPr>
        <w:rFonts w:hint="default"/>
      </w:rPr>
    </w:lvl>
    <w:lvl w:ilvl="4">
      <w:start w:val="0"/>
      <w:numFmt w:val="bullet"/>
      <w:lvlText w:val="•"/>
      <w:lvlJc w:val="left"/>
      <w:pPr>
        <w:ind w:left="4348" w:hanging="256"/>
      </w:pPr>
      <w:rPr>
        <w:rFonts w:hint="default"/>
      </w:rPr>
    </w:lvl>
    <w:lvl w:ilvl="5">
      <w:start w:val="0"/>
      <w:numFmt w:val="bullet"/>
      <w:lvlText w:val="•"/>
      <w:lvlJc w:val="left"/>
      <w:pPr>
        <w:ind w:left="5380" w:hanging="256"/>
      </w:pPr>
      <w:rPr>
        <w:rFonts w:hint="default"/>
      </w:rPr>
    </w:lvl>
    <w:lvl w:ilvl="6">
      <w:start w:val="0"/>
      <w:numFmt w:val="bullet"/>
      <w:lvlText w:val="•"/>
      <w:lvlJc w:val="left"/>
      <w:pPr>
        <w:ind w:left="6412" w:hanging="256"/>
      </w:pPr>
      <w:rPr>
        <w:rFonts w:hint="default"/>
      </w:rPr>
    </w:lvl>
    <w:lvl w:ilvl="7">
      <w:start w:val="0"/>
      <w:numFmt w:val="bullet"/>
      <w:lvlText w:val="•"/>
      <w:lvlJc w:val="left"/>
      <w:pPr>
        <w:ind w:left="7444" w:hanging="256"/>
      </w:pPr>
      <w:rPr>
        <w:rFonts w:hint="default"/>
      </w:rPr>
    </w:lvl>
    <w:lvl w:ilvl="8">
      <w:start w:val="0"/>
      <w:numFmt w:val="bullet"/>
      <w:lvlText w:val="•"/>
      <w:lvlJc w:val="left"/>
      <w:pPr>
        <w:ind w:left="8476" w:hanging="256"/>
      </w:pPr>
      <w:rPr>
        <w:rFonts w:hint="default"/>
      </w:rPr>
    </w:lvl>
  </w:abstractNum>
  <w:abstractNum w:abstractNumId="5">
    <w:multiLevelType w:val="hybridMultilevel"/>
    <w:lvl w:ilvl="0">
      <w:start w:val="1"/>
      <w:numFmt w:val="decimal"/>
      <w:lvlText w:val="%1."/>
      <w:lvlJc w:val="left"/>
      <w:pPr>
        <w:ind w:left="220" w:hanging="360"/>
        <w:jc w:val="left"/>
      </w:pPr>
      <w:rPr>
        <w:rFonts w:hint="default" w:ascii="Calibri" w:hAnsi="Calibri" w:eastAsia="Calibri" w:cs="Calibri"/>
        <w:color w:val="231F20"/>
        <w:spacing w:val="-4"/>
        <w:w w:val="100"/>
        <w:sz w:val="24"/>
        <w:szCs w:val="24"/>
      </w:rPr>
    </w:lvl>
    <w:lvl w:ilvl="1">
      <w:start w:val="0"/>
      <w:numFmt w:val="bullet"/>
      <w:lvlText w:val="•"/>
      <w:lvlJc w:val="left"/>
      <w:pPr>
        <w:ind w:left="1252" w:hanging="360"/>
      </w:pPr>
      <w:rPr>
        <w:rFonts w:hint="default"/>
      </w:rPr>
    </w:lvl>
    <w:lvl w:ilvl="2">
      <w:start w:val="0"/>
      <w:numFmt w:val="bullet"/>
      <w:lvlText w:val="•"/>
      <w:lvlJc w:val="left"/>
      <w:pPr>
        <w:ind w:left="2284" w:hanging="360"/>
      </w:pPr>
      <w:rPr>
        <w:rFonts w:hint="default"/>
      </w:rPr>
    </w:lvl>
    <w:lvl w:ilvl="3">
      <w:start w:val="0"/>
      <w:numFmt w:val="bullet"/>
      <w:lvlText w:val="•"/>
      <w:lvlJc w:val="left"/>
      <w:pPr>
        <w:ind w:left="3316" w:hanging="360"/>
      </w:pPr>
      <w:rPr>
        <w:rFonts w:hint="default"/>
      </w:rPr>
    </w:lvl>
    <w:lvl w:ilvl="4">
      <w:start w:val="0"/>
      <w:numFmt w:val="bullet"/>
      <w:lvlText w:val="•"/>
      <w:lvlJc w:val="left"/>
      <w:pPr>
        <w:ind w:left="4348" w:hanging="360"/>
      </w:pPr>
      <w:rPr>
        <w:rFonts w:hint="default"/>
      </w:rPr>
    </w:lvl>
    <w:lvl w:ilvl="5">
      <w:start w:val="0"/>
      <w:numFmt w:val="bullet"/>
      <w:lvlText w:val="•"/>
      <w:lvlJc w:val="left"/>
      <w:pPr>
        <w:ind w:left="5380" w:hanging="360"/>
      </w:pPr>
      <w:rPr>
        <w:rFonts w:hint="default"/>
      </w:rPr>
    </w:lvl>
    <w:lvl w:ilvl="6">
      <w:start w:val="0"/>
      <w:numFmt w:val="bullet"/>
      <w:lvlText w:val="•"/>
      <w:lvlJc w:val="left"/>
      <w:pPr>
        <w:ind w:left="6412" w:hanging="360"/>
      </w:pPr>
      <w:rPr>
        <w:rFonts w:hint="default"/>
      </w:rPr>
    </w:lvl>
    <w:lvl w:ilvl="7">
      <w:start w:val="0"/>
      <w:numFmt w:val="bullet"/>
      <w:lvlText w:val="•"/>
      <w:lvlJc w:val="left"/>
      <w:pPr>
        <w:ind w:left="7444" w:hanging="360"/>
      </w:pPr>
      <w:rPr>
        <w:rFonts w:hint="default"/>
      </w:rPr>
    </w:lvl>
    <w:lvl w:ilvl="8">
      <w:start w:val="0"/>
      <w:numFmt w:val="bullet"/>
      <w:lvlText w:val="•"/>
      <w:lvlJc w:val="left"/>
      <w:pPr>
        <w:ind w:left="8476" w:hanging="360"/>
      </w:pPr>
      <w:rPr>
        <w:rFonts w:hint="default"/>
      </w:rPr>
    </w:lvl>
  </w:abstractNum>
  <w:abstractNum w:abstractNumId="4">
    <w:multiLevelType w:val="hybridMultilevel"/>
    <w:lvl w:ilvl="0">
      <w:start w:val="1"/>
      <w:numFmt w:val="upperLetter"/>
      <w:lvlText w:val="%1."/>
      <w:lvlJc w:val="left"/>
      <w:pPr>
        <w:ind w:left="1301" w:hanging="361"/>
        <w:jc w:val="left"/>
      </w:pPr>
      <w:rPr>
        <w:rFonts w:hint="default" w:ascii="Calibri" w:hAnsi="Calibri" w:eastAsia="Calibri" w:cs="Calibri"/>
        <w:color w:val="231F20"/>
        <w:spacing w:val="-3"/>
        <w:w w:val="100"/>
        <w:sz w:val="24"/>
        <w:szCs w:val="24"/>
      </w:rPr>
    </w:lvl>
    <w:lvl w:ilvl="1">
      <w:start w:val="0"/>
      <w:numFmt w:val="bullet"/>
      <w:lvlText w:val="•"/>
      <w:lvlJc w:val="left"/>
      <w:pPr>
        <w:ind w:left="1300" w:hanging="361"/>
      </w:pPr>
      <w:rPr>
        <w:rFonts w:hint="default"/>
      </w:rPr>
    </w:lvl>
    <w:lvl w:ilvl="2">
      <w:start w:val="0"/>
      <w:numFmt w:val="bullet"/>
      <w:lvlText w:val="•"/>
      <w:lvlJc w:val="left"/>
      <w:pPr>
        <w:ind w:left="2326" w:hanging="361"/>
      </w:pPr>
      <w:rPr>
        <w:rFonts w:hint="default"/>
      </w:rPr>
    </w:lvl>
    <w:lvl w:ilvl="3">
      <w:start w:val="0"/>
      <w:numFmt w:val="bullet"/>
      <w:lvlText w:val="•"/>
      <w:lvlJc w:val="left"/>
      <w:pPr>
        <w:ind w:left="3353" w:hanging="361"/>
      </w:pPr>
      <w:rPr>
        <w:rFonts w:hint="default"/>
      </w:rPr>
    </w:lvl>
    <w:lvl w:ilvl="4">
      <w:start w:val="0"/>
      <w:numFmt w:val="bullet"/>
      <w:lvlText w:val="•"/>
      <w:lvlJc w:val="left"/>
      <w:pPr>
        <w:ind w:left="4380" w:hanging="361"/>
      </w:pPr>
      <w:rPr>
        <w:rFonts w:hint="default"/>
      </w:rPr>
    </w:lvl>
    <w:lvl w:ilvl="5">
      <w:start w:val="0"/>
      <w:numFmt w:val="bullet"/>
      <w:lvlText w:val="•"/>
      <w:lvlJc w:val="left"/>
      <w:pPr>
        <w:ind w:left="5406" w:hanging="361"/>
      </w:pPr>
      <w:rPr>
        <w:rFonts w:hint="default"/>
      </w:rPr>
    </w:lvl>
    <w:lvl w:ilvl="6">
      <w:start w:val="0"/>
      <w:numFmt w:val="bullet"/>
      <w:lvlText w:val="•"/>
      <w:lvlJc w:val="left"/>
      <w:pPr>
        <w:ind w:left="6433" w:hanging="361"/>
      </w:pPr>
      <w:rPr>
        <w:rFonts w:hint="default"/>
      </w:rPr>
    </w:lvl>
    <w:lvl w:ilvl="7">
      <w:start w:val="0"/>
      <w:numFmt w:val="bullet"/>
      <w:lvlText w:val="•"/>
      <w:lvlJc w:val="left"/>
      <w:pPr>
        <w:ind w:left="7460" w:hanging="361"/>
      </w:pPr>
      <w:rPr>
        <w:rFonts w:hint="default"/>
      </w:rPr>
    </w:lvl>
    <w:lvl w:ilvl="8">
      <w:start w:val="0"/>
      <w:numFmt w:val="bullet"/>
      <w:lvlText w:val="•"/>
      <w:lvlJc w:val="left"/>
      <w:pPr>
        <w:ind w:left="8486" w:hanging="361"/>
      </w:pPr>
      <w:rPr>
        <w:rFonts w:hint="default"/>
      </w:rPr>
    </w:lvl>
  </w:abstractNum>
  <w:abstractNum w:abstractNumId="3">
    <w:multiLevelType w:val="hybridMultilevel"/>
    <w:lvl w:ilvl="0">
      <w:start w:val="1"/>
      <w:numFmt w:val="lowerLetter"/>
      <w:lvlText w:val="(%1)"/>
      <w:lvlJc w:val="left"/>
      <w:pPr>
        <w:ind w:left="220" w:hanging="450"/>
        <w:jc w:val="left"/>
      </w:pPr>
      <w:rPr>
        <w:rFonts w:hint="default" w:ascii="Calibri" w:hAnsi="Calibri" w:eastAsia="Calibri" w:cs="Calibri"/>
        <w:color w:val="231F20"/>
        <w:spacing w:val="-3"/>
        <w:w w:val="100"/>
        <w:sz w:val="24"/>
        <w:szCs w:val="24"/>
      </w:rPr>
    </w:lvl>
    <w:lvl w:ilvl="1">
      <w:start w:val="0"/>
      <w:numFmt w:val="bullet"/>
      <w:lvlText w:val="•"/>
      <w:lvlJc w:val="left"/>
      <w:pPr>
        <w:ind w:left="1252" w:hanging="450"/>
      </w:pPr>
      <w:rPr>
        <w:rFonts w:hint="default"/>
      </w:rPr>
    </w:lvl>
    <w:lvl w:ilvl="2">
      <w:start w:val="0"/>
      <w:numFmt w:val="bullet"/>
      <w:lvlText w:val="•"/>
      <w:lvlJc w:val="left"/>
      <w:pPr>
        <w:ind w:left="2284" w:hanging="450"/>
      </w:pPr>
      <w:rPr>
        <w:rFonts w:hint="default"/>
      </w:rPr>
    </w:lvl>
    <w:lvl w:ilvl="3">
      <w:start w:val="0"/>
      <w:numFmt w:val="bullet"/>
      <w:lvlText w:val="•"/>
      <w:lvlJc w:val="left"/>
      <w:pPr>
        <w:ind w:left="3316" w:hanging="450"/>
      </w:pPr>
      <w:rPr>
        <w:rFonts w:hint="default"/>
      </w:rPr>
    </w:lvl>
    <w:lvl w:ilvl="4">
      <w:start w:val="0"/>
      <w:numFmt w:val="bullet"/>
      <w:lvlText w:val="•"/>
      <w:lvlJc w:val="left"/>
      <w:pPr>
        <w:ind w:left="4348" w:hanging="450"/>
      </w:pPr>
      <w:rPr>
        <w:rFonts w:hint="default"/>
      </w:rPr>
    </w:lvl>
    <w:lvl w:ilvl="5">
      <w:start w:val="0"/>
      <w:numFmt w:val="bullet"/>
      <w:lvlText w:val="•"/>
      <w:lvlJc w:val="left"/>
      <w:pPr>
        <w:ind w:left="5380" w:hanging="450"/>
      </w:pPr>
      <w:rPr>
        <w:rFonts w:hint="default"/>
      </w:rPr>
    </w:lvl>
    <w:lvl w:ilvl="6">
      <w:start w:val="0"/>
      <w:numFmt w:val="bullet"/>
      <w:lvlText w:val="•"/>
      <w:lvlJc w:val="left"/>
      <w:pPr>
        <w:ind w:left="6412" w:hanging="450"/>
      </w:pPr>
      <w:rPr>
        <w:rFonts w:hint="default"/>
      </w:rPr>
    </w:lvl>
    <w:lvl w:ilvl="7">
      <w:start w:val="0"/>
      <w:numFmt w:val="bullet"/>
      <w:lvlText w:val="•"/>
      <w:lvlJc w:val="left"/>
      <w:pPr>
        <w:ind w:left="7444" w:hanging="450"/>
      </w:pPr>
      <w:rPr>
        <w:rFonts w:hint="default"/>
      </w:rPr>
    </w:lvl>
    <w:lvl w:ilvl="8">
      <w:start w:val="0"/>
      <w:numFmt w:val="bullet"/>
      <w:lvlText w:val="•"/>
      <w:lvlJc w:val="left"/>
      <w:pPr>
        <w:ind w:left="8476" w:hanging="450"/>
      </w:pPr>
      <w:rPr>
        <w:rFonts w:hint="default"/>
      </w:rPr>
    </w:lvl>
  </w:abstractNum>
  <w:abstractNum w:abstractNumId="2">
    <w:multiLevelType w:val="hybridMultilevel"/>
    <w:lvl w:ilvl="0">
      <w:start w:val="317"/>
      <w:numFmt w:val="decimal"/>
      <w:lvlText w:val="%1"/>
      <w:lvlJc w:val="left"/>
      <w:pPr>
        <w:ind w:left="220" w:hanging="725"/>
        <w:jc w:val="left"/>
      </w:pPr>
      <w:rPr>
        <w:rFonts w:hint="default"/>
      </w:rPr>
    </w:lvl>
    <w:lvl w:ilvl="1">
      <w:start w:val="57"/>
      <w:numFmt w:val="decimal"/>
      <w:lvlText w:val="%1.%2"/>
      <w:lvlJc w:val="left"/>
      <w:pPr>
        <w:ind w:left="220" w:hanging="725"/>
        <w:jc w:val="left"/>
      </w:pPr>
      <w:rPr>
        <w:rFonts w:hint="default" w:ascii="Calibri" w:hAnsi="Calibri" w:eastAsia="Calibri" w:cs="Calibri"/>
        <w:color w:val="231F20"/>
        <w:w w:val="100"/>
        <w:sz w:val="24"/>
        <w:szCs w:val="24"/>
      </w:rPr>
    </w:lvl>
    <w:lvl w:ilvl="2">
      <w:start w:val="1"/>
      <w:numFmt w:val="upperLetter"/>
      <w:lvlText w:val="%3."/>
      <w:lvlJc w:val="left"/>
      <w:pPr>
        <w:ind w:left="1301" w:hanging="362"/>
        <w:jc w:val="left"/>
      </w:pPr>
      <w:rPr>
        <w:rFonts w:hint="default" w:ascii="Calibri" w:hAnsi="Calibri" w:eastAsia="Calibri" w:cs="Calibri"/>
        <w:color w:val="231F20"/>
        <w:spacing w:val="-3"/>
        <w:w w:val="100"/>
        <w:sz w:val="24"/>
        <w:szCs w:val="24"/>
      </w:rPr>
    </w:lvl>
    <w:lvl w:ilvl="3">
      <w:start w:val="1"/>
      <w:numFmt w:val="decimal"/>
      <w:lvlText w:val="%4."/>
      <w:lvlJc w:val="left"/>
      <w:pPr>
        <w:ind w:left="1660" w:hanging="360"/>
        <w:jc w:val="left"/>
      </w:pPr>
      <w:rPr>
        <w:rFonts w:hint="default" w:ascii="Calibri" w:hAnsi="Calibri" w:eastAsia="Calibri" w:cs="Calibri"/>
        <w:color w:val="231F20"/>
        <w:spacing w:val="-2"/>
        <w:w w:val="100"/>
        <w:sz w:val="24"/>
        <w:szCs w:val="24"/>
      </w:rPr>
    </w:lvl>
    <w:lvl w:ilvl="4">
      <w:start w:val="0"/>
      <w:numFmt w:val="bullet"/>
      <w:lvlText w:val="•"/>
      <w:lvlJc w:val="left"/>
      <w:pPr>
        <w:ind w:left="3880" w:hanging="360"/>
      </w:pPr>
      <w:rPr>
        <w:rFonts w:hint="default"/>
      </w:rPr>
    </w:lvl>
    <w:lvl w:ilvl="5">
      <w:start w:val="0"/>
      <w:numFmt w:val="bullet"/>
      <w:lvlText w:val="•"/>
      <w:lvlJc w:val="left"/>
      <w:pPr>
        <w:ind w:left="4990" w:hanging="360"/>
      </w:pPr>
      <w:rPr>
        <w:rFonts w:hint="default"/>
      </w:rPr>
    </w:lvl>
    <w:lvl w:ilvl="6">
      <w:start w:val="0"/>
      <w:numFmt w:val="bullet"/>
      <w:lvlText w:val="•"/>
      <w:lvlJc w:val="left"/>
      <w:pPr>
        <w:ind w:left="6100" w:hanging="360"/>
      </w:pPr>
      <w:rPr>
        <w:rFonts w:hint="default"/>
      </w:rPr>
    </w:lvl>
    <w:lvl w:ilvl="7">
      <w:start w:val="0"/>
      <w:numFmt w:val="bullet"/>
      <w:lvlText w:val="•"/>
      <w:lvlJc w:val="left"/>
      <w:pPr>
        <w:ind w:left="7210" w:hanging="360"/>
      </w:pPr>
      <w:rPr>
        <w:rFonts w:hint="default"/>
      </w:rPr>
    </w:lvl>
    <w:lvl w:ilvl="8">
      <w:start w:val="0"/>
      <w:numFmt w:val="bullet"/>
      <w:lvlText w:val="•"/>
      <w:lvlJc w:val="left"/>
      <w:pPr>
        <w:ind w:left="8320" w:hanging="360"/>
      </w:pPr>
      <w:rPr>
        <w:rFonts w:hint="default"/>
      </w:rPr>
    </w:lvl>
  </w:abstractNum>
  <w:abstractNum w:abstractNumId="1">
    <w:multiLevelType w:val="hybridMultilevel"/>
    <w:lvl w:ilvl="0">
      <w:start w:val="1"/>
      <w:numFmt w:val="lowerRoman"/>
      <w:lvlText w:val="(%1)"/>
      <w:lvlJc w:val="left"/>
      <w:pPr>
        <w:ind w:left="220" w:hanging="448"/>
        <w:jc w:val="left"/>
      </w:pPr>
      <w:rPr>
        <w:rFonts w:hint="default" w:ascii="Calibri" w:hAnsi="Calibri" w:eastAsia="Calibri" w:cs="Calibri"/>
        <w:color w:val="231F20"/>
        <w:spacing w:val="-4"/>
        <w:w w:val="100"/>
        <w:sz w:val="24"/>
        <w:szCs w:val="24"/>
      </w:rPr>
    </w:lvl>
    <w:lvl w:ilvl="1">
      <w:start w:val="0"/>
      <w:numFmt w:val="bullet"/>
      <w:lvlText w:val="•"/>
      <w:lvlJc w:val="left"/>
      <w:pPr>
        <w:ind w:left="1252" w:hanging="448"/>
      </w:pPr>
      <w:rPr>
        <w:rFonts w:hint="default"/>
      </w:rPr>
    </w:lvl>
    <w:lvl w:ilvl="2">
      <w:start w:val="0"/>
      <w:numFmt w:val="bullet"/>
      <w:lvlText w:val="•"/>
      <w:lvlJc w:val="left"/>
      <w:pPr>
        <w:ind w:left="2284" w:hanging="448"/>
      </w:pPr>
      <w:rPr>
        <w:rFonts w:hint="default"/>
      </w:rPr>
    </w:lvl>
    <w:lvl w:ilvl="3">
      <w:start w:val="0"/>
      <w:numFmt w:val="bullet"/>
      <w:lvlText w:val="•"/>
      <w:lvlJc w:val="left"/>
      <w:pPr>
        <w:ind w:left="3316" w:hanging="448"/>
      </w:pPr>
      <w:rPr>
        <w:rFonts w:hint="default"/>
      </w:rPr>
    </w:lvl>
    <w:lvl w:ilvl="4">
      <w:start w:val="0"/>
      <w:numFmt w:val="bullet"/>
      <w:lvlText w:val="•"/>
      <w:lvlJc w:val="left"/>
      <w:pPr>
        <w:ind w:left="4348" w:hanging="448"/>
      </w:pPr>
      <w:rPr>
        <w:rFonts w:hint="default"/>
      </w:rPr>
    </w:lvl>
    <w:lvl w:ilvl="5">
      <w:start w:val="0"/>
      <w:numFmt w:val="bullet"/>
      <w:lvlText w:val="•"/>
      <w:lvlJc w:val="left"/>
      <w:pPr>
        <w:ind w:left="5380" w:hanging="448"/>
      </w:pPr>
      <w:rPr>
        <w:rFonts w:hint="default"/>
      </w:rPr>
    </w:lvl>
    <w:lvl w:ilvl="6">
      <w:start w:val="0"/>
      <w:numFmt w:val="bullet"/>
      <w:lvlText w:val="•"/>
      <w:lvlJc w:val="left"/>
      <w:pPr>
        <w:ind w:left="6412" w:hanging="448"/>
      </w:pPr>
      <w:rPr>
        <w:rFonts w:hint="default"/>
      </w:rPr>
    </w:lvl>
    <w:lvl w:ilvl="7">
      <w:start w:val="0"/>
      <w:numFmt w:val="bullet"/>
      <w:lvlText w:val="•"/>
      <w:lvlJc w:val="left"/>
      <w:pPr>
        <w:ind w:left="7444" w:hanging="448"/>
      </w:pPr>
      <w:rPr>
        <w:rFonts w:hint="default"/>
      </w:rPr>
    </w:lvl>
    <w:lvl w:ilvl="8">
      <w:start w:val="0"/>
      <w:numFmt w:val="bullet"/>
      <w:lvlText w:val="•"/>
      <w:lvlJc w:val="left"/>
      <w:pPr>
        <w:ind w:left="8476" w:hanging="448"/>
      </w:pPr>
      <w:rPr>
        <w:rFonts w:hint="default"/>
      </w:rPr>
    </w:lvl>
  </w:abstractNum>
  <w:abstractNum w:abstractNumId="0">
    <w:multiLevelType w:val="hybridMultilevel"/>
    <w:lvl w:ilvl="0">
      <w:start w:val="1"/>
      <w:numFmt w:val="lowerLetter"/>
      <w:lvlText w:val="(%1)"/>
      <w:lvlJc w:val="left"/>
      <w:pPr>
        <w:ind w:left="220" w:hanging="450"/>
        <w:jc w:val="left"/>
      </w:pPr>
      <w:rPr>
        <w:rFonts w:hint="default" w:ascii="Calibri" w:hAnsi="Calibri" w:eastAsia="Calibri" w:cs="Calibri"/>
        <w:color w:val="231F20"/>
        <w:spacing w:val="-3"/>
        <w:w w:val="100"/>
        <w:sz w:val="24"/>
        <w:szCs w:val="24"/>
      </w:rPr>
    </w:lvl>
    <w:lvl w:ilvl="1">
      <w:start w:val="0"/>
      <w:numFmt w:val="bullet"/>
      <w:lvlText w:val="•"/>
      <w:lvlJc w:val="left"/>
      <w:pPr>
        <w:ind w:left="1252" w:hanging="450"/>
      </w:pPr>
      <w:rPr>
        <w:rFonts w:hint="default"/>
      </w:rPr>
    </w:lvl>
    <w:lvl w:ilvl="2">
      <w:start w:val="0"/>
      <w:numFmt w:val="bullet"/>
      <w:lvlText w:val="•"/>
      <w:lvlJc w:val="left"/>
      <w:pPr>
        <w:ind w:left="2284" w:hanging="450"/>
      </w:pPr>
      <w:rPr>
        <w:rFonts w:hint="default"/>
      </w:rPr>
    </w:lvl>
    <w:lvl w:ilvl="3">
      <w:start w:val="0"/>
      <w:numFmt w:val="bullet"/>
      <w:lvlText w:val="•"/>
      <w:lvlJc w:val="left"/>
      <w:pPr>
        <w:ind w:left="3316" w:hanging="450"/>
      </w:pPr>
      <w:rPr>
        <w:rFonts w:hint="default"/>
      </w:rPr>
    </w:lvl>
    <w:lvl w:ilvl="4">
      <w:start w:val="0"/>
      <w:numFmt w:val="bullet"/>
      <w:lvlText w:val="•"/>
      <w:lvlJc w:val="left"/>
      <w:pPr>
        <w:ind w:left="4348" w:hanging="450"/>
      </w:pPr>
      <w:rPr>
        <w:rFonts w:hint="default"/>
      </w:rPr>
    </w:lvl>
    <w:lvl w:ilvl="5">
      <w:start w:val="0"/>
      <w:numFmt w:val="bullet"/>
      <w:lvlText w:val="•"/>
      <w:lvlJc w:val="left"/>
      <w:pPr>
        <w:ind w:left="5380" w:hanging="450"/>
      </w:pPr>
      <w:rPr>
        <w:rFonts w:hint="default"/>
      </w:rPr>
    </w:lvl>
    <w:lvl w:ilvl="6">
      <w:start w:val="0"/>
      <w:numFmt w:val="bullet"/>
      <w:lvlText w:val="•"/>
      <w:lvlJc w:val="left"/>
      <w:pPr>
        <w:ind w:left="6412" w:hanging="450"/>
      </w:pPr>
      <w:rPr>
        <w:rFonts w:hint="default"/>
      </w:rPr>
    </w:lvl>
    <w:lvl w:ilvl="7">
      <w:start w:val="0"/>
      <w:numFmt w:val="bullet"/>
      <w:lvlText w:val="•"/>
      <w:lvlJc w:val="left"/>
      <w:pPr>
        <w:ind w:left="7444" w:hanging="450"/>
      </w:pPr>
      <w:rPr>
        <w:rFonts w:hint="default"/>
      </w:rPr>
    </w:lvl>
    <w:lvl w:ilvl="8">
      <w:start w:val="0"/>
      <w:numFmt w:val="bullet"/>
      <w:lvlText w:val="•"/>
      <w:lvlJc w:val="left"/>
      <w:pPr>
        <w:ind w:left="8476" w:hanging="450"/>
      </w:pPr>
      <w:rPr>
        <w:rFonts w:hint="default"/>
      </w:rPr>
    </w:lvl>
  </w:abstract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4"/>
      <w:szCs w:val="24"/>
    </w:rPr>
  </w:style>
  <w:style w:styleId="ListParagraph" w:type="paragraph">
    <w:name w:val="List Paragraph"/>
    <w:basedOn w:val="Normal"/>
    <w:uiPriority w:val="1"/>
    <w:qFormat/>
    <w:pPr>
      <w:ind w:left="1300" w:hanging="361"/>
    </w:pPr>
    <w:rPr>
      <w:rFonts w:ascii="Calibri" w:hAnsi="Calibri" w:eastAsia="Calibri" w:cs="Calibri"/>
    </w:rPr>
  </w:style>
  <w:style w:styleId="TableParagraph" w:type="paragraph">
    <w:name w:val="Table Paragraph"/>
    <w:basedOn w:val="Normal"/>
    <w:uiPriority w:val="1"/>
    <w:qFormat/>
    <w:pPr>
      <w:spacing w:line="200" w:lineRule="exact"/>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hyperlink" Target="http://www.colonyedina.com/" TargetMode="External"/><Relationship Id="rId8" Type="http://schemas.openxmlformats.org/officeDocument/2006/relationships/image" Target="media/image2.jpeg"/><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3.jpeg"/><Relationship Id="rId12" Type="http://schemas.openxmlformats.org/officeDocument/2006/relationships/footer" Target="footer4.xml"/><Relationship Id="rId13" Type="http://schemas.openxmlformats.org/officeDocument/2006/relationships/image" Target="media/image4.jpeg"/><Relationship Id="rId14" Type="http://schemas.openxmlformats.org/officeDocument/2006/relationships/image" Target="media/image5.png"/><Relationship Id="rId15" Type="http://schemas.openxmlformats.org/officeDocument/2006/relationships/footer" Target="footer5.xm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image" Target="media/image6.jpeg"/><Relationship Id="rId19" Type="http://schemas.openxmlformats.org/officeDocument/2006/relationships/image" Target="media/image7.jpeg"/><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footer" Target="footer8.xml"/><Relationship Id="rId23" Type="http://schemas.openxmlformats.org/officeDocument/2006/relationships/footer" Target="footer9.xml"/><Relationship Id="rId24" Type="http://schemas.openxmlformats.org/officeDocument/2006/relationships/image" Target="media/image10.jpeg"/><Relationship Id="rId25" Type="http://schemas.openxmlformats.org/officeDocument/2006/relationships/footer" Target="footer10.xml"/><Relationship Id="rId26" Type="http://schemas.openxmlformats.org/officeDocument/2006/relationships/image" Target="media/image11.jpeg"/><Relationship Id="rId27" Type="http://schemas.openxmlformats.org/officeDocument/2006/relationships/footer" Target="footer11.xml"/><Relationship Id="rId28" Type="http://schemas.openxmlformats.org/officeDocument/2006/relationships/image" Target="media/image12.jpeg"/><Relationship Id="rId29" Type="http://schemas.openxmlformats.org/officeDocument/2006/relationships/image" Target="media/image13.jpeg"/><Relationship Id="rId3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title>Governing Documents - Colony at Edina - Ltr.pdf</dc:title>
  <dcterms:created xsi:type="dcterms:W3CDTF">2019-12-11T23:23:12Z</dcterms:created>
  <dcterms:modified xsi:type="dcterms:W3CDTF">2019-12-11T23:23:12Z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2014-03-20T00:00:00Z</vt:filetime>
  </property>
  <property fmtid="{D5CDD505-2E9C-101B-9397-08002B2CF9AE}" pid="3" name="Creator">
    <vt:lpwstr>Microsoft® Word 2010</vt:lpwstr>
  </property>
  <property fmtid="{D5CDD505-2E9C-101B-9397-08002B2CF9AE}" pid="4" name="LastSaved">
    <vt:filetime>2019-12-11T00:00:00Z</vt:filetime>
  </property>
</Properties>
</file>