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0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7"/>
        <w:gridCol w:w="6331"/>
        <w:gridCol w:w="1170"/>
        <w:gridCol w:w="900"/>
        <w:gridCol w:w="1170"/>
      </w:tblGrid>
      <w:tr w:rsidR="00B76A1F" w14:paraId="554200FE" w14:textId="77777777" w:rsidTr="008F6E8F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4688" w:type="dxa"/>
            <w:gridSpan w:val="5"/>
          </w:tcPr>
          <w:p w14:paraId="42A2BFE8" w14:textId="77777777" w:rsidR="00B76A1F" w:rsidRPr="003A73BC" w:rsidRDefault="00B76A1F" w:rsidP="008F6E8F">
            <w:pPr>
              <w:jc w:val="center"/>
              <w:rPr>
                <w:b/>
                <w:sz w:val="26"/>
                <w:szCs w:val="26"/>
              </w:rPr>
            </w:pPr>
            <w:r w:rsidRPr="003A73BC">
              <w:rPr>
                <w:b/>
                <w:sz w:val="26"/>
                <w:szCs w:val="26"/>
              </w:rPr>
              <w:t xml:space="preserve">NDSNA Conference </w:t>
            </w:r>
            <w:r>
              <w:rPr>
                <w:b/>
                <w:sz w:val="26"/>
                <w:szCs w:val="26"/>
              </w:rPr>
              <w:t>October 16</w:t>
            </w:r>
            <w:r w:rsidRPr="009F2D12">
              <w:rPr>
                <w:b/>
                <w:sz w:val="26"/>
                <w:szCs w:val="26"/>
                <w:vertAlign w:val="superscript"/>
              </w:rPr>
              <w:t>th</w:t>
            </w:r>
            <w:r>
              <w:rPr>
                <w:b/>
                <w:sz w:val="26"/>
                <w:szCs w:val="26"/>
              </w:rPr>
              <w:t xml:space="preserve"> &amp; 17</w:t>
            </w:r>
            <w:r w:rsidRPr="009F2D12">
              <w:rPr>
                <w:b/>
                <w:sz w:val="26"/>
                <w:szCs w:val="26"/>
                <w:vertAlign w:val="superscript"/>
              </w:rPr>
              <w:t>th</w:t>
            </w:r>
            <w:r w:rsidRPr="003A73BC">
              <w:rPr>
                <w:b/>
                <w:sz w:val="26"/>
                <w:szCs w:val="26"/>
              </w:rPr>
              <w:t>, 20</w:t>
            </w:r>
            <w:r>
              <w:rPr>
                <w:b/>
                <w:sz w:val="26"/>
                <w:szCs w:val="26"/>
              </w:rPr>
              <w:t>25</w:t>
            </w:r>
          </w:p>
          <w:p w14:paraId="78A902B1" w14:textId="77777777" w:rsidR="00B76A1F" w:rsidRPr="00E9108E" w:rsidRDefault="00B76A1F" w:rsidP="008F6E8F">
            <w:pPr>
              <w:jc w:val="center"/>
              <w:rPr>
                <w:b/>
              </w:rPr>
            </w:pPr>
            <w:r>
              <w:rPr>
                <w:b/>
              </w:rPr>
              <w:t>NOURISH.  BALANCE. THRIVE.</w:t>
            </w:r>
          </w:p>
          <w:p w14:paraId="06D93139" w14:textId="77777777" w:rsidR="00B76A1F" w:rsidRPr="00C74523" w:rsidRDefault="00B76A1F" w:rsidP="008F6E8F">
            <w:pPr>
              <w:jc w:val="center"/>
            </w:pPr>
            <w:r>
              <w:t>SNA Certification Continuing Education Credits</w:t>
            </w:r>
          </w:p>
        </w:tc>
      </w:tr>
      <w:tr w:rsidR="00B76A1F" w14:paraId="3699C6A6" w14:textId="77777777" w:rsidTr="008F6E8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688" w:type="dxa"/>
            <w:gridSpan w:val="5"/>
            <w:shd w:val="clear" w:color="auto" w:fill="FFFFFF"/>
            <w:vAlign w:val="center"/>
          </w:tcPr>
          <w:p w14:paraId="602CED55" w14:textId="77777777" w:rsidR="00B76A1F" w:rsidRPr="00EA7D18" w:rsidRDefault="00B76A1F" w:rsidP="008F6E8F">
            <w:pPr>
              <w:rPr>
                <w:b/>
                <w:sz w:val="20"/>
                <w:szCs w:val="20"/>
              </w:rPr>
            </w:pPr>
            <w:r w:rsidRPr="00EA7D18">
              <w:rPr>
                <w:sz w:val="20"/>
                <w:szCs w:val="20"/>
              </w:rPr>
              <w:t xml:space="preserve">Instructions: This tracking form serves as documentation of Key Area Hours for Professional </w:t>
            </w:r>
            <w:r>
              <w:rPr>
                <w:sz w:val="20"/>
                <w:szCs w:val="20"/>
              </w:rPr>
              <w:t>Development</w:t>
            </w:r>
            <w:r w:rsidRPr="00EA7D1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EA7D18">
              <w:rPr>
                <w:sz w:val="20"/>
                <w:szCs w:val="20"/>
              </w:rPr>
              <w:t xml:space="preserve">Conference attendees are responsible for checking </w:t>
            </w:r>
            <w:r>
              <w:rPr>
                <w:sz w:val="20"/>
                <w:szCs w:val="20"/>
              </w:rPr>
              <w:t>which sessions they attended at this conference and adding them</w:t>
            </w:r>
            <w:r w:rsidRPr="00EA7D18">
              <w:rPr>
                <w:sz w:val="20"/>
                <w:szCs w:val="20"/>
              </w:rPr>
              <w:t xml:space="preserve"> to their own professional training documentation at their home school. Fill out the far right</w:t>
            </w:r>
            <w:r>
              <w:rPr>
                <w:sz w:val="20"/>
                <w:szCs w:val="20"/>
              </w:rPr>
              <w:t>-</w:t>
            </w:r>
            <w:r w:rsidRPr="00EA7D18">
              <w:rPr>
                <w:sz w:val="20"/>
                <w:szCs w:val="20"/>
              </w:rPr>
              <w:t xml:space="preserve">hand column to </w:t>
            </w:r>
            <w:r>
              <w:rPr>
                <w:sz w:val="20"/>
                <w:szCs w:val="20"/>
              </w:rPr>
              <w:t>track</w:t>
            </w:r>
            <w:r w:rsidRPr="00EA7D18">
              <w:rPr>
                <w:sz w:val="20"/>
                <w:szCs w:val="20"/>
              </w:rPr>
              <w:t xml:space="preserve"> the key areas of training that you obtained at this conferenc</w:t>
            </w:r>
            <w:r>
              <w:rPr>
                <w:sz w:val="20"/>
                <w:szCs w:val="20"/>
              </w:rPr>
              <w:t>e.</w:t>
            </w:r>
          </w:p>
        </w:tc>
      </w:tr>
      <w:tr w:rsidR="00B76A1F" w14:paraId="6900607A" w14:textId="77777777" w:rsidTr="008F6E8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117" w:type="dxa"/>
            <w:shd w:val="clear" w:color="auto" w:fill="F2F2F2"/>
            <w:vAlign w:val="center"/>
          </w:tcPr>
          <w:p w14:paraId="44668FF1" w14:textId="77777777" w:rsidR="00B76A1F" w:rsidRPr="002B6D99" w:rsidRDefault="00B76A1F" w:rsidP="008F6E8F">
            <w:pPr>
              <w:jc w:val="center"/>
              <w:rPr>
                <w:b/>
              </w:rPr>
            </w:pPr>
            <w:r w:rsidRPr="002B6D99">
              <w:rPr>
                <w:b/>
              </w:rPr>
              <w:t>Sessions</w:t>
            </w:r>
          </w:p>
        </w:tc>
        <w:tc>
          <w:tcPr>
            <w:tcW w:w="6331" w:type="dxa"/>
            <w:shd w:val="clear" w:color="auto" w:fill="F2F2F2"/>
            <w:vAlign w:val="center"/>
          </w:tcPr>
          <w:p w14:paraId="2DACEEE3" w14:textId="77777777" w:rsidR="00B76A1F" w:rsidRPr="002B6D99" w:rsidRDefault="00B76A1F" w:rsidP="008F6E8F">
            <w:pPr>
              <w:jc w:val="center"/>
              <w:rPr>
                <w:b/>
              </w:rPr>
            </w:pPr>
            <w:r w:rsidRPr="002B6D99">
              <w:rPr>
                <w:b/>
              </w:rPr>
              <w:t>Speaker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5E55483D" w14:textId="77777777" w:rsidR="00B76A1F" w:rsidRPr="00192611" w:rsidRDefault="00B76A1F" w:rsidP="008F6E8F">
            <w:pPr>
              <w:jc w:val="center"/>
              <w:rPr>
                <w:b/>
                <w:sz w:val="22"/>
                <w:szCs w:val="22"/>
              </w:rPr>
            </w:pPr>
            <w:r w:rsidRPr="00192611">
              <w:rPr>
                <w:b/>
                <w:sz w:val="22"/>
                <w:szCs w:val="22"/>
              </w:rPr>
              <w:t>Key Area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8C13AD5" w14:textId="77777777" w:rsidR="00B76A1F" w:rsidRPr="002B6D99" w:rsidRDefault="00B76A1F" w:rsidP="008F6E8F">
            <w:pPr>
              <w:jc w:val="center"/>
              <w:rPr>
                <w:b/>
              </w:rPr>
            </w:pPr>
            <w:r w:rsidRPr="002B6D99">
              <w:rPr>
                <w:b/>
              </w:rPr>
              <w:t>Hours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77FABBB7" w14:textId="77777777" w:rsidR="00B76A1F" w:rsidRPr="002B6D99" w:rsidRDefault="00B76A1F" w:rsidP="008F6E8F">
            <w:pPr>
              <w:jc w:val="center"/>
              <w:rPr>
                <w:b/>
              </w:rPr>
            </w:pPr>
            <w:r w:rsidRPr="002B6D99">
              <w:rPr>
                <w:b/>
              </w:rPr>
              <w:t>Attended</w:t>
            </w:r>
          </w:p>
        </w:tc>
      </w:tr>
      <w:tr w:rsidR="00B76A1F" w14:paraId="15E54165" w14:textId="77777777" w:rsidTr="008F6E8F">
        <w:tblPrEx>
          <w:tblCellMar>
            <w:top w:w="0" w:type="dxa"/>
            <w:bottom w:w="0" w:type="dxa"/>
          </w:tblCellMar>
        </w:tblPrEx>
        <w:trPr>
          <w:trHeight w:val="3767"/>
        </w:trPr>
        <w:tc>
          <w:tcPr>
            <w:tcW w:w="5117" w:type="dxa"/>
          </w:tcPr>
          <w:p w14:paraId="4E82120B" w14:textId="77777777" w:rsidR="00B76A1F" w:rsidRDefault="00B76A1F" w:rsidP="008F6E8F">
            <w:pPr>
              <w:rPr>
                <w:b/>
              </w:rPr>
            </w:pPr>
            <w:r>
              <w:rPr>
                <w:b/>
              </w:rPr>
              <w:t>Thurs</w:t>
            </w:r>
            <w:r w:rsidRPr="003A73BC">
              <w:rPr>
                <w:b/>
              </w:rPr>
              <w:t xml:space="preserve">day, </w:t>
            </w:r>
            <w:r>
              <w:rPr>
                <w:b/>
              </w:rPr>
              <w:t>October 16</w:t>
            </w:r>
            <w:r w:rsidRPr="008A5E51">
              <w:rPr>
                <w:b/>
                <w:vertAlign w:val="superscript"/>
              </w:rPr>
              <w:t>th</w:t>
            </w:r>
          </w:p>
          <w:p w14:paraId="6EFB1526" w14:textId="77777777" w:rsidR="00B76A1F" w:rsidRPr="008A5E51" w:rsidRDefault="00B76A1F" w:rsidP="008F6E8F">
            <w:pPr>
              <w:rPr>
                <w:b/>
                <w:sz w:val="4"/>
                <w:szCs w:val="4"/>
              </w:rPr>
            </w:pPr>
          </w:p>
          <w:p w14:paraId="316734E3" w14:textId="77777777" w:rsidR="00B76A1F" w:rsidRDefault="00B76A1F" w:rsidP="008F6E8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Keynote: “Reboot to Reenergize, Create a WOW</w:t>
            </w:r>
          </w:p>
          <w:p w14:paraId="5F64B976" w14:textId="77777777" w:rsidR="00B76A1F" w:rsidRDefault="00B76A1F" w:rsidP="008F6E8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Workplace Culture”</w:t>
            </w:r>
          </w:p>
          <w:p w14:paraId="362BCB45" w14:textId="77777777" w:rsidR="00B76A1F" w:rsidRDefault="00B76A1F" w:rsidP="008F6E8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“Navigating Dairy from Allergies to Sugars”</w:t>
            </w:r>
          </w:p>
          <w:p w14:paraId="4921E304" w14:textId="77777777" w:rsidR="00B76A1F" w:rsidRPr="00086237" w:rsidRDefault="00B76A1F" w:rsidP="008F6E8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Farm to School Panel: Let’s Connect</w:t>
            </w:r>
          </w:p>
          <w:p w14:paraId="340EFF33" w14:textId="77777777" w:rsidR="00B76A1F" w:rsidRDefault="00B76A1F" w:rsidP="008F6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3E610CD6" w14:textId="77777777" w:rsidR="00B76A1F" w:rsidRDefault="00B76A1F" w:rsidP="008F6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Breakout 1</w:t>
            </w:r>
            <w:r w:rsidRPr="000A4068">
              <w:rPr>
                <w:i/>
                <w:iCs/>
                <w:sz w:val="22"/>
                <w:szCs w:val="22"/>
              </w:rPr>
              <w:t>- Choose 1</w:t>
            </w:r>
          </w:p>
          <w:p w14:paraId="2C364842" w14:textId="77777777" w:rsidR="00B76A1F" w:rsidRDefault="00B76A1F" w:rsidP="00B76A1F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Give Me Some Chocolate…I’m Stressed</w:t>
            </w:r>
          </w:p>
          <w:p w14:paraId="397ECFA3" w14:textId="77777777" w:rsidR="00B76A1F" w:rsidRDefault="00B76A1F" w:rsidP="00B76A1F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Marketing Your Program</w:t>
            </w:r>
          </w:p>
          <w:p w14:paraId="50F07AE1" w14:textId="77777777" w:rsidR="00B76A1F" w:rsidRDefault="00B76A1F" w:rsidP="00B76A1F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Keep the Ball Rolling – Next Steps after the Food Show</w:t>
            </w:r>
          </w:p>
          <w:p w14:paraId="34A6DB56" w14:textId="77777777" w:rsidR="00B76A1F" w:rsidRPr="00ED46FA" w:rsidRDefault="00B76A1F" w:rsidP="008F6E8F">
            <w:pPr>
              <w:rPr>
                <w:iCs/>
                <w:sz w:val="22"/>
                <w:szCs w:val="22"/>
              </w:rPr>
            </w:pPr>
            <w:r w:rsidRPr="00ED46FA">
              <w:rPr>
                <w:iCs/>
                <w:sz w:val="22"/>
                <w:szCs w:val="22"/>
              </w:rPr>
              <w:t>Breakout 2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A4068">
              <w:rPr>
                <w:i/>
                <w:iCs/>
                <w:sz w:val="22"/>
                <w:szCs w:val="22"/>
              </w:rPr>
              <w:t>- Choose 1</w:t>
            </w:r>
          </w:p>
          <w:p w14:paraId="003944AB" w14:textId="77777777" w:rsidR="00B76A1F" w:rsidRDefault="00B76A1F" w:rsidP="00B76A1F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Give Me Some Chocolate…I’m Stressed, (cont’d)</w:t>
            </w:r>
          </w:p>
          <w:p w14:paraId="300C001B" w14:textId="77777777" w:rsidR="00B76A1F" w:rsidRDefault="00B76A1F" w:rsidP="00B76A1F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Marketing Your Program (cont’d)</w:t>
            </w:r>
          </w:p>
          <w:p w14:paraId="576CD730" w14:textId="77777777" w:rsidR="00B76A1F" w:rsidRDefault="00B76A1F" w:rsidP="00B76A1F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Knife Skills</w:t>
            </w:r>
          </w:p>
          <w:p w14:paraId="05882A54" w14:textId="77777777" w:rsidR="00B76A1F" w:rsidRPr="00ED46FA" w:rsidRDefault="00B76A1F" w:rsidP="008F6E8F">
            <w:pPr>
              <w:rPr>
                <w:iCs/>
                <w:sz w:val="22"/>
                <w:szCs w:val="22"/>
              </w:rPr>
            </w:pPr>
            <w:r w:rsidRPr="00ED46FA">
              <w:rPr>
                <w:iCs/>
                <w:sz w:val="22"/>
                <w:szCs w:val="22"/>
              </w:rPr>
              <w:t xml:space="preserve">Breakout </w:t>
            </w:r>
            <w:r>
              <w:rPr>
                <w:iCs/>
                <w:sz w:val="22"/>
                <w:szCs w:val="22"/>
              </w:rPr>
              <w:t>3</w:t>
            </w:r>
            <w:r w:rsidRPr="000A4068">
              <w:rPr>
                <w:i/>
                <w:iCs/>
                <w:sz w:val="22"/>
                <w:szCs w:val="22"/>
              </w:rPr>
              <w:t>- Choose 1</w:t>
            </w:r>
          </w:p>
          <w:p w14:paraId="53CC7C7B" w14:textId="77777777" w:rsidR="00B76A1F" w:rsidRDefault="00B76A1F" w:rsidP="00B76A1F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Navigating New School Breakfast Standards</w:t>
            </w:r>
          </w:p>
          <w:p w14:paraId="66D05BB7" w14:textId="77777777" w:rsidR="00B76A1F" w:rsidRDefault="00B76A1F" w:rsidP="00B76A1F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Knife Skills (repeat)</w:t>
            </w:r>
          </w:p>
          <w:p w14:paraId="625B5DEF" w14:textId="77777777" w:rsidR="00B76A1F" w:rsidRPr="00086237" w:rsidRDefault="00B76A1F" w:rsidP="00B76A1F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Deep Dive – Sugar Calculations</w:t>
            </w:r>
          </w:p>
          <w:p w14:paraId="662F8D96" w14:textId="77777777" w:rsidR="00B76A1F" w:rsidRPr="00E051EF" w:rsidRDefault="00B76A1F" w:rsidP="008F6E8F">
            <w:pPr>
              <w:rPr>
                <w:i/>
                <w:color w:val="202124"/>
                <w:sz w:val="16"/>
                <w:szCs w:val="16"/>
                <w:shd w:val="clear" w:color="auto" w:fill="F8F9FA"/>
              </w:rPr>
            </w:pPr>
          </w:p>
          <w:p w14:paraId="4957A5AF" w14:textId="77777777" w:rsidR="00B76A1F" w:rsidRDefault="00B76A1F" w:rsidP="008F6E8F">
            <w:pPr>
              <w:rPr>
                <w:i/>
                <w:sz w:val="22"/>
                <w:szCs w:val="22"/>
              </w:rPr>
            </w:pPr>
            <w:r>
              <w:rPr>
                <w:i/>
                <w:color w:val="202124"/>
                <w:sz w:val="22"/>
                <w:szCs w:val="22"/>
                <w:shd w:val="clear" w:color="auto" w:fill="F8F9FA"/>
              </w:rPr>
              <w:t>“Hats Off</w:t>
            </w:r>
            <w:r>
              <w:rPr>
                <w:i/>
                <w:sz w:val="22"/>
                <w:szCs w:val="22"/>
              </w:rPr>
              <w:t>”</w:t>
            </w:r>
          </w:p>
          <w:p w14:paraId="427BFD85" w14:textId="77777777" w:rsidR="00B76A1F" w:rsidRDefault="00B76A1F" w:rsidP="008F6E8F">
            <w:pPr>
              <w:rPr>
                <w:i/>
                <w:sz w:val="22"/>
                <w:szCs w:val="22"/>
              </w:rPr>
            </w:pPr>
          </w:p>
          <w:p w14:paraId="29B9B414" w14:textId="77777777" w:rsidR="00B76A1F" w:rsidRPr="00FC5DDD" w:rsidRDefault="00B76A1F" w:rsidP="008F6E8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NDSNA Food Showcase*</w:t>
            </w:r>
          </w:p>
        </w:tc>
        <w:tc>
          <w:tcPr>
            <w:tcW w:w="6331" w:type="dxa"/>
          </w:tcPr>
          <w:p w14:paraId="543E3829" w14:textId="77777777" w:rsidR="00B76A1F" w:rsidRPr="00A65C2D" w:rsidRDefault="00B76A1F" w:rsidP="008F6E8F"/>
          <w:p w14:paraId="71FD4F03" w14:textId="77777777" w:rsidR="00B76A1F" w:rsidRPr="00D01DBE" w:rsidRDefault="00B76A1F" w:rsidP="008F6E8F">
            <w:pPr>
              <w:rPr>
                <w:sz w:val="4"/>
                <w:szCs w:val="4"/>
              </w:rPr>
            </w:pPr>
          </w:p>
          <w:p w14:paraId="1DCD294B" w14:textId="77777777" w:rsidR="00B76A1F" w:rsidRDefault="00B76A1F" w:rsidP="008F6E8F">
            <w:pPr>
              <w:rPr>
                <w:sz w:val="22"/>
                <w:szCs w:val="22"/>
              </w:rPr>
            </w:pPr>
          </w:p>
          <w:p w14:paraId="62B5D7D1" w14:textId="77777777" w:rsidR="00B76A1F" w:rsidRDefault="00B76A1F" w:rsidP="008F6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 Payne, Leadership Trainer</w:t>
            </w:r>
          </w:p>
          <w:p w14:paraId="75256841" w14:textId="77777777" w:rsidR="00B76A1F" w:rsidRDefault="00B76A1F" w:rsidP="008F6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Haley Miskowiec, Registered Dietitian </w:t>
            </w:r>
          </w:p>
          <w:p w14:paraId="371D8511" w14:textId="77777777" w:rsidR="00B76A1F" w:rsidRDefault="00B76A1F" w:rsidP="008F6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Moderator: Katrina Hanenberg, ND Ag w/Farm Panelists</w:t>
            </w:r>
          </w:p>
          <w:p w14:paraId="0286B5F8" w14:textId="77777777" w:rsidR="00B76A1F" w:rsidRPr="00F43F85" w:rsidRDefault="00B76A1F" w:rsidP="008F6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04FFA7F1" w14:textId="77777777" w:rsidR="00B76A1F" w:rsidRDefault="00B76A1F" w:rsidP="008F6E8F">
            <w:pPr>
              <w:rPr>
                <w:sz w:val="22"/>
                <w:szCs w:val="22"/>
              </w:rPr>
            </w:pPr>
          </w:p>
          <w:p w14:paraId="5EDA688C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 Payne, Leadership Trainer</w:t>
            </w:r>
          </w:p>
          <w:p w14:paraId="7BE9A2D4" w14:textId="77777777" w:rsidR="00B76A1F" w:rsidRPr="00A66D0A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Sarae Kellen, Consultant ‘Off the Wall Marketing’</w:t>
            </w:r>
          </w:p>
          <w:p w14:paraId="4D18AA15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Rhonda Amundson, NDDPI-CNFD SNP Manager</w:t>
            </w:r>
          </w:p>
          <w:p w14:paraId="4641C643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 Wagner, FS Director, Bismarck Public</w:t>
            </w:r>
          </w:p>
          <w:p w14:paraId="645FE1FD" w14:textId="77777777" w:rsidR="00B76A1F" w:rsidRDefault="00B76A1F" w:rsidP="008F6E8F">
            <w:pPr>
              <w:rPr>
                <w:sz w:val="22"/>
                <w:szCs w:val="22"/>
              </w:rPr>
            </w:pPr>
          </w:p>
          <w:p w14:paraId="4D6D8518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 Payne, Leadership Trainer</w:t>
            </w:r>
          </w:p>
          <w:p w14:paraId="7D97CFEB" w14:textId="77777777" w:rsidR="00B76A1F" w:rsidRPr="00A66D0A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Sarae Kellen, Consultant ‘Off the Wall Marketing’</w:t>
            </w:r>
          </w:p>
          <w:p w14:paraId="44106148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Zylla, Chef, UNOX, Inc.</w:t>
            </w:r>
          </w:p>
          <w:p w14:paraId="4370EB30" w14:textId="77777777" w:rsidR="00B76A1F" w:rsidRDefault="00B76A1F" w:rsidP="008F6E8F">
            <w:pPr>
              <w:rPr>
                <w:sz w:val="22"/>
                <w:szCs w:val="22"/>
              </w:rPr>
            </w:pPr>
          </w:p>
          <w:p w14:paraId="5DFB56B8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Haley Miskowiec, Registered Dietitian</w:t>
            </w:r>
          </w:p>
          <w:p w14:paraId="0E3AB939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Zylla, Chef, UNOX, Inc.</w:t>
            </w:r>
          </w:p>
          <w:p w14:paraId="7DE07427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Amy Nelson, NDDPI-CNFD Child Nutrition Specialist</w:t>
            </w:r>
          </w:p>
          <w:p w14:paraId="26D50211" w14:textId="77777777" w:rsidR="00B76A1F" w:rsidRPr="00E051EF" w:rsidRDefault="00B76A1F" w:rsidP="008F6E8F">
            <w:pPr>
              <w:rPr>
                <w:sz w:val="16"/>
                <w:szCs w:val="16"/>
              </w:rPr>
            </w:pPr>
          </w:p>
          <w:p w14:paraId="54BD106E" w14:textId="77777777" w:rsidR="00B76A1F" w:rsidRDefault="00B76A1F" w:rsidP="008F6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Katie Wilson, Executive Director, Urban School Food Alliance</w:t>
            </w:r>
          </w:p>
          <w:p w14:paraId="742C2606" w14:textId="77777777" w:rsidR="00B76A1F" w:rsidRDefault="00B76A1F" w:rsidP="008F6E8F">
            <w:pPr>
              <w:rPr>
                <w:sz w:val="22"/>
                <w:szCs w:val="22"/>
              </w:rPr>
            </w:pPr>
          </w:p>
          <w:p w14:paraId="5CBB9AC1" w14:textId="77777777" w:rsidR="00B76A1F" w:rsidRPr="00A66D0A" w:rsidRDefault="00B76A1F" w:rsidP="008F6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*Maximum CEU for any Food Show is 1 hour</w:t>
            </w:r>
          </w:p>
        </w:tc>
        <w:tc>
          <w:tcPr>
            <w:tcW w:w="1170" w:type="dxa"/>
          </w:tcPr>
          <w:p w14:paraId="242CD194" w14:textId="77777777" w:rsidR="00B76A1F" w:rsidRPr="00A65C2D" w:rsidRDefault="00B76A1F" w:rsidP="008F6E8F">
            <w:pPr>
              <w:jc w:val="center"/>
            </w:pPr>
          </w:p>
          <w:p w14:paraId="6670F115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</w:p>
          <w:p w14:paraId="15DD9610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</w:t>
            </w:r>
          </w:p>
          <w:p w14:paraId="70D298B6" w14:textId="77777777" w:rsidR="00B76A1F" w:rsidRPr="00A66D0A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</w:t>
            </w:r>
          </w:p>
          <w:p w14:paraId="5A396119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  <w:p w14:paraId="664ED3F9" w14:textId="77777777" w:rsidR="00B76A1F" w:rsidRPr="00A65C2D" w:rsidRDefault="00B76A1F" w:rsidP="008F6E8F">
            <w:pPr>
              <w:jc w:val="center"/>
              <w:rPr>
                <w:sz w:val="22"/>
                <w:szCs w:val="22"/>
              </w:rPr>
            </w:pPr>
          </w:p>
          <w:p w14:paraId="7926D3C4" w14:textId="77777777" w:rsidR="00B76A1F" w:rsidRPr="00E051EF" w:rsidRDefault="00B76A1F" w:rsidP="008F6E8F">
            <w:pPr>
              <w:jc w:val="center"/>
              <w:rPr>
                <w:sz w:val="28"/>
                <w:szCs w:val="28"/>
              </w:rPr>
            </w:pPr>
          </w:p>
          <w:p w14:paraId="6196FE03" w14:textId="77777777" w:rsidR="00B76A1F" w:rsidRPr="00A66D0A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</w:t>
            </w:r>
          </w:p>
          <w:p w14:paraId="789BA402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4110</w:t>
            </w:r>
          </w:p>
          <w:p w14:paraId="05EFE8A6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2410</w:t>
            </w:r>
          </w:p>
          <w:p w14:paraId="5FBCEEF6" w14:textId="77777777" w:rsidR="00B76A1F" w:rsidRPr="00E051E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0"/>
                <w:szCs w:val="20"/>
              </w:rPr>
            </w:pPr>
          </w:p>
          <w:p w14:paraId="6E283838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</w:p>
          <w:p w14:paraId="1801A8EB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</w:t>
            </w:r>
          </w:p>
          <w:p w14:paraId="12B9FA7E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4110</w:t>
            </w:r>
          </w:p>
          <w:p w14:paraId="03CB7351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2130</w:t>
            </w:r>
          </w:p>
          <w:p w14:paraId="2F139F1A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</w:p>
          <w:p w14:paraId="1ECB7686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  <w:p w14:paraId="7E8EB07E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2130</w:t>
            </w:r>
          </w:p>
          <w:p w14:paraId="4315CC5B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  <w:p w14:paraId="364D9F31" w14:textId="77777777" w:rsidR="00B76A1F" w:rsidRPr="00E051EF" w:rsidRDefault="00B76A1F" w:rsidP="008F6E8F">
            <w:pPr>
              <w:jc w:val="center"/>
              <w:rPr>
                <w:sz w:val="16"/>
                <w:szCs w:val="16"/>
              </w:rPr>
            </w:pPr>
          </w:p>
          <w:p w14:paraId="5AE0F65D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  <w:p w14:paraId="03582648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</w:p>
          <w:p w14:paraId="67C1391F" w14:textId="77777777" w:rsidR="00B76A1F" w:rsidRPr="00A66D0A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900" w:type="dxa"/>
            <w:vAlign w:val="center"/>
          </w:tcPr>
          <w:p w14:paraId="7AB95777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</w:p>
          <w:p w14:paraId="335D5E14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</w:p>
          <w:p w14:paraId="1FEEE3D5" w14:textId="77777777" w:rsidR="00B76A1F" w:rsidRPr="00A66D0A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2AA72F8F" w14:textId="77777777" w:rsidR="00B76A1F" w:rsidRPr="00A66D0A" w:rsidRDefault="00B76A1F" w:rsidP="008F6E8F">
            <w:pPr>
              <w:jc w:val="center"/>
              <w:rPr>
                <w:sz w:val="22"/>
                <w:szCs w:val="22"/>
              </w:rPr>
            </w:pPr>
            <w:r w:rsidRPr="00A66D0A">
              <w:rPr>
                <w:sz w:val="22"/>
                <w:szCs w:val="22"/>
              </w:rPr>
              <w:t>1</w:t>
            </w:r>
          </w:p>
          <w:p w14:paraId="6AD837DF" w14:textId="77777777" w:rsidR="00B76A1F" w:rsidRPr="00A65C2D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3E44553" w14:textId="77777777" w:rsidR="00B76A1F" w:rsidRPr="00F43F85" w:rsidRDefault="00B76A1F" w:rsidP="008F6E8F">
            <w:pPr>
              <w:jc w:val="center"/>
              <w:rPr>
                <w:sz w:val="12"/>
                <w:szCs w:val="12"/>
              </w:rPr>
            </w:pPr>
          </w:p>
          <w:p w14:paraId="6744366D" w14:textId="77777777" w:rsidR="00B76A1F" w:rsidRPr="00E051EF" w:rsidRDefault="00B76A1F" w:rsidP="008F6E8F">
            <w:pPr>
              <w:jc w:val="center"/>
            </w:pPr>
          </w:p>
          <w:p w14:paraId="3EE8D30F" w14:textId="77777777" w:rsidR="00B76A1F" w:rsidRPr="000A4068" w:rsidRDefault="00B76A1F" w:rsidP="008F6E8F">
            <w:pPr>
              <w:jc w:val="center"/>
              <w:rPr>
                <w:sz w:val="16"/>
                <w:szCs w:val="16"/>
              </w:rPr>
            </w:pPr>
            <w:r w:rsidRPr="000A4068">
              <w:rPr>
                <w:sz w:val="16"/>
                <w:szCs w:val="16"/>
              </w:rPr>
              <w:t>Choose 1</w:t>
            </w:r>
          </w:p>
          <w:p w14:paraId="04F5A9AA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.5</w:t>
            </w:r>
          </w:p>
          <w:p w14:paraId="5F7A8F9C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.5</w:t>
            </w:r>
          </w:p>
          <w:p w14:paraId="7BE43DFE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.5</w:t>
            </w:r>
          </w:p>
          <w:p w14:paraId="7E2B2FCE" w14:textId="77777777" w:rsidR="00B76A1F" w:rsidRPr="00E051E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0"/>
                <w:szCs w:val="20"/>
              </w:rPr>
            </w:pPr>
          </w:p>
          <w:p w14:paraId="59D5FFD3" w14:textId="77777777" w:rsidR="00B76A1F" w:rsidRPr="00E051EF" w:rsidRDefault="00B76A1F" w:rsidP="008F6E8F">
            <w:pPr>
              <w:jc w:val="center"/>
              <w:rPr>
                <w:sz w:val="6"/>
                <w:szCs w:val="6"/>
              </w:rPr>
            </w:pPr>
          </w:p>
          <w:p w14:paraId="01C42396" w14:textId="77777777" w:rsidR="00B76A1F" w:rsidRPr="000A4068" w:rsidRDefault="00B76A1F" w:rsidP="008F6E8F">
            <w:pPr>
              <w:jc w:val="center"/>
              <w:rPr>
                <w:sz w:val="16"/>
                <w:szCs w:val="16"/>
              </w:rPr>
            </w:pPr>
            <w:r w:rsidRPr="000A4068">
              <w:rPr>
                <w:sz w:val="16"/>
                <w:szCs w:val="16"/>
              </w:rPr>
              <w:t>Choose 1</w:t>
            </w:r>
          </w:p>
          <w:p w14:paraId="5C95F47A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.5</w:t>
            </w:r>
          </w:p>
          <w:p w14:paraId="7FD0D4FE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.5</w:t>
            </w:r>
          </w:p>
          <w:p w14:paraId="098821F7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.5</w:t>
            </w:r>
          </w:p>
          <w:p w14:paraId="468BC6CA" w14:textId="77777777" w:rsidR="00B76A1F" w:rsidRPr="00E051EF" w:rsidRDefault="00B76A1F" w:rsidP="008F6E8F">
            <w:pPr>
              <w:jc w:val="center"/>
              <w:rPr>
                <w:sz w:val="6"/>
                <w:szCs w:val="6"/>
              </w:rPr>
            </w:pPr>
          </w:p>
          <w:p w14:paraId="7B5606DA" w14:textId="77777777" w:rsidR="00B76A1F" w:rsidRPr="000A4068" w:rsidRDefault="00B76A1F" w:rsidP="008F6E8F">
            <w:pPr>
              <w:jc w:val="center"/>
              <w:rPr>
                <w:sz w:val="16"/>
                <w:szCs w:val="16"/>
              </w:rPr>
            </w:pPr>
            <w:r w:rsidRPr="000A4068">
              <w:rPr>
                <w:sz w:val="16"/>
                <w:szCs w:val="16"/>
              </w:rPr>
              <w:t>Choose 1</w:t>
            </w:r>
          </w:p>
          <w:p w14:paraId="2E51C05F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.5</w:t>
            </w:r>
          </w:p>
          <w:p w14:paraId="114DDB00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.5</w:t>
            </w:r>
          </w:p>
          <w:p w14:paraId="72D74459" w14:textId="77777777" w:rsidR="00B76A1F" w:rsidRDefault="00B76A1F" w:rsidP="008F6E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.5</w:t>
            </w:r>
          </w:p>
          <w:p w14:paraId="4765F0C2" w14:textId="77777777" w:rsidR="00B76A1F" w:rsidRPr="00E051EF" w:rsidRDefault="00B76A1F" w:rsidP="008F6E8F">
            <w:pPr>
              <w:jc w:val="center"/>
              <w:rPr>
                <w:sz w:val="16"/>
                <w:szCs w:val="16"/>
              </w:rPr>
            </w:pPr>
          </w:p>
          <w:p w14:paraId="2CD22802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5558CED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</w:p>
          <w:p w14:paraId="0E0C1C6B" w14:textId="77777777" w:rsidR="00B76A1F" w:rsidRPr="00A66D0A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01AAF0D1" w14:textId="77777777" w:rsidR="00B76A1F" w:rsidRPr="00192611" w:rsidRDefault="00B76A1F" w:rsidP="008F6E8F">
            <w:pPr>
              <w:jc w:val="center"/>
              <w:rPr>
                <w:sz w:val="20"/>
                <w:szCs w:val="20"/>
              </w:rPr>
            </w:pPr>
            <w:r w:rsidRPr="0019261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</w:t>
            </w:r>
            <w:r w:rsidRPr="00192611">
              <w:rPr>
                <w:sz w:val="20"/>
                <w:szCs w:val="20"/>
              </w:rPr>
              <w:t xml:space="preserve"> CEU for the</w:t>
            </w:r>
            <w:r>
              <w:rPr>
                <w:sz w:val="20"/>
                <w:szCs w:val="20"/>
              </w:rPr>
              <w:t xml:space="preserve"> </w:t>
            </w:r>
            <w:r w:rsidRPr="00192611">
              <w:rPr>
                <w:sz w:val="20"/>
                <w:szCs w:val="20"/>
              </w:rPr>
              <w:t>Day)</w:t>
            </w:r>
          </w:p>
        </w:tc>
      </w:tr>
      <w:tr w:rsidR="00B76A1F" w14:paraId="30E16444" w14:textId="77777777" w:rsidTr="008F6E8F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5117" w:type="dxa"/>
          </w:tcPr>
          <w:p w14:paraId="170A6D67" w14:textId="77777777" w:rsidR="00B76A1F" w:rsidRPr="003A73BC" w:rsidRDefault="00B76A1F" w:rsidP="008F6E8F">
            <w:pPr>
              <w:rPr>
                <w:b/>
              </w:rPr>
            </w:pPr>
            <w:r>
              <w:rPr>
                <w:b/>
              </w:rPr>
              <w:t>Friday, October 17th</w:t>
            </w:r>
          </w:p>
          <w:p w14:paraId="0613CB42" w14:textId="77777777" w:rsidR="00B76A1F" w:rsidRPr="008A5E51" w:rsidRDefault="00B76A1F" w:rsidP="008F6E8F">
            <w:pPr>
              <w:rPr>
                <w:sz w:val="4"/>
                <w:szCs w:val="4"/>
              </w:rPr>
            </w:pPr>
          </w:p>
          <w:p w14:paraId="4069575A" w14:textId="77777777" w:rsidR="00B76A1F" w:rsidRPr="00A66D0A" w:rsidRDefault="00B76A1F" w:rsidP="008F6E8F">
            <w:pPr>
              <w:rPr>
                <w:sz w:val="22"/>
                <w:szCs w:val="22"/>
              </w:rPr>
            </w:pPr>
            <w:r w:rsidRPr="00A66D0A">
              <w:rPr>
                <w:sz w:val="22"/>
                <w:szCs w:val="22"/>
              </w:rPr>
              <w:t>Legislative Update</w:t>
            </w:r>
          </w:p>
          <w:p w14:paraId="2448F043" w14:textId="77777777" w:rsidR="00B76A1F" w:rsidRPr="00A66D0A" w:rsidRDefault="00B76A1F" w:rsidP="008F6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NDDPI Child Nutrition </w:t>
            </w:r>
            <w:r w:rsidRPr="00A66D0A">
              <w:rPr>
                <w:sz w:val="22"/>
                <w:szCs w:val="22"/>
              </w:rPr>
              <w:t>Update</w:t>
            </w:r>
          </w:p>
          <w:p w14:paraId="1D3608A4" w14:textId="77777777" w:rsidR="00B76A1F" w:rsidRDefault="00B76A1F" w:rsidP="008F6E8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Crunch Off</w:t>
            </w:r>
          </w:p>
          <w:p w14:paraId="3CF64E4D" w14:textId="77777777" w:rsidR="00B76A1F" w:rsidRPr="00ED46FA" w:rsidRDefault="00B76A1F" w:rsidP="008F6E8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Closing </w:t>
            </w:r>
            <w:r w:rsidRPr="000A4068">
              <w:rPr>
                <w:i/>
                <w:sz w:val="22"/>
                <w:szCs w:val="22"/>
              </w:rPr>
              <w:t>“Dangerous Hope”</w:t>
            </w:r>
          </w:p>
        </w:tc>
        <w:tc>
          <w:tcPr>
            <w:tcW w:w="6331" w:type="dxa"/>
          </w:tcPr>
          <w:p w14:paraId="5026A7D4" w14:textId="77777777" w:rsidR="00B76A1F" w:rsidRPr="00A65C2D" w:rsidRDefault="00B76A1F" w:rsidP="008F6E8F"/>
          <w:p w14:paraId="76015145" w14:textId="77777777" w:rsidR="00B76A1F" w:rsidRDefault="00B76A1F" w:rsidP="008F6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 Wagner, Bismarck Public Schools FSD</w:t>
            </w:r>
          </w:p>
          <w:p w14:paraId="2B97BB6E" w14:textId="77777777" w:rsidR="00B76A1F" w:rsidRDefault="00B76A1F" w:rsidP="008F6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Lynelle Johnson, NDDPI-CNFD Director</w:t>
            </w:r>
          </w:p>
          <w:p w14:paraId="76FE2C12" w14:textId="77777777" w:rsidR="00B76A1F" w:rsidRDefault="00B76A1F" w:rsidP="008F6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Katrina Hanenberg, ND Ag</w:t>
            </w:r>
          </w:p>
          <w:p w14:paraId="0FEDA8D3" w14:textId="77777777" w:rsidR="00B76A1F" w:rsidRPr="009D0FB1" w:rsidRDefault="00B76A1F" w:rsidP="008F6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Mandy B Anderson, Co-founder RAYMA Team</w:t>
            </w:r>
          </w:p>
        </w:tc>
        <w:tc>
          <w:tcPr>
            <w:tcW w:w="1170" w:type="dxa"/>
          </w:tcPr>
          <w:p w14:paraId="2B726AEA" w14:textId="77777777" w:rsidR="00B76A1F" w:rsidRPr="00A65C2D" w:rsidRDefault="00B76A1F" w:rsidP="008F6E8F">
            <w:pPr>
              <w:jc w:val="center"/>
            </w:pPr>
          </w:p>
          <w:p w14:paraId="5F7C58B1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</w:t>
            </w:r>
          </w:p>
          <w:p w14:paraId="4063554B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  <w:p w14:paraId="3DCBF3AA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  <w:p w14:paraId="544F9D4B" w14:textId="77777777" w:rsidR="00B76A1F" w:rsidRPr="00A66D0A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</w:t>
            </w:r>
          </w:p>
        </w:tc>
        <w:tc>
          <w:tcPr>
            <w:tcW w:w="900" w:type="dxa"/>
          </w:tcPr>
          <w:p w14:paraId="0D522C9A" w14:textId="77777777" w:rsidR="00B76A1F" w:rsidRPr="00A65C2D" w:rsidRDefault="00B76A1F" w:rsidP="008F6E8F">
            <w:pPr>
              <w:jc w:val="center"/>
            </w:pPr>
          </w:p>
          <w:p w14:paraId="2485C812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.25</w:t>
            </w:r>
          </w:p>
          <w:p w14:paraId="3B590FE3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.25</w:t>
            </w:r>
          </w:p>
          <w:p w14:paraId="62C35DE4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.25</w:t>
            </w:r>
          </w:p>
          <w:p w14:paraId="7BF5D947" w14:textId="77777777" w:rsidR="00B76A1F" w:rsidRPr="00A66D0A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19D76C0" w14:textId="77777777" w:rsidR="00B76A1F" w:rsidRPr="00A66D0A" w:rsidRDefault="00B76A1F" w:rsidP="008F6E8F">
            <w:pPr>
              <w:jc w:val="center"/>
              <w:rPr>
                <w:sz w:val="22"/>
                <w:szCs w:val="22"/>
              </w:rPr>
            </w:pPr>
            <w:r w:rsidRPr="0019261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1.75</w:t>
            </w:r>
            <w:r w:rsidRPr="00192611">
              <w:rPr>
                <w:sz w:val="20"/>
                <w:szCs w:val="20"/>
              </w:rPr>
              <w:t xml:space="preserve"> CEU for </w:t>
            </w:r>
            <w:r>
              <w:rPr>
                <w:sz w:val="20"/>
                <w:szCs w:val="20"/>
              </w:rPr>
              <w:t>t</w:t>
            </w:r>
            <w:r w:rsidRPr="00192611">
              <w:rPr>
                <w:sz w:val="20"/>
                <w:szCs w:val="20"/>
              </w:rPr>
              <w:t>he</w:t>
            </w:r>
            <w:r>
              <w:rPr>
                <w:sz w:val="20"/>
                <w:szCs w:val="20"/>
              </w:rPr>
              <w:t xml:space="preserve"> </w:t>
            </w:r>
            <w:r w:rsidRPr="00192611">
              <w:rPr>
                <w:sz w:val="20"/>
                <w:szCs w:val="20"/>
              </w:rPr>
              <w:t>Day)</w:t>
            </w:r>
          </w:p>
        </w:tc>
      </w:tr>
      <w:tr w:rsidR="00B76A1F" w14:paraId="2366CAA0" w14:textId="77777777" w:rsidTr="008F6E8F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5117" w:type="dxa"/>
            <w:vAlign w:val="center"/>
          </w:tcPr>
          <w:p w14:paraId="51D0473D" w14:textId="77777777" w:rsidR="00B76A1F" w:rsidRPr="007848D3" w:rsidRDefault="00B76A1F" w:rsidP="008F6E8F">
            <w:pPr>
              <w:rPr>
                <w:u w:val="single"/>
              </w:rPr>
            </w:pPr>
            <w:r w:rsidRPr="007848D3">
              <w:rPr>
                <w:u w:val="single"/>
              </w:rPr>
              <w:t>Total Hours Available</w:t>
            </w:r>
          </w:p>
          <w:p w14:paraId="3E49D464" w14:textId="77777777" w:rsidR="00B76A1F" w:rsidRPr="00EA7D18" w:rsidRDefault="00B76A1F" w:rsidP="008F6E8F">
            <w:pPr>
              <w:rPr>
                <w:sz w:val="22"/>
                <w:szCs w:val="22"/>
              </w:rPr>
            </w:pPr>
            <w:r w:rsidRPr="00EA7D18">
              <w:rPr>
                <w:sz w:val="22"/>
                <w:szCs w:val="22"/>
              </w:rPr>
              <w:t xml:space="preserve">   Key Area 1 = Nutrition </w:t>
            </w:r>
          </w:p>
          <w:p w14:paraId="3165C304" w14:textId="77777777" w:rsidR="00B76A1F" w:rsidRPr="00EA7D18" w:rsidRDefault="00B76A1F" w:rsidP="008F6E8F">
            <w:pPr>
              <w:rPr>
                <w:sz w:val="22"/>
                <w:szCs w:val="22"/>
              </w:rPr>
            </w:pPr>
            <w:r w:rsidRPr="00EA7D18">
              <w:rPr>
                <w:sz w:val="22"/>
                <w:szCs w:val="22"/>
              </w:rPr>
              <w:t xml:space="preserve">   Key Area 2 = Operations</w:t>
            </w:r>
          </w:p>
          <w:p w14:paraId="27F73D42" w14:textId="77777777" w:rsidR="00B76A1F" w:rsidRPr="00EA7D18" w:rsidRDefault="00B76A1F" w:rsidP="008F6E8F">
            <w:pPr>
              <w:rPr>
                <w:sz w:val="22"/>
                <w:szCs w:val="22"/>
              </w:rPr>
            </w:pPr>
            <w:r w:rsidRPr="00EA7D18">
              <w:rPr>
                <w:sz w:val="22"/>
                <w:szCs w:val="22"/>
              </w:rPr>
              <w:t xml:space="preserve">   Key Area 3 = Administration</w:t>
            </w:r>
          </w:p>
          <w:p w14:paraId="52F5C76B" w14:textId="77777777" w:rsidR="00B76A1F" w:rsidRPr="002B6D99" w:rsidRDefault="00B76A1F" w:rsidP="008F6E8F">
            <w:r w:rsidRPr="00EA7D18">
              <w:rPr>
                <w:sz w:val="22"/>
                <w:szCs w:val="22"/>
              </w:rPr>
              <w:t xml:space="preserve">   Key Area 4 = Communications &amp; Marketing</w:t>
            </w:r>
          </w:p>
        </w:tc>
        <w:tc>
          <w:tcPr>
            <w:tcW w:w="6331" w:type="dxa"/>
          </w:tcPr>
          <w:p w14:paraId="39F047C9" w14:textId="77777777" w:rsidR="00B76A1F" w:rsidRPr="007848D3" w:rsidRDefault="00B76A1F" w:rsidP="008F6E8F">
            <w:pPr>
              <w:rPr>
                <w:sz w:val="20"/>
                <w:szCs w:val="20"/>
                <w:u w:val="single"/>
              </w:rPr>
            </w:pPr>
            <w:r w:rsidRPr="007848D3">
              <w:rPr>
                <w:sz w:val="20"/>
                <w:szCs w:val="20"/>
                <w:u w:val="single"/>
              </w:rPr>
              <w:t xml:space="preserve">General Sessions </w:t>
            </w:r>
          </w:p>
          <w:p w14:paraId="51FEC3C8" w14:textId="77777777" w:rsidR="00B76A1F" w:rsidRPr="007848D3" w:rsidRDefault="00B76A1F" w:rsidP="008F6E8F">
            <w:pPr>
              <w:rPr>
                <w:sz w:val="22"/>
                <w:szCs w:val="22"/>
              </w:rPr>
            </w:pPr>
            <w:r w:rsidRPr="007848D3">
              <w:rPr>
                <w:sz w:val="22"/>
                <w:szCs w:val="22"/>
              </w:rPr>
              <w:t xml:space="preserve">Key Area 1 = </w:t>
            </w:r>
            <w:r>
              <w:rPr>
                <w:sz w:val="22"/>
                <w:szCs w:val="22"/>
              </w:rPr>
              <w:t>2.75</w:t>
            </w:r>
            <w:r w:rsidRPr="007848D3">
              <w:rPr>
                <w:sz w:val="22"/>
                <w:szCs w:val="22"/>
              </w:rPr>
              <w:t xml:space="preserve"> </w:t>
            </w:r>
          </w:p>
          <w:p w14:paraId="35A9C0B9" w14:textId="77777777" w:rsidR="00B76A1F" w:rsidRPr="007848D3" w:rsidRDefault="00B76A1F" w:rsidP="008F6E8F">
            <w:pPr>
              <w:rPr>
                <w:sz w:val="22"/>
                <w:szCs w:val="22"/>
              </w:rPr>
            </w:pPr>
            <w:r w:rsidRPr="007848D3">
              <w:rPr>
                <w:sz w:val="22"/>
                <w:szCs w:val="22"/>
              </w:rPr>
              <w:t xml:space="preserve">Key Area 2 = </w:t>
            </w:r>
            <w:r>
              <w:rPr>
                <w:sz w:val="22"/>
                <w:szCs w:val="22"/>
              </w:rPr>
              <w:t>2.5</w:t>
            </w:r>
            <w:r w:rsidRPr="007848D3">
              <w:rPr>
                <w:sz w:val="22"/>
                <w:szCs w:val="22"/>
              </w:rPr>
              <w:t xml:space="preserve">  </w:t>
            </w:r>
          </w:p>
          <w:p w14:paraId="4C5356B8" w14:textId="77777777" w:rsidR="00B76A1F" w:rsidRPr="007848D3" w:rsidRDefault="00B76A1F" w:rsidP="008F6E8F">
            <w:pPr>
              <w:rPr>
                <w:sz w:val="22"/>
                <w:szCs w:val="22"/>
              </w:rPr>
            </w:pPr>
            <w:r w:rsidRPr="007848D3">
              <w:rPr>
                <w:sz w:val="22"/>
                <w:szCs w:val="22"/>
              </w:rPr>
              <w:t xml:space="preserve">Key Area 3 = </w:t>
            </w:r>
            <w:r>
              <w:rPr>
                <w:sz w:val="22"/>
                <w:szCs w:val="22"/>
              </w:rPr>
              <w:t xml:space="preserve">5 </w:t>
            </w:r>
          </w:p>
          <w:p w14:paraId="34329EB2" w14:textId="77777777" w:rsidR="00B76A1F" w:rsidRPr="00EA7D18" w:rsidRDefault="00B76A1F" w:rsidP="008F6E8F">
            <w:pPr>
              <w:rPr>
                <w:sz w:val="22"/>
                <w:szCs w:val="22"/>
              </w:rPr>
            </w:pPr>
            <w:r w:rsidRPr="007848D3">
              <w:rPr>
                <w:sz w:val="22"/>
                <w:szCs w:val="22"/>
              </w:rPr>
              <w:t>Key Area 4 = 1</w:t>
            </w:r>
          </w:p>
        </w:tc>
        <w:tc>
          <w:tcPr>
            <w:tcW w:w="1170" w:type="dxa"/>
          </w:tcPr>
          <w:p w14:paraId="14FEE1F1" w14:textId="77777777" w:rsidR="00B76A1F" w:rsidRPr="00A66D0A" w:rsidRDefault="00B76A1F" w:rsidP="008F6E8F">
            <w:pPr>
              <w:jc w:val="center"/>
              <w:rPr>
                <w:sz w:val="22"/>
                <w:szCs w:val="22"/>
              </w:rPr>
            </w:pPr>
          </w:p>
          <w:p w14:paraId="112E94C6" w14:textId="77777777" w:rsidR="00B76A1F" w:rsidRPr="00A66D0A" w:rsidRDefault="00B76A1F" w:rsidP="008F6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30E2893" w14:textId="77777777" w:rsidR="00B76A1F" w:rsidRDefault="00B76A1F" w:rsidP="008F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8.75 CEU</w:t>
            </w:r>
          </w:p>
          <w:p w14:paraId="11377588" w14:textId="77777777" w:rsidR="00B76A1F" w:rsidRPr="00A66D0A" w:rsidRDefault="00B76A1F" w:rsidP="008F6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17A4ABFD" w14:textId="77777777" w:rsidR="00B76A1F" w:rsidRPr="00A66D0A" w:rsidRDefault="00B76A1F" w:rsidP="008F6E8F">
            <w:pPr>
              <w:rPr>
                <w:sz w:val="22"/>
                <w:szCs w:val="22"/>
              </w:rPr>
            </w:pPr>
          </w:p>
        </w:tc>
      </w:tr>
      <w:tr w:rsidR="00B76A1F" w:rsidRPr="0058789F" w14:paraId="36C17B43" w14:textId="77777777" w:rsidTr="008F6E8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117" w:type="dxa"/>
            <w:shd w:val="clear" w:color="auto" w:fill="F2F2F2"/>
            <w:vAlign w:val="center"/>
          </w:tcPr>
          <w:p w14:paraId="39781B11" w14:textId="77777777" w:rsidR="00B76A1F" w:rsidRPr="00DF6403" w:rsidRDefault="00B76A1F" w:rsidP="008F6E8F">
            <w:pPr>
              <w:rPr>
                <w:sz w:val="26"/>
                <w:szCs w:val="26"/>
              </w:rPr>
            </w:pPr>
            <w:r w:rsidRPr="00DF6403">
              <w:rPr>
                <w:sz w:val="26"/>
                <w:szCs w:val="26"/>
              </w:rPr>
              <w:t>Total Hours Attended</w:t>
            </w:r>
          </w:p>
        </w:tc>
        <w:tc>
          <w:tcPr>
            <w:tcW w:w="6331" w:type="dxa"/>
            <w:shd w:val="clear" w:color="auto" w:fill="F2F2F2"/>
            <w:vAlign w:val="center"/>
          </w:tcPr>
          <w:p w14:paraId="4FB324D4" w14:textId="77777777" w:rsidR="00B76A1F" w:rsidRPr="00A66D0A" w:rsidRDefault="00B76A1F" w:rsidP="008F6E8F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/>
            <w:vAlign w:val="center"/>
          </w:tcPr>
          <w:p w14:paraId="2698C810" w14:textId="77777777" w:rsidR="00B76A1F" w:rsidRPr="00DF6403" w:rsidRDefault="00B76A1F" w:rsidP="008F6E8F">
            <w:r w:rsidRPr="00DF6403">
              <w:t>TOTAL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4E3FC8A1" w14:textId="77777777" w:rsidR="00B76A1F" w:rsidRPr="00A66D0A" w:rsidRDefault="00B76A1F" w:rsidP="008F6E8F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/>
            <w:vAlign w:val="center"/>
          </w:tcPr>
          <w:p w14:paraId="0000B8E3" w14:textId="77777777" w:rsidR="00B76A1F" w:rsidRPr="00A66D0A" w:rsidRDefault="00B76A1F" w:rsidP="008F6E8F">
            <w:pPr>
              <w:rPr>
                <w:sz w:val="22"/>
                <w:szCs w:val="22"/>
              </w:rPr>
            </w:pPr>
          </w:p>
        </w:tc>
      </w:tr>
    </w:tbl>
    <w:p w14:paraId="6E91F8F1" w14:textId="77777777" w:rsidR="00450430" w:rsidRDefault="00450430" w:rsidP="00B76A1F">
      <w:pPr>
        <w:jc w:val="center"/>
      </w:pPr>
    </w:p>
    <w:sectPr w:rsidR="00450430" w:rsidSect="00B76A1F">
      <w:pgSz w:w="15840" w:h="12240" w:orient="landscape"/>
      <w:pgMar w:top="720" w:right="173" w:bottom="173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0EDB"/>
    <w:multiLevelType w:val="hybridMultilevel"/>
    <w:tmpl w:val="08C8442E"/>
    <w:lvl w:ilvl="0" w:tplc="8A3827D2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4E2941B6"/>
    <w:multiLevelType w:val="hybridMultilevel"/>
    <w:tmpl w:val="30101F7E"/>
    <w:lvl w:ilvl="0" w:tplc="24DA38DE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51254849"/>
    <w:multiLevelType w:val="hybridMultilevel"/>
    <w:tmpl w:val="A6B2ABC4"/>
    <w:lvl w:ilvl="0" w:tplc="72907AC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num w:numId="1" w16cid:durableId="1732658675">
    <w:abstractNumId w:val="1"/>
  </w:num>
  <w:num w:numId="2" w16cid:durableId="964777120">
    <w:abstractNumId w:val="2"/>
  </w:num>
  <w:num w:numId="3" w16cid:durableId="122902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1F"/>
    <w:rsid w:val="001D71C9"/>
    <w:rsid w:val="00450430"/>
    <w:rsid w:val="004A5709"/>
    <w:rsid w:val="005F30A1"/>
    <w:rsid w:val="00B76A1F"/>
    <w:rsid w:val="00DC00CB"/>
    <w:rsid w:val="00EA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66C5"/>
  <w15:chartTrackingRefBased/>
  <w15:docId w15:val="{7A4CADF8-89E3-4B95-831B-CD967A4A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A1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A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A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A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A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Sieverding</dc:creator>
  <cp:keywords/>
  <dc:description/>
  <cp:lastModifiedBy>Katie Sieverding</cp:lastModifiedBy>
  <cp:revision>1</cp:revision>
  <dcterms:created xsi:type="dcterms:W3CDTF">2025-10-10T16:46:00Z</dcterms:created>
  <dcterms:modified xsi:type="dcterms:W3CDTF">2025-10-10T16:49:00Z</dcterms:modified>
</cp:coreProperties>
</file>