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5"/>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5"/>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43D0FB85" w:rsidR="00F1014E" w:rsidRDefault="00F1014E" w:rsidP="006066A4">
            <w:pPr>
              <w:pStyle w:val="TableParagraph"/>
            </w:pPr>
            <w:r>
              <w:t>FA</w:t>
            </w:r>
            <w:r>
              <w:rPr>
                <w:spacing w:val="-5"/>
              </w:rPr>
              <w:t xml:space="preserve"> </w:t>
            </w:r>
            <w:r w:rsidR="0000699C">
              <w:t>EDUCATION</w:t>
            </w:r>
            <w:r w:rsidR="0000699C">
              <w:rPr>
                <w:spacing w:val="-6"/>
              </w:rPr>
              <w:t xml:space="preserve"> MANAGING</w:t>
            </w:r>
            <w:r w:rsidR="0000699C" w:rsidRPr="0000699C">
              <w:rPr>
                <w:spacing w:val="-6"/>
              </w:rPr>
              <w:t xml:space="preserve"> ALLEGATIONS AGAINST STAFF AND ADULTS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77777777" w:rsidR="00F1014E" w:rsidRDefault="00F1014E" w:rsidP="006066A4">
            <w:pPr>
              <w:pStyle w:val="TableParagraph"/>
            </w:pPr>
            <w:r>
              <w:t>ORGANISATION</w:t>
            </w: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6">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67AE81B7" w14:textId="77777777" w:rsidR="00F1014E" w:rsidRDefault="00F1014E" w:rsidP="006066A4">
            <w:pPr>
              <w:pStyle w:val="TableParagraph"/>
            </w:pPr>
            <w:r w:rsidRPr="00F1014E">
              <w:t>All recruitment, vetting and appointment processes for FA Education employees, self-employed contractors, volunteers and any adults working with FA Education learners</w:t>
            </w:r>
            <w:r>
              <w:t>.</w:t>
            </w:r>
          </w:p>
          <w:p w14:paraId="47F004E0" w14:textId="5BAB6C99" w:rsidR="00F1014E" w:rsidRDefault="00F1014E" w:rsidP="006066A4">
            <w:pPr>
              <w:pStyle w:val="TableParagraph"/>
            </w:pP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07FDCE29" w14:textId="2CB348DC" w:rsidR="00F1014E" w:rsidRPr="00F1014E" w:rsidRDefault="00F1014E" w:rsidP="00F1014E">
            <w:pPr>
              <w:pStyle w:val="TableParagraph"/>
            </w:pPr>
            <w:r w:rsidRPr="00F1014E">
              <w:t>To ensure that all individuals engaged by FA Education are suitable to work with children and young people through robust safer recruitment procedures, statutory vetting checks and ongoing suitability monitoring</w:t>
            </w:r>
            <w:r>
              <w:t>.</w:t>
            </w:r>
          </w:p>
          <w:p w14:paraId="185DCA96" w14:textId="66EC68DE" w:rsidR="00F1014E" w:rsidRDefault="00F1014E" w:rsidP="006066A4">
            <w:pPr>
              <w:pStyle w:val="TableParagraph"/>
            </w:pPr>
          </w:p>
        </w:tc>
      </w:tr>
    </w:tbl>
    <w:p w14:paraId="7BE1C438" w14:textId="77777777" w:rsidR="00F1014E" w:rsidRDefault="00F1014E"/>
    <w:p w14:paraId="56BE4FD4" w14:textId="77777777" w:rsidR="00F1014E" w:rsidRDefault="00F1014E"/>
    <w:p w14:paraId="29CC2B3F" w14:textId="77777777" w:rsidR="00F1014E" w:rsidRDefault="00F1014E"/>
    <w:p w14:paraId="5F1186DE" w14:textId="77777777" w:rsidR="00F1014E" w:rsidRDefault="00F1014E"/>
    <w:p w14:paraId="70C58D63" w14:textId="77777777" w:rsidR="00F1014E" w:rsidRPr="00F1014E" w:rsidRDefault="00F1014E" w:rsidP="00F1014E">
      <w:pPr>
        <w:rPr>
          <w:b/>
          <w:bCs/>
        </w:rPr>
      </w:pPr>
      <w:r w:rsidRPr="00F1014E">
        <w:rPr>
          <w:b/>
          <w:bCs/>
        </w:rPr>
        <w:t>1. Introduction</w:t>
      </w:r>
    </w:p>
    <w:p w14:paraId="65CDFD55" w14:textId="77777777" w:rsidR="00F1014E" w:rsidRPr="00F1014E" w:rsidRDefault="00F1014E" w:rsidP="00F1014E">
      <w:r w:rsidRPr="00F1014E">
        <w:t>FA Education is committed to safeguarding and promoting the welfare of children and young people. Safer recruitment is central to this commitment. This policy outlines the organisation’s procedures for recruiting, vetting and inducting staff and contracted practitioners to ensure suitability for work with learners.</w:t>
      </w:r>
    </w:p>
    <w:p w14:paraId="2A7C9526" w14:textId="77777777" w:rsidR="00F1014E" w:rsidRPr="00F1014E" w:rsidRDefault="00F1014E" w:rsidP="00F1014E">
      <w:r w:rsidRPr="00F1014E">
        <w:t>This policy applies to all adults engaged in FA Education activity, including:</w:t>
      </w:r>
    </w:p>
    <w:p w14:paraId="0872A288" w14:textId="77777777" w:rsidR="00F1014E" w:rsidRPr="00F1014E" w:rsidRDefault="00F1014E" w:rsidP="00F1014E">
      <w:pPr>
        <w:numPr>
          <w:ilvl w:val="0"/>
          <w:numId w:val="1"/>
        </w:numPr>
      </w:pPr>
      <w:r w:rsidRPr="00F1014E">
        <w:t>Employees</w:t>
      </w:r>
    </w:p>
    <w:p w14:paraId="30D1F913" w14:textId="77777777" w:rsidR="00F1014E" w:rsidRPr="00F1014E" w:rsidRDefault="00F1014E" w:rsidP="00F1014E">
      <w:pPr>
        <w:numPr>
          <w:ilvl w:val="0"/>
          <w:numId w:val="1"/>
        </w:numPr>
      </w:pPr>
      <w:r w:rsidRPr="00F1014E">
        <w:t>Self-employed contractors</w:t>
      </w:r>
    </w:p>
    <w:p w14:paraId="024D1430" w14:textId="77777777" w:rsidR="00F1014E" w:rsidRPr="00F1014E" w:rsidRDefault="00F1014E" w:rsidP="00F1014E">
      <w:pPr>
        <w:numPr>
          <w:ilvl w:val="0"/>
          <w:numId w:val="1"/>
        </w:numPr>
      </w:pPr>
      <w:r w:rsidRPr="00F1014E">
        <w:t>Volunteers</w:t>
      </w:r>
    </w:p>
    <w:p w14:paraId="620C3773" w14:textId="77777777" w:rsidR="00F1014E" w:rsidRPr="00F1014E" w:rsidRDefault="00F1014E" w:rsidP="00F1014E">
      <w:pPr>
        <w:numPr>
          <w:ilvl w:val="0"/>
          <w:numId w:val="1"/>
        </w:numPr>
      </w:pPr>
      <w:r w:rsidRPr="00F1014E">
        <w:t>Agency workers</w:t>
      </w:r>
    </w:p>
    <w:p w14:paraId="09B81199" w14:textId="77777777" w:rsidR="00F1014E" w:rsidRPr="00F1014E" w:rsidRDefault="00F1014E" w:rsidP="00F1014E">
      <w:pPr>
        <w:numPr>
          <w:ilvl w:val="0"/>
          <w:numId w:val="1"/>
        </w:numPr>
      </w:pPr>
      <w:r w:rsidRPr="00F1014E">
        <w:t>Students or trainees on placement</w:t>
      </w:r>
    </w:p>
    <w:p w14:paraId="7587C464" w14:textId="77777777" w:rsidR="00F1014E" w:rsidRPr="00F1014E" w:rsidRDefault="00F1014E" w:rsidP="00F1014E">
      <w:r w:rsidRPr="00F1014E">
        <w:t>The policy aligns with statutory guidance, including:</w:t>
      </w:r>
    </w:p>
    <w:p w14:paraId="748617CD" w14:textId="77777777" w:rsidR="00F1014E" w:rsidRPr="00F1014E" w:rsidRDefault="00F1014E" w:rsidP="00F1014E">
      <w:pPr>
        <w:numPr>
          <w:ilvl w:val="0"/>
          <w:numId w:val="2"/>
        </w:numPr>
      </w:pPr>
      <w:r w:rsidRPr="00F1014E">
        <w:rPr>
          <w:i/>
          <w:iCs/>
        </w:rPr>
        <w:t>Keeping Children Safe in Education (2025)</w:t>
      </w:r>
    </w:p>
    <w:p w14:paraId="574C0DD4" w14:textId="77777777" w:rsidR="00F1014E" w:rsidRPr="00F1014E" w:rsidRDefault="00F1014E" w:rsidP="00F1014E">
      <w:pPr>
        <w:numPr>
          <w:ilvl w:val="0"/>
          <w:numId w:val="2"/>
        </w:numPr>
      </w:pPr>
      <w:r w:rsidRPr="00F1014E">
        <w:rPr>
          <w:i/>
          <w:iCs/>
        </w:rPr>
        <w:lastRenderedPageBreak/>
        <w:t>Working Together to Safeguard Children (2023)</w:t>
      </w:r>
    </w:p>
    <w:p w14:paraId="1BBB6FAF" w14:textId="77777777" w:rsidR="00F1014E" w:rsidRPr="00F1014E" w:rsidRDefault="00F1014E" w:rsidP="00F1014E">
      <w:pPr>
        <w:numPr>
          <w:ilvl w:val="0"/>
          <w:numId w:val="2"/>
        </w:numPr>
      </w:pPr>
      <w:r w:rsidRPr="00F1014E">
        <w:rPr>
          <w:i/>
          <w:iCs/>
        </w:rPr>
        <w:t>Pan-Dorset Safeguarding Children Partnership procedures</w:t>
      </w:r>
    </w:p>
    <w:p w14:paraId="00B8551C" w14:textId="77777777" w:rsidR="00F1014E" w:rsidRPr="00F1014E" w:rsidRDefault="00F1014E" w:rsidP="00F1014E">
      <w:pPr>
        <w:numPr>
          <w:ilvl w:val="0"/>
          <w:numId w:val="2"/>
        </w:numPr>
      </w:pPr>
      <w:r w:rsidRPr="00F1014E">
        <w:t>Disclosure and Barring Service legislation</w:t>
      </w:r>
    </w:p>
    <w:p w14:paraId="3AA5C00E" w14:textId="77777777" w:rsidR="00F1014E" w:rsidRPr="00F1014E" w:rsidRDefault="00F1014E" w:rsidP="00F1014E">
      <w:pPr>
        <w:numPr>
          <w:ilvl w:val="0"/>
          <w:numId w:val="2"/>
        </w:numPr>
      </w:pPr>
      <w:r w:rsidRPr="00F1014E">
        <w:t>Education Act 2002</w:t>
      </w:r>
    </w:p>
    <w:p w14:paraId="03C5AB5D" w14:textId="77777777" w:rsidR="00F1014E" w:rsidRPr="00F1014E" w:rsidRDefault="00F1014E" w:rsidP="00F1014E">
      <w:pPr>
        <w:numPr>
          <w:ilvl w:val="0"/>
          <w:numId w:val="2"/>
        </w:numPr>
      </w:pPr>
      <w:r w:rsidRPr="00F1014E">
        <w:t>UK GDPR and Data Protection Act 2018</w:t>
      </w:r>
    </w:p>
    <w:p w14:paraId="514BB84B" w14:textId="7A76C01B" w:rsidR="00F1014E" w:rsidRPr="00F1014E" w:rsidRDefault="00F1014E" w:rsidP="00F1014E"/>
    <w:p w14:paraId="60EA0736" w14:textId="77777777" w:rsidR="00F1014E" w:rsidRPr="00F1014E" w:rsidRDefault="00F1014E" w:rsidP="00F1014E">
      <w:pPr>
        <w:rPr>
          <w:b/>
          <w:bCs/>
        </w:rPr>
      </w:pPr>
      <w:r w:rsidRPr="00F1014E">
        <w:rPr>
          <w:b/>
          <w:bCs/>
        </w:rPr>
        <w:t>2. Workforce Model</w:t>
      </w:r>
    </w:p>
    <w:p w14:paraId="0D238706" w14:textId="77777777" w:rsidR="00F1014E" w:rsidRPr="00F1014E" w:rsidRDefault="00F1014E" w:rsidP="00F1014E">
      <w:r w:rsidRPr="00F1014E">
        <w:t>FA Education primarily employs staff directly but may engage self-employed specialists when appropriate. All individuals working with learners must meet the same safer recruitment standards regardless of employment type.</w:t>
      </w:r>
    </w:p>
    <w:p w14:paraId="26FFB3F1" w14:textId="38B4D886" w:rsidR="00F1014E" w:rsidRPr="00F1014E" w:rsidRDefault="00F1014E" w:rsidP="00F1014E"/>
    <w:p w14:paraId="3AA6F852" w14:textId="77777777" w:rsidR="00F1014E" w:rsidRPr="00F1014E" w:rsidRDefault="00F1014E" w:rsidP="00F1014E">
      <w:pPr>
        <w:rPr>
          <w:b/>
          <w:bCs/>
        </w:rPr>
      </w:pPr>
      <w:r w:rsidRPr="00F1014E">
        <w:rPr>
          <w:b/>
          <w:bCs/>
        </w:rPr>
        <w:t>3. Principles of Safer Recruitment</w:t>
      </w:r>
    </w:p>
    <w:p w14:paraId="32913E7A" w14:textId="77777777" w:rsidR="00F1014E" w:rsidRPr="00F1014E" w:rsidRDefault="00F1014E" w:rsidP="00F1014E">
      <w:r w:rsidRPr="00F1014E">
        <w:t>FA Education ensures safer recruitment by applying the following principles:</w:t>
      </w:r>
    </w:p>
    <w:p w14:paraId="09169C40" w14:textId="77777777" w:rsidR="00F1014E" w:rsidRPr="00F1014E" w:rsidRDefault="00F1014E" w:rsidP="00F1014E">
      <w:pPr>
        <w:numPr>
          <w:ilvl w:val="0"/>
          <w:numId w:val="3"/>
        </w:numPr>
      </w:pPr>
      <w:r w:rsidRPr="00F1014E">
        <w:t>Children’s safety is the highest priority.</w:t>
      </w:r>
    </w:p>
    <w:p w14:paraId="4374F321" w14:textId="77777777" w:rsidR="00F1014E" w:rsidRPr="00F1014E" w:rsidRDefault="00F1014E" w:rsidP="00F1014E">
      <w:pPr>
        <w:numPr>
          <w:ilvl w:val="0"/>
          <w:numId w:val="3"/>
        </w:numPr>
      </w:pPr>
      <w:r w:rsidRPr="00F1014E">
        <w:t>All recruitment procedures are transparent, rigorous and consistent.</w:t>
      </w:r>
    </w:p>
    <w:p w14:paraId="78A01572" w14:textId="77777777" w:rsidR="00F1014E" w:rsidRPr="00F1014E" w:rsidRDefault="00F1014E" w:rsidP="00F1014E">
      <w:pPr>
        <w:numPr>
          <w:ilvl w:val="0"/>
          <w:numId w:val="3"/>
        </w:numPr>
      </w:pPr>
      <w:r w:rsidRPr="00F1014E">
        <w:t>No appointment is confirmed until all mandatory vetting checks are complete.</w:t>
      </w:r>
    </w:p>
    <w:p w14:paraId="3063BC2A" w14:textId="77777777" w:rsidR="00F1014E" w:rsidRPr="00F1014E" w:rsidRDefault="00F1014E" w:rsidP="00F1014E">
      <w:pPr>
        <w:numPr>
          <w:ilvl w:val="0"/>
          <w:numId w:val="3"/>
        </w:numPr>
      </w:pPr>
      <w:r w:rsidRPr="00F1014E">
        <w:t>Any positive disclosures are risk-assessed robustly.</w:t>
      </w:r>
    </w:p>
    <w:p w14:paraId="7D365392" w14:textId="77777777" w:rsidR="00F1014E" w:rsidRPr="00F1014E" w:rsidRDefault="00F1014E" w:rsidP="00F1014E">
      <w:pPr>
        <w:numPr>
          <w:ilvl w:val="0"/>
          <w:numId w:val="3"/>
        </w:numPr>
      </w:pPr>
      <w:r w:rsidRPr="00F1014E">
        <w:t>Safeguarding responsibilities are considered at every stage of recruitment.</w:t>
      </w:r>
    </w:p>
    <w:p w14:paraId="283110B6" w14:textId="77777777" w:rsidR="00F1014E" w:rsidRPr="00F1014E" w:rsidRDefault="00F1014E" w:rsidP="00F1014E">
      <w:pPr>
        <w:numPr>
          <w:ilvl w:val="0"/>
          <w:numId w:val="3"/>
        </w:numPr>
      </w:pPr>
      <w:r w:rsidRPr="00F1014E">
        <w:t>Staff suitability is monitored on an ongoing basis.</w:t>
      </w:r>
    </w:p>
    <w:p w14:paraId="7D5AD594" w14:textId="0CE36B51" w:rsidR="00F1014E" w:rsidRPr="00F1014E" w:rsidRDefault="00F1014E" w:rsidP="00F1014E"/>
    <w:p w14:paraId="20C08933" w14:textId="77777777" w:rsidR="00F1014E" w:rsidRPr="00F1014E" w:rsidRDefault="00F1014E" w:rsidP="00F1014E">
      <w:pPr>
        <w:rPr>
          <w:b/>
          <w:bCs/>
        </w:rPr>
      </w:pPr>
      <w:r w:rsidRPr="00F1014E">
        <w:rPr>
          <w:b/>
          <w:bCs/>
        </w:rPr>
        <w:t>4. Responsibility for Safer Recruitment</w:t>
      </w:r>
    </w:p>
    <w:p w14:paraId="155C3BE0" w14:textId="77777777" w:rsidR="00F1014E" w:rsidRPr="00F1014E" w:rsidRDefault="00F1014E" w:rsidP="00F1014E">
      <w:r w:rsidRPr="00F1014E">
        <w:t>The lead person responsible for safer recruitment at FA Education is:</w:t>
      </w:r>
    </w:p>
    <w:p w14:paraId="0E71CBC2" w14:textId="77777777" w:rsidR="00F1014E" w:rsidRPr="00F1014E" w:rsidRDefault="00F1014E" w:rsidP="00F1014E">
      <w:r w:rsidRPr="00F1014E">
        <w:rPr>
          <w:b/>
          <w:bCs/>
        </w:rPr>
        <w:t>Anthony Gumbrell</w:t>
      </w:r>
      <w:r w:rsidRPr="00F1014E">
        <w:br/>
        <w:t>Director and Designated Safeguarding Lead</w:t>
      </w:r>
    </w:p>
    <w:p w14:paraId="3EA27A9D" w14:textId="77777777" w:rsidR="00F1014E" w:rsidRPr="00F1014E" w:rsidRDefault="00F1014E" w:rsidP="00F1014E">
      <w:r w:rsidRPr="00F1014E">
        <w:t>At least one member of every recruitment process must hold accredited Safer Recruitment Training.</w:t>
      </w:r>
    </w:p>
    <w:p w14:paraId="7A46A828" w14:textId="0B98C5B7" w:rsidR="00F1014E" w:rsidRPr="00F1014E" w:rsidRDefault="00F1014E" w:rsidP="00F1014E"/>
    <w:p w14:paraId="03ADFF8B" w14:textId="77777777" w:rsidR="00F1014E" w:rsidRPr="00F1014E" w:rsidRDefault="00F1014E" w:rsidP="00F1014E">
      <w:pPr>
        <w:rPr>
          <w:b/>
          <w:bCs/>
        </w:rPr>
      </w:pPr>
      <w:r w:rsidRPr="00F1014E">
        <w:rPr>
          <w:b/>
          <w:bCs/>
        </w:rPr>
        <w:t>5. Advertising and Job Descriptions</w:t>
      </w:r>
    </w:p>
    <w:p w14:paraId="45313875" w14:textId="77777777" w:rsidR="00F1014E" w:rsidRPr="00F1014E" w:rsidRDefault="00F1014E" w:rsidP="00F1014E">
      <w:r w:rsidRPr="00F1014E">
        <w:t>All job adverts must include:</w:t>
      </w:r>
    </w:p>
    <w:p w14:paraId="0C4FCCDB" w14:textId="77777777" w:rsidR="00F1014E" w:rsidRPr="00F1014E" w:rsidRDefault="00F1014E" w:rsidP="00F1014E">
      <w:pPr>
        <w:numPr>
          <w:ilvl w:val="0"/>
          <w:numId w:val="4"/>
        </w:numPr>
      </w:pPr>
      <w:r w:rsidRPr="00F1014E">
        <w:t>FA Education’s commitment to safeguarding</w:t>
      </w:r>
    </w:p>
    <w:p w14:paraId="6C7293B2" w14:textId="77777777" w:rsidR="00F1014E" w:rsidRPr="00F1014E" w:rsidRDefault="00F1014E" w:rsidP="00F1014E">
      <w:pPr>
        <w:numPr>
          <w:ilvl w:val="0"/>
          <w:numId w:val="4"/>
        </w:numPr>
      </w:pPr>
      <w:r w:rsidRPr="00F1014E">
        <w:t>Requirement for an Enhanced Disclosure and Barring Service check</w:t>
      </w:r>
    </w:p>
    <w:p w14:paraId="0298FEF7" w14:textId="77777777" w:rsidR="00F1014E" w:rsidRPr="00F1014E" w:rsidRDefault="00F1014E" w:rsidP="00F1014E">
      <w:pPr>
        <w:numPr>
          <w:ilvl w:val="0"/>
          <w:numId w:val="4"/>
        </w:numPr>
      </w:pPr>
      <w:r w:rsidRPr="00F1014E">
        <w:t>Expectation that applicants disclose relevant criminal history</w:t>
      </w:r>
    </w:p>
    <w:p w14:paraId="427A0167" w14:textId="77777777" w:rsidR="00F1014E" w:rsidRPr="00F1014E" w:rsidRDefault="00F1014E" w:rsidP="00F1014E">
      <w:pPr>
        <w:numPr>
          <w:ilvl w:val="0"/>
          <w:numId w:val="4"/>
        </w:numPr>
      </w:pPr>
      <w:r w:rsidRPr="00F1014E">
        <w:t>Statement that references will be taken prior to appointment</w:t>
      </w:r>
    </w:p>
    <w:p w14:paraId="5D94A4AF" w14:textId="77777777" w:rsidR="00F1014E" w:rsidRPr="00F1014E" w:rsidRDefault="00F1014E" w:rsidP="00F1014E">
      <w:r w:rsidRPr="00F1014E">
        <w:t>Job descriptions must clearly outline:</w:t>
      </w:r>
    </w:p>
    <w:p w14:paraId="2A7EBD5E" w14:textId="77777777" w:rsidR="00F1014E" w:rsidRPr="00F1014E" w:rsidRDefault="00F1014E" w:rsidP="00F1014E">
      <w:pPr>
        <w:numPr>
          <w:ilvl w:val="0"/>
          <w:numId w:val="5"/>
        </w:numPr>
      </w:pPr>
      <w:r w:rsidRPr="00F1014E">
        <w:t>Duties and responsibilities</w:t>
      </w:r>
    </w:p>
    <w:p w14:paraId="5B339949" w14:textId="77777777" w:rsidR="00F1014E" w:rsidRPr="00F1014E" w:rsidRDefault="00F1014E" w:rsidP="00F1014E">
      <w:pPr>
        <w:numPr>
          <w:ilvl w:val="0"/>
          <w:numId w:val="5"/>
        </w:numPr>
      </w:pPr>
      <w:r w:rsidRPr="00F1014E">
        <w:t>Safeguarding expectations</w:t>
      </w:r>
    </w:p>
    <w:p w14:paraId="658C7310" w14:textId="77777777" w:rsidR="00F1014E" w:rsidRPr="00F1014E" w:rsidRDefault="00F1014E" w:rsidP="00F1014E">
      <w:pPr>
        <w:numPr>
          <w:ilvl w:val="0"/>
          <w:numId w:val="5"/>
        </w:numPr>
      </w:pPr>
      <w:r w:rsidRPr="00F1014E">
        <w:t>Required qualifications and experience</w:t>
      </w:r>
    </w:p>
    <w:p w14:paraId="58271C14" w14:textId="7EE5B54C" w:rsidR="00F1014E" w:rsidRPr="00F1014E" w:rsidRDefault="00F1014E" w:rsidP="00F1014E"/>
    <w:p w14:paraId="6F6D215A" w14:textId="77777777" w:rsidR="00F1014E" w:rsidRPr="00F1014E" w:rsidRDefault="00F1014E" w:rsidP="00F1014E">
      <w:pPr>
        <w:rPr>
          <w:b/>
          <w:bCs/>
        </w:rPr>
      </w:pPr>
      <w:r w:rsidRPr="00F1014E">
        <w:rPr>
          <w:b/>
          <w:bCs/>
        </w:rPr>
        <w:t>6. Application and Shortlisting</w:t>
      </w:r>
    </w:p>
    <w:p w14:paraId="48A55DB9" w14:textId="77777777" w:rsidR="00F1014E" w:rsidRPr="00F1014E" w:rsidRDefault="00F1014E" w:rsidP="00F1014E">
      <w:r w:rsidRPr="00F1014E">
        <w:t>Applicants must submit a formal application, including:</w:t>
      </w:r>
    </w:p>
    <w:p w14:paraId="0B096EEE" w14:textId="77777777" w:rsidR="00F1014E" w:rsidRPr="00F1014E" w:rsidRDefault="00F1014E" w:rsidP="00F1014E">
      <w:pPr>
        <w:numPr>
          <w:ilvl w:val="0"/>
          <w:numId w:val="6"/>
        </w:numPr>
      </w:pPr>
      <w:r w:rsidRPr="00F1014E">
        <w:t>Full employment history with explanations for any gaps</w:t>
      </w:r>
    </w:p>
    <w:p w14:paraId="03F16972" w14:textId="77777777" w:rsidR="00F1014E" w:rsidRPr="00F1014E" w:rsidRDefault="00F1014E" w:rsidP="00F1014E">
      <w:pPr>
        <w:numPr>
          <w:ilvl w:val="0"/>
          <w:numId w:val="6"/>
        </w:numPr>
      </w:pPr>
      <w:r w:rsidRPr="00F1014E">
        <w:t>Details of qualifications</w:t>
      </w:r>
    </w:p>
    <w:p w14:paraId="5F66EABE" w14:textId="77777777" w:rsidR="00F1014E" w:rsidRPr="00F1014E" w:rsidRDefault="00F1014E" w:rsidP="00F1014E">
      <w:pPr>
        <w:numPr>
          <w:ilvl w:val="0"/>
          <w:numId w:val="6"/>
        </w:numPr>
      </w:pPr>
      <w:r w:rsidRPr="00F1014E">
        <w:t>Disclosure of any criminal convictions or cautions</w:t>
      </w:r>
    </w:p>
    <w:p w14:paraId="0A485AEF" w14:textId="77777777" w:rsidR="00F1014E" w:rsidRPr="00F1014E" w:rsidRDefault="00F1014E" w:rsidP="00F1014E">
      <w:pPr>
        <w:numPr>
          <w:ilvl w:val="0"/>
          <w:numId w:val="6"/>
        </w:numPr>
      </w:pPr>
      <w:r w:rsidRPr="00F1014E">
        <w:t>Confirmation that information provided is accurate</w:t>
      </w:r>
    </w:p>
    <w:p w14:paraId="14D5497C" w14:textId="77777777" w:rsidR="00F1014E" w:rsidRPr="00F1014E" w:rsidRDefault="00F1014E" w:rsidP="00F1014E">
      <w:r w:rsidRPr="00F1014E">
        <w:t>Shortlisting must include:</w:t>
      </w:r>
    </w:p>
    <w:p w14:paraId="5570D889" w14:textId="77777777" w:rsidR="00F1014E" w:rsidRPr="00F1014E" w:rsidRDefault="00F1014E" w:rsidP="00F1014E">
      <w:pPr>
        <w:numPr>
          <w:ilvl w:val="0"/>
          <w:numId w:val="7"/>
        </w:numPr>
      </w:pPr>
      <w:r w:rsidRPr="00F1014E">
        <w:t>Scrutiny of employment history</w:t>
      </w:r>
    </w:p>
    <w:p w14:paraId="652FEC57" w14:textId="77777777" w:rsidR="00F1014E" w:rsidRPr="00F1014E" w:rsidRDefault="00F1014E" w:rsidP="00F1014E">
      <w:pPr>
        <w:numPr>
          <w:ilvl w:val="0"/>
          <w:numId w:val="7"/>
        </w:numPr>
      </w:pPr>
      <w:r w:rsidRPr="00F1014E">
        <w:t>Identification of gaps or anomalies</w:t>
      </w:r>
    </w:p>
    <w:p w14:paraId="7A8AA702" w14:textId="77777777" w:rsidR="00F1014E" w:rsidRPr="00F1014E" w:rsidRDefault="00F1014E" w:rsidP="00F1014E">
      <w:pPr>
        <w:numPr>
          <w:ilvl w:val="0"/>
          <w:numId w:val="7"/>
        </w:numPr>
      </w:pPr>
      <w:r w:rsidRPr="00F1014E">
        <w:lastRenderedPageBreak/>
        <w:t>Consideration of safeguarding suitability</w:t>
      </w:r>
    </w:p>
    <w:p w14:paraId="3435FD06" w14:textId="77777777" w:rsidR="00F1014E" w:rsidRPr="00F1014E" w:rsidRDefault="00F1014E" w:rsidP="00F1014E">
      <w:r w:rsidRPr="00F1014E">
        <w:t>Any discrepancies are explored during the interview.</w:t>
      </w:r>
    </w:p>
    <w:p w14:paraId="1638AE6B" w14:textId="4D69312D" w:rsidR="00F1014E" w:rsidRPr="00F1014E" w:rsidRDefault="00F1014E" w:rsidP="00F1014E"/>
    <w:p w14:paraId="1787ED2E" w14:textId="77777777" w:rsidR="00F1014E" w:rsidRPr="00F1014E" w:rsidRDefault="00F1014E" w:rsidP="00F1014E">
      <w:pPr>
        <w:rPr>
          <w:b/>
          <w:bCs/>
        </w:rPr>
      </w:pPr>
      <w:r w:rsidRPr="00F1014E">
        <w:rPr>
          <w:b/>
          <w:bCs/>
        </w:rPr>
        <w:t>7. Interviews</w:t>
      </w:r>
    </w:p>
    <w:p w14:paraId="54A2BAED" w14:textId="77777777" w:rsidR="00F1014E" w:rsidRPr="00F1014E" w:rsidRDefault="00F1014E" w:rsidP="00F1014E">
      <w:r w:rsidRPr="00F1014E">
        <w:t>Interviews must:</w:t>
      </w:r>
    </w:p>
    <w:p w14:paraId="01E9FF4D" w14:textId="77777777" w:rsidR="00F1014E" w:rsidRPr="00F1014E" w:rsidRDefault="00F1014E" w:rsidP="00F1014E">
      <w:pPr>
        <w:numPr>
          <w:ilvl w:val="0"/>
          <w:numId w:val="8"/>
        </w:numPr>
      </w:pPr>
      <w:r w:rsidRPr="00F1014E">
        <w:t>Explore safeguarding understanding and attitudes</w:t>
      </w:r>
    </w:p>
    <w:p w14:paraId="08F3E15A" w14:textId="77777777" w:rsidR="00F1014E" w:rsidRPr="00F1014E" w:rsidRDefault="00F1014E" w:rsidP="00F1014E">
      <w:pPr>
        <w:numPr>
          <w:ilvl w:val="0"/>
          <w:numId w:val="8"/>
        </w:numPr>
      </w:pPr>
      <w:r w:rsidRPr="00F1014E">
        <w:t>Assess professional conduct, boundaries and values</w:t>
      </w:r>
    </w:p>
    <w:p w14:paraId="0F18EBE7" w14:textId="77777777" w:rsidR="00F1014E" w:rsidRPr="00F1014E" w:rsidRDefault="00F1014E" w:rsidP="00F1014E">
      <w:pPr>
        <w:numPr>
          <w:ilvl w:val="0"/>
          <w:numId w:val="8"/>
        </w:numPr>
      </w:pPr>
      <w:r w:rsidRPr="00F1014E">
        <w:t>Clarify employment history including any gaps</w:t>
      </w:r>
    </w:p>
    <w:p w14:paraId="4A1EBBD9" w14:textId="77777777" w:rsidR="00F1014E" w:rsidRPr="00F1014E" w:rsidRDefault="00F1014E" w:rsidP="00F1014E">
      <w:pPr>
        <w:numPr>
          <w:ilvl w:val="0"/>
          <w:numId w:val="8"/>
        </w:numPr>
      </w:pPr>
      <w:r w:rsidRPr="00F1014E">
        <w:t>Include identity and right-to-work verification</w:t>
      </w:r>
    </w:p>
    <w:p w14:paraId="1819549B" w14:textId="77777777" w:rsidR="00F1014E" w:rsidRPr="00F1014E" w:rsidRDefault="00F1014E" w:rsidP="00F1014E">
      <w:r w:rsidRPr="00F1014E">
        <w:t>Where possible, two interviewers are present.</w:t>
      </w:r>
    </w:p>
    <w:p w14:paraId="1ECF7529" w14:textId="57905BE5" w:rsidR="00F1014E" w:rsidRPr="00F1014E" w:rsidRDefault="00F1014E" w:rsidP="00F1014E"/>
    <w:p w14:paraId="17CE57E0" w14:textId="77777777" w:rsidR="00F1014E" w:rsidRPr="00F1014E" w:rsidRDefault="00F1014E" w:rsidP="00F1014E">
      <w:pPr>
        <w:rPr>
          <w:b/>
          <w:bCs/>
        </w:rPr>
      </w:pPr>
      <w:r w:rsidRPr="00F1014E">
        <w:rPr>
          <w:b/>
          <w:bCs/>
        </w:rPr>
        <w:t>8. Vetting and Pre-Employment Checks</w:t>
      </w:r>
    </w:p>
    <w:p w14:paraId="620DE5C5" w14:textId="77777777" w:rsidR="00F1014E" w:rsidRPr="00F1014E" w:rsidRDefault="00F1014E" w:rsidP="00F1014E">
      <w:r w:rsidRPr="00F1014E">
        <w:t>No individual may begin work until all vetting checks are completed and verified.</w:t>
      </w:r>
    </w:p>
    <w:p w14:paraId="4A3495A6" w14:textId="77777777" w:rsidR="00F1014E" w:rsidRPr="00F1014E" w:rsidRDefault="00F1014E" w:rsidP="00F1014E">
      <w:pPr>
        <w:rPr>
          <w:b/>
          <w:bCs/>
          <w:sz w:val="20"/>
          <w:szCs w:val="20"/>
        </w:rPr>
      </w:pPr>
      <w:r w:rsidRPr="00F1014E">
        <w:rPr>
          <w:b/>
          <w:bCs/>
          <w:sz w:val="20"/>
          <w:szCs w:val="20"/>
        </w:rPr>
        <w:t>8.1 Enhanced Disclosure and Barring Service Check</w:t>
      </w:r>
    </w:p>
    <w:p w14:paraId="5E5DEE66" w14:textId="77777777" w:rsidR="00F1014E" w:rsidRPr="00F1014E" w:rsidRDefault="00F1014E" w:rsidP="00F1014E">
      <w:r w:rsidRPr="00F1014E">
        <w:t>All adults working directly with children must have:</w:t>
      </w:r>
    </w:p>
    <w:p w14:paraId="548FAAE0" w14:textId="77777777" w:rsidR="00F1014E" w:rsidRPr="00F1014E" w:rsidRDefault="00F1014E" w:rsidP="00F1014E">
      <w:pPr>
        <w:numPr>
          <w:ilvl w:val="0"/>
          <w:numId w:val="9"/>
        </w:numPr>
      </w:pPr>
      <w:r w:rsidRPr="00F1014E">
        <w:t>An Enhanced Disclosure and Barring Service check</w:t>
      </w:r>
    </w:p>
    <w:p w14:paraId="269B3BD4" w14:textId="77777777" w:rsidR="00F1014E" w:rsidRPr="00F1014E" w:rsidRDefault="00F1014E" w:rsidP="00F1014E">
      <w:pPr>
        <w:numPr>
          <w:ilvl w:val="0"/>
          <w:numId w:val="9"/>
        </w:numPr>
      </w:pPr>
      <w:r w:rsidRPr="00F1014E">
        <w:t>A Children’s Barred List check for regulated activity</w:t>
      </w:r>
    </w:p>
    <w:p w14:paraId="2C52EF6F" w14:textId="77777777" w:rsidR="00F1014E" w:rsidRPr="00F1014E" w:rsidRDefault="00F1014E" w:rsidP="00F1014E">
      <w:pPr>
        <w:numPr>
          <w:ilvl w:val="0"/>
          <w:numId w:val="9"/>
        </w:numPr>
      </w:pPr>
      <w:r w:rsidRPr="00F1014E">
        <w:t>Encouragement to subscribe to the DBS Update Service</w:t>
      </w:r>
    </w:p>
    <w:p w14:paraId="04B850BE" w14:textId="77777777" w:rsidR="00F1014E" w:rsidRPr="00F1014E" w:rsidRDefault="00F1014E" w:rsidP="00F1014E">
      <w:pPr>
        <w:rPr>
          <w:b/>
          <w:bCs/>
          <w:sz w:val="20"/>
          <w:szCs w:val="20"/>
        </w:rPr>
      </w:pPr>
      <w:r w:rsidRPr="00F1014E">
        <w:rPr>
          <w:b/>
          <w:bCs/>
          <w:sz w:val="20"/>
          <w:szCs w:val="20"/>
        </w:rPr>
        <w:t>8.2 Identity Verification</w:t>
      </w:r>
    </w:p>
    <w:p w14:paraId="2DFE2D37" w14:textId="77777777" w:rsidR="00F1014E" w:rsidRPr="00F1014E" w:rsidRDefault="00F1014E" w:rsidP="00F1014E">
      <w:r w:rsidRPr="00F1014E">
        <w:t>Applicants must provide:</w:t>
      </w:r>
    </w:p>
    <w:p w14:paraId="0B19668F" w14:textId="77777777" w:rsidR="00F1014E" w:rsidRPr="00F1014E" w:rsidRDefault="00F1014E" w:rsidP="00F1014E">
      <w:pPr>
        <w:numPr>
          <w:ilvl w:val="0"/>
          <w:numId w:val="10"/>
        </w:numPr>
      </w:pPr>
      <w:r w:rsidRPr="00F1014E">
        <w:t>Photographic ID</w:t>
      </w:r>
    </w:p>
    <w:p w14:paraId="68802BAD" w14:textId="77777777" w:rsidR="00F1014E" w:rsidRPr="00F1014E" w:rsidRDefault="00F1014E" w:rsidP="00F1014E">
      <w:pPr>
        <w:numPr>
          <w:ilvl w:val="0"/>
          <w:numId w:val="10"/>
        </w:numPr>
      </w:pPr>
      <w:r w:rsidRPr="00F1014E">
        <w:t>Proof of address</w:t>
      </w:r>
    </w:p>
    <w:p w14:paraId="181880BD" w14:textId="77777777" w:rsidR="00F1014E" w:rsidRPr="00F1014E" w:rsidRDefault="00F1014E" w:rsidP="00F1014E">
      <w:pPr>
        <w:rPr>
          <w:b/>
          <w:bCs/>
        </w:rPr>
      </w:pPr>
      <w:r w:rsidRPr="00F1014E">
        <w:rPr>
          <w:b/>
          <w:bCs/>
          <w:sz w:val="20"/>
          <w:szCs w:val="20"/>
        </w:rPr>
        <w:t>8.3 Right to Work in the UK</w:t>
      </w:r>
    </w:p>
    <w:p w14:paraId="7F0F93EB" w14:textId="77777777" w:rsidR="00F1014E" w:rsidRPr="00F1014E" w:rsidRDefault="00F1014E" w:rsidP="00F1014E">
      <w:r w:rsidRPr="00F1014E">
        <w:t>Right-to-work documentation must be seen and recorded.</w:t>
      </w:r>
    </w:p>
    <w:p w14:paraId="13AAA698" w14:textId="77777777" w:rsidR="00F1014E" w:rsidRPr="00F1014E" w:rsidRDefault="00F1014E" w:rsidP="00F1014E">
      <w:pPr>
        <w:rPr>
          <w:b/>
          <w:bCs/>
          <w:sz w:val="20"/>
          <w:szCs w:val="20"/>
        </w:rPr>
      </w:pPr>
      <w:r w:rsidRPr="00F1014E">
        <w:rPr>
          <w:b/>
          <w:bCs/>
          <w:sz w:val="20"/>
          <w:szCs w:val="20"/>
        </w:rPr>
        <w:t>8.4 References</w:t>
      </w:r>
    </w:p>
    <w:p w14:paraId="14C5D164" w14:textId="77777777" w:rsidR="00F1014E" w:rsidRPr="00F1014E" w:rsidRDefault="00F1014E" w:rsidP="00F1014E">
      <w:r w:rsidRPr="00F1014E">
        <w:t>Two references are required, including:</w:t>
      </w:r>
    </w:p>
    <w:p w14:paraId="03FE9757" w14:textId="77777777" w:rsidR="00F1014E" w:rsidRPr="00F1014E" w:rsidRDefault="00F1014E" w:rsidP="00F1014E">
      <w:pPr>
        <w:numPr>
          <w:ilvl w:val="0"/>
          <w:numId w:val="11"/>
        </w:numPr>
      </w:pPr>
      <w:r w:rsidRPr="00F1014E">
        <w:t>The most recent employer</w:t>
      </w:r>
    </w:p>
    <w:p w14:paraId="590085F3" w14:textId="77777777" w:rsidR="00F1014E" w:rsidRPr="00F1014E" w:rsidRDefault="00F1014E" w:rsidP="00F1014E">
      <w:pPr>
        <w:numPr>
          <w:ilvl w:val="0"/>
          <w:numId w:val="11"/>
        </w:numPr>
      </w:pPr>
      <w:r w:rsidRPr="00F1014E">
        <w:t>Confirmation of suitability to work with children</w:t>
      </w:r>
    </w:p>
    <w:p w14:paraId="041F8E9A" w14:textId="77777777" w:rsidR="00F1014E" w:rsidRPr="00F1014E" w:rsidRDefault="00F1014E" w:rsidP="00F1014E">
      <w:r w:rsidRPr="00F1014E">
        <w:t xml:space="preserve">References are obtained </w:t>
      </w:r>
      <w:r w:rsidRPr="00F1014E">
        <w:rPr>
          <w:b/>
          <w:bCs/>
        </w:rPr>
        <w:t>before</w:t>
      </w:r>
      <w:r w:rsidRPr="00F1014E">
        <w:t xml:space="preserve"> confirming appointment wherever possible.</w:t>
      </w:r>
    </w:p>
    <w:p w14:paraId="49AE5CD2" w14:textId="77777777" w:rsidR="00F1014E" w:rsidRPr="00F1014E" w:rsidRDefault="00F1014E" w:rsidP="00F1014E">
      <w:pPr>
        <w:rPr>
          <w:b/>
          <w:bCs/>
          <w:sz w:val="20"/>
          <w:szCs w:val="20"/>
        </w:rPr>
      </w:pPr>
      <w:r w:rsidRPr="00F1014E">
        <w:rPr>
          <w:b/>
          <w:bCs/>
          <w:sz w:val="20"/>
          <w:szCs w:val="20"/>
        </w:rPr>
        <w:t>8.5 Employment History</w:t>
      </w:r>
    </w:p>
    <w:p w14:paraId="412BCAF1" w14:textId="77777777" w:rsidR="00F1014E" w:rsidRPr="00F1014E" w:rsidRDefault="00F1014E" w:rsidP="00F1014E">
      <w:r w:rsidRPr="00F1014E">
        <w:t>Applicants must provide a full employment history. Any gaps must be explained and recorded.</w:t>
      </w:r>
    </w:p>
    <w:p w14:paraId="4815538C" w14:textId="77777777" w:rsidR="00F1014E" w:rsidRPr="00F1014E" w:rsidRDefault="00F1014E" w:rsidP="00F1014E">
      <w:pPr>
        <w:rPr>
          <w:b/>
          <w:bCs/>
          <w:sz w:val="20"/>
          <w:szCs w:val="20"/>
        </w:rPr>
      </w:pPr>
      <w:r w:rsidRPr="00F1014E">
        <w:rPr>
          <w:b/>
          <w:bCs/>
          <w:sz w:val="20"/>
          <w:szCs w:val="20"/>
        </w:rPr>
        <w:t>8.6 Qualification Checks</w:t>
      </w:r>
    </w:p>
    <w:p w14:paraId="7532ED16" w14:textId="77777777" w:rsidR="00F1014E" w:rsidRPr="00F1014E" w:rsidRDefault="00F1014E" w:rsidP="00F1014E">
      <w:r w:rsidRPr="00F1014E">
        <w:t>Where qualifications are required, original certificates must be verified.</w:t>
      </w:r>
    </w:p>
    <w:p w14:paraId="3DBE4CEB" w14:textId="77777777" w:rsidR="00F1014E" w:rsidRPr="00F1014E" w:rsidRDefault="00F1014E" w:rsidP="00F1014E">
      <w:pPr>
        <w:rPr>
          <w:b/>
          <w:bCs/>
          <w:sz w:val="20"/>
          <w:szCs w:val="20"/>
        </w:rPr>
      </w:pPr>
      <w:r w:rsidRPr="00F1014E">
        <w:rPr>
          <w:b/>
          <w:bCs/>
          <w:sz w:val="20"/>
          <w:szCs w:val="20"/>
        </w:rPr>
        <w:t>8.7 Overseas Criminal Record Checks</w:t>
      </w:r>
    </w:p>
    <w:p w14:paraId="4899AAD0" w14:textId="77777777" w:rsidR="00F1014E" w:rsidRPr="00F1014E" w:rsidRDefault="00F1014E" w:rsidP="00F1014E">
      <w:r w:rsidRPr="00F1014E">
        <w:t>Required for applicants who have lived or worked abroad.</w:t>
      </w:r>
    </w:p>
    <w:p w14:paraId="4A3AC66D" w14:textId="77777777" w:rsidR="00F1014E" w:rsidRPr="00F1014E" w:rsidRDefault="00F1014E" w:rsidP="00F1014E">
      <w:pPr>
        <w:rPr>
          <w:b/>
          <w:bCs/>
          <w:sz w:val="20"/>
          <w:szCs w:val="20"/>
        </w:rPr>
      </w:pPr>
      <w:r w:rsidRPr="00F1014E">
        <w:rPr>
          <w:b/>
          <w:bCs/>
          <w:sz w:val="20"/>
          <w:szCs w:val="20"/>
        </w:rPr>
        <w:t>8.8 Section 128 Check</w:t>
      </w:r>
    </w:p>
    <w:p w14:paraId="4BDB2DC5" w14:textId="77777777" w:rsidR="00F1014E" w:rsidRPr="00F1014E" w:rsidRDefault="00F1014E" w:rsidP="00F1014E">
      <w:r w:rsidRPr="00F1014E">
        <w:t>Completed for individuals in leadership or management roles.</w:t>
      </w:r>
    </w:p>
    <w:p w14:paraId="3277C72B" w14:textId="77777777" w:rsidR="00F1014E" w:rsidRPr="00F1014E" w:rsidRDefault="00F1014E" w:rsidP="00F1014E">
      <w:pPr>
        <w:rPr>
          <w:b/>
          <w:bCs/>
          <w:sz w:val="20"/>
          <w:szCs w:val="20"/>
        </w:rPr>
      </w:pPr>
      <w:r w:rsidRPr="00F1014E">
        <w:rPr>
          <w:b/>
          <w:bCs/>
          <w:sz w:val="20"/>
          <w:szCs w:val="20"/>
        </w:rPr>
        <w:t>8.9 Positive Disclosures</w:t>
      </w:r>
    </w:p>
    <w:p w14:paraId="382085FA" w14:textId="77777777" w:rsidR="00F1014E" w:rsidRPr="00F1014E" w:rsidRDefault="00F1014E" w:rsidP="00F1014E">
      <w:r w:rsidRPr="00F1014E">
        <w:t>Where a Disclosure and Barring Service certificate contains information:</w:t>
      </w:r>
    </w:p>
    <w:p w14:paraId="52C09AFD" w14:textId="77777777" w:rsidR="00F1014E" w:rsidRPr="00F1014E" w:rsidRDefault="00F1014E" w:rsidP="00F1014E">
      <w:pPr>
        <w:numPr>
          <w:ilvl w:val="0"/>
          <w:numId w:val="12"/>
        </w:numPr>
      </w:pPr>
      <w:r w:rsidRPr="00F1014E">
        <w:t>A written risk assessment is completed</w:t>
      </w:r>
    </w:p>
    <w:p w14:paraId="4206CD94" w14:textId="77777777" w:rsidR="00F1014E" w:rsidRPr="00F1014E" w:rsidRDefault="00F1014E" w:rsidP="00F1014E">
      <w:pPr>
        <w:numPr>
          <w:ilvl w:val="0"/>
          <w:numId w:val="12"/>
        </w:numPr>
      </w:pPr>
      <w:r w:rsidRPr="00F1014E">
        <w:t>The Designated Safeguarding Lead reviews suitability</w:t>
      </w:r>
    </w:p>
    <w:p w14:paraId="1A096F4D" w14:textId="77777777" w:rsidR="00F1014E" w:rsidRPr="00F1014E" w:rsidRDefault="00F1014E" w:rsidP="00F1014E">
      <w:pPr>
        <w:numPr>
          <w:ilvl w:val="0"/>
          <w:numId w:val="12"/>
        </w:numPr>
      </w:pPr>
      <w:r w:rsidRPr="00F1014E">
        <w:t>Decisions are made based on risk to learners</w:t>
      </w:r>
    </w:p>
    <w:p w14:paraId="76FF89DA" w14:textId="58224425" w:rsidR="00F1014E" w:rsidRPr="00F1014E" w:rsidRDefault="00F1014E" w:rsidP="00F1014E"/>
    <w:p w14:paraId="445868D4" w14:textId="77777777" w:rsidR="00F1014E" w:rsidRPr="00F1014E" w:rsidRDefault="00F1014E" w:rsidP="00F1014E">
      <w:pPr>
        <w:rPr>
          <w:b/>
          <w:bCs/>
        </w:rPr>
      </w:pPr>
      <w:r w:rsidRPr="00F1014E">
        <w:rPr>
          <w:b/>
          <w:bCs/>
        </w:rPr>
        <w:t>9. The Single Central Record</w:t>
      </w:r>
    </w:p>
    <w:p w14:paraId="0EBA77F1" w14:textId="77777777" w:rsidR="00F1014E" w:rsidRPr="00F1014E" w:rsidRDefault="00F1014E" w:rsidP="00F1014E">
      <w:r w:rsidRPr="00F1014E">
        <w:t>FA Education maintains a Single Central Record containing:</w:t>
      </w:r>
    </w:p>
    <w:p w14:paraId="229813BF" w14:textId="77777777" w:rsidR="00F1014E" w:rsidRPr="00F1014E" w:rsidRDefault="00F1014E" w:rsidP="00F1014E">
      <w:pPr>
        <w:numPr>
          <w:ilvl w:val="0"/>
          <w:numId w:val="13"/>
        </w:numPr>
      </w:pPr>
      <w:r w:rsidRPr="00F1014E">
        <w:t>Full name</w:t>
      </w:r>
    </w:p>
    <w:p w14:paraId="3F3A4CE5" w14:textId="77777777" w:rsidR="00F1014E" w:rsidRPr="00F1014E" w:rsidRDefault="00F1014E" w:rsidP="00F1014E">
      <w:pPr>
        <w:numPr>
          <w:ilvl w:val="0"/>
          <w:numId w:val="13"/>
        </w:numPr>
      </w:pPr>
      <w:r w:rsidRPr="00F1014E">
        <w:t>Role</w:t>
      </w:r>
    </w:p>
    <w:p w14:paraId="3AA4C41C" w14:textId="77777777" w:rsidR="00F1014E" w:rsidRPr="00F1014E" w:rsidRDefault="00F1014E" w:rsidP="00F1014E">
      <w:pPr>
        <w:numPr>
          <w:ilvl w:val="0"/>
          <w:numId w:val="13"/>
        </w:numPr>
      </w:pPr>
      <w:r w:rsidRPr="00F1014E">
        <w:t>Identification check details</w:t>
      </w:r>
    </w:p>
    <w:p w14:paraId="5E04349F" w14:textId="77777777" w:rsidR="00F1014E" w:rsidRPr="00F1014E" w:rsidRDefault="00F1014E" w:rsidP="00F1014E">
      <w:pPr>
        <w:numPr>
          <w:ilvl w:val="0"/>
          <w:numId w:val="13"/>
        </w:numPr>
      </w:pPr>
      <w:r w:rsidRPr="00F1014E">
        <w:lastRenderedPageBreak/>
        <w:t>Right-to-work confirmation</w:t>
      </w:r>
    </w:p>
    <w:p w14:paraId="6263986B" w14:textId="77777777" w:rsidR="00F1014E" w:rsidRPr="00F1014E" w:rsidRDefault="00F1014E" w:rsidP="00F1014E">
      <w:pPr>
        <w:numPr>
          <w:ilvl w:val="0"/>
          <w:numId w:val="13"/>
        </w:numPr>
      </w:pPr>
      <w:r w:rsidRPr="00F1014E">
        <w:t>Enhanced Disclosure and Barring Service check details</w:t>
      </w:r>
    </w:p>
    <w:p w14:paraId="21DB26DA" w14:textId="77777777" w:rsidR="00F1014E" w:rsidRPr="00F1014E" w:rsidRDefault="00F1014E" w:rsidP="00F1014E">
      <w:pPr>
        <w:numPr>
          <w:ilvl w:val="0"/>
          <w:numId w:val="13"/>
        </w:numPr>
      </w:pPr>
      <w:r w:rsidRPr="00F1014E">
        <w:t>Children’s Barred List status</w:t>
      </w:r>
    </w:p>
    <w:p w14:paraId="6F6E34D6" w14:textId="77777777" w:rsidR="00F1014E" w:rsidRPr="00F1014E" w:rsidRDefault="00F1014E" w:rsidP="00F1014E">
      <w:pPr>
        <w:numPr>
          <w:ilvl w:val="0"/>
          <w:numId w:val="13"/>
        </w:numPr>
      </w:pPr>
      <w:r w:rsidRPr="00F1014E">
        <w:t>Section 128 result (where applicable)</w:t>
      </w:r>
    </w:p>
    <w:p w14:paraId="71EDE60F" w14:textId="77777777" w:rsidR="00F1014E" w:rsidRPr="00F1014E" w:rsidRDefault="00F1014E" w:rsidP="00F1014E">
      <w:pPr>
        <w:numPr>
          <w:ilvl w:val="0"/>
          <w:numId w:val="13"/>
        </w:numPr>
      </w:pPr>
      <w:r w:rsidRPr="00F1014E">
        <w:t>Qualification verification</w:t>
      </w:r>
    </w:p>
    <w:p w14:paraId="4E9FB214" w14:textId="77777777" w:rsidR="00F1014E" w:rsidRPr="00F1014E" w:rsidRDefault="00F1014E" w:rsidP="00F1014E">
      <w:pPr>
        <w:numPr>
          <w:ilvl w:val="0"/>
          <w:numId w:val="13"/>
        </w:numPr>
      </w:pPr>
      <w:r w:rsidRPr="00F1014E">
        <w:t>References received</w:t>
      </w:r>
    </w:p>
    <w:p w14:paraId="5F7F8101" w14:textId="77777777" w:rsidR="00F1014E" w:rsidRPr="00F1014E" w:rsidRDefault="00F1014E" w:rsidP="00F1014E">
      <w:pPr>
        <w:numPr>
          <w:ilvl w:val="0"/>
          <w:numId w:val="13"/>
        </w:numPr>
      </w:pPr>
      <w:r w:rsidRPr="00F1014E">
        <w:t>Prohibition from teaching status (where applicable)</w:t>
      </w:r>
    </w:p>
    <w:p w14:paraId="3984F81A" w14:textId="77777777" w:rsidR="00F1014E" w:rsidRPr="00F1014E" w:rsidRDefault="00F1014E" w:rsidP="00F1014E">
      <w:pPr>
        <w:numPr>
          <w:ilvl w:val="0"/>
          <w:numId w:val="13"/>
        </w:numPr>
      </w:pPr>
      <w:r w:rsidRPr="00F1014E">
        <w:t>Risk assessments for positive disclosures</w:t>
      </w:r>
    </w:p>
    <w:p w14:paraId="3D2ED723" w14:textId="77777777" w:rsidR="00F1014E" w:rsidRPr="00F1014E" w:rsidRDefault="00F1014E" w:rsidP="00F1014E">
      <w:r w:rsidRPr="00F1014E">
        <w:t>The Single Central Record is regularly audited for accuracy.</w:t>
      </w:r>
    </w:p>
    <w:p w14:paraId="49001D73" w14:textId="359D251F" w:rsidR="00F1014E" w:rsidRPr="00F1014E" w:rsidRDefault="00F1014E" w:rsidP="00F1014E"/>
    <w:p w14:paraId="2476A669" w14:textId="77777777" w:rsidR="00F1014E" w:rsidRPr="00F1014E" w:rsidRDefault="00F1014E" w:rsidP="00F1014E">
      <w:pPr>
        <w:rPr>
          <w:b/>
          <w:bCs/>
        </w:rPr>
      </w:pPr>
      <w:r w:rsidRPr="00F1014E">
        <w:rPr>
          <w:b/>
          <w:bCs/>
        </w:rPr>
        <w:t>10. Recruitment of Self-Employed Practitioners</w:t>
      </w:r>
    </w:p>
    <w:p w14:paraId="76DAD79E" w14:textId="77777777" w:rsidR="00F1014E" w:rsidRPr="00F1014E" w:rsidRDefault="00F1014E" w:rsidP="00F1014E">
      <w:r w:rsidRPr="00F1014E">
        <w:t xml:space="preserve">Self-employed contractors are subject to the </w:t>
      </w:r>
      <w:r w:rsidRPr="00F1014E">
        <w:rPr>
          <w:b/>
          <w:bCs/>
        </w:rPr>
        <w:t>same vetting standards</w:t>
      </w:r>
      <w:r w:rsidRPr="00F1014E">
        <w:t xml:space="preserve"> as employees.</w:t>
      </w:r>
    </w:p>
    <w:p w14:paraId="448EC18F" w14:textId="77777777" w:rsidR="00F1014E" w:rsidRPr="00F1014E" w:rsidRDefault="00F1014E" w:rsidP="00F1014E">
      <w:r w:rsidRPr="00F1014E">
        <w:t>Before contracting with a self-employed practitioner, FA Education must ensure:</w:t>
      </w:r>
    </w:p>
    <w:p w14:paraId="33A459DA" w14:textId="77777777" w:rsidR="00F1014E" w:rsidRPr="00F1014E" w:rsidRDefault="00F1014E" w:rsidP="00F1014E">
      <w:pPr>
        <w:numPr>
          <w:ilvl w:val="0"/>
          <w:numId w:val="14"/>
        </w:numPr>
      </w:pPr>
      <w:r w:rsidRPr="00F1014E">
        <w:t>Enhanced Disclosure and Barring Service check</w:t>
      </w:r>
    </w:p>
    <w:p w14:paraId="4317BDF0" w14:textId="77777777" w:rsidR="00F1014E" w:rsidRPr="00F1014E" w:rsidRDefault="00F1014E" w:rsidP="00F1014E">
      <w:pPr>
        <w:numPr>
          <w:ilvl w:val="0"/>
          <w:numId w:val="14"/>
        </w:numPr>
      </w:pPr>
      <w:r w:rsidRPr="00F1014E">
        <w:t>Children’s Barred List check</w:t>
      </w:r>
    </w:p>
    <w:p w14:paraId="00DE6D71" w14:textId="77777777" w:rsidR="00F1014E" w:rsidRPr="00F1014E" w:rsidRDefault="00F1014E" w:rsidP="00F1014E">
      <w:pPr>
        <w:numPr>
          <w:ilvl w:val="0"/>
          <w:numId w:val="14"/>
        </w:numPr>
      </w:pPr>
      <w:r w:rsidRPr="00F1014E">
        <w:t>Identity and right-to-work checks</w:t>
      </w:r>
    </w:p>
    <w:p w14:paraId="701945F0" w14:textId="77777777" w:rsidR="00F1014E" w:rsidRPr="00F1014E" w:rsidRDefault="00F1014E" w:rsidP="00F1014E">
      <w:pPr>
        <w:numPr>
          <w:ilvl w:val="0"/>
          <w:numId w:val="14"/>
        </w:numPr>
      </w:pPr>
      <w:r w:rsidRPr="00F1014E">
        <w:t>Two references</w:t>
      </w:r>
    </w:p>
    <w:p w14:paraId="149D09BE" w14:textId="77777777" w:rsidR="00F1014E" w:rsidRPr="00F1014E" w:rsidRDefault="00F1014E" w:rsidP="00F1014E">
      <w:pPr>
        <w:numPr>
          <w:ilvl w:val="0"/>
          <w:numId w:val="14"/>
        </w:numPr>
      </w:pPr>
      <w:r w:rsidRPr="00F1014E">
        <w:t>Qualifications verified</w:t>
      </w:r>
    </w:p>
    <w:p w14:paraId="678B7F49" w14:textId="77777777" w:rsidR="00F1014E" w:rsidRPr="00F1014E" w:rsidRDefault="00F1014E" w:rsidP="00F1014E">
      <w:pPr>
        <w:numPr>
          <w:ilvl w:val="0"/>
          <w:numId w:val="14"/>
        </w:numPr>
      </w:pPr>
      <w:r w:rsidRPr="00F1014E">
        <w:t>Safeguarding training is current</w:t>
      </w:r>
    </w:p>
    <w:p w14:paraId="6D9EF560" w14:textId="77777777" w:rsidR="00F1014E" w:rsidRPr="00F1014E" w:rsidRDefault="00F1014E" w:rsidP="00F1014E">
      <w:pPr>
        <w:numPr>
          <w:ilvl w:val="0"/>
          <w:numId w:val="14"/>
        </w:numPr>
      </w:pPr>
      <w:r w:rsidRPr="00F1014E">
        <w:t>Acceptance of FA Education’s safeguarding policies and Code of Conduct</w:t>
      </w:r>
    </w:p>
    <w:p w14:paraId="06384642" w14:textId="77777777" w:rsidR="00F1014E" w:rsidRPr="00F1014E" w:rsidRDefault="00F1014E" w:rsidP="00F1014E">
      <w:r w:rsidRPr="00F1014E">
        <w:t xml:space="preserve">Contractors </w:t>
      </w:r>
      <w:r w:rsidRPr="00F1014E">
        <w:rPr>
          <w:b/>
          <w:bCs/>
        </w:rPr>
        <w:t>must not</w:t>
      </w:r>
      <w:r w:rsidRPr="00F1014E">
        <w:t xml:space="preserve"> begin work until all checks are fully completed.</w:t>
      </w:r>
    </w:p>
    <w:p w14:paraId="37EC187C" w14:textId="68A5DC64" w:rsidR="00F1014E" w:rsidRPr="00F1014E" w:rsidRDefault="00F1014E" w:rsidP="00F1014E"/>
    <w:p w14:paraId="777423F6" w14:textId="77777777" w:rsidR="00F1014E" w:rsidRPr="00F1014E" w:rsidRDefault="00F1014E" w:rsidP="00F1014E">
      <w:pPr>
        <w:rPr>
          <w:b/>
          <w:bCs/>
        </w:rPr>
      </w:pPr>
      <w:r w:rsidRPr="00F1014E">
        <w:rPr>
          <w:b/>
          <w:bCs/>
        </w:rPr>
        <w:t>11. Induction and Probation</w:t>
      </w:r>
    </w:p>
    <w:p w14:paraId="3D94892E" w14:textId="77777777" w:rsidR="00F1014E" w:rsidRPr="00F1014E" w:rsidRDefault="00F1014E" w:rsidP="00F1014E">
      <w:r w:rsidRPr="00F1014E">
        <w:t>All new staff and contractors must complete safeguarding induction, including:</w:t>
      </w:r>
    </w:p>
    <w:p w14:paraId="065F8A72" w14:textId="77777777" w:rsidR="00F1014E" w:rsidRPr="00F1014E" w:rsidRDefault="00F1014E" w:rsidP="00F1014E">
      <w:pPr>
        <w:numPr>
          <w:ilvl w:val="0"/>
          <w:numId w:val="15"/>
        </w:numPr>
      </w:pPr>
      <w:r w:rsidRPr="00F1014E">
        <w:t>Safeguarding and Child Protection Policy</w:t>
      </w:r>
    </w:p>
    <w:p w14:paraId="1A4EFE00" w14:textId="77777777" w:rsidR="00F1014E" w:rsidRPr="00F1014E" w:rsidRDefault="00F1014E" w:rsidP="00F1014E">
      <w:pPr>
        <w:numPr>
          <w:ilvl w:val="0"/>
          <w:numId w:val="15"/>
        </w:numPr>
      </w:pPr>
      <w:r w:rsidRPr="00F1014E">
        <w:t>Code of Conduct</w:t>
      </w:r>
    </w:p>
    <w:p w14:paraId="6372FD85" w14:textId="77777777" w:rsidR="00F1014E" w:rsidRPr="00F1014E" w:rsidRDefault="00F1014E" w:rsidP="00F1014E">
      <w:pPr>
        <w:numPr>
          <w:ilvl w:val="0"/>
          <w:numId w:val="15"/>
        </w:numPr>
      </w:pPr>
      <w:r w:rsidRPr="00F1014E">
        <w:t>Online Safety guidance</w:t>
      </w:r>
    </w:p>
    <w:p w14:paraId="4D74C802" w14:textId="77777777" w:rsidR="00F1014E" w:rsidRPr="00F1014E" w:rsidRDefault="00F1014E" w:rsidP="00F1014E">
      <w:pPr>
        <w:numPr>
          <w:ilvl w:val="0"/>
          <w:numId w:val="15"/>
        </w:numPr>
      </w:pPr>
      <w:r w:rsidRPr="00F1014E">
        <w:t>Whistleblowing procedures</w:t>
      </w:r>
    </w:p>
    <w:p w14:paraId="1429D5C3" w14:textId="77777777" w:rsidR="00F1014E" w:rsidRPr="00F1014E" w:rsidRDefault="00F1014E" w:rsidP="00F1014E">
      <w:pPr>
        <w:numPr>
          <w:ilvl w:val="0"/>
          <w:numId w:val="15"/>
        </w:numPr>
      </w:pPr>
      <w:r w:rsidRPr="00F1014E">
        <w:t>Behaviour and attendance expectations</w:t>
      </w:r>
    </w:p>
    <w:p w14:paraId="23FA55EF" w14:textId="77777777" w:rsidR="00F1014E" w:rsidRPr="00F1014E" w:rsidRDefault="00F1014E" w:rsidP="00F1014E">
      <w:pPr>
        <w:numPr>
          <w:ilvl w:val="0"/>
          <w:numId w:val="15"/>
        </w:numPr>
      </w:pPr>
      <w:r w:rsidRPr="00F1014E">
        <w:t>Lone Working requirements</w:t>
      </w:r>
    </w:p>
    <w:p w14:paraId="55BF7F39" w14:textId="77777777" w:rsidR="00F1014E" w:rsidRPr="00F1014E" w:rsidRDefault="00F1014E" w:rsidP="00F1014E">
      <w:pPr>
        <w:numPr>
          <w:ilvl w:val="0"/>
          <w:numId w:val="15"/>
        </w:numPr>
      </w:pPr>
      <w:r w:rsidRPr="00F1014E">
        <w:t>Reporting processes</w:t>
      </w:r>
    </w:p>
    <w:p w14:paraId="2E809FE6" w14:textId="77777777" w:rsidR="00F1014E" w:rsidRPr="00F1014E" w:rsidRDefault="00F1014E" w:rsidP="00F1014E">
      <w:r w:rsidRPr="00F1014E">
        <w:t>All new employees complete a probation period during which suitability is assessed.</w:t>
      </w:r>
    </w:p>
    <w:p w14:paraId="17830D81" w14:textId="7CDBFCBF" w:rsidR="00F1014E" w:rsidRPr="00F1014E" w:rsidRDefault="00F1014E" w:rsidP="00F1014E"/>
    <w:p w14:paraId="19A9C444" w14:textId="77777777" w:rsidR="00F1014E" w:rsidRPr="00F1014E" w:rsidRDefault="00F1014E" w:rsidP="00F1014E">
      <w:pPr>
        <w:rPr>
          <w:b/>
          <w:bCs/>
        </w:rPr>
      </w:pPr>
      <w:r w:rsidRPr="00F1014E">
        <w:rPr>
          <w:b/>
          <w:bCs/>
        </w:rPr>
        <w:t>12. Ongoing Suitability and Monitoring</w:t>
      </w:r>
    </w:p>
    <w:p w14:paraId="20DB133C" w14:textId="77777777" w:rsidR="00F1014E" w:rsidRPr="00F1014E" w:rsidRDefault="00F1014E" w:rsidP="00F1014E">
      <w:r w:rsidRPr="00F1014E">
        <w:t>FA Education ensures ongoing suitability through:</w:t>
      </w:r>
    </w:p>
    <w:p w14:paraId="0F7DB6EC" w14:textId="77777777" w:rsidR="00F1014E" w:rsidRPr="00F1014E" w:rsidRDefault="00F1014E" w:rsidP="00F1014E">
      <w:pPr>
        <w:numPr>
          <w:ilvl w:val="0"/>
          <w:numId w:val="16"/>
        </w:numPr>
      </w:pPr>
      <w:r w:rsidRPr="00F1014E">
        <w:t>Annual safeguarding and Prevent Duty training</w:t>
      </w:r>
    </w:p>
    <w:p w14:paraId="64DF3235" w14:textId="77777777" w:rsidR="00F1014E" w:rsidRPr="00F1014E" w:rsidRDefault="00F1014E" w:rsidP="00F1014E">
      <w:pPr>
        <w:numPr>
          <w:ilvl w:val="0"/>
          <w:numId w:val="16"/>
        </w:numPr>
      </w:pPr>
      <w:r w:rsidRPr="00F1014E">
        <w:t>Regular supervision and professional discussions</w:t>
      </w:r>
    </w:p>
    <w:p w14:paraId="6195F71D" w14:textId="77777777" w:rsidR="00F1014E" w:rsidRPr="00F1014E" w:rsidRDefault="00F1014E" w:rsidP="00F1014E">
      <w:pPr>
        <w:numPr>
          <w:ilvl w:val="0"/>
          <w:numId w:val="16"/>
        </w:numPr>
      </w:pPr>
      <w:r w:rsidRPr="00F1014E">
        <w:t>Monitoring of conduct and boundaries</w:t>
      </w:r>
    </w:p>
    <w:p w14:paraId="513607E6" w14:textId="77777777" w:rsidR="00F1014E" w:rsidRPr="00F1014E" w:rsidRDefault="00F1014E" w:rsidP="00F1014E">
      <w:pPr>
        <w:numPr>
          <w:ilvl w:val="0"/>
          <w:numId w:val="16"/>
        </w:numPr>
      </w:pPr>
      <w:r w:rsidRPr="00F1014E">
        <w:t>Reviewing Disclosure and Barring Service status via the Update Service (where subscribed)</w:t>
      </w:r>
    </w:p>
    <w:p w14:paraId="20D9DFC5" w14:textId="77777777" w:rsidR="00F1014E" w:rsidRPr="00F1014E" w:rsidRDefault="00F1014E" w:rsidP="00F1014E">
      <w:pPr>
        <w:numPr>
          <w:ilvl w:val="0"/>
          <w:numId w:val="16"/>
        </w:numPr>
      </w:pPr>
      <w:r w:rsidRPr="00F1014E">
        <w:t>Investigating any low-level concerns or allegations</w:t>
      </w:r>
    </w:p>
    <w:p w14:paraId="616A3A8B" w14:textId="1E7C1A6F" w:rsidR="00F1014E" w:rsidRPr="00F1014E" w:rsidRDefault="00F1014E" w:rsidP="00F1014E"/>
    <w:p w14:paraId="4354C641" w14:textId="77777777" w:rsidR="00F1014E" w:rsidRPr="00F1014E" w:rsidRDefault="00F1014E" w:rsidP="00F1014E">
      <w:pPr>
        <w:rPr>
          <w:b/>
          <w:bCs/>
        </w:rPr>
      </w:pPr>
      <w:r w:rsidRPr="00F1014E">
        <w:rPr>
          <w:b/>
          <w:bCs/>
        </w:rPr>
        <w:t>13. Record Keeping</w:t>
      </w:r>
    </w:p>
    <w:p w14:paraId="26468AB3" w14:textId="77777777" w:rsidR="00F1014E" w:rsidRPr="00F1014E" w:rsidRDefault="00F1014E" w:rsidP="00F1014E">
      <w:r w:rsidRPr="00F1014E">
        <w:t>All recruitment and vetting documentation is stored securely, retained in accordance with data protection legislation and accessible only to authorised staff.</w:t>
      </w:r>
    </w:p>
    <w:p w14:paraId="7B43BBC2" w14:textId="1A0ECF4C" w:rsidR="00F1014E" w:rsidRPr="00F1014E" w:rsidRDefault="00F1014E" w:rsidP="00F1014E"/>
    <w:p w14:paraId="7086ED4C" w14:textId="77777777" w:rsidR="00F1014E" w:rsidRPr="00F1014E" w:rsidRDefault="00F1014E" w:rsidP="00F1014E">
      <w:pPr>
        <w:rPr>
          <w:b/>
          <w:bCs/>
        </w:rPr>
      </w:pPr>
      <w:r w:rsidRPr="00F1014E">
        <w:rPr>
          <w:b/>
          <w:bCs/>
        </w:rPr>
        <w:t>14. Review of Policy</w:t>
      </w:r>
    </w:p>
    <w:p w14:paraId="034A6523" w14:textId="77777777" w:rsidR="00F1014E" w:rsidRPr="00F1014E" w:rsidRDefault="00F1014E" w:rsidP="00F1014E">
      <w:r w:rsidRPr="00F1014E">
        <w:lastRenderedPageBreak/>
        <w:t>This policy will be reviewed annually or sooner if:</w:t>
      </w:r>
    </w:p>
    <w:p w14:paraId="5816B22D" w14:textId="77777777" w:rsidR="00F1014E" w:rsidRPr="00F1014E" w:rsidRDefault="00F1014E" w:rsidP="00F1014E">
      <w:pPr>
        <w:numPr>
          <w:ilvl w:val="0"/>
          <w:numId w:val="17"/>
        </w:numPr>
      </w:pPr>
      <w:r w:rsidRPr="00F1014E">
        <w:t>Legislation changes</w:t>
      </w:r>
    </w:p>
    <w:p w14:paraId="79BE469B" w14:textId="77777777" w:rsidR="00F1014E" w:rsidRPr="00F1014E" w:rsidRDefault="00F1014E" w:rsidP="00F1014E">
      <w:pPr>
        <w:numPr>
          <w:ilvl w:val="0"/>
          <w:numId w:val="17"/>
        </w:numPr>
      </w:pPr>
      <w:r w:rsidRPr="00F1014E">
        <w:t>Guidance is updated</w:t>
      </w:r>
    </w:p>
    <w:p w14:paraId="13A7AC7C" w14:textId="77777777" w:rsidR="00F1014E" w:rsidRPr="00F1014E" w:rsidRDefault="00F1014E" w:rsidP="00F1014E">
      <w:pPr>
        <w:numPr>
          <w:ilvl w:val="0"/>
          <w:numId w:val="17"/>
        </w:numPr>
      </w:pPr>
      <w:r w:rsidRPr="00F1014E">
        <w:t>Best practice evolves</w:t>
      </w:r>
    </w:p>
    <w:p w14:paraId="2290D469" w14:textId="77777777" w:rsidR="00F1014E" w:rsidRPr="00F1014E" w:rsidRDefault="00F1014E" w:rsidP="00F1014E">
      <w:pPr>
        <w:numPr>
          <w:ilvl w:val="0"/>
          <w:numId w:val="17"/>
        </w:numPr>
      </w:pPr>
      <w:r w:rsidRPr="00F1014E">
        <w:t>Safeguarding concerns highlight a need for revision</w:t>
      </w:r>
    </w:p>
    <w:p w14:paraId="64324FFE" w14:textId="77777777" w:rsidR="00F1014E" w:rsidRDefault="00F1014E"/>
    <w:sectPr w:rsidR="00F10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663"/>
    <w:multiLevelType w:val="multilevel"/>
    <w:tmpl w:val="40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2344"/>
    <w:multiLevelType w:val="multilevel"/>
    <w:tmpl w:val="44B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D2CFE"/>
    <w:multiLevelType w:val="multilevel"/>
    <w:tmpl w:val="A35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958B3"/>
    <w:multiLevelType w:val="multilevel"/>
    <w:tmpl w:val="1F7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27569"/>
    <w:multiLevelType w:val="multilevel"/>
    <w:tmpl w:val="21B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85D26"/>
    <w:multiLevelType w:val="multilevel"/>
    <w:tmpl w:val="7E5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5EC4"/>
    <w:multiLevelType w:val="multilevel"/>
    <w:tmpl w:val="9FC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C482D"/>
    <w:multiLevelType w:val="multilevel"/>
    <w:tmpl w:val="4CC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36C32"/>
    <w:multiLevelType w:val="multilevel"/>
    <w:tmpl w:val="1B9A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E3411"/>
    <w:multiLevelType w:val="multilevel"/>
    <w:tmpl w:val="575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D746A"/>
    <w:multiLevelType w:val="multilevel"/>
    <w:tmpl w:val="991A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17C4D"/>
    <w:multiLevelType w:val="multilevel"/>
    <w:tmpl w:val="C90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302CD"/>
    <w:multiLevelType w:val="multilevel"/>
    <w:tmpl w:val="6822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971D8"/>
    <w:multiLevelType w:val="multilevel"/>
    <w:tmpl w:val="5DF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71045"/>
    <w:multiLevelType w:val="multilevel"/>
    <w:tmpl w:val="947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95342"/>
    <w:multiLevelType w:val="multilevel"/>
    <w:tmpl w:val="949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42D03"/>
    <w:multiLevelType w:val="multilevel"/>
    <w:tmpl w:val="101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27680">
    <w:abstractNumId w:val="9"/>
  </w:num>
  <w:num w:numId="2" w16cid:durableId="734622495">
    <w:abstractNumId w:val="3"/>
  </w:num>
  <w:num w:numId="3" w16cid:durableId="2066679401">
    <w:abstractNumId w:val="8"/>
  </w:num>
  <w:num w:numId="4" w16cid:durableId="452408842">
    <w:abstractNumId w:val="6"/>
  </w:num>
  <w:num w:numId="5" w16cid:durableId="1388064875">
    <w:abstractNumId w:val="12"/>
  </w:num>
  <w:num w:numId="6" w16cid:durableId="1192039017">
    <w:abstractNumId w:val="11"/>
  </w:num>
  <w:num w:numId="7" w16cid:durableId="326598103">
    <w:abstractNumId w:val="16"/>
  </w:num>
  <w:num w:numId="8" w16cid:durableId="1916352050">
    <w:abstractNumId w:val="15"/>
  </w:num>
  <w:num w:numId="9" w16cid:durableId="1505783791">
    <w:abstractNumId w:val="14"/>
  </w:num>
  <w:num w:numId="10" w16cid:durableId="2112973780">
    <w:abstractNumId w:val="0"/>
  </w:num>
  <w:num w:numId="11" w16cid:durableId="1735740961">
    <w:abstractNumId w:val="13"/>
  </w:num>
  <w:num w:numId="12" w16cid:durableId="1461797462">
    <w:abstractNumId w:val="2"/>
  </w:num>
  <w:num w:numId="13" w16cid:durableId="1214467076">
    <w:abstractNumId w:val="7"/>
  </w:num>
  <w:num w:numId="14" w16cid:durableId="1087774956">
    <w:abstractNumId w:val="4"/>
  </w:num>
  <w:num w:numId="15" w16cid:durableId="439568161">
    <w:abstractNumId w:val="10"/>
  </w:num>
  <w:num w:numId="16" w16cid:durableId="1237129711">
    <w:abstractNumId w:val="1"/>
  </w:num>
  <w:num w:numId="17" w16cid:durableId="1698241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1328A5"/>
    <w:rsid w:val="00906112"/>
    <w:rsid w:val="00AE3D41"/>
    <w:rsid w:val="00DF1531"/>
    <w:rsid w:val="00F1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educatio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963</Words>
  <Characters>6377</Characters>
  <Application>Microsoft Office Word</Application>
  <DocSecurity>0</DocSecurity>
  <Lines>398</Lines>
  <Paragraphs>319</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2</cp:revision>
  <dcterms:created xsi:type="dcterms:W3CDTF">2025-11-13T16:09:00Z</dcterms:created>
  <dcterms:modified xsi:type="dcterms:W3CDTF">2025-11-13T16:17:00Z</dcterms:modified>
</cp:coreProperties>
</file>