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1A63" w14:textId="0F0B2C33" w:rsidR="00AE3D41" w:rsidRDefault="00F1014E">
      <w:r>
        <w:rPr>
          <w:noProof/>
          <w14:ligatures w14:val="standardContextual"/>
        </w:rPr>
        <mc:AlternateContent>
          <mc:Choice Requires="wps">
            <w:drawing>
              <wp:anchor distT="0" distB="0" distL="114300" distR="114300" simplePos="0" relativeHeight="251659264" behindDoc="0" locked="0" layoutInCell="1" allowOverlap="1" wp14:anchorId="3AAB4D8F" wp14:editId="2576DA8F">
                <wp:simplePos x="0" y="0"/>
                <wp:positionH relativeFrom="column">
                  <wp:posOffset>-190500</wp:posOffset>
                </wp:positionH>
                <wp:positionV relativeFrom="paragraph">
                  <wp:posOffset>-679450</wp:posOffset>
                </wp:positionV>
                <wp:extent cx="3028950" cy="781050"/>
                <wp:effectExtent l="0" t="0" r="0" b="0"/>
                <wp:wrapNone/>
                <wp:docPr id="1318155134" name="Text Box 1"/>
                <wp:cNvGraphicFramePr/>
                <a:graphic xmlns:a="http://schemas.openxmlformats.org/drawingml/2006/main">
                  <a:graphicData uri="http://schemas.microsoft.com/office/word/2010/wordprocessingShape">
                    <wps:wsp>
                      <wps:cNvSpPr txBox="1"/>
                      <wps:spPr>
                        <a:xfrm>
                          <a:off x="0" y="0"/>
                          <a:ext cx="3028950" cy="781050"/>
                        </a:xfrm>
                        <a:prstGeom prst="rect">
                          <a:avLst/>
                        </a:prstGeom>
                        <a:solidFill>
                          <a:schemeClr val="lt1"/>
                        </a:solidFill>
                        <a:ln w="6350">
                          <a:noFill/>
                        </a:ln>
                      </wps:spPr>
                      <wps:txb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B4D8F" id="_x0000_t202" coordsize="21600,21600" o:spt="202" path="m,l,21600r21600,l21600,xe">
                <v:stroke joinstyle="miter"/>
                <v:path gradientshapeok="t" o:connecttype="rect"/>
              </v:shapetype>
              <v:shape id="Text Box 1" o:spid="_x0000_s1026" type="#_x0000_t202" style="position:absolute;margin-left:-15pt;margin-top:-53.5pt;width:238.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" fillcolor="white [3201]" stroked="f" strokeweight=".5pt">
                <v:textbo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v:textbox>
              </v:shape>
            </w:pict>
          </mc:Fallback>
        </mc:AlternateContent>
      </w:r>
    </w:p>
    <w:p w14:paraId="09F5726C" w14:textId="77777777" w:rsidR="00F1014E" w:rsidRDefault="00F1014E"/>
    <w:p w14:paraId="50EACC9E" w14:textId="77777777" w:rsidR="00F1014E" w:rsidRDefault="00F1014E"/>
    <w:tbl>
      <w:tblPr>
        <w:tblW w:w="0" w:type="auto"/>
        <w:tblInd w:w="120" w:type="dxa"/>
        <w:tblLayout w:type="fixed"/>
        <w:tblCellMar>
          <w:left w:w="0" w:type="dxa"/>
          <w:right w:w="0" w:type="dxa"/>
        </w:tblCellMar>
        <w:tblLook w:val="01E0" w:firstRow="1" w:lastRow="1" w:firstColumn="1" w:lastColumn="1" w:noHBand="0" w:noVBand="0"/>
      </w:tblPr>
      <w:tblGrid>
        <w:gridCol w:w="2713"/>
        <w:gridCol w:w="6146"/>
      </w:tblGrid>
      <w:tr w:rsidR="00F1014E" w14:paraId="5A2A283C" w14:textId="77777777" w:rsidTr="006066A4">
        <w:trPr>
          <w:trHeight w:val="500"/>
        </w:trPr>
        <w:tc>
          <w:tcPr>
            <w:tcW w:w="2713" w:type="dxa"/>
            <w:tcBorders>
              <w:bottom w:val="single" w:sz="4" w:space="0" w:color="7E7E7E"/>
            </w:tcBorders>
          </w:tcPr>
          <w:p w14:paraId="1F31A270" w14:textId="77777777" w:rsidR="00F1014E" w:rsidRDefault="00F1014E" w:rsidP="006066A4">
            <w:pPr>
              <w:pStyle w:val="TableParagraph"/>
            </w:pPr>
            <w:r>
              <w:t>POLICY</w:t>
            </w:r>
            <w:r>
              <w:rPr>
                <w:spacing w:val="-8"/>
              </w:rPr>
              <w:t xml:space="preserve"> </w:t>
            </w:r>
            <w:r>
              <w:rPr>
                <w:spacing w:val="-2"/>
              </w:rPr>
              <w:t>TITLE</w:t>
            </w:r>
          </w:p>
        </w:tc>
        <w:tc>
          <w:tcPr>
            <w:tcW w:w="6146" w:type="dxa"/>
            <w:tcBorders>
              <w:bottom w:val="single" w:sz="4" w:space="0" w:color="7E7E7E"/>
            </w:tcBorders>
          </w:tcPr>
          <w:p w14:paraId="4E317389" w14:textId="45CC710C" w:rsidR="00F1014E" w:rsidRDefault="00F1014E" w:rsidP="006066A4">
            <w:pPr>
              <w:pStyle w:val="TableParagraph"/>
            </w:pPr>
            <w:r>
              <w:t>FA</w:t>
            </w:r>
            <w:r>
              <w:rPr>
                <w:spacing w:val="-5"/>
              </w:rPr>
              <w:t xml:space="preserve"> </w:t>
            </w:r>
            <w:r w:rsidR="0000699C">
              <w:t>EDUCATION</w:t>
            </w:r>
            <w:r w:rsidR="0000699C">
              <w:rPr>
                <w:spacing w:val="-6"/>
              </w:rPr>
              <w:t xml:space="preserve"> </w:t>
            </w:r>
            <w:r w:rsidR="000464B9">
              <w:rPr>
                <w:spacing w:val="-6"/>
              </w:rPr>
              <w:t xml:space="preserve">  </w:t>
            </w:r>
            <w:r w:rsidR="00E57FF1">
              <w:rPr>
                <w:spacing w:val="-6"/>
              </w:rPr>
              <w:t>LONE WORKING POLICY</w:t>
            </w:r>
          </w:p>
        </w:tc>
      </w:tr>
      <w:tr w:rsidR="00F1014E" w14:paraId="40D055A2" w14:textId="77777777" w:rsidTr="006066A4">
        <w:trPr>
          <w:trHeight w:val="494"/>
        </w:trPr>
        <w:tc>
          <w:tcPr>
            <w:tcW w:w="2713" w:type="dxa"/>
            <w:tcBorders>
              <w:top w:val="single" w:sz="4" w:space="0" w:color="7E7E7E"/>
              <w:right w:val="single" w:sz="4" w:space="0" w:color="7E7E7E"/>
            </w:tcBorders>
            <w:shd w:val="clear" w:color="auto" w:fill="F1F1F1"/>
          </w:tcPr>
          <w:p w14:paraId="1E565AFE" w14:textId="77777777" w:rsidR="00F1014E" w:rsidRDefault="00F1014E" w:rsidP="006066A4">
            <w:pPr>
              <w:pStyle w:val="TableParagraph"/>
            </w:pPr>
            <w:r>
              <w:t>ORGANISATION</w:t>
            </w:r>
          </w:p>
        </w:tc>
        <w:tc>
          <w:tcPr>
            <w:tcW w:w="6146" w:type="dxa"/>
            <w:tcBorders>
              <w:top w:val="single" w:sz="4" w:space="0" w:color="7E7E7E"/>
              <w:left w:val="single" w:sz="4" w:space="0" w:color="7E7E7E"/>
            </w:tcBorders>
            <w:shd w:val="clear" w:color="auto" w:fill="F1F1F1"/>
          </w:tcPr>
          <w:p w14:paraId="71ED89E7" w14:textId="77777777" w:rsidR="00F1014E" w:rsidRDefault="00F1014E" w:rsidP="006066A4">
            <w:pPr>
              <w:pStyle w:val="TableParagraph"/>
            </w:pPr>
            <w:r>
              <w:t>FA</w:t>
            </w:r>
            <w:r>
              <w:rPr>
                <w:spacing w:val="-5"/>
              </w:rPr>
              <w:t xml:space="preserve"> </w:t>
            </w:r>
            <w:r>
              <w:t>Education</w:t>
            </w:r>
            <w:r>
              <w:rPr>
                <w:spacing w:val="-1"/>
              </w:rPr>
              <w:t xml:space="preserve"> </w:t>
            </w:r>
            <w:r>
              <w:rPr>
                <w:spacing w:val="-2"/>
              </w:rPr>
              <w:t>Limited</w:t>
            </w:r>
          </w:p>
        </w:tc>
      </w:tr>
      <w:tr w:rsidR="00F1014E" w14:paraId="2ADA689A" w14:textId="77777777" w:rsidTr="006066A4">
        <w:trPr>
          <w:trHeight w:val="496"/>
        </w:trPr>
        <w:tc>
          <w:tcPr>
            <w:tcW w:w="2713" w:type="dxa"/>
            <w:tcBorders>
              <w:right w:val="single" w:sz="4" w:space="0" w:color="7E7E7E"/>
            </w:tcBorders>
          </w:tcPr>
          <w:p w14:paraId="1372054A" w14:textId="77777777" w:rsidR="00F1014E" w:rsidRDefault="00F1014E" w:rsidP="006066A4">
            <w:pPr>
              <w:pStyle w:val="TableParagraph"/>
            </w:pPr>
            <w:r>
              <w:t>COMPANY</w:t>
            </w:r>
            <w:r>
              <w:rPr>
                <w:spacing w:val="-3"/>
              </w:rPr>
              <w:t xml:space="preserve"> </w:t>
            </w:r>
            <w:r>
              <w:rPr>
                <w:spacing w:val="-2"/>
              </w:rPr>
              <w:t>NUMBER</w:t>
            </w:r>
          </w:p>
        </w:tc>
        <w:tc>
          <w:tcPr>
            <w:tcW w:w="6146" w:type="dxa"/>
            <w:tcBorders>
              <w:left w:val="single" w:sz="4" w:space="0" w:color="7E7E7E"/>
            </w:tcBorders>
          </w:tcPr>
          <w:p w14:paraId="1841AEC5" w14:textId="77777777" w:rsidR="00F1014E" w:rsidRDefault="00F1014E" w:rsidP="006066A4">
            <w:pPr>
              <w:pStyle w:val="TableParagraph"/>
            </w:pPr>
            <w:r>
              <w:t>15699233</w:t>
            </w:r>
          </w:p>
        </w:tc>
      </w:tr>
      <w:tr w:rsidR="00F1014E" w14:paraId="41A00D61" w14:textId="77777777" w:rsidTr="006066A4">
        <w:trPr>
          <w:trHeight w:val="500"/>
        </w:trPr>
        <w:tc>
          <w:tcPr>
            <w:tcW w:w="2713" w:type="dxa"/>
            <w:tcBorders>
              <w:right w:val="single" w:sz="4" w:space="0" w:color="7E7E7E"/>
            </w:tcBorders>
            <w:shd w:val="clear" w:color="auto" w:fill="F1F1F1"/>
          </w:tcPr>
          <w:p w14:paraId="17EB95CB" w14:textId="77777777" w:rsidR="00F1014E" w:rsidRDefault="00F1014E" w:rsidP="006066A4">
            <w:pPr>
              <w:pStyle w:val="TableParagraph"/>
            </w:pPr>
            <w:r>
              <w:t>REGISTERED</w:t>
            </w:r>
            <w:r>
              <w:rPr>
                <w:spacing w:val="-6"/>
              </w:rPr>
              <w:t xml:space="preserve"> </w:t>
            </w:r>
            <w:r>
              <w:rPr>
                <w:spacing w:val="-2"/>
              </w:rPr>
              <w:t>ADDRESS</w:t>
            </w:r>
          </w:p>
        </w:tc>
        <w:tc>
          <w:tcPr>
            <w:tcW w:w="6146" w:type="dxa"/>
            <w:tcBorders>
              <w:left w:val="single" w:sz="4" w:space="0" w:color="7E7E7E"/>
            </w:tcBorders>
            <w:shd w:val="clear" w:color="auto" w:fill="F1F1F1"/>
          </w:tcPr>
          <w:p w14:paraId="43DE48EA" w14:textId="77777777" w:rsidR="00F1014E" w:rsidRDefault="00F1014E" w:rsidP="006066A4">
            <w:pPr>
              <w:pStyle w:val="TableParagraph"/>
            </w:pPr>
            <w:r>
              <w:t>48</w:t>
            </w:r>
            <w:r>
              <w:rPr>
                <w:spacing w:val="-5"/>
              </w:rPr>
              <w:t xml:space="preserve"> </w:t>
            </w:r>
            <w:r>
              <w:t>Park</w:t>
            </w:r>
            <w:r>
              <w:rPr>
                <w:spacing w:val="-3"/>
              </w:rPr>
              <w:t xml:space="preserve"> </w:t>
            </w:r>
            <w:r>
              <w:t>Street,</w:t>
            </w:r>
            <w:r>
              <w:rPr>
                <w:spacing w:val="-5"/>
              </w:rPr>
              <w:t xml:space="preserve"> </w:t>
            </w:r>
            <w:r>
              <w:t>Salisbury,</w:t>
            </w:r>
            <w:r>
              <w:rPr>
                <w:spacing w:val="-5"/>
              </w:rPr>
              <w:t xml:space="preserve"> </w:t>
            </w:r>
            <w:r>
              <w:t>Wiltshire,</w:t>
            </w:r>
            <w:r>
              <w:rPr>
                <w:spacing w:val="-4"/>
              </w:rPr>
              <w:t xml:space="preserve"> </w:t>
            </w:r>
            <w:r>
              <w:t>SP1</w:t>
            </w:r>
            <w:r>
              <w:rPr>
                <w:spacing w:val="-2"/>
              </w:rPr>
              <w:t xml:space="preserve"> </w:t>
            </w:r>
            <w:r>
              <w:rPr>
                <w:spacing w:val="-5"/>
              </w:rPr>
              <w:t>3AU</w:t>
            </w:r>
          </w:p>
        </w:tc>
      </w:tr>
      <w:tr w:rsidR="00F1014E" w14:paraId="711F4309" w14:textId="77777777" w:rsidTr="006066A4">
        <w:trPr>
          <w:trHeight w:val="495"/>
        </w:trPr>
        <w:tc>
          <w:tcPr>
            <w:tcW w:w="2713" w:type="dxa"/>
            <w:tcBorders>
              <w:right w:val="single" w:sz="4" w:space="0" w:color="7E7E7E"/>
            </w:tcBorders>
          </w:tcPr>
          <w:p w14:paraId="342E09F2" w14:textId="77777777" w:rsidR="00F1014E" w:rsidRDefault="00F1014E" w:rsidP="006066A4">
            <w:pPr>
              <w:pStyle w:val="TableParagraph"/>
            </w:pPr>
            <w:r>
              <w:t>WEBSITE</w:t>
            </w:r>
          </w:p>
        </w:tc>
        <w:tc>
          <w:tcPr>
            <w:tcW w:w="6146" w:type="dxa"/>
            <w:tcBorders>
              <w:left w:val="single" w:sz="4" w:space="0" w:color="7E7E7E"/>
            </w:tcBorders>
          </w:tcPr>
          <w:p w14:paraId="65405C3B" w14:textId="77777777" w:rsidR="00F1014E" w:rsidRDefault="00F1014E" w:rsidP="006066A4">
            <w:pPr>
              <w:pStyle w:val="TableParagraph"/>
            </w:pPr>
            <w:hyperlink r:id="rId8">
              <w:r>
                <w:rPr>
                  <w:color w:val="0000FF"/>
                  <w:u w:val="single" w:color="0000FF"/>
                </w:rPr>
                <w:t>www.fa-</w:t>
              </w:r>
              <w:r>
                <w:rPr>
                  <w:color w:val="0000FF"/>
                  <w:spacing w:val="-2"/>
                  <w:u w:val="single" w:color="0000FF"/>
                </w:rPr>
                <w:t>education.com</w:t>
              </w:r>
            </w:hyperlink>
          </w:p>
        </w:tc>
      </w:tr>
      <w:tr w:rsidR="00F1014E" w14:paraId="419D23E7" w14:textId="77777777" w:rsidTr="006066A4">
        <w:trPr>
          <w:trHeight w:val="496"/>
        </w:trPr>
        <w:tc>
          <w:tcPr>
            <w:tcW w:w="2713" w:type="dxa"/>
            <w:tcBorders>
              <w:right w:val="single" w:sz="4" w:space="0" w:color="7E7E7E"/>
            </w:tcBorders>
            <w:shd w:val="clear" w:color="auto" w:fill="F1F1F1"/>
          </w:tcPr>
          <w:p w14:paraId="575B96EC" w14:textId="77777777" w:rsidR="00F1014E" w:rsidRDefault="00F1014E" w:rsidP="006066A4">
            <w:pPr>
              <w:pStyle w:val="TableParagraph"/>
            </w:pPr>
            <w:r>
              <w:t>STATUS</w:t>
            </w:r>
          </w:p>
        </w:tc>
        <w:tc>
          <w:tcPr>
            <w:tcW w:w="6146" w:type="dxa"/>
            <w:tcBorders>
              <w:left w:val="single" w:sz="4" w:space="0" w:color="7E7E7E"/>
            </w:tcBorders>
            <w:shd w:val="clear" w:color="auto" w:fill="F1F1F1"/>
          </w:tcPr>
          <w:p w14:paraId="6FB9AFE0" w14:textId="77777777" w:rsidR="00F1014E" w:rsidRDefault="00F1014E" w:rsidP="006066A4">
            <w:pPr>
              <w:pStyle w:val="TableParagraph"/>
            </w:pPr>
            <w:r>
              <w:t>Active</w:t>
            </w:r>
            <w:r>
              <w:rPr>
                <w:spacing w:val="-4"/>
              </w:rPr>
              <w:t xml:space="preserve"> </w:t>
            </w:r>
            <w:r>
              <w:t>–</w:t>
            </w:r>
            <w:r>
              <w:rPr>
                <w:spacing w:val="-3"/>
              </w:rPr>
              <w:t xml:space="preserve"> </w:t>
            </w:r>
            <w:r>
              <w:t>Private</w:t>
            </w:r>
            <w:r>
              <w:rPr>
                <w:spacing w:val="-3"/>
              </w:rPr>
              <w:t xml:space="preserve"> </w:t>
            </w:r>
            <w:r>
              <w:t>Limited</w:t>
            </w:r>
            <w:r>
              <w:rPr>
                <w:spacing w:val="-2"/>
              </w:rPr>
              <w:t xml:space="preserve"> </w:t>
            </w:r>
            <w:r>
              <w:t>Company</w:t>
            </w:r>
            <w:r>
              <w:rPr>
                <w:spacing w:val="-3"/>
              </w:rPr>
              <w:t xml:space="preserve"> </w:t>
            </w:r>
            <w:r>
              <w:rPr>
                <w:spacing w:val="-4"/>
              </w:rPr>
              <w:t>(Ltd)</w:t>
            </w:r>
          </w:p>
        </w:tc>
      </w:tr>
      <w:tr w:rsidR="00F1014E" w14:paraId="37AC9473" w14:textId="77777777" w:rsidTr="006066A4">
        <w:trPr>
          <w:trHeight w:val="1087"/>
        </w:trPr>
        <w:tc>
          <w:tcPr>
            <w:tcW w:w="2713" w:type="dxa"/>
            <w:tcBorders>
              <w:right w:val="single" w:sz="4" w:space="0" w:color="7E7E7E"/>
            </w:tcBorders>
          </w:tcPr>
          <w:p w14:paraId="447734C0" w14:textId="77777777" w:rsidR="00F1014E" w:rsidRDefault="00F1014E" w:rsidP="006066A4">
            <w:pPr>
              <w:pStyle w:val="TableParagraph"/>
            </w:pPr>
            <w:r>
              <w:rPr>
                <w:spacing w:val="-2"/>
              </w:rPr>
              <w:t xml:space="preserve">DESIGNATED </w:t>
            </w:r>
            <w:r>
              <w:t>SAFEGUARDING</w:t>
            </w:r>
            <w:r>
              <w:rPr>
                <w:spacing w:val="-13"/>
              </w:rPr>
              <w:t xml:space="preserve"> </w:t>
            </w:r>
            <w:r>
              <w:t xml:space="preserve">LEAD </w:t>
            </w:r>
            <w:r>
              <w:rPr>
                <w:spacing w:val="-2"/>
              </w:rPr>
              <w:t>(DSL)</w:t>
            </w:r>
          </w:p>
        </w:tc>
        <w:tc>
          <w:tcPr>
            <w:tcW w:w="6146" w:type="dxa"/>
            <w:tcBorders>
              <w:left w:val="single" w:sz="4" w:space="0" w:color="7E7E7E"/>
            </w:tcBorders>
          </w:tcPr>
          <w:p w14:paraId="2C2F8FCE" w14:textId="77777777" w:rsidR="00F1014E" w:rsidRDefault="00F1014E" w:rsidP="006066A4">
            <w:pPr>
              <w:pStyle w:val="TableParagraph"/>
            </w:pPr>
            <w:r>
              <w:t>Anthony Gumbrell</w:t>
            </w:r>
          </w:p>
        </w:tc>
      </w:tr>
      <w:tr w:rsidR="00F1014E" w14:paraId="6FD99F32" w14:textId="77777777" w:rsidTr="006066A4">
        <w:trPr>
          <w:trHeight w:val="495"/>
        </w:trPr>
        <w:tc>
          <w:tcPr>
            <w:tcW w:w="2713" w:type="dxa"/>
            <w:tcBorders>
              <w:right w:val="single" w:sz="4" w:space="0" w:color="7E7E7E"/>
            </w:tcBorders>
            <w:shd w:val="clear" w:color="auto" w:fill="F1F1F1"/>
          </w:tcPr>
          <w:p w14:paraId="72C7C59C" w14:textId="77777777" w:rsidR="00F1014E" w:rsidRDefault="00F1014E" w:rsidP="006066A4">
            <w:pPr>
              <w:pStyle w:val="TableParagraph"/>
            </w:pPr>
            <w:r>
              <w:t>DEPUTY</w:t>
            </w:r>
            <w:r>
              <w:rPr>
                <w:spacing w:val="-4"/>
              </w:rPr>
              <w:t xml:space="preserve"> </w:t>
            </w:r>
            <w:r>
              <w:rPr>
                <w:spacing w:val="-5"/>
              </w:rPr>
              <w:t>DSL</w:t>
            </w:r>
          </w:p>
        </w:tc>
        <w:tc>
          <w:tcPr>
            <w:tcW w:w="6146" w:type="dxa"/>
            <w:tcBorders>
              <w:left w:val="single" w:sz="4" w:space="0" w:color="7E7E7E"/>
            </w:tcBorders>
            <w:shd w:val="clear" w:color="auto" w:fill="F1F1F1"/>
          </w:tcPr>
          <w:p w14:paraId="74F4D699" w14:textId="77777777" w:rsidR="00F1014E" w:rsidRDefault="00F1014E" w:rsidP="006066A4">
            <w:pPr>
              <w:pStyle w:val="TableParagraph"/>
            </w:pPr>
            <w:r>
              <w:t>Susanne</w:t>
            </w:r>
            <w:r>
              <w:rPr>
                <w:spacing w:val="-2"/>
              </w:rPr>
              <w:t xml:space="preserve"> Clarke</w:t>
            </w:r>
          </w:p>
        </w:tc>
      </w:tr>
      <w:tr w:rsidR="00F1014E" w14:paraId="5A824639" w14:textId="77777777" w:rsidTr="006066A4">
        <w:trPr>
          <w:trHeight w:val="500"/>
        </w:trPr>
        <w:tc>
          <w:tcPr>
            <w:tcW w:w="2713" w:type="dxa"/>
            <w:tcBorders>
              <w:right w:val="single" w:sz="4" w:space="0" w:color="7E7E7E"/>
            </w:tcBorders>
          </w:tcPr>
          <w:p w14:paraId="0ABD257F" w14:textId="77777777" w:rsidR="00F1014E" w:rsidRDefault="00F1014E" w:rsidP="006066A4">
            <w:pPr>
              <w:pStyle w:val="TableParagraph"/>
            </w:pPr>
            <w:r>
              <w:t>DATE APPROVED</w:t>
            </w:r>
          </w:p>
        </w:tc>
        <w:tc>
          <w:tcPr>
            <w:tcW w:w="6146" w:type="dxa"/>
            <w:tcBorders>
              <w:left w:val="single" w:sz="4" w:space="0" w:color="7E7E7E"/>
            </w:tcBorders>
          </w:tcPr>
          <w:p w14:paraId="15543502" w14:textId="77777777" w:rsidR="00F1014E" w:rsidRDefault="00F1014E" w:rsidP="006066A4">
            <w:pPr>
              <w:pStyle w:val="TableParagraph"/>
            </w:pPr>
            <w:r>
              <w:t>October</w:t>
            </w:r>
            <w:r>
              <w:rPr>
                <w:spacing w:val="-6"/>
              </w:rPr>
              <w:t xml:space="preserve"> </w:t>
            </w:r>
            <w:r>
              <w:rPr>
                <w:spacing w:val="-4"/>
              </w:rPr>
              <w:t>2025</w:t>
            </w:r>
          </w:p>
        </w:tc>
      </w:tr>
      <w:tr w:rsidR="00F1014E" w14:paraId="687E1F33" w14:textId="77777777" w:rsidTr="006066A4">
        <w:trPr>
          <w:trHeight w:val="495"/>
        </w:trPr>
        <w:tc>
          <w:tcPr>
            <w:tcW w:w="2713" w:type="dxa"/>
            <w:tcBorders>
              <w:right w:val="single" w:sz="4" w:space="0" w:color="7E7E7E"/>
            </w:tcBorders>
            <w:shd w:val="clear" w:color="auto" w:fill="F1F1F1"/>
          </w:tcPr>
          <w:p w14:paraId="52CCD0E6" w14:textId="77777777" w:rsidR="00F1014E" w:rsidRDefault="00F1014E" w:rsidP="006066A4">
            <w:pPr>
              <w:pStyle w:val="TableParagraph"/>
            </w:pPr>
            <w:r>
              <w:t>NEXT</w:t>
            </w:r>
            <w:r>
              <w:rPr>
                <w:spacing w:val="-5"/>
              </w:rPr>
              <w:t xml:space="preserve"> </w:t>
            </w:r>
            <w:r>
              <w:t>REVIEW</w:t>
            </w:r>
            <w:r>
              <w:rPr>
                <w:spacing w:val="-4"/>
              </w:rPr>
              <w:t xml:space="preserve"> </w:t>
            </w:r>
            <w:r>
              <w:rPr>
                <w:spacing w:val="-5"/>
              </w:rPr>
              <w:t>DUE</w:t>
            </w:r>
          </w:p>
        </w:tc>
        <w:tc>
          <w:tcPr>
            <w:tcW w:w="6146" w:type="dxa"/>
            <w:tcBorders>
              <w:left w:val="single" w:sz="4" w:space="0" w:color="7E7E7E"/>
            </w:tcBorders>
            <w:shd w:val="clear" w:color="auto" w:fill="F1F1F1"/>
          </w:tcPr>
          <w:p w14:paraId="1676D961" w14:textId="77777777" w:rsidR="00F1014E" w:rsidRDefault="00F1014E" w:rsidP="006066A4">
            <w:pPr>
              <w:pStyle w:val="TableParagraph"/>
            </w:pPr>
            <w:r>
              <w:t>October</w:t>
            </w:r>
            <w:r>
              <w:rPr>
                <w:spacing w:val="-6"/>
              </w:rPr>
              <w:t xml:space="preserve"> </w:t>
            </w:r>
            <w:r>
              <w:rPr>
                <w:spacing w:val="-4"/>
              </w:rPr>
              <w:t>2026</w:t>
            </w:r>
          </w:p>
        </w:tc>
      </w:tr>
      <w:tr w:rsidR="00F1014E" w14:paraId="5DF7F0AC" w14:textId="77777777" w:rsidTr="006066A4">
        <w:trPr>
          <w:trHeight w:val="791"/>
        </w:trPr>
        <w:tc>
          <w:tcPr>
            <w:tcW w:w="2713" w:type="dxa"/>
            <w:tcBorders>
              <w:right w:val="single" w:sz="4" w:space="0" w:color="7E7E7E"/>
            </w:tcBorders>
          </w:tcPr>
          <w:p w14:paraId="497FD3E0" w14:textId="77777777" w:rsidR="00F1014E" w:rsidRDefault="00F1014E" w:rsidP="006066A4">
            <w:pPr>
              <w:pStyle w:val="TableParagraph"/>
            </w:pPr>
            <w:r>
              <w:t>SCOPE</w:t>
            </w:r>
          </w:p>
        </w:tc>
        <w:tc>
          <w:tcPr>
            <w:tcW w:w="6146" w:type="dxa"/>
            <w:tcBorders>
              <w:left w:val="single" w:sz="4" w:space="0" w:color="7E7E7E"/>
            </w:tcBorders>
          </w:tcPr>
          <w:p w14:paraId="47F004E0" w14:textId="2A8D2346" w:rsidR="00F1014E" w:rsidRDefault="007B39A5" w:rsidP="00CE6CD2">
            <w:pPr>
              <w:pStyle w:val="TableParagraph"/>
            </w:pPr>
            <w:r w:rsidRPr="007B39A5">
              <w:t>All FA Education staff, self-employed practitioners, volunteers and adults involved in delivering learning or support to learners.</w:t>
            </w:r>
          </w:p>
        </w:tc>
      </w:tr>
      <w:tr w:rsidR="00F1014E" w14:paraId="61318EEB" w14:textId="77777777" w:rsidTr="006066A4">
        <w:trPr>
          <w:trHeight w:val="1088"/>
        </w:trPr>
        <w:tc>
          <w:tcPr>
            <w:tcW w:w="2713" w:type="dxa"/>
            <w:tcBorders>
              <w:right w:val="single" w:sz="4" w:space="0" w:color="7E7E7E"/>
            </w:tcBorders>
            <w:shd w:val="clear" w:color="auto" w:fill="F1F1F1"/>
          </w:tcPr>
          <w:p w14:paraId="0BD8D486" w14:textId="77777777" w:rsidR="00F1014E" w:rsidRDefault="00F1014E" w:rsidP="006066A4">
            <w:pPr>
              <w:pStyle w:val="TableParagraph"/>
            </w:pPr>
            <w:r>
              <w:t>PURPOSE</w:t>
            </w:r>
          </w:p>
        </w:tc>
        <w:tc>
          <w:tcPr>
            <w:tcW w:w="6146" w:type="dxa"/>
            <w:tcBorders>
              <w:left w:val="single" w:sz="4" w:space="0" w:color="7E7E7E"/>
            </w:tcBorders>
            <w:shd w:val="clear" w:color="auto" w:fill="F1F1F1"/>
          </w:tcPr>
          <w:p w14:paraId="1B4F1205" w14:textId="613B2082" w:rsidR="00660E1F" w:rsidRPr="00660E1F" w:rsidRDefault="007B39A5" w:rsidP="00660E1F">
            <w:pPr>
              <w:pStyle w:val="TableParagraph"/>
            </w:pPr>
            <w:r>
              <w:t>T</w:t>
            </w:r>
            <w:r w:rsidRPr="007B39A5">
              <w:t>o</w:t>
            </w:r>
            <w:r w:rsidR="00660E1F" w:rsidRPr="00660E1F">
              <w:t xml:space="preserve"> ensure staff and learners remain safe during any lone working or one-to-one activity through clear procedures, risk management and communication expectations.</w:t>
            </w:r>
          </w:p>
          <w:p w14:paraId="185DCA96" w14:textId="43730D07" w:rsidR="00F1014E" w:rsidRDefault="00F1014E" w:rsidP="00660E1F">
            <w:pPr>
              <w:pStyle w:val="TableParagraph"/>
            </w:pPr>
          </w:p>
        </w:tc>
      </w:tr>
    </w:tbl>
    <w:p w14:paraId="7BE1C438" w14:textId="77777777" w:rsidR="00F1014E" w:rsidRDefault="00F1014E"/>
    <w:p w14:paraId="56BE4FD4" w14:textId="77777777" w:rsidR="00F1014E" w:rsidRDefault="00F1014E"/>
    <w:p w14:paraId="29CC2B3F" w14:textId="77777777" w:rsidR="00F1014E" w:rsidRDefault="00F1014E"/>
    <w:p w14:paraId="5F1186DE" w14:textId="77777777" w:rsidR="00F1014E" w:rsidRDefault="00F1014E"/>
    <w:p w14:paraId="06498E7A" w14:textId="77777777" w:rsidR="00A40205" w:rsidRPr="00A40205" w:rsidRDefault="00A40205" w:rsidP="00A40205">
      <w:pPr>
        <w:rPr>
          <w:b/>
          <w:bCs/>
        </w:rPr>
      </w:pPr>
      <w:r w:rsidRPr="00A40205">
        <w:rPr>
          <w:b/>
          <w:bCs/>
        </w:rPr>
        <w:t>1. Introduction</w:t>
      </w:r>
    </w:p>
    <w:p w14:paraId="4EEB8595" w14:textId="77777777" w:rsidR="00A40205" w:rsidRPr="00A40205" w:rsidRDefault="00A40205" w:rsidP="00A40205">
      <w:r w:rsidRPr="00A40205">
        <w:t>FA Education delivers one-to-one and small-group sessions in community locations, learning spaces and, where appropriate, learners’ homes. Lone working increases potential risks to staff and learners, so clear procedures are required to ensure safety, accountability and safeguarding compliance.</w:t>
      </w:r>
    </w:p>
    <w:p w14:paraId="3C7085DD" w14:textId="77777777" w:rsidR="00A40205" w:rsidRPr="00A40205" w:rsidRDefault="00A40205" w:rsidP="00A40205">
      <w:r w:rsidRPr="00A40205">
        <w:t>This policy outlines expectations, communication requirements, risk control measures and escalation procedures to ensure safe practice.</w:t>
      </w:r>
    </w:p>
    <w:p w14:paraId="43CC35DE" w14:textId="46B4BCB5" w:rsidR="00A40205" w:rsidRPr="00A40205" w:rsidRDefault="00A40205" w:rsidP="00A40205"/>
    <w:p w14:paraId="0C3B6389" w14:textId="77777777" w:rsidR="00A40205" w:rsidRPr="00A40205" w:rsidRDefault="00A40205" w:rsidP="00A40205">
      <w:pPr>
        <w:rPr>
          <w:b/>
          <w:bCs/>
        </w:rPr>
      </w:pPr>
      <w:r w:rsidRPr="00A40205">
        <w:rPr>
          <w:b/>
          <w:bCs/>
        </w:rPr>
        <w:t>2. Definitions</w:t>
      </w:r>
    </w:p>
    <w:p w14:paraId="5D664919" w14:textId="77777777" w:rsidR="00A40205" w:rsidRPr="00A40205" w:rsidRDefault="00A40205" w:rsidP="00A40205">
      <w:r w:rsidRPr="00A40205">
        <w:rPr>
          <w:b/>
          <w:bCs/>
        </w:rPr>
        <w:t>Lone working:</w:t>
      </w:r>
      <w:r w:rsidRPr="00A40205">
        <w:br/>
        <w:t>Any work activity undertaken by staff without direct supervision or immediate support from another FA Education colleague.</w:t>
      </w:r>
    </w:p>
    <w:p w14:paraId="380F251D" w14:textId="77777777" w:rsidR="00A40205" w:rsidRPr="00A40205" w:rsidRDefault="00A40205" w:rsidP="00A40205">
      <w:r w:rsidRPr="00A40205">
        <w:rPr>
          <w:b/>
          <w:bCs/>
        </w:rPr>
        <w:t>Remote or off-site delivery:</w:t>
      </w:r>
      <w:r w:rsidRPr="00A40205">
        <w:br/>
        <w:t>Any session held in a community venue, home, outdoor space or other approved location where staff are working without another FA Education adult present.</w:t>
      </w:r>
    </w:p>
    <w:p w14:paraId="380FABFE" w14:textId="77777777" w:rsidR="00A40205" w:rsidRPr="00A40205" w:rsidRDefault="00A40205" w:rsidP="00A40205">
      <w:r w:rsidRPr="00A40205">
        <w:rPr>
          <w:b/>
          <w:bCs/>
        </w:rPr>
        <w:lastRenderedPageBreak/>
        <w:t>Dynamic risk assessment:</w:t>
      </w:r>
      <w:r w:rsidRPr="00A40205">
        <w:br/>
        <w:t>A real-time judgement made by staff to identify and respond to risks as they arise.</w:t>
      </w:r>
    </w:p>
    <w:p w14:paraId="4C45FCAD" w14:textId="1EB84EE3" w:rsidR="00A40205" w:rsidRPr="00A40205" w:rsidRDefault="00A40205" w:rsidP="00A40205"/>
    <w:p w14:paraId="33FB44AD" w14:textId="77777777" w:rsidR="00A40205" w:rsidRPr="00A40205" w:rsidRDefault="00A40205" w:rsidP="00A40205">
      <w:pPr>
        <w:rPr>
          <w:b/>
          <w:bCs/>
        </w:rPr>
      </w:pPr>
      <w:r w:rsidRPr="00A40205">
        <w:rPr>
          <w:b/>
          <w:bCs/>
        </w:rPr>
        <w:t>3. Principles</w:t>
      </w:r>
    </w:p>
    <w:p w14:paraId="498673CB" w14:textId="77777777" w:rsidR="00A40205" w:rsidRPr="00A40205" w:rsidRDefault="00A40205" w:rsidP="00A40205">
      <w:r w:rsidRPr="00A40205">
        <w:t>FA Education’s approach to lone working is based on the following principles:</w:t>
      </w:r>
    </w:p>
    <w:p w14:paraId="46150F82" w14:textId="77777777" w:rsidR="00A40205" w:rsidRPr="00A40205" w:rsidRDefault="00A40205" w:rsidP="00A40205">
      <w:pPr>
        <w:numPr>
          <w:ilvl w:val="0"/>
          <w:numId w:val="14"/>
        </w:numPr>
      </w:pPr>
      <w:r w:rsidRPr="00A40205">
        <w:t>The safety of learners and staff is the highest priority.</w:t>
      </w:r>
    </w:p>
    <w:p w14:paraId="3100C31F" w14:textId="77777777" w:rsidR="00A40205" w:rsidRPr="00A40205" w:rsidRDefault="00A40205" w:rsidP="00A40205">
      <w:pPr>
        <w:numPr>
          <w:ilvl w:val="0"/>
          <w:numId w:val="14"/>
        </w:numPr>
      </w:pPr>
      <w:r w:rsidRPr="00A40205">
        <w:t>No staff member should work alone if a risk is identified.</w:t>
      </w:r>
    </w:p>
    <w:p w14:paraId="054A4E63" w14:textId="77777777" w:rsidR="00A40205" w:rsidRPr="00A40205" w:rsidRDefault="00A40205" w:rsidP="00A40205">
      <w:pPr>
        <w:numPr>
          <w:ilvl w:val="0"/>
          <w:numId w:val="14"/>
        </w:numPr>
      </w:pPr>
      <w:r w:rsidRPr="00A40205">
        <w:t>Lone working must be risk assessed, planned and communicated clearly.</w:t>
      </w:r>
    </w:p>
    <w:p w14:paraId="0EADE271" w14:textId="77777777" w:rsidR="00A40205" w:rsidRPr="00A40205" w:rsidRDefault="00A40205" w:rsidP="00A40205">
      <w:pPr>
        <w:numPr>
          <w:ilvl w:val="0"/>
          <w:numId w:val="14"/>
        </w:numPr>
      </w:pPr>
      <w:r w:rsidRPr="00A40205">
        <w:t>Staff must know their location, timings and check-in process.</w:t>
      </w:r>
    </w:p>
    <w:p w14:paraId="3FD4BE8D" w14:textId="77777777" w:rsidR="00A40205" w:rsidRPr="00A40205" w:rsidRDefault="00A40205" w:rsidP="00A40205">
      <w:pPr>
        <w:numPr>
          <w:ilvl w:val="0"/>
          <w:numId w:val="14"/>
        </w:numPr>
      </w:pPr>
      <w:r w:rsidRPr="00A40205">
        <w:t>Staff must follow safeguarding and reporting procedures at all times.</w:t>
      </w:r>
    </w:p>
    <w:p w14:paraId="5F9EF539" w14:textId="77777777" w:rsidR="00A40205" w:rsidRPr="00A40205" w:rsidRDefault="00A40205" w:rsidP="00A40205">
      <w:pPr>
        <w:numPr>
          <w:ilvl w:val="0"/>
          <w:numId w:val="14"/>
        </w:numPr>
      </w:pPr>
      <w:r w:rsidRPr="00A40205">
        <w:t>Staff must terminate a session immediately if they feel unsafe.</w:t>
      </w:r>
    </w:p>
    <w:p w14:paraId="703268EA" w14:textId="1FB719DB" w:rsidR="00A40205" w:rsidRPr="00A40205" w:rsidRDefault="00A40205" w:rsidP="00A40205"/>
    <w:p w14:paraId="58EFD7B6" w14:textId="77777777" w:rsidR="00A40205" w:rsidRPr="00A40205" w:rsidRDefault="00A40205" w:rsidP="00A40205">
      <w:pPr>
        <w:rPr>
          <w:b/>
          <w:bCs/>
        </w:rPr>
      </w:pPr>
      <w:r w:rsidRPr="00A40205">
        <w:rPr>
          <w:b/>
          <w:bCs/>
        </w:rPr>
        <w:t>4. Roles and Responsibilities</w:t>
      </w:r>
    </w:p>
    <w:p w14:paraId="043340F4" w14:textId="77777777" w:rsidR="00A40205" w:rsidRPr="00A40205" w:rsidRDefault="00A40205" w:rsidP="00A40205">
      <w:pPr>
        <w:rPr>
          <w:b/>
          <w:bCs/>
          <w:sz w:val="20"/>
          <w:szCs w:val="20"/>
        </w:rPr>
      </w:pPr>
      <w:r w:rsidRPr="00A40205">
        <w:rPr>
          <w:b/>
          <w:bCs/>
          <w:sz w:val="20"/>
          <w:szCs w:val="20"/>
        </w:rPr>
        <w:t>4.1 Employer Responsibilities</w:t>
      </w:r>
    </w:p>
    <w:p w14:paraId="3D4F9055" w14:textId="77777777" w:rsidR="00A40205" w:rsidRPr="00A40205" w:rsidRDefault="00A40205" w:rsidP="00A40205">
      <w:r w:rsidRPr="00A40205">
        <w:t>FA Education will:</w:t>
      </w:r>
    </w:p>
    <w:p w14:paraId="3060CF7E" w14:textId="77777777" w:rsidR="00A40205" w:rsidRPr="00A40205" w:rsidRDefault="00A40205" w:rsidP="00A40205">
      <w:pPr>
        <w:numPr>
          <w:ilvl w:val="0"/>
          <w:numId w:val="15"/>
        </w:numPr>
      </w:pPr>
      <w:r w:rsidRPr="00A40205">
        <w:t>Assess risks associated with lone working</w:t>
      </w:r>
    </w:p>
    <w:p w14:paraId="0D04DA9C" w14:textId="77777777" w:rsidR="00A40205" w:rsidRPr="00A40205" w:rsidRDefault="00A40205" w:rsidP="00A40205">
      <w:pPr>
        <w:numPr>
          <w:ilvl w:val="0"/>
          <w:numId w:val="15"/>
        </w:numPr>
      </w:pPr>
      <w:r w:rsidRPr="00A40205">
        <w:t>Provide training, supervision and support</w:t>
      </w:r>
    </w:p>
    <w:p w14:paraId="0E43513E" w14:textId="77777777" w:rsidR="00A40205" w:rsidRPr="00A40205" w:rsidRDefault="00A40205" w:rsidP="00A40205">
      <w:pPr>
        <w:numPr>
          <w:ilvl w:val="0"/>
          <w:numId w:val="15"/>
        </w:numPr>
      </w:pPr>
      <w:r w:rsidRPr="00A40205">
        <w:t>Maintain clear communication procedures</w:t>
      </w:r>
    </w:p>
    <w:p w14:paraId="47905E56" w14:textId="77777777" w:rsidR="00A40205" w:rsidRPr="00A40205" w:rsidRDefault="00A40205" w:rsidP="00A40205">
      <w:pPr>
        <w:numPr>
          <w:ilvl w:val="0"/>
          <w:numId w:val="15"/>
        </w:numPr>
      </w:pPr>
      <w:r w:rsidRPr="00A40205">
        <w:t>Ensure staff have access to a manager at all times</w:t>
      </w:r>
    </w:p>
    <w:p w14:paraId="087FE688" w14:textId="77777777" w:rsidR="00A40205" w:rsidRPr="00A40205" w:rsidRDefault="00A40205" w:rsidP="00A40205">
      <w:pPr>
        <w:numPr>
          <w:ilvl w:val="0"/>
          <w:numId w:val="15"/>
        </w:numPr>
      </w:pPr>
      <w:r w:rsidRPr="00A40205">
        <w:t>Review incidents and update risk guidance</w:t>
      </w:r>
    </w:p>
    <w:p w14:paraId="2DBBA85A" w14:textId="77777777" w:rsidR="00A40205" w:rsidRPr="00A40205" w:rsidRDefault="00A40205" w:rsidP="00A40205">
      <w:pPr>
        <w:rPr>
          <w:b/>
          <w:bCs/>
          <w:sz w:val="20"/>
          <w:szCs w:val="20"/>
        </w:rPr>
      </w:pPr>
      <w:r w:rsidRPr="00A40205">
        <w:rPr>
          <w:b/>
          <w:bCs/>
          <w:sz w:val="20"/>
          <w:szCs w:val="20"/>
        </w:rPr>
        <w:t>4.2 Staff Responsibilities</w:t>
      </w:r>
    </w:p>
    <w:p w14:paraId="13366056" w14:textId="77777777" w:rsidR="00A40205" w:rsidRPr="00A40205" w:rsidRDefault="00A40205" w:rsidP="00A40205">
      <w:r w:rsidRPr="00A40205">
        <w:t>Staff must:</w:t>
      </w:r>
    </w:p>
    <w:p w14:paraId="281A7C57" w14:textId="77777777" w:rsidR="00A40205" w:rsidRPr="00A40205" w:rsidRDefault="00A40205" w:rsidP="00A40205">
      <w:pPr>
        <w:numPr>
          <w:ilvl w:val="0"/>
          <w:numId w:val="16"/>
        </w:numPr>
      </w:pPr>
      <w:r w:rsidRPr="00A40205">
        <w:t>Follow this policy and the Safeguarding Policy</w:t>
      </w:r>
    </w:p>
    <w:p w14:paraId="1B20D8D2" w14:textId="77777777" w:rsidR="00A40205" w:rsidRPr="00A40205" w:rsidRDefault="00A40205" w:rsidP="00A40205">
      <w:pPr>
        <w:numPr>
          <w:ilvl w:val="0"/>
          <w:numId w:val="16"/>
        </w:numPr>
      </w:pPr>
      <w:r w:rsidRPr="00A40205">
        <w:t>Complete dynamic risk assessments</w:t>
      </w:r>
    </w:p>
    <w:p w14:paraId="562AA124" w14:textId="77777777" w:rsidR="00A40205" w:rsidRPr="00A40205" w:rsidRDefault="00A40205" w:rsidP="00A40205">
      <w:pPr>
        <w:numPr>
          <w:ilvl w:val="0"/>
          <w:numId w:val="16"/>
        </w:numPr>
      </w:pPr>
      <w:r w:rsidRPr="00A40205">
        <w:t>Follow check-in/check-out procedures</w:t>
      </w:r>
    </w:p>
    <w:p w14:paraId="3C74CC67" w14:textId="77777777" w:rsidR="00A40205" w:rsidRPr="00A40205" w:rsidRDefault="00A40205" w:rsidP="00A40205">
      <w:pPr>
        <w:numPr>
          <w:ilvl w:val="0"/>
          <w:numId w:val="16"/>
        </w:numPr>
      </w:pPr>
      <w:r w:rsidRPr="00A40205">
        <w:t>Maintain appropriate professional boundaries</w:t>
      </w:r>
    </w:p>
    <w:p w14:paraId="67D25B97" w14:textId="77777777" w:rsidR="00A40205" w:rsidRPr="00A40205" w:rsidRDefault="00A40205" w:rsidP="00A40205">
      <w:pPr>
        <w:numPr>
          <w:ilvl w:val="0"/>
          <w:numId w:val="16"/>
        </w:numPr>
      </w:pPr>
      <w:r w:rsidRPr="00A40205">
        <w:t>Report concerns immediately to the Designated Safeguarding Lead</w:t>
      </w:r>
    </w:p>
    <w:p w14:paraId="0C109756" w14:textId="77777777" w:rsidR="00A40205" w:rsidRPr="00A40205" w:rsidRDefault="00A40205" w:rsidP="00A40205">
      <w:pPr>
        <w:numPr>
          <w:ilvl w:val="0"/>
          <w:numId w:val="16"/>
        </w:numPr>
      </w:pPr>
      <w:r w:rsidRPr="00A40205">
        <w:t>Avoid unnecessary risks</w:t>
      </w:r>
    </w:p>
    <w:p w14:paraId="738A6BCC" w14:textId="77777777" w:rsidR="00A40205" w:rsidRPr="00A40205" w:rsidRDefault="00A40205" w:rsidP="00A40205">
      <w:pPr>
        <w:numPr>
          <w:ilvl w:val="0"/>
          <w:numId w:val="16"/>
        </w:numPr>
      </w:pPr>
      <w:r w:rsidRPr="00A40205">
        <w:t>End a session if safety cannot be assured</w:t>
      </w:r>
    </w:p>
    <w:p w14:paraId="20565BBC" w14:textId="4E67B3A9" w:rsidR="00A40205" w:rsidRPr="00A40205" w:rsidRDefault="00A40205" w:rsidP="00A40205"/>
    <w:p w14:paraId="2C0A010F" w14:textId="77777777" w:rsidR="00A40205" w:rsidRPr="00A40205" w:rsidRDefault="00A40205" w:rsidP="00A40205">
      <w:pPr>
        <w:rPr>
          <w:b/>
          <w:bCs/>
        </w:rPr>
      </w:pPr>
      <w:r w:rsidRPr="00A40205">
        <w:rPr>
          <w:b/>
          <w:bCs/>
        </w:rPr>
        <w:t>5. Risk Assessment</w:t>
      </w:r>
    </w:p>
    <w:p w14:paraId="16D7540D" w14:textId="77777777" w:rsidR="00A40205" w:rsidRPr="00A40205" w:rsidRDefault="00A40205" w:rsidP="00A40205">
      <w:r w:rsidRPr="00A40205">
        <w:t>Lone working must be assessed through:</w:t>
      </w:r>
    </w:p>
    <w:p w14:paraId="5DC021A8" w14:textId="77777777" w:rsidR="00A40205" w:rsidRPr="00A40205" w:rsidRDefault="00A40205" w:rsidP="00A40205">
      <w:pPr>
        <w:rPr>
          <w:b/>
          <w:bCs/>
          <w:sz w:val="20"/>
          <w:szCs w:val="20"/>
        </w:rPr>
      </w:pPr>
      <w:r w:rsidRPr="00A40205">
        <w:rPr>
          <w:b/>
          <w:bCs/>
          <w:sz w:val="20"/>
          <w:szCs w:val="20"/>
        </w:rPr>
        <w:t>5.1 Organisational risk assessment</w:t>
      </w:r>
    </w:p>
    <w:p w14:paraId="2ED806F2" w14:textId="77777777" w:rsidR="00A40205" w:rsidRPr="00A40205" w:rsidRDefault="00A40205" w:rsidP="00A40205">
      <w:r w:rsidRPr="00A40205">
        <w:t>FA Education maintains an overarching Lone Working Risk Assessment that covers:</w:t>
      </w:r>
    </w:p>
    <w:p w14:paraId="308F2E62" w14:textId="77777777" w:rsidR="00A40205" w:rsidRPr="00A40205" w:rsidRDefault="00A40205" w:rsidP="00A40205">
      <w:pPr>
        <w:numPr>
          <w:ilvl w:val="0"/>
          <w:numId w:val="17"/>
        </w:numPr>
      </w:pPr>
      <w:r w:rsidRPr="00A40205">
        <w:t>Travel and transport</w:t>
      </w:r>
    </w:p>
    <w:p w14:paraId="7FF32F7A" w14:textId="77777777" w:rsidR="00A40205" w:rsidRPr="00A40205" w:rsidRDefault="00A40205" w:rsidP="00A40205">
      <w:pPr>
        <w:numPr>
          <w:ilvl w:val="0"/>
          <w:numId w:val="17"/>
        </w:numPr>
      </w:pPr>
      <w:r w:rsidRPr="00A40205">
        <w:t>Community locations</w:t>
      </w:r>
    </w:p>
    <w:p w14:paraId="2F715F45" w14:textId="77777777" w:rsidR="00A40205" w:rsidRPr="00A40205" w:rsidRDefault="00A40205" w:rsidP="00A40205">
      <w:pPr>
        <w:numPr>
          <w:ilvl w:val="0"/>
          <w:numId w:val="17"/>
        </w:numPr>
      </w:pPr>
      <w:r w:rsidRPr="00A40205">
        <w:t>Home environments</w:t>
      </w:r>
    </w:p>
    <w:p w14:paraId="2B60AEF6" w14:textId="77777777" w:rsidR="00A40205" w:rsidRPr="00A40205" w:rsidRDefault="00A40205" w:rsidP="00A40205">
      <w:pPr>
        <w:numPr>
          <w:ilvl w:val="0"/>
          <w:numId w:val="17"/>
        </w:numPr>
      </w:pPr>
      <w:r w:rsidRPr="00A40205">
        <w:t>Behavioural risks</w:t>
      </w:r>
    </w:p>
    <w:p w14:paraId="3724E57D" w14:textId="77777777" w:rsidR="00A40205" w:rsidRPr="00A40205" w:rsidRDefault="00A40205" w:rsidP="00A40205">
      <w:pPr>
        <w:numPr>
          <w:ilvl w:val="0"/>
          <w:numId w:val="17"/>
        </w:numPr>
      </w:pPr>
      <w:r w:rsidRPr="00A40205">
        <w:t>Medical and first aid considerations</w:t>
      </w:r>
    </w:p>
    <w:p w14:paraId="1D84C940" w14:textId="77777777" w:rsidR="00A40205" w:rsidRPr="00A40205" w:rsidRDefault="00A40205" w:rsidP="00A40205">
      <w:pPr>
        <w:numPr>
          <w:ilvl w:val="0"/>
          <w:numId w:val="17"/>
        </w:numPr>
      </w:pPr>
      <w:r w:rsidRPr="00A40205">
        <w:t>Availability of emergency support</w:t>
      </w:r>
    </w:p>
    <w:p w14:paraId="0A2951C1" w14:textId="77777777" w:rsidR="00A40205" w:rsidRPr="00A40205" w:rsidRDefault="00A40205" w:rsidP="00A40205">
      <w:pPr>
        <w:rPr>
          <w:b/>
          <w:bCs/>
          <w:sz w:val="20"/>
          <w:szCs w:val="20"/>
        </w:rPr>
      </w:pPr>
      <w:r w:rsidRPr="00A40205">
        <w:rPr>
          <w:b/>
          <w:bCs/>
          <w:sz w:val="20"/>
          <w:szCs w:val="20"/>
        </w:rPr>
        <w:t>5.2 Individual learner risk assessment</w:t>
      </w:r>
    </w:p>
    <w:p w14:paraId="6E3200BF" w14:textId="77777777" w:rsidR="00A40205" w:rsidRPr="00A40205" w:rsidRDefault="00A40205" w:rsidP="00A40205">
      <w:r w:rsidRPr="00A40205">
        <w:t>Each learner’s behaviour, needs and circumstances are considered to determine suitability for one-to-one sessions.</w:t>
      </w:r>
    </w:p>
    <w:p w14:paraId="0F53A2F7" w14:textId="77777777" w:rsidR="00A40205" w:rsidRPr="00A40205" w:rsidRDefault="00A40205" w:rsidP="00A40205">
      <w:pPr>
        <w:rPr>
          <w:b/>
          <w:bCs/>
          <w:sz w:val="20"/>
          <w:szCs w:val="20"/>
        </w:rPr>
      </w:pPr>
      <w:r w:rsidRPr="00A40205">
        <w:rPr>
          <w:b/>
          <w:bCs/>
          <w:sz w:val="20"/>
          <w:szCs w:val="20"/>
        </w:rPr>
        <w:t>5.3 Dynamic risk assessment</w:t>
      </w:r>
    </w:p>
    <w:p w14:paraId="169F8FB6" w14:textId="77777777" w:rsidR="00A40205" w:rsidRPr="00A40205" w:rsidRDefault="00A40205" w:rsidP="00A40205">
      <w:r w:rsidRPr="00A40205">
        <w:t>Staff must continually assess risks such as:</w:t>
      </w:r>
    </w:p>
    <w:p w14:paraId="0258F284" w14:textId="77777777" w:rsidR="00A40205" w:rsidRPr="00A40205" w:rsidRDefault="00A40205" w:rsidP="00A40205">
      <w:pPr>
        <w:numPr>
          <w:ilvl w:val="0"/>
          <w:numId w:val="18"/>
        </w:numPr>
      </w:pPr>
      <w:r w:rsidRPr="00A40205">
        <w:t>Changes in location</w:t>
      </w:r>
    </w:p>
    <w:p w14:paraId="295C6AAD" w14:textId="77777777" w:rsidR="00A40205" w:rsidRPr="00A40205" w:rsidRDefault="00A40205" w:rsidP="00A40205">
      <w:pPr>
        <w:numPr>
          <w:ilvl w:val="0"/>
          <w:numId w:val="18"/>
        </w:numPr>
      </w:pPr>
      <w:r w:rsidRPr="00A40205">
        <w:t>Unexpected people present</w:t>
      </w:r>
    </w:p>
    <w:p w14:paraId="59753595" w14:textId="77777777" w:rsidR="00A40205" w:rsidRPr="00A40205" w:rsidRDefault="00A40205" w:rsidP="00A40205">
      <w:pPr>
        <w:numPr>
          <w:ilvl w:val="0"/>
          <w:numId w:val="18"/>
        </w:numPr>
      </w:pPr>
      <w:r w:rsidRPr="00A40205">
        <w:lastRenderedPageBreak/>
        <w:t>Emotional or behavioural escalation</w:t>
      </w:r>
    </w:p>
    <w:p w14:paraId="00957198" w14:textId="77777777" w:rsidR="00A40205" w:rsidRPr="00A40205" w:rsidRDefault="00A40205" w:rsidP="00A40205">
      <w:pPr>
        <w:numPr>
          <w:ilvl w:val="0"/>
          <w:numId w:val="18"/>
        </w:numPr>
      </w:pPr>
      <w:r w:rsidRPr="00A40205">
        <w:t>Environmental concerns</w:t>
      </w:r>
    </w:p>
    <w:p w14:paraId="00338D3E" w14:textId="77777777" w:rsidR="00A40205" w:rsidRPr="00A40205" w:rsidRDefault="00A40205" w:rsidP="00A40205">
      <w:pPr>
        <w:numPr>
          <w:ilvl w:val="0"/>
          <w:numId w:val="18"/>
        </w:numPr>
      </w:pPr>
      <w:r w:rsidRPr="00A40205">
        <w:t>Signs of criminal exploitation or community-based harm</w:t>
      </w:r>
    </w:p>
    <w:p w14:paraId="54BE3FC4" w14:textId="77777777" w:rsidR="00A40205" w:rsidRPr="00A40205" w:rsidRDefault="00A40205" w:rsidP="00A40205">
      <w:r w:rsidRPr="00A40205">
        <w:t>If risks cannot be managed safely, the session must stop.</w:t>
      </w:r>
    </w:p>
    <w:p w14:paraId="21A1290B" w14:textId="7B6430B5" w:rsidR="00A40205" w:rsidRPr="00A40205" w:rsidRDefault="00A40205" w:rsidP="00A40205"/>
    <w:p w14:paraId="3EB0491D" w14:textId="77777777" w:rsidR="00A40205" w:rsidRPr="00A40205" w:rsidRDefault="00A40205" w:rsidP="00A40205">
      <w:pPr>
        <w:rPr>
          <w:b/>
          <w:bCs/>
        </w:rPr>
      </w:pPr>
      <w:r w:rsidRPr="00A40205">
        <w:rPr>
          <w:b/>
          <w:bCs/>
        </w:rPr>
        <w:t>6. Location Requirements</w:t>
      </w:r>
    </w:p>
    <w:p w14:paraId="0BF1A745" w14:textId="77777777" w:rsidR="00A40205" w:rsidRPr="00A40205" w:rsidRDefault="00A40205" w:rsidP="00A40205">
      <w:r w:rsidRPr="00A40205">
        <w:t>Any location used for lone working must:</w:t>
      </w:r>
    </w:p>
    <w:p w14:paraId="50AAAB5A" w14:textId="77777777" w:rsidR="00A40205" w:rsidRPr="00A40205" w:rsidRDefault="00A40205" w:rsidP="00A40205">
      <w:pPr>
        <w:numPr>
          <w:ilvl w:val="0"/>
          <w:numId w:val="19"/>
        </w:numPr>
      </w:pPr>
      <w:r w:rsidRPr="00A40205">
        <w:t>Be approved by FA Education</w:t>
      </w:r>
    </w:p>
    <w:p w14:paraId="3E7C78C2" w14:textId="77777777" w:rsidR="00A40205" w:rsidRPr="00A40205" w:rsidRDefault="00A40205" w:rsidP="00A40205">
      <w:pPr>
        <w:numPr>
          <w:ilvl w:val="0"/>
          <w:numId w:val="19"/>
        </w:numPr>
      </w:pPr>
      <w:r w:rsidRPr="00A40205">
        <w:t>Be safe, professional and appropriate</w:t>
      </w:r>
    </w:p>
    <w:p w14:paraId="483174E1" w14:textId="77777777" w:rsidR="00A40205" w:rsidRPr="00A40205" w:rsidRDefault="00A40205" w:rsidP="00A40205">
      <w:pPr>
        <w:numPr>
          <w:ilvl w:val="0"/>
          <w:numId w:val="19"/>
        </w:numPr>
      </w:pPr>
      <w:r w:rsidRPr="00A40205">
        <w:t>Allow visibility wherever possible</w:t>
      </w:r>
    </w:p>
    <w:p w14:paraId="2C5DC3BE" w14:textId="77777777" w:rsidR="00A40205" w:rsidRPr="00A40205" w:rsidRDefault="00A40205" w:rsidP="00A40205">
      <w:pPr>
        <w:numPr>
          <w:ilvl w:val="0"/>
          <w:numId w:val="19"/>
        </w:numPr>
      </w:pPr>
      <w:r w:rsidRPr="00A40205">
        <w:t>Have a clear exit route</w:t>
      </w:r>
    </w:p>
    <w:p w14:paraId="242B07FF" w14:textId="77777777" w:rsidR="00A40205" w:rsidRPr="00A40205" w:rsidRDefault="00A40205" w:rsidP="00A40205">
      <w:pPr>
        <w:numPr>
          <w:ilvl w:val="0"/>
          <w:numId w:val="19"/>
        </w:numPr>
      </w:pPr>
      <w:r w:rsidRPr="00A40205">
        <w:t>Be free from hazards or unsafe individuals</w:t>
      </w:r>
    </w:p>
    <w:p w14:paraId="21DE8F6A" w14:textId="77777777" w:rsidR="00A40205" w:rsidRPr="00A40205" w:rsidRDefault="00A40205" w:rsidP="00A40205">
      <w:r w:rsidRPr="00A40205">
        <w:t>Home-based sessions require:</w:t>
      </w:r>
    </w:p>
    <w:p w14:paraId="72309DD0" w14:textId="77777777" w:rsidR="00A40205" w:rsidRPr="00A40205" w:rsidRDefault="00A40205" w:rsidP="00A40205">
      <w:pPr>
        <w:numPr>
          <w:ilvl w:val="0"/>
          <w:numId w:val="20"/>
        </w:numPr>
      </w:pPr>
      <w:r w:rsidRPr="00A40205">
        <w:t>Parental/carer presence nearby unless agreed otherwise</w:t>
      </w:r>
    </w:p>
    <w:p w14:paraId="4E231944" w14:textId="77777777" w:rsidR="00A40205" w:rsidRPr="00A40205" w:rsidRDefault="00A40205" w:rsidP="00A40205">
      <w:pPr>
        <w:numPr>
          <w:ilvl w:val="0"/>
          <w:numId w:val="20"/>
        </w:numPr>
      </w:pPr>
      <w:r w:rsidRPr="00A40205">
        <w:t>No closed-door working unless risk assessed</w:t>
      </w:r>
    </w:p>
    <w:p w14:paraId="338D2457" w14:textId="77777777" w:rsidR="00A40205" w:rsidRPr="00A40205" w:rsidRDefault="00A40205" w:rsidP="00A40205">
      <w:pPr>
        <w:numPr>
          <w:ilvl w:val="0"/>
          <w:numId w:val="20"/>
        </w:numPr>
      </w:pPr>
      <w:r w:rsidRPr="00A40205">
        <w:t>A suitable space with other adults aware of the session</w:t>
      </w:r>
    </w:p>
    <w:p w14:paraId="48B7E0E4" w14:textId="77777777" w:rsidR="00A40205" w:rsidRPr="00A40205" w:rsidRDefault="00A40205" w:rsidP="00A40205">
      <w:r w:rsidRPr="00A40205">
        <w:t>Staff must avoid bedrooms or inappropriate spaces at all times.</w:t>
      </w:r>
    </w:p>
    <w:p w14:paraId="513B6903" w14:textId="4DAD998C" w:rsidR="00A40205" w:rsidRPr="00A40205" w:rsidRDefault="00A40205" w:rsidP="00A40205"/>
    <w:p w14:paraId="6F387E4A" w14:textId="77777777" w:rsidR="00A40205" w:rsidRPr="00A40205" w:rsidRDefault="00A40205" w:rsidP="00A40205">
      <w:pPr>
        <w:rPr>
          <w:b/>
          <w:bCs/>
        </w:rPr>
      </w:pPr>
      <w:r w:rsidRPr="00A40205">
        <w:rPr>
          <w:b/>
          <w:bCs/>
        </w:rPr>
        <w:t>7. Arrival and Departure Procedures</w:t>
      </w:r>
    </w:p>
    <w:p w14:paraId="6551D3CB" w14:textId="77777777" w:rsidR="00A40205" w:rsidRPr="00A40205" w:rsidRDefault="00A40205" w:rsidP="00A40205">
      <w:r w:rsidRPr="00A40205">
        <w:t>Staff must:</w:t>
      </w:r>
    </w:p>
    <w:p w14:paraId="0F36F6C7" w14:textId="77777777" w:rsidR="00A40205" w:rsidRPr="00A40205" w:rsidRDefault="00A40205" w:rsidP="00A40205">
      <w:pPr>
        <w:numPr>
          <w:ilvl w:val="0"/>
          <w:numId w:val="21"/>
        </w:numPr>
      </w:pPr>
      <w:r w:rsidRPr="00A40205">
        <w:t>Inform a manager of their start time, location and expected finish time</w:t>
      </w:r>
    </w:p>
    <w:p w14:paraId="4AA5F693" w14:textId="77777777" w:rsidR="00A40205" w:rsidRPr="00A40205" w:rsidRDefault="00A40205" w:rsidP="00A40205">
      <w:pPr>
        <w:numPr>
          <w:ilvl w:val="0"/>
          <w:numId w:val="21"/>
        </w:numPr>
      </w:pPr>
      <w:r w:rsidRPr="00A40205">
        <w:t>Text or message the manager on arrival and departure</w:t>
      </w:r>
    </w:p>
    <w:p w14:paraId="5BF14DC7" w14:textId="77777777" w:rsidR="00A40205" w:rsidRPr="00A40205" w:rsidRDefault="00A40205" w:rsidP="00A40205">
      <w:pPr>
        <w:numPr>
          <w:ilvl w:val="0"/>
          <w:numId w:val="21"/>
        </w:numPr>
      </w:pPr>
      <w:r w:rsidRPr="00A40205">
        <w:t>Report any delays, changes or concerns</w:t>
      </w:r>
    </w:p>
    <w:p w14:paraId="5341A61B" w14:textId="77777777" w:rsidR="00A40205" w:rsidRPr="00A40205" w:rsidRDefault="00A40205" w:rsidP="00A40205">
      <w:pPr>
        <w:numPr>
          <w:ilvl w:val="0"/>
          <w:numId w:val="21"/>
        </w:numPr>
      </w:pPr>
      <w:r w:rsidRPr="00A40205">
        <w:t>Never enter a home or location if they feel unsafe</w:t>
      </w:r>
    </w:p>
    <w:p w14:paraId="188E3958" w14:textId="77777777" w:rsidR="00A40205" w:rsidRPr="00A40205" w:rsidRDefault="00A40205" w:rsidP="00A40205">
      <w:pPr>
        <w:numPr>
          <w:ilvl w:val="0"/>
          <w:numId w:val="21"/>
        </w:numPr>
      </w:pPr>
      <w:r w:rsidRPr="00A40205">
        <w:t>End the session early if risk increases</w:t>
      </w:r>
    </w:p>
    <w:p w14:paraId="233AAF26" w14:textId="77777777" w:rsidR="00A40205" w:rsidRPr="00A40205" w:rsidRDefault="00A40205" w:rsidP="00A40205">
      <w:r w:rsidRPr="00A40205">
        <w:t>If a staff member fails to check in:</w:t>
      </w:r>
    </w:p>
    <w:p w14:paraId="1D5E17E7" w14:textId="77777777" w:rsidR="00A40205" w:rsidRPr="00A40205" w:rsidRDefault="00A40205" w:rsidP="00A40205">
      <w:pPr>
        <w:numPr>
          <w:ilvl w:val="0"/>
          <w:numId w:val="22"/>
        </w:numPr>
      </w:pPr>
      <w:r w:rsidRPr="00A40205">
        <w:t>The manager attempts contact immediately</w:t>
      </w:r>
    </w:p>
    <w:p w14:paraId="3DC7BD41" w14:textId="77777777" w:rsidR="00A40205" w:rsidRPr="00A40205" w:rsidRDefault="00A40205" w:rsidP="00A40205">
      <w:pPr>
        <w:numPr>
          <w:ilvl w:val="0"/>
          <w:numId w:val="22"/>
        </w:numPr>
      </w:pPr>
      <w:r w:rsidRPr="00A40205">
        <w:t>If no response is received, escalation procedures are followed</w:t>
      </w:r>
    </w:p>
    <w:p w14:paraId="32B43344" w14:textId="17E86B33" w:rsidR="00A40205" w:rsidRPr="00A40205" w:rsidRDefault="00A40205" w:rsidP="00A40205"/>
    <w:p w14:paraId="461F8A93" w14:textId="77777777" w:rsidR="00A40205" w:rsidRPr="00A40205" w:rsidRDefault="00A40205" w:rsidP="00A40205">
      <w:pPr>
        <w:rPr>
          <w:b/>
          <w:bCs/>
        </w:rPr>
      </w:pPr>
      <w:r w:rsidRPr="00A40205">
        <w:rPr>
          <w:b/>
          <w:bCs/>
        </w:rPr>
        <w:t>8. Conduct During Sessions</w:t>
      </w:r>
    </w:p>
    <w:p w14:paraId="4313FF32" w14:textId="77777777" w:rsidR="00A40205" w:rsidRPr="00A40205" w:rsidRDefault="00A40205" w:rsidP="00A40205">
      <w:r w:rsidRPr="00A40205">
        <w:t>Staff must:</w:t>
      </w:r>
    </w:p>
    <w:p w14:paraId="7131FA2D" w14:textId="77777777" w:rsidR="00A40205" w:rsidRPr="00A40205" w:rsidRDefault="00A40205" w:rsidP="00A40205">
      <w:pPr>
        <w:numPr>
          <w:ilvl w:val="0"/>
          <w:numId w:val="23"/>
        </w:numPr>
      </w:pPr>
      <w:r w:rsidRPr="00A40205">
        <w:t>Maintain professional boundaries</w:t>
      </w:r>
    </w:p>
    <w:p w14:paraId="25578876" w14:textId="77777777" w:rsidR="00A40205" w:rsidRPr="00A40205" w:rsidRDefault="00A40205" w:rsidP="00A40205">
      <w:pPr>
        <w:numPr>
          <w:ilvl w:val="0"/>
          <w:numId w:val="23"/>
        </w:numPr>
      </w:pPr>
      <w:r w:rsidRPr="00A40205">
        <w:t>Ensure visibility and openness wherever possible</w:t>
      </w:r>
    </w:p>
    <w:p w14:paraId="2A1AD0F0" w14:textId="77777777" w:rsidR="00A40205" w:rsidRPr="00A40205" w:rsidRDefault="00A40205" w:rsidP="00A40205">
      <w:pPr>
        <w:numPr>
          <w:ilvl w:val="0"/>
          <w:numId w:val="23"/>
        </w:numPr>
      </w:pPr>
      <w:r w:rsidRPr="00A40205">
        <w:t>Use approved communication methods only</w:t>
      </w:r>
    </w:p>
    <w:p w14:paraId="61CE5842" w14:textId="77777777" w:rsidR="00A40205" w:rsidRPr="00A40205" w:rsidRDefault="00A40205" w:rsidP="00A40205">
      <w:pPr>
        <w:numPr>
          <w:ilvl w:val="0"/>
          <w:numId w:val="23"/>
        </w:numPr>
      </w:pPr>
      <w:r w:rsidRPr="00A40205">
        <w:t>Keep personal mobile phones stored away (unless needed for safety)</w:t>
      </w:r>
    </w:p>
    <w:p w14:paraId="441CCA59" w14:textId="77777777" w:rsidR="00A40205" w:rsidRPr="00A40205" w:rsidRDefault="00A40205" w:rsidP="00A40205">
      <w:pPr>
        <w:numPr>
          <w:ilvl w:val="0"/>
          <w:numId w:val="23"/>
        </w:numPr>
      </w:pPr>
      <w:r w:rsidRPr="00A40205">
        <w:t>Never transport learners in personal vehicles unless explicitly authorised</w:t>
      </w:r>
    </w:p>
    <w:p w14:paraId="1F8B812A" w14:textId="77777777" w:rsidR="00A40205" w:rsidRPr="00A40205" w:rsidRDefault="00A40205" w:rsidP="00A40205">
      <w:pPr>
        <w:numPr>
          <w:ilvl w:val="0"/>
          <w:numId w:val="23"/>
        </w:numPr>
      </w:pPr>
      <w:r w:rsidRPr="00A40205">
        <w:t>Not accept food, gifts or personal items from learners or families</w:t>
      </w:r>
    </w:p>
    <w:p w14:paraId="45E6F103" w14:textId="77777777" w:rsidR="00A40205" w:rsidRPr="00A40205" w:rsidRDefault="00A40205" w:rsidP="00A40205">
      <w:r w:rsidRPr="00A40205">
        <w:t>Physical contact must be avoided unless necessary for safety or first aid.</w:t>
      </w:r>
    </w:p>
    <w:p w14:paraId="47B8E83D" w14:textId="4A65471D" w:rsidR="00A40205" w:rsidRPr="00A40205" w:rsidRDefault="00A40205" w:rsidP="00A40205"/>
    <w:p w14:paraId="1BB2586F" w14:textId="77777777" w:rsidR="00A40205" w:rsidRPr="00A40205" w:rsidRDefault="00A40205" w:rsidP="00A40205">
      <w:pPr>
        <w:rPr>
          <w:b/>
          <w:bCs/>
        </w:rPr>
      </w:pPr>
      <w:r w:rsidRPr="00A40205">
        <w:rPr>
          <w:b/>
          <w:bCs/>
        </w:rPr>
        <w:t>9. Lone Working and Safeguarding</w:t>
      </w:r>
    </w:p>
    <w:p w14:paraId="23F75FDC" w14:textId="77777777" w:rsidR="00A40205" w:rsidRPr="00A40205" w:rsidRDefault="00A40205" w:rsidP="00A40205">
      <w:r w:rsidRPr="00A40205">
        <w:t>Safeguarding concerns may arise more frequently in one-to-one environments.</w:t>
      </w:r>
    </w:p>
    <w:p w14:paraId="642543FA" w14:textId="77777777" w:rsidR="00A40205" w:rsidRPr="00A40205" w:rsidRDefault="00A40205" w:rsidP="00A40205">
      <w:r w:rsidRPr="00A40205">
        <w:t>Staff must:</w:t>
      </w:r>
    </w:p>
    <w:p w14:paraId="04ADAB7C" w14:textId="77777777" w:rsidR="00A40205" w:rsidRPr="00A40205" w:rsidRDefault="00A40205" w:rsidP="00A40205">
      <w:pPr>
        <w:numPr>
          <w:ilvl w:val="0"/>
          <w:numId w:val="24"/>
        </w:numPr>
      </w:pPr>
      <w:r w:rsidRPr="00A40205">
        <w:t>Follow the Recognise–Respond–Record–Report process</w:t>
      </w:r>
    </w:p>
    <w:p w14:paraId="15986979" w14:textId="77777777" w:rsidR="00A40205" w:rsidRPr="00A40205" w:rsidRDefault="00A40205" w:rsidP="00A40205">
      <w:pPr>
        <w:numPr>
          <w:ilvl w:val="0"/>
          <w:numId w:val="24"/>
        </w:numPr>
      </w:pPr>
      <w:r w:rsidRPr="00A40205">
        <w:t>Inform the Designated Safeguarding Lead of any incident</w:t>
      </w:r>
    </w:p>
    <w:p w14:paraId="13130DFE" w14:textId="77777777" w:rsidR="00A40205" w:rsidRPr="00A40205" w:rsidRDefault="00A40205" w:rsidP="00A40205">
      <w:pPr>
        <w:numPr>
          <w:ilvl w:val="0"/>
          <w:numId w:val="24"/>
        </w:numPr>
      </w:pPr>
      <w:r w:rsidRPr="00A40205">
        <w:t>Be alert to contextual safeguarding risks (community, home or online)</w:t>
      </w:r>
    </w:p>
    <w:p w14:paraId="5D0C843E" w14:textId="77777777" w:rsidR="00A40205" w:rsidRPr="00A40205" w:rsidRDefault="00A40205" w:rsidP="00A40205">
      <w:pPr>
        <w:numPr>
          <w:ilvl w:val="0"/>
          <w:numId w:val="24"/>
        </w:numPr>
      </w:pPr>
      <w:r w:rsidRPr="00A40205">
        <w:t>Terminate sessions if a safeguarding concern is present</w:t>
      </w:r>
    </w:p>
    <w:p w14:paraId="443A167D" w14:textId="77777777" w:rsidR="00A40205" w:rsidRPr="00A40205" w:rsidRDefault="00A40205" w:rsidP="00A40205">
      <w:pPr>
        <w:numPr>
          <w:ilvl w:val="0"/>
          <w:numId w:val="24"/>
        </w:numPr>
      </w:pPr>
      <w:r w:rsidRPr="00A40205">
        <w:t>Keep accurate written records</w:t>
      </w:r>
    </w:p>
    <w:p w14:paraId="037D9CB2" w14:textId="77777777" w:rsidR="00A40205" w:rsidRPr="00A40205" w:rsidRDefault="00A40205" w:rsidP="00A40205">
      <w:r w:rsidRPr="00A40205">
        <w:lastRenderedPageBreak/>
        <w:t>Lone working must not take place with a learner known to present high risk without a multi-agency risk plan.</w:t>
      </w:r>
    </w:p>
    <w:p w14:paraId="04F0FFA1" w14:textId="2A65F73B" w:rsidR="00A40205" w:rsidRPr="00A40205" w:rsidRDefault="00A40205" w:rsidP="00A40205"/>
    <w:p w14:paraId="2C8B8859" w14:textId="77777777" w:rsidR="00A40205" w:rsidRPr="00A40205" w:rsidRDefault="00A40205" w:rsidP="00A40205">
      <w:pPr>
        <w:rPr>
          <w:b/>
          <w:bCs/>
        </w:rPr>
      </w:pPr>
      <w:r w:rsidRPr="00A40205">
        <w:rPr>
          <w:b/>
          <w:bCs/>
        </w:rPr>
        <w:t>10. Communication Procedures</w:t>
      </w:r>
    </w:p>
    <w:p w14:paraId="7FFA9565" w14:textId="77777777" w:rsidR="00A40205" w:rsidRPr="00A40205" w:rsidRDefault="00A40205" w:rsidP="00A40205">
      <w:r w:rsidRPr="00A40205">
        <w:t>Staff must:</w:t>
      </w:r>
    </w:p>
    <w:p w14:paraId="4B424671" w14:textId="77777777" w:rsidR="00A40205" w:rsidRPr="00A40205" w:rsidRDefault="00A40205" w:rsidP="00A40205">
      <w:pPr>
        <w:numPr>
          <w:ilvl w:val="0"/>
          <w:numId w:val="25"/>
        </w:numPr>
      </w:pPr>
      <w:r w:rsidRPr="00A40205">
        <w:t>Keep a manager informed of their location at all times</w:t>
      </w:r>
    </w:p>
    <w:p w14:paraId="4895358A" w14:textId="77777777" w:rsidR="00A40205" w:rsidRPr="00A40205" w:rsidRDefault="00A40205" w:rsidP="00A40205">
      <w:pPr>
        <w:numPr>
          <w:ilvl w:val="0"/>
          <w:numId w:val="25"/>
        </w:numPr>
      </w:pPr>
      <w:r w:rsidRPr="00A40205">
        <w:t>Have access to a charged mobile phone</w:t>
      </w:r>
    </w:p>
    <w:p w14:paraId="1F33DCD5" w14:textId="77777777" w:rsidR="00A40205" w:rsidRPr="00A40205" w:rsidRDefault="00A40205" w:rsidP="00A40205">
      <w:pPr>
        <w:numPr>
          <w:ilvl w:val="0"/>
          <w:numId w:val="25"/>
        </w:numPr>
      </w:pPr>
      <w:r w:rsidRPr="00A40205">
        <w:t>Notify the manager if the location or timing changes</w:t>
      </w:r>
    </w:p>
    <w:p w14:paraId="23AB87DC" w14:textId="77777777" w:rsidR="00A40205" w:rsidRPr="00A40205" w:rsidRDefault="00A40205" w:rsidP="00A40205">
      <w:pPr>
        <w:numPr>
          <w:ilvl w:val="0"/>
          <w:numId w:val="25"/>
        </w:numPr>
      </w:pPr>
      <w:r w:rsidRPr="00A40205">
        <w:t>Report missed check-ins by colleagues</w:t>
      </w:r>
    </w:p>
    <w:p w14:paraId="0687CA68" w14:textId="77777777" w:rsidR="00A40205" w:rsidRPr="00A40205" w:rsidRDefault="00A40205" w:rsidP="00A40205">
      <w:pPr>
        <w:numPr>
          <w:ilvl w:val="0"/>
          <w:numId w:val="25"/>
        </w:numPr>
      </w:pPr>
      <w:r w:rsidRPr="00A40205">
        <w:t>Know emergency protocols including contacting police or safeguarding services</w:t>
      </w:r>
    </w:p>
    <w:p w14:paraId="226CB633" w14:textId="24CA6827" w:rsidR="00A40205" w:rsidRPr="00A40205" w:rsidRDefault="00A40205" w:rsidP="00A40205"/>
    <w:p w14:paraId="3F9681C4" w14:textId="77777777" w:rsidR="00A40205" w:rsidRPr="00A40205" w:rsidRDefault="00A40205" w:rsidP="00A40205">
      <w:pPr>
        <w:rPr>
          <w:b/>
          <w:bCs/>
        </w:rPr>
      </w:pPr>
      <w:r w:rsidRPr="00A40205">
        <w:rPr>
          <w:b/>
          <w:bCs/>
        </w:rPr>
        <w:t>11. Personal Safety Guidance</w:t>
      </w:r>
    </w:p>
    <w:p w14:paraId="0BFD21BC" w14:textId="77777777" w:rsidR="00A40205" w:rsidRPr="00A40205" w:rsidRDefault="00A40205" w:rsidP="00A40205">
      <w:r w:rsidRPr="00A40205">
        <w:t>Staff should:</w:t>
      </w:r>
    </w:p>
    <w:p w14:paraId="0903E17F" w14:textId="77777777" w:rsidR="00A40205" w:rsidRPr="00A40205" w:rsidRDefault="00A40205" w:rsidP="00A40205">
      <w:pPr>
        <w:numPr>
          <w:ilvl w:val="0"/>
          <w:numId w:val="26"/>
        </w:numPr>
      </w:pPr>
      <w:r w:rsidRPr="00A40205">
        <w:t>Trust their professional instincts</w:t>
      </w:r>
    </w:p>
    <w:p w14:paraId="74EE8173" w14:textId="77777777" w:rsidR="00A40205" w:rsidRPr="00A40205" w:rsidRDefault="00A40205" w:rsidP="00A40205">
      <w:pPr>
        <w:numPr>
          <w:ilvl w:val="0"/>
          <w:numId w:val="26"/>
        </w:numPr>
      </w:pPr>
      <w:r w:rsidRPr="00A40205">
        <w:t>Position themselves near exits</w:t>
      </w:r>
    </w:p>
    <w:p w14:paraId="7CE92171" w14:textId="77777777" w:rsidR="00A40205" w:rsidRPr="00A40205" w:rsidRDefault="00A40205" w:rsidP="00A40205">
      <w:pPr>
        <w:numPr>
          <w:ilvl w:val="0"/>
          <w:numId w:val="26"/>
        </w:numPr>
      </w:pPr>
      <w:r w:rsidRPr="00A40205">
        <w:t>Avoid secluded or poorly lit areas</w:t>
      </w:r>
    </w:p>
    <w:p w14:paraId="16B4F83F" w14:textId="77777777" w:rsidR="00A40205" w:rsidRPr="00A40205" w:rsidRDefault="00A40205" w:rsidP="00A40205">
      <w:pPr>
        <w:numPr>
          <w:ilvl w:val="0"/>
          <w:numId w:val="26"/>
        </w:numPr>
      </w:pPr>
      <w:r w:rsidRPr="00A40205">
        <w:t>Decline entry to homes or locations that feel unsafe</w:t>
      </w:r>
    </w:p>
    <w:p w14:paraId="37A436AB" w14:textId="77777777" w:rsidR="00A40205" w:rsidRPr="00A40205" w:rsidRDefault="00A40205" w:rsidP="00A40205">
      <w:pPr>
        <w:numPr>
          <w:ilvl w:val="0"/>
          <w:numId w:val="26"/>
        </w:numPr>
      </w:pPr>
      <w:r w:rsidRPr="00A40205">
        <w:t>Not share personal information</w:t>
      </w:r>
    </w:p>
    <w:p w14:paraId="31D21749" w14:textId="77777777" w:rsidR="00A40205" w:rsidRPr="00A40205" w:rsidRDefault="00A40205" w:rsidP="00A40205">
      <w:pPr>
        <w:numPr>
          <w:ilvl w:val="0"/>
          <w:numId w:val="26"/>
        </w:numPr>
      </w:pPr>
      <w:r w:rsidRPr="00A40205">
        <w:t>Always plan travel routes in advance</w:t>
      </w:r>
    </w:p>
    <w:p w14:paraId="63D42B33" w14:textId="040A7238" w:rsidR="00A40205" w:rsidRPr="00A40205" w:rsidRDefault="00A40205" w:rsidP="00A40205"/>
    <w:p w14:paraId="5D8A4201" w14:textId="77777777" w:rsidR="00A40205" w:rsidRPr="00A40205" w:rsidRDefault="00A40205" w:rsidP="00A40205">
      <w:pPr>
        <w:rPr>
          <w:b/>
          <w:bCs/>
        </w:rPr>
      </w:pPr>
      <w:r w:rsidRPr="00A40205">
        <w:rPr>
          <w:b/>
          <w:bCs/>
        </w:rPr>
        <w:t>12. Incident Reporting</w:t>
      </w:r>
    </w:p>
    <w:p w14:paraId="1C131195" w14:textId="77777777" w:rsidR="00A40205" w:rsidRPr="00A40205" w:rsidRDefault="00A40205" w:rsidP="00A40205">
      <w:r w:rsidRPr="00A40205">
        <w:t>Any incident, concern or near-miss must be reported to:</w:t>
      </w:r>
    </w:p>
    <w:p w14:paraId="22964637" w14:textId="77777777" w:rsidR="00A40205" w:rsidRPr="00A40205" w:rsidRDefault="00A40205" w:rsidP="00A40205">
      <w:pPr>
        <w:numPr>
          <w:ilvl w:val="0"/>
          <w:numId w:val="27"/>
        </w:numPr>
      </w:pPr>
      <w:r w:rsidRPr="00A40205">
        <w:t>The Designated Safeguarding Lead</w:t>
      </w:r>
    </w:p>
    <w:p w14:paraId="7A107196" w14:textId="77777777" w:rsidR="00A40205" w:rsidRPr="00A40205" w:rsidRDefault="00A40205" w:rsidP="00A40205">
      <w:pPr>
        <w:numPr>
          <w:ilvl w:val="0"/>
          <w:numId w:val="27"/>
        </w:numPr>
      </w:pPr>
      <w:r w:rsidRPr="00A40205">
        <w:t>The Deputy Designated Safeguarding Lead (if DSL unavailable)</w:t>
      </w:r>
    </w:p>
    <w:p w14:paraId="63E27DE1" w14:textId="77777777" w:rsidR="00A40205" w:rsidRPr="00A40205" w:rsidRDefault="00A40205" w:rsidP="00A40205">
      <w:r w:rsidRPr="00A40205">
        <w:t>Incidents are recorded and reviewed, and risk assessments adjusted accordingly.</w:t>
      </w:r>
    </w:p>
    <w:p w14:paraId="0303FA48" w14:textId="1FCC7DDA" w:rsidR="00A40205" w:rsidRPr="00A40205" w:rsidRDefault="00A40205" w:rsidP="00A40205"/>
    <w:p w14:paraId="4AA551F4" w14:textId="77777777" w:rsidR="00A40205" w:rsidRPr="00A40205" w:rsidRDefault="00A40205" w:rsidP="00A40205">
      <w:pPr>
        <w:rPr>
          <w:b/>
          <w:bCs/>
        </w:rPr>
      </w:pPr>
      <w:r w:rsidRPr="00A40205">
        <w:rPr>
          <w:b/>
          <w:bCs/>
        </w:rPr>
        <w:t>13. Linked Policies</w:t>
      </w:r>
    </w:p>
    <w:p w14:paraId="4345E784" w14:textId="77777777" w:rsidR="00A40205" w:rsidRPr="00A40205" w:rsidRDefault="00A40205" w:rsidP="00A40205">
      <w:r w:rsidRPr="00A40205">
        <w:t>This policy links to:</w:t>
      </w:r>
    </w:p>
    <w:p w14:paraId="6BCF96AE" w14:textId="77777777" w:rsidR="00A40205" w:rsidRPr="00A40205" w:rsidRDefault="00A40205" w:rsidP="00A40205">
      <w:pPr>
        <w:numPr>
          <w:ilvl w:val="0"/>
          <w:numId w:val="28"/>
        </w:numPr>
      </w:pPr>
      <w:r w:rsidRPr="00A40205">
        <w:t>Safeguarding and Child Protection Policy</w:t>
      </w:r>
    </w:p>
    <w:p w14:paraId="15D4885A" w14:textId="77777777" w:rsidR="00A40205" w:rsidRPr="00A40205" w:rsidRDefault="00A40205" w:rsidP="00A40205">
      <w:pPr>
        <w:numPr>
          <w:ilvl w:val="0"/>
          <w:numId w:val="28"/>
        </w:numPr>
      </w:pPr>
      <w:r w:rsidRPr="00A40205">
        <w:t>Safer Recruitment Policy</w:t>
      </w:r>
    </w:p>
    <w:p w14:paraId="157F90FB" w14:textId="77777777" w:rsidR="00A40205" w:rsidRPr="00A40205" w:rsidRDefault="00A40205" w:rsidP="00A40205">
      <w:pPr>
        <w:numPr>
          <w:ilvl w:val="0"/>
          <w:numId w:val="28"/>
        </w:numPr>
      </w:pPr>
      <w:r w:rsidRPr="00A40205">
        <w:t>Code of Conduct</w:t>
      </w:r>
    </w:p>
    <w:p w14:paraId="59E9AE12" w14:textId="77777777" w:rsidR="00A40205" w:rsidRPr="00A40205" w:rsidRDefault="00A40205" w:rsidP="00A40205">
      <w:pPr>
        <w:numPr>
          <w:ilvl w:val="0"/>
          <w:numId w:val="28"/>
        </w:numPr>
      </w:pPr>
      <w:r w:rsidRPr="00A40205">
        <w:t>Managing Allegations Policy</w:t>
      </w:r>
    </w:p>
    <w:p w14:paraId="74C7CDEA" w14:textId="77777777" w:rsidR="00A40205" w:rsidRPr="00A40205" w:rsidRDefault="00A40205" w:rsidP="00A40205">
      <w:pPr>
        <w:numPr>
          <w:ilvl w:val="0"/>
          <w:numId w:val="28"/>
        </w:numPr>
      </w:pPr>
      <w:r w:rsidRPr="00A40205">
        <w:t>Behaviour and Attendance Policy</w:t>
      </w:r>
    </w:p>
    <w:p w14:paraId="303380FF" w14:textId="77777777" w:rsidR="00A40205" w:rsidRPr="00A40205" w:rsidRDefault="00A40205" w:rsidP="00A40205">
      <w:pPr>
        <w:numPr>
          <w:ilvl w:val="0"/>
          <w:numId w:val="28"/>
        </w:numPr>
      </w:pPr>
      <w:r w:rsidRPr="00A40205">
        <w:t>Data Protection and GDPR Policy</w:t>
      </w:r>
    </w:p>
    <w:p w14:paraId="42E87B32" w14:textId="77777777" w:rsidR="00A40205" w:rsidRPr="00A40205" w:rsidRDefault="00A40205" w:rsidP="00A40205">
      <w:pPr>
        <w:numPr>
          <w:ilvl w:val="0"/>
          <w:numId w:val="28"/>
        </w:numPr>
      </w:pPr>
      <w:r w:rsidRPr="00A40205">
        <w:t>Risk Assessment Policy</w:t>
      </w:r>
    </w:p>
    <w:p w14:paraId="6BCB0EB8" w14:textId="77777777" w:rsidR="00A40205" w:rsidRPr="00A40205" w:rsidRDefault="00A40205" w:rsidP="00A40205">
      <w:pPr>
        <w:numPr>
          <w:ilvl w:val="0"/>
          <w:numId w:val="28"/>
        </w:numPr>
      </w:pPr>
      <w:r w:rsidRPr="00A40205">
        <w:t>Prevent Duty Policy</w:t>
      </w:r>
    </w:p>
    <w:p w14:paraId="680095B6" w14:textId="77777777" w:rsidR="00A40205" w:rsidRPr="00A40205" w:rsidRDefault="00A40205" w:rsidP="00A40205">
      <w:pPr>
        <w:numPr>
          <w:ilvl w:val="0"/>
          <w:numId w:val="28"/>
        </w:numPr>
      </w:pPr>
      <w:r w:rsidRPr="00A40205">
        <w:t>Online Safety Guidance</w:t>
      </w:r>
    </w:p>
    <w:p w14:paraId="797C6478" w14:textId="0304CDD2" w:rsidR="00A40205" w:rsidRPr="00A40205" w:rsidRDefault="00A40205" w:rsidP="00A40205"/>
    <w:p w14:paraId="34274B60" w14:textId="77777777" w:rsidR="00A40205" w:rsidRPr="00A40205" w:rsidRDefault="00A40205" w:rsidP="00A40205">
      <w:pPr>
        <w:rPr>
          <w:b/>
          <w:bCs/>
        </w:rPr>
      </w:pPr>
      <w:r w:rsidRPr="00A40205">
        <w:rPr>
          <w:b/>
          <w:bCs/>
        </w:rPr>
        <w:t>14. Review</w:t>
      </w:r>
    </w:p>
    <w:p w14:paraId="62837E69" w14:textId="77777777" w:rsidR="00A40205" w:rsidRPr="00A40205" w:rsidRDefault="00A40205" w:rsidP="00A40205">
      <w:r w:rsidRPr="00A40205">
        <w:t>This policy will be reviewed annually or sooner if required due to changes in legislation, safeguarding practice or updated risk assessments.</w:t>
      </w:r>
    </w:p>
    <w:p w14:paraId="64324FFE" w14:textId="77777777" w:rsidR="00F1014E" w:rsidRDefault="00F1014E"/>
    <w:sectPr w:rsidR="00F1014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D0C6" w14:textId="77777777" w:rsidR="00E367D4" w:rsidRDefault="00E367D4" w:rsidP="00F05765">
      <w:pPr>
        <w:spacing w:line="240" w:lineRule="auto"/>
      </w:pPr>
      <w:r>
        <w:separator/>
      </w:r>
    </w:p>
  </w:endnote>
  <w:endnote w:type="continuationSeparator" w:id="0">
    <w:p w14:paraId="3563CEBE" w14:textId="77777777" w:rsidR="00E367D4" w:rsidRDefault="00E367D4" w:rsidP="00F05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7280"/>
      <w:docPartObj>
        <w:docPartGallery w:val="Page Numbers (Bottom of Page)"/>
        <w:docPartUnique/>
      </w:docPartObj>
    </w:sdtPr>
    <w:sdtEndPr>
      <w:rPr>
        <w:noProof/>
      </w:rPr>
    </w:sdtEndPr>
    <w:sdtContent>
      <w:p w14:paraId="39F73C18" w14:textId="45AFD6B9" w:rsidR="00F05765" w:rsidRDefault="00F05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1CBF9" w14:textId="77777777" w:rsidR="00F05765" w:rsidRDefault="00F0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F938" w14:textId="77777777" w:rsidR="00E367D4" w:rsidRDefault="00E367D4" w:rsidP="00F05765">
      <w:pPr>
        <w:spacing w:line="240" w:lineRule="auto"/>
      </w:pPr>
      <w:r>
        <w:separator/>
      </w:r>
    </w:p>
  </w:footnote>
  <w:footnote w:type="continuationSeparator" w:id="0">
    <w:p w14:paraId="48C31279" w14:textId="77777777" w:rsidR="00E367D4" w:rsidRDefault="00E367D4" w:rsidP="00F057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B99"/>
    <w:multiLevelType w:val="multilevel"/>
    <w:tmpl w:val="E626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87B3C"/>
    <w:multiLevelType w:val="multilevel"/>
    <w:tmpl w:val="EF7A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3105C"/>
    <w:multiLevelType w:val="multilevel"/>
    <w:tmpl w:val="B884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CA2"/>
    <w:multiLevelType w:val="multilevel"/>
    <w:tmpl w:val="3714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14DE4"/>
    <w:multiLevelType w:val="multilevel"/>
    <w:tmpl w:val="F4AA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11203"/>
    <w:multiLevelType w:val="multilevel"/>
    <w:tmpl w:val="7778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03710"/>
    <w:multiLevelType w:val="multilevel"/>
    <w:tmpl w:val="601C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30621"/>
    <w:multiLevelType w:val="multilevel"/>
    <w:tmpl w:val="B92EC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96BB8"/>
    <w:multiLevelType w:val="multilevel"/>
    <w:tmpl w:val="5DB8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85037"/>
    <w:multiLevelType w:val="multilevel"/>
    <w:tmpl w:val="2FE6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51BE8"/>
    <w:multiLevelType w:val="multilevel"/>
    <w:tmpl w:val="6F3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00714"/>
    <w:multiLevelType w:val="multilevel"/>
    <w:tmpl w:val="61CC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40E72"/>
    <w:multiLevelType w:val="multilevel"/>
    <w:tmpl w:val="A12E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977C2"/>
    <w:multiLevelType w:val="multilevel"/>
    <w:tmpl w:val="21FE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814C2"/>
    <w:multiLevelType w:val="multilevel"/>
    <w:tmpl w:val="FB4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D3069"/>
    <w:multiLevelType w:val="multilevel"/>
    <w:tmpl w:val="CF50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50E8F"/>
    <w:multiLevelType w:val="multilevel"/>
    <w:tmpl w:val="649C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C58AF"/>
    <w:multiLevelType w:val="multilevel"/>
    <w:tmpl w:val="06F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62607"/>
    <w:multiLevelType w:val="multilevel"/>
    <w:tmpl w:val="16AE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E1624"/>
    <w:multiLevelType w:val="multilevel"/>
    <w:tmpl w:val="531A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B69A7"/>
    <w:multiLevelType w:val="multilevel"/>
    <w:tmpl w:val="D5B6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73774"/>
    <w:multiLevelType w:val="multilevel"/>
    <w:tmpl w:val="2E8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808D3"/>
    <w:multiLevelType w:val="multilevel"/>
    <w:tmpl w:val="5782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611E5F"/>
    <w:multiLevelType w:val="multilevel"/>
    <w:tmpl w:val="D49A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3149C"/>
    <w:multiLevelType w:val="multilevel"/>
    <w:tmpl w:val="921E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A35E5A"/>
    <w:multiLevelType w:val="multilevel"/>
    <w:tmpl w:val="E3E0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837E02"/>
    <w:multiLevelType w:val="multilevel"/>
    <w:tmpl w:val="E0DE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EC6BEE"/>
    <w:multiLevelType w:val="multilevel"/>
    <w:tmpl w:val="B436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847140">
    <w:abstractNumId w:val="18"/>
  </w:num>
  <w:num w:numId="2" w16cid:durableId="333848685">
    <w:abstractNumId w:val="12"/>
  </w:num>
  <w:num w:numId="3" w16cid:durableId="678001750">
    <w:abstractNumId w:val="9"/>
  </w:num>
  <w:num w:numId="4" w16cid:durableId="1003387699">
    <w:abstractNumId w:val="11"/>
  </w:num>
  <w:num w:numId="5" w16cid:durableId="1614819506">
    <w:abstractNumId w:val="5"/>
  </w:num>
  <w:num w:numId="6" w16cid:durableId="122115578">
    <w:abstractNumId w:val="17"/>
  </w:num>
  <w:num w:numId="7" w16cid:durableId="1513957263">
    <w:abstractNumId w:val="7"/>
  </w:num>
  <w:num w:numId="8" w16cid:durableId="1621760260">
    <w:abstractNumId w:val="16"/>
  </w:num>
  <w:num w:numId="9" w16cid:durableId="936787470">
    <w:abstractNumId w:val="21"/>
  </w:num>
  <w:num w:numId="10" w16cid:durableId="517231507">
    <w:abstractNumId w:val="22"/>
  </w:num>
  <w:num w:numId="11" w16cid:durableId="2071073732">
    <w:abstractNumId w:val="0"/>
  </w:num>
  <w:num w:numId="12" w16cid:durableId="555747225">
    <w:abstractNumId w:val="27"/>
  </w:num>
  <w:num w:numId="13" w16cid:durableId="650018759">
    <w:abstractNumId w:val="6"/>
  </w:num>
  <w:num w:numId="14" w16cid:durableId="1571037313">
    <w:abstractNumId w:val="2"/>
  </w:num>
  <w:num w:numId="15" w16cid:durableId="1132670972">
    <w:abstractNumId w:val="13"/>
  </w:num>
  <w:num w:numId="16" w16cid:durableId="665867790">
    <w:abstractNumId w:val="3"/>
  </w:num>
  <w:num w:numId="17" w16cid:durableId="1868330895">
    <w:abstractNumId w:val="10"/>
  </w:num>
  <w:num w:numId="18" w16cid:durableId="305743888">
    <w:abstractNumId w:val="26"/>
  </w:num>
  <w:num w:numId="19" w16cid:durableId="1546916469">
    <w:abstractNumId w:val="19"/>
  </w:num>
  <w:num w:numId="20" w16cid:durableId="1805347082">
    <w:abstractNumId w:val="15"/>
  </w:num>
  <w:num w:numId="21" w16cid:durableId="1030881372">
    <w:abstractNumId w:val="20"/>
  </w:num>
  <w:num w:numId="22" w16cid:durableId="1170291749">
    <w:abstractNumId w:val="23"/>
  </w:num>
  <w:num w:numId="23" w16cid:durableId="647442527">
    <w:abstractNumId w:val="4"/>
  </w:num>
  <w:num w:numId="24" w16cid:durableId="15273708">
    <w:abstractNumId w:val="25"/>
  </w:num>
  <w:num w:numId="25" w16cid:durableId="144396396">
    <w:abstractNumId w:val="8"/>
  </w:num>
  <w:num w:numId="26" w16cid:durableId="1616794734">
    <w:abstractNumId w:val="24"/>
  </w:num>
  <w:num w:numId="27" w16cid:durableId="788280019">
    <w:abstractNumId w:val="14"/>
  </w:num>
  <w:num w:numId="28" w16cid:durableId="25227808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E"/>
    <w:rsid w:val="0000699C"/>
    <w:rsid w:val="000127E6"/>
    <w:rsid w:val="000464B9"/>
    <w:rsid w:val="001328A5"/>
    <w:rsid w:val="00412D95"/>
    <w:rsid w:val="00437D01"/>
    <w:rsid w:val="005249D1"/>
    <w:rsid w:val="0063227A"/>
    <w:rsid w:val="00660E1F"/>
    <w:rsid w:val="006B6D44"/>
    <w:rsid w:val="007B39A5"/>
    <w:rsid w:val="00906112"/>
    <w:rsid w:val="00A40205"/>
    <w:rsid w:val="00AE3D41"/>
    <w:rsid w:val="00B15152"/>
    <w:rsid w:val="00BB03F9"/>
    <w:rsid w:val="00C1671F"/>
    <w:rsid w:val="00CE6CD2"/>
    <w:rsid w:val="00DF1531"/>
    <w:rsid w:val="00E367D4"/>
    <w:rsid w:val="00E4229E"/>
    <w:rsid w:val="00E57FF1"/>
    <w:rsid w:val="00F05765"/>
    <w:rsid w:val="00F1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87D5"/>
  <w15:chartTrackingRefBased/>
  <w15:docId w15:val="{552B3F0C-3F07-4037-BB47-31AD83E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4E"/>
    <w:pPr>
      <w:widowControl w:val="0"/>
      <w:autoSpaceDE w:val="0"/>
      <w:autoSpaceDN w:val="0"/>
      <w:spacing w:after="0" w:line="276"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F1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AE3D41"/>
    <w:pPr>
      <w:spacing w:after="0" w:line="240" w:lineRule="auto"/>
    </w:pPr>
    <w:rPr>
      <w:kern w:val="0"/>
      <w:sz w:val="22"/>
      <w:szCs w:val="22"/>
      <w14:ligatures w14:val="none"/>
    </w:rPr>
    <w:tblPr>
      <w:tblStyleRowBandSize w:val="1"/>
      <w:tblStyleColBandSize w:val="1"/>
      <w:tblCellSpacing w:w="11"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85" w:type="dxa"/>
        <w:bottom w:w="85" w:type="dxa"/>
      </w:tblCellMar>
    </w:tblPr>
    <w:trPr>
      <w:tblCellSpacing w:w="11" w:type="dxa"/>
    </w:tr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Heading1Char">
    <w:name w:val="Heading 1 Char"/>
    <w:basedOn w:val="DefaultParagraphFont"/>
    <w:link w:val="Heading1"/>
    <w:uiPriority w:val="9"/>
    <w:rsid w:val="00F1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14E"/>
    <w:rPr>
      <w:rFonts w:eastAsiaTheme="majorEastAsia" w:cstheme="majorBidi"/>
      <w:color w:val="272727" w:themeColor="text1" w:themeTint="D8"/>
    </w:rPr>
  </w:style>
  <w:style w:type="paragraph" w:styleId="Title">
    <w:name w:val="Title"/>
    <w:basedOn w:val="Normal"/>
    <w:next w:val="Normal"/>
    <w:link w:val="TitleChar"/>
    <w:uiPriority w:val="10"/>
    <w:qFormat/>
    <w:rsid w:val="00F1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1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101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F1014E"/>
    <w:pPr>
      <w:spacing w:before="160"/>
      <w:jc w:val="center"/>
    </w:pPr>
    <w:rPr>
      <w:i/>
      <w:iCs/>
      <w:color w:val="000000" w:themeColor="text1"/>
    </w:rPr>
  </w:style>
  <w:style w:type="character" w:customStyle="1" w:styleId="QuoteChar">
    <w:name w:val="Quote Char"/>
    <w:basedOn w:val="DefaultParagraphFont"/>
    <w:link w:val="Quote"/>
    <w:uiPriority w:val="29"/>
    <w:rsid w:val="00F1014E"/>
    <w:rPr>
      <w:i/>
      <w:iCs/>
      <w:color w:val="000000" w:themeColor="text1"/>
    </w:rPr>
  </w:style>
  <w:style w:type="paragraph" w:styleId="ListParagraph">
    <w:name w:val="List Paragraph"/>
    <w:basedOn w:val="Normal"/>
    <w:uiPriority w:val="34"/>
    <w:qFormat/>
    <w:rsid w:val="00F1014E"/>
    <w:pPr>
      <w:ind w:left="720"/>
      <w:contextualSpacing/>
    </w:pPr>
  </w:style>
  <w:style w:type="character" w:styleId="IntenseEmphasis">
    <w:name w:val="Intense Emphasis"/>
    <w:basedOn w:val="DefaultParagraphFont"/>
    <w:uiPriority w:val="21"/>
    <w:qFormat/>
    <w:rsid w:val="00F1014E"/>
    <w:rPr>
      <w:i/>
      <w:iCs/>
      <w:color w:val="0F4761" w:themeColor="accent1" w:themeShade="BF"/>
    </w:rPr>
  </w:style>
  <w:style w:type="paragraph" w:styleId="IntenseQuote">
    <w:name w:val="Intense Quote"/>
    <w:basedOn w:val="Normal"/>
    <w:next w:val="Normal"/>
    <w:link w:val="IntenseQuoteChar"/>
    <w:uiPriority w:val="30"/>
    <w:qFormat/>
    <w:rsid w:val="00F1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14E"/>
    <w:rPr>
      <w:i/>
      <w:iCs/>
      <w:color w:val="0F4761" w:themeColor="accent1" w:themeShade="BF"/>
    </w:rPr>
  </w:style>
  <w:style w:type="character" w:styleId="IntenseReference">
    <w:name w:val="Intense Reference"/>
    <w:basedOn w:val="DefaultParagraphFont"/>
    <w:uiPriority w:val="32"/>
    <w:qFormat/>
    <w:rsid w:val="00F1014E"/>
    <w:rPr>
      <w:b/>
      <w:bCs/>
      <w:smallCaps/>
      <w:color w:val="0F4761" w:themeColor="accent1" w:themeShade="BF"/>
      <w:spacing w:val="5"/>
    </w:rPr>
  </w:style>
  <w:style w:type="paragraph" w:customStyle="1" w:styleId="TableParagraph">
    <w:name w:val="Table Paragraph"/>
    <w:basedOn w:val="Normal"/>
    <w:uiPriority w:val="1"/>
    <w:qFormat/>
    <w:rsid w:val="00F1014E"/>
    <w:pPr>
      <w:spacing w:line="257" w:lineRule="exact"/>
      <w:ind w:left="108"/>
    </w:pPr>
  </w:style>
  <w:style w:type="character" w:styleId="Hyperlink">
    <w:name w:val="Hyperlink"/>
    <w:basedOn w:val="DefaultParagraphFont"/>
    <w:uiPriority w:val="99"/>
    <w:unhideWhenUsed/>
    <w:rsid w:val="00F05765"/>
    <w:rPr>
      <w:color w:val="467886" w:themeColor="hyperlink"/>
      <w:u w:val="single"/>
    </w:rPr>
  </w:style>
  <w:style w:type="character" w:styleId="UnresolvedMention">
    <w:name w:val="Unresolved Mention"/>
    <w:basedOn w:val="DefaultParagraphFont"/>
    <w:uiPriority w:val="99"/>
    <w:semiHidden/>
    <w:unhideWhenUsed/>
    <w:rsid w:val="00F05765"/>
    <w:rPr>
      <w:color w:val="605E5C"/>
      <w:shd w:val="clear" w:color="auto" w:fill="E1DFDD"/>
    </w:rPr>
  </w:style>
  <w:style w:type="paragraph" w:styleId="Header">
    <w:name w:val="header"/>
    <w:basedOn w:val="Normal"/>
    <w:link w:val="HeaderChar"/>
    <w:uiPriority w:val="99"/>
    <w:unhideWhenUsed/>
    <w:rsid w:val="00F05765"/>
    <w:pPr>
      <w:tabs>
        <w:tab w:val="center" w:pos="4513"/>
        <w:tab w:val="right" w:pos="9026"/>
      </w:tabs>
      <w:spacing w:line="240" w:lineRule="auto"/>
    </w:pPr>
  </w:style>
  <w:style w:type="character" w:customStyle="1" w:styleId="HeaderChar">
    <w:name w:val="Header Char"/>
    <w:basedOn w:val="DefaultParagraphFont"/>
    <w:link w:val="Header"/>
    <w:uiPriority w:val="99"/>
    <w:rsid w:val="00F05765"/>
    <w:rPr>
      <w:rFonts w:ascii="Cambria" w:eastAsia="Cambria" w:hAnsi="Cambria" w:cs="Cambria"/>
      <w:kern w:val="0"/>
      <w:sz w:val="22"/>
      <w:szCs w:val="22"/>
      <w14:ligatures w14:val="none"/>
    </w:rPr>
  </w:style>
  <w:style w:type="paragraph" w:styleId="Footer">
    <w:name w:val="footer"/>
    <w:basedOn w:val="Normal"/>
    <w:link w:val="FooterChar"/>
    <w:uiPriority w:val="99"/>
    <w:unhideWhenUsed/>
    <w:rsid w:val="00F05765"/>
    <w:pPr>
      <w:tabs>
        <w:tab w:val="center" w:pos="4513"/>
        <w:tab w:val="right" w:pos="9026"/>
      </w:tabs>
      <w:spacing w:line="240" w:lineRule="auto"/>
    </w:pPr>
  </w:style>
  <w:style w:type="character" w:customStyle="1" w:styleId="FooterChar">
    <w:name w:val="Footer Char"/>
    <w:basedOn w:val="DefaultParagraphFont"/>
    <w:link w:val="Footer"/>
    <w:uiPriority w:val="99"/>
    <w:rsid w:val="00F05765"/>
    <w:rPr>
      <w:rFonts w:ascii="Cambria" w:eastAsia="Cambria" w:hAnsi="Cambria" w:cs="Cambria"/>
      <w:kern w:val="0"/>
      <w:sz w:val="22"/>
      <w:szCs w:val="22"/>
      <w14:ligatures w14:val="none"/>
    </w:rPr>
  </w:style>
  <w:style w:type="paragraph" w:styleId="NormalWeb">
    <w:name w:val="Normal (Web)"/>
    <w:basedOn w:val="Normal"/>
    <w:uiPriority w:val="99"/>
    <w:semiHidden/>
    <w:unhideWhenUsed/>
    <w:rsid w:val="00660E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educatio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872</Words>
  <Characters>5778</Characters>
  <Application>Microsoft Office Word</Application>
  <DocSecurity>0</DocSecurity>
  <Lines>361</Lines>
  <Paragraphs>289</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Clarke</dc:creator>
  <cp:keywords/>
  <dc:description/>
  <cp:lastModifiedBy>Susanne Clarke</cp:lastModifiedBy>
  <cp:revision>5</cp:revision>
  <dcterms:created xsi:type="dcterms:W3CDTF">2025-11-13T16:32:00Z</dcterms:created>
  <dcterms:modified xsi:type="dcterms:W3CDTF">2025-11-13T16:34:00Z</dcterms:modified>
</cp:coreProperties>
</file>