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" w:firstLine="3"/>
        <w:jc w:val="center"/>
        <w:rPr>
          <w:rFonts w:ascii="Times New Roman" w:cs="Times New Roman" w:eastAsia="Times New Roman" w:hAnsi="Times New Roman"/>
          <w:b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Sinalética  Projeciológica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5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9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Conceitologia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</w:rPr>
      </w:pPr>
      <w:bookmarkStart w:colFirst="0" w:colLast="0" w:name="_heading=h.hwalaprg4ds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Definição.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sinalética projeciológica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é o conjunto de sinais energéticos parapsíquicos pessoais, identificados, mapeados e decodificados, pela conscin, homem ou mulher, referentes ao parafenômeno e estado consciencial da projeção da consciência, ou à experiência fora-do-corpo-físico, a partir do psicossoma, de modo lúcido, englobando os períodos: pré-projetivo, projetivo e pós-projetivo.</w:t>
      </w:r>
    </w:p>
    <w:p w:rsidR="00000000" w:rsidDel="00000000" w:rsidP="00000000" w:rsidRDefault="00000000" w:rsidRPr="00000000" w14:paraId="00000007">
      <w:pPr>
        <w:spacing w:line="276" w:lineRule="auto"/>
        <w:ind w:firstLine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Sinonímia: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Sinalética projeciológica. 2. Sinalética da experiência extracorpórea. 3. Sinalética de descoincidência do psicossoma. 4. Sinalética lucidológica.</w:t>
      </w:r>
    </w:p>
    <w:p w:rsidR="00000000" w:rsidDel="00000000" w:rsidP="00000000" w:rsidRDefault="00000000" w:rsidRPr="00000000" w14:paraId="00000009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Antonímia: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1. Sinalética da pré-dessoma. 2. Sinalética do EV.</w:t>
      </w:r>
    </w:p>
    <w:p w:rsidR="00000000" w:rsidDel="00000000" w:rsidP="00000000" w:rsidRDefault="00000000" w:rsidRPr="00000000" w14:paraId="0000000B">
      <w:pPr>
        <w:spacing w:line="276" w:lineRule="auto"/>
        <w:ind w:firstLine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Especialidade: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Parassinaleticologia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Interdisciplinologia: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Projeciologia. 2. Amparologia. 3. Descoincidenciologia.  4. Holossensoriologia.  5. Lucidologia.  6. Extrafisicologia.  7. Multidimensionologia. 8. Parapercepciologia.  9. Paracomunicologia. </w:t>
      </w:r>
    </w:p>
    <w:p w:rsidR="00000000" w:rsidDel="00000000" w:rsidP="00000000" w:rsidRDefault="00000000" w:rsidRPr="00000000" w14:paraId="0000000E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firstLine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Neologia Multilíngue: </w:t>
      </w:r>
    </w:p>
    <w:p w:rsidR="00000000" w:rsidDel="00000000" w:rsidP="00000000" w:rsidRDefault="00000000" w:rsidRPr="00000000" w14:paraId="00000010">
      <w:pPr>
        <w:spacing w:line="276" w:lineRule="auto"/>
        <w:ind w:firstLine="709"/>
        <w:rPr>
          <w:rFonts w:ascii="Times New Roman" w:cs="Times New Roman" w:eastAsia="Times New Roman" w:hAnsi="Times New Roman"/>
          <w:i w:val="1"/>
        </w:rPr>
      </w:pPr>
      <w:bookmarkStart w:colFirst="0" w:colLast="0" w:name="_heading=h.bzlzfru6zgqw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Francês: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signalétique projectiologique.</w:t>
      </w:r>
    </w:p>
    <w:p w:rsidR="00000000" w:rsidDel="00000000" w:rsidP="00000000" w:rsidRDefault="00000000" w:rsidRPr="00000000" w14:paraId="00000011">
      <w:pPr>
        <w:spacing w:line="276" w:lineRule="auto"/>
        <w:ind w:firstLine="709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Espanhol: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señalética proyectiva; señalética de salida fuera del cuerpo.</w:t>
      </w:r>
    </w:p>
    <w:p w:rsidR="00000000" w:rsidDel="00000000" w:rsidP="00000000" w:rsidRDefault="00000000" w:rsidRPr="00000000" w14:paraId="00000012">
      <w:pPr>
        <w:spacing w:line="276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Inglês: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projectiological signage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firstLine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firstLine="709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9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Argumentologia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2268" w:firstLine="0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3401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18"/>
          <w:szCs w:val="18"/>
          <w:highlight w:val="white"/>
          <w:rtl w:val="0"/>
        </w:rPr>
        <w:t xml:space="preserve">A volitação, durante a projeção lúcida, pode curar minidoenças ao voltar a consciência projetada para o corpo humano como se tivesse passado por transfusão de energias conscienciais (ECs). Se o projetor tem a convicção disso, através da experiência extracorpórea, alcança resultados surpreendentes de melhoria, inclusive nas automegaeuforizações. Assim identificamos a interatividade entre os fenômenos somáticos e parafenômenos holossomáticos". (Vieira, 2014; p. 1.156)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100" w:before="100" w:line="276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Paracomunicação.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sinalética parapsíquica e a projeção lúcida são consideradas formas de comunicação interdimensional. A sinalética da projeção lúcida representa uma ampliação e qualificação parapsíquica.</w:t>
      </w:r>
    </w:p>
    <w:p w:rsidR="00000000" w:rsidDel="00000000" w:rsidP="00000000" w:rsidRDefault="00000000" w:rsidRPr="00000000" w14:paraId="0000001B">
      <w:pPr>
        <w:shd w:fill="ffffff" w:val="clear"/>
        <w:spacing w:after="100" w:before="100" w:line="276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Lucidez.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percentual de lucidez consciencial pode variar em cada etapa do ciclo projetivo e sua qualidade mensurada ao comparar entre os padrões conhecidos. Nesse caso, trata-se da sinalética lucidológica a respeito dos estados alterados da consciência e da sinalética da projetabilidade lúcida.</w:t>
      </w:r>
    </w:p>
    <w:p w:rsidR="00000000" w:rsidDel="00000000" w:rsidP="00000000" w:rsidRDefault="00000000" w:rsidRPr="00000000" w14:paraId="0000001C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Otimização.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sinalética pré-projetiva, quando percebidesenta grande fator otimizador da ampliação da lucidez e favorecedor da decolagem lúcida. Experiência ímpar para quem deseja adentrar de modo consciente nas dimensões extrafísicas e atuar como minipeça interassistencial.</w:t>
      </w:r>
    </w:p>
    <w:p w:rsidR="00000000" w:rsidDel="00000000" w:rsidP="00000000" w:rsidRDefault="00000000" w:rsidRPr="00000000" w14:paraId="0000001D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Volitação.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sinalética pós-projetiva de experiência com volitação é marcante, pois não ocorre de modo frequente para a maioria dos projetores. Conduz à sensação de bem-estar inigualável, seguida de motivação e maior conexão com os seres vivos, além de melhorar a disposição física e a recuperação somática e proporcionar bom humor acima da média.</w:t>
      </w:r>
    </w:p>
    <w:p w:rsidR="00000000" w:rsidDel="00000000" w:rsidP="00000000" w:rsidRDefault="00000000" w:rsidRPr="00000000" w14:paraId="0000001E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202122"/>
          <w:sz w:val="21"/>
          <w:szCs w:val="21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Paraevidenciologia (Fatos/Parafatos)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9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Taxologia.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Eis 3 categorias básicas de sinalética projeciológica a serem mapeadas pelo projetor (a) lúcido (a).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hd w:fill="ffffff" w:val="clear"/>
        <w:tabs>
          <w:tab w:val="center" w:leader="none" w:pos="992"/>
          <w:tab w:val="left" w:leader="none" w:pos="1059"/>
        </w:tabs>
        <w:spacing w:before="60" w:line="276" w:lineRule="auto"/>
        <w:ind w:left="0" w:firstLine="77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Sinaléticas Pré-Projetivas.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Sinalética da aura projetiva ou pré-projeção: o sono irresistível; o desconforto admonitório; a sensação de inflar como um balão. Sinalética de catalepsia projetiva: a sensação de paralisação física.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hd w:fill="ffffff" w:val="clear"/>
        <w:tabs>
          <w:tab w:val="center" w:leader="none" w:pos="992"/>
          <w:tab w:val="left" w:leader="none" w:pos="1059"/>
        </w:tabs>
        <w:spacing w:line="276" w:lineRule="auto"/>
        <w:ind w:left="0" w:firstLine="77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Sinaléticas Projetivas.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Sinalética de corrente extrafísica: a sensação de agilidade e leveza psicossomática. Sinalética de decolagem: a sensação de liberdade; a sensação de pele descolando; a sensação de ausência de respiração. Sinalética do deslocamento extrafísico: a sensação de agilidade psicossomática.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hd w:fill="ffffff" w:val="clear"/>
        <w:tabs>
          <w:tab w:val="center" w:leader="none" w:pos="992"/>
          <w:tab w:val="left" w:leader="none" w:pos="1059"/>
        </w:tabs>
        <w:spacing w:after="20" w:line="276" w:lineRule="auto"/>
        <w:ind w:left="0" w:firstLine="77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Sinaléticas Pós-Projetivas.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Sinalética de interiorização: a sensação de queda; a sensação de reencaixe. Sinalética de volitação: a leveza do psicossoma; o voo projetivo; a sensação de liberdade.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Memória.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lucidez é essencial para o registro e recuperação da lembrança da percepção dos sinais e /ou sinaléticas durante a projeção ou experiência para fora do corpo.</w:t>
      </w:r>
    </w:p>
    <w:p w:rsidR="00000000" w:rsidDel="00000000" w:rsidP="00000000" w:rsidRDefault="00000000" w:rsidRPr="00000000" w14:paraId="00000027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Parassentidos.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Eis uma lista de 6 categorias de parassentidos a serem memorizados antes do preparo ou técnica projetiva, a fim de observá-los durante a projeção lúcida:</w:t>
      </w:r>
    </w:p>
    <w:p w:rsidR="00000000" w:rsidDel="00000000" w:rsidP="00000000" w:rsidRDefault="00000000" w:rsidRPr="00000000" w14:paraId="00000028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Para-audição: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os sons intracranianos; os sons do ambientex; o som da voz da consciex ou do próprio projetor ou de outra conscin projetada. </w:t>
      </w:r>
    </w:p>
    <w:p w:rsidR="00000000" w:rsidDel="00000000" w:rsidP="00000000" w:rsidRDefault="00000000" w:rsidRPr="00000000" w14:paraId="00000029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Paragustação: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gosto de alimento específico. </w:t>
      </w:r>
    </w:p>
    <w:p w:rsidR="00000000" w:rsidDel="00000000" w:rsidP="00000000" w:rsidRDefault="00000000" w:rsidRPr="00000000" w14:paraId="0000002A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Paraolfato (olorização):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cheiro do ambientex; o cheiro da consciex; o perfume de um parajardim florido.</w:t>
      </w:r>
    </w:p>
    <w:p w:rsidR="00000000" w:rsidDel="00000000" w:rsidP="00000000" w:rsidRDefault="00000000" w:rsidRPr="00000000" w14:paraId="0000002B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Paratato: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textura macia, rugosa ou áspera; as texturas conhecidas, o peso de determinado objeto, a sensação de toque extrafísico.</w:t>
      </w:r>
    </w:p>
    <w:p w:rsidR="00000000" w:rsidDel="00000000" w:rsidP="00000000" w:rsidRDefault="00000000" w:rsidRPr="00000000" w14:paraId="0000002C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Paratermopercepção (mudança de temperatura):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sensação de frio; a sensação de calor.</w:t>
      </w:r>
    </w:p>
    <w:p w:rsidR="00000000" w:rsidDel="00000000" w:rsidP="00000000" w:rsidRDefault="00000000" w:rsidRPr="00000000" w14:paraId="0000002D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Paravisão: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cores do ambientex; a aparência monocromática (preto e branco) da(s) consciex(es).</w:t>
      </w:r>
    </w:p>
    <w:p w:rsidR="00000000" w:rsidDel="00000000" w:rsidP="00000000" w:rsidRDefault="00000000" w:rsidRPr="00000000" w14:paraId="0000002E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Hiperacuidade.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partir dos registros da sinalética proejciológica, de modo continuado, será possível verificar se o projetor ou projetora possui algum tipo de parassentido mais aguçado e quais desses apresentaram hiperacuidade sensorial.  </w:t>
      </w:r>
    </w:p>
    <w:p w:rsidR="00000000" w:rsidDel="00000000" w:rsidP="00000000" w:rsidRDefault="00000000" w:rsidRPr="00000000" w14:paraId="0000002F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Conclusiologia / Pensatologia (Síntese) </w:t>
      </w:r>
    </w:p>
    <w:p w:rsidR="00000000" w:rsidDel="00000000" w:rsidP="00000000" w:rsidRDefault="00000000" w:rsidRPr="00000000" w14:paraId="0000003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Técnica.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mapeamento da sinalética projeciológica pode ser considerado técnica projetiva, pois ao perceber as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sinaléticas pré-projetivas,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projetor ou projetora poderá se predispor ao relaxamento, à soltura energossomática e à utilização de alvo-mental projetivo, favorecendo a manutenção da lucidez e a experiência de consciência contínua.</w:t>
      </w:r>
    </w:p>
    <w:p w:rsidR="00000000" w:rsidDel="00000000" w:rsidP="00000000" w:rsidRDefault="00000000" w:rsidRPr="00000000" w14:paraId="00000035">
      <w:pPr>
        <w:shd w:fill="ffffff" w:val="clear"/>
        <w:spacing w:after="100" w:before="100" w:line="276" w:lineRule="auto"/>
        <w:ind w:firstLine="708"/>
        <w:jc w:val="both"/>
        <w:rPr>
          <w:rFonts w:ascii="Times New Roman" w:cs="Times New Roman" w:eastAsia="Times New Roman" w:hAnsi="Times New Roman"/>
          <w:color w:val="2021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2"/>
          <w:rtl w:val="0"/>
        </w:rPr>
        <w:t xml:space="preserve">Comunex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rtl w:val="0"/>
        </w:rPr>
        <w:t xml:space="preserve">. Fica claro que, dependendo do destino extrafísico, retorna-se para o soma, ou corpo físico, com sinaléticas específicas do padrão ainda impresso nas energias e no psicossoma relativo ao local de destino da projeção, ou de determinada comunex, porém, nem sempre rememorado. Pela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02122"/>
          <w:rtl w:val="0"/>
        </w:rPr>
        <w:t xml:space="preserve">sinalética pós-projetiva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rtl w:val="0"/>
        </w:rPr>
        <w:t xml:space="preserve"> é possível prever ou supor que tipo de ambiente foi visitado, pela sensação agradável ou desagradável ao acordar.</w:t>
      </w:r>
    </w:p>
    <w:p w:rsidR="00000000" w:rsidDel="00000000" w:rsidP="00000000" w:rsidRDefault="00000000" w:rsidRPr="00000000" w14:paraId="00000036">
      <w:pPr>
        <w:shd w:fill="ffffff" w:val="clear"/>
        <w:spacing w:after="100" w:before="100" w:line="276" w:lineRule="auto"/>
        <w:ind w:firstLine="708"/>
        <w:jc w:val="both"/>
        <w:rPr>
          <w:rFonts w:ascii="Times New Roman" w:cs="Times New Roman" w:eastAsia="Times New Roman" w:hAnsi="Times New Roman"/>
          <w:color w:val="2021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2"/>
          <w:rtl w:val="0"/>
        </w:rPr>
        <w:t xml:space="preserve">Desassim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rtl w:val="0"/>
        </w:rPr>
        <w:t xml:space="preserve">. Na maioria dos casos é necessário fazer a desassim ao acordar para manter-se na condição de homeostase holossomática.</w:t>
      </w:r>
    </w:p>
    <w:p w:rsidR="00000000" w:rsidDel="00000000" w:rsidP="00000000" w:rsidRDefault="00000000" w:rsidRPr="00000000" w14:paraId="00000037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color w:val="2021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2"/>
          <w:rtl w:val="0"/>
        </w:rPr>
        <w:t xml:space="preserve">Âncora.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rtl w:val="0"/>
        </w:rPr>
        <w:t xml:space="preserve"> O soma ou corpo físico é uma espécie de corpo-âncora que traz de volta, todas as noites, o psicossoma. Ora de modo suave e imperceptível, ora de modo abrupto e inconfundível. Esse último caso representa sinalética confirmatória do retorno do psicossoma ao soma.</w:t>
      </w:r>
    </w:p>
    <w:p w:rsidR="00000000" w:rsidDel="00000000" w:rsidP="00000000" w:rsidRDefault="00000000" w:rsidRPr="00000000" w14:paraId="00000038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Remissiologia (Dicionário de Sinaleticologia)</w:t>
      </w:r>
    </w:p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hd w:fill="ffffff" w:val="clear"/>
        <w:spacing w:before="60" w:lineRule="auto"/>
        <w:ind w:left="1069" w:hanging="360"/>
        <w:rPr>
          <w:color w:val="2021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da E.Q.M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(Dessomatologia).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hd w:fill="ffffff" w:val="clear"/>
        <w:ind w:left="1069" w:hanging="360"/>
        <w:rPr>
          <w:color w:val="2021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da Projeção de Mentalsoma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(Mentalsomatologia).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hd w:fill="ffffff" w:val="clear"/>
        <w:ind w:left="1069" w:hanging="360"/>
        <w:rPr>
          <w:color w:val="2021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da Descoincidência do Holossoma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(Descoincidenciologia).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hd w:fill="ffffff" w:val="clear"/>
        <w:ind w:left="1069" w:hanging="360"/>
        <w:rPr>
          <w:color w:val="2021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da Projeção Assistida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(Interassistenciologia).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hd w:fill="ffffff" w:val="clear"/>
        <w:ind w:left="1069" w:hanging="360"/>
        <w:rPr>
          <w:color w:val="2021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Lucidológica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(Lucidologia).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hd w:fill="ffffff" w:val="clear"/>
        <w:ind w:left="1069" w:hanging="360"/>
        <w:rPr>
          <w:color w:val="2021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Amparológica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(Amparologia).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hd w:fill="ffffff" w:val="clear"/>
        <w:spacing w:after="20" w:lineRule="auto"/>
        <w:ind w:left="1069" w:hanging="360"/>
        <w:rPr>
          <w:color w:val="2021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Sinalética de Catalepsia Projetiva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(Projeciologia).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Referenciologia</w:t>
      </w:r>
    </w:p>
    <w:p w:rsidR="00000000" w:rsidDel="00000000" w:rsidP="00000000" w:rsidRDefault="00000000" w:rsidRPr="00000000" w14:paraId="00000044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Bibliografia Específica:</w:t>
      </w:r>
    </w:p>
    <w:p w:rsidR="00000000" w:rsidDel="00000000" w:rsidP="00000000" w:rsidRDefault="00000000" w:rsidRPr="00000000" w14:paraId="00000046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Lopes,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Tatiana;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Desenvolvimento da Projetabilidade Lúcida;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pref. Dulce Daou; revisores Dayane Rossa; et al.; 160 p.; 25 E-mails; 58 enus.; 1 foto; 1 microbiografia; 22 websites; glos 179 termos; 60 refs.; 1 anexo; alf.; 21 x 14 cm; br.; Associação Internacional Editares; Foz do Iguaçu, PR; 2015; páginas 28 a 62, 82 a 89 e 93.</w:t>
      </w:r>
    </w:p>
    <w:p w:rsidR="00000000" w:rsidDel="00000000" w:rsidP="00000000" w:rsidRDefault="00000000" w:rsidRPr="00000000" w14:paraId="00000048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Tornieri,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Sandra;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Mapeamento da Sinalética Energética Parapsíquica;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pref.; Hernande Leite; revisores Mabel Teles; et al.; 302 p.; 4 seções; 56 caps.; 1 citação; 23 E-mails; 153 enus.; 1 fotos; 1 microbiografia; 55 pensatas; 11 questionamentos; 1 tab.; 11 técnicas; 2 testes; 21 websites; glos. 210 termos; 6 filmes; 57 refs.; 1 anexo; 2 apênds.; alf.; 21 x 14 cm; br.; 2a Ed. rev. e aum.; Associação Internacional Editares; Foz do Iguaçu, PR; 2018; páginas 41, 44, 145 a 177 e 237 a 241.</w:t>
      </w:r>
    </w:p>
    <w:p w:rsidR="00000000" w:rsidDel="00000000" w:rsidP="00000000" w:rsidRDefault="00000000" w:rsidRPr="00000000" w14:paraId="00000049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Vieira,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Waldo;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Léxico de Ortopensatas;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revisores Equipe de Revisores do Holociclo; 2 Vols.; 1.800 p.; Vol. I; 1 blog; 652 conceitos analógicos; 22 E-mails; 19 enus.; 1 esquema da evolução consciencial; 17 fotos; glos. 6.476 termos; 1.811 megapensenes trivocabulares; 1 microbiografia; 20.800 ortopensatas; 2 tabs.; 120 técnicas lexicográficas; 19 websites; 28,5 x 22 x 10 cm; enc.; Associação Internacional Editares; Foz do Iguaçu, PR; 2014; página 229. </w:t>
      </w:r>
    </w:p>
    <w:p w:rsidR="00000000" w:rsidDel="00000000" w:rsidP="00000000" w:rsidRDefault="00000000" w:rsidRPr="00000000" w14:paraId="0000004A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Idem;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Projeciologia: Panorama das Experiências da Consciência Fora do Corpo Humano;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revisores Alexander Steiner; et al.; 1.254 p.; 18 seções; 525 caps.; 150 abrevs.; 17 E-mails; 1.156 enus.; 1 escala; 1 foto; 3 gráfs.; 42 ilus.; 1 microbiografia; 1 sinopse; 2 tabs.; 15 websites; glos. 300 termos; 2.041 refs.; alf.; geo.; ono.; 28 x 21 x 7 cm; enc.; 10a Ed. rev. e aum.; Associação Internacional Editares; Foz do Iguaçu, PR; 2009; página 393, 484, 845 a 847, 853 a 860 e 862.</w:t>
      </w:r>
    </w:p>
    <w:p w:rsidR="00000000" w:rsidDel="00000000" w:rsidP="00000000" w:rsidRDefault="00000000" w:rsidRPr="00000000" w14:paraId="0000004B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4C">
      <w:pPr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Filmografia Específica:</w:t>
      </w:r>
    </w:p>
    <w:p w:rsidR="00000000" w:rsidDel="00000000" w:rsidP="00000000" w:rsidRDefault="00000000" w:rsidRPr="00000000" w14:paraId="0000004E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A Vida de Pi,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Título Original: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Life of Pi,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País: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EUA,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Data: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2012,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Duração: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127 min,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Gênero: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Aventura, Drama, Fantasia,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Idade (censura):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10 anos,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Idioma: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Inglês (com trechos em francês e tâmil),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Cor: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Colorido,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Legendado: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Português; Inglês; Espanhol (em DVD e streaming),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Direção: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Ang Lee,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Elenco: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Suraj Sharma, Irrfan Khan, Rafe Spall, Gérard Depardieu, Tabu, Adil Hussain,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Direção de Arte: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David Gropman,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Roteiro: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David Magee (baseado no livro de Yann Martel),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Fotografia: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Claudio Miranda,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Música: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Mychael Danna,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Figurino: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Arjun Bhasin,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Edição: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Tim Squyres,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Sinopse: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A Vida de Pi narra a jornada de Pi Patel, um jovem indiano que sobrevive a um naufrágio e divide um bote salva-vidas com um tigre-de-bengala. Em meio ao oceano Pacífico, ele vivencia experiências profundas de espiritualidade, percepção sensorial e conexão com a natureza, em uma história visualmente deslumbrante que mistura fantasia e realidade.</w:t>
      </w:r>
    </w:p>
    <w:p w:rsidR="00000000" w:rsidDel="00000000" w:rsidP="00000000" w:rsidRDefault="00000000" w:rsidRPr="00000000" w14:paraId="00000050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Webgrafia Específica: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Lopes,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Tatiana;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Cinematografia Projeciológica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(N. 4.390; 10.02.2018); Verbete;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In: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Vieira,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Waldo; Org.;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Enciclopédia da Conscienciologia;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apres. Coordenação da ENCYCLOSSAPIENS; revisores Equipe de Revisores da ENCYCLOSSAPIENS; Vol. Digital Único (PDF); CCXL + 34.372 p.; 3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E-mails;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11.129 enus.; 727 especialidades; 1 foto; glos. 6.500 termos (verbetes); 1 ilus.; 1.001 microbiografias; 417 tabs.; 25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websites;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22.474 bibliografias específicas; 1.048 filmografias específicas; 125 videografias específicas; 1.860 webgrafias específicas; alf.; 10ª Ed. rev. e aum.;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Associação Internacional de Enciclopediologia Conscienciológica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(ENCYCLOSSAPIENS); &amp;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Associação Internacional Editares;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Foz do Iguaçu, PR; 2023; páginas 8.795 a 8.800; disponível em: &lt;https://encyclossapiens.space/ec/ECDigital10.pdf&gt;; acesso em: 06.08.2025; 10h39.</w:t>
      </w:r>
    </w:p>
    <w:p w:rsidR="00000000" w:rsidDel="00000000" w:rsidP="00000000" w:rsidRDefault="00000000" w:rsidRPr="00000000" w14:paraId="00000054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highlight w:val="white"/>
          <w:rtl w:val="0"/>
        </w:rPr>
        <w:t xml:space="preserve">Tornieri,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Sandra;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highlight w:val="white"/>
          <w:rtl w:val="0"/>
        </w:rPr>
        <w:t xml:space="preserve">Taxologia da Autossinalética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(N. 5.411; 27.11.2020); Verbete;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highlight w:val="white"/>
          <w:rtl w:val="0"/>
        </w:rPr>
        <w:t xml:space="preserve">In: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highlight w:val="white"/>
          <w:rtl w:val="0"/>
        </w:rPr>
        <w:t xml:space="preserve">Vieira,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Waldo; Org.;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highlight w:val="white"/>
          <w:rtl w:val="0"/>
        </w:rPr>
        <w:t xml:space="preserve">Enciclopédia da Conscienciologia;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apres. Coordenação da ENCYCLOSSAPIENS; revisores Equipe de Revisores da ENCYCLOSSAPIENS; Vol. Digital Único (PDF); CCXL + 34.372 p.; 3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highlight w:val="white"/>
          <w:rtl w:val="0"/>
        </w:rPr>
        <w:t xml:space="preserve">E-mails;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11.129 enus.; 727 especialidades; 1 foto; glos. 6.500 termos (verbetes); 1 ilus.; 1.001 microbiografias; 417 tabs.; 25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highlight w:val="white"/>
          <w:rtl w:val="0"/>
        </w:rPr>
        <w:t xml:space="preserve">websites;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22.474 bibliografias específicas; 1.048 filmografias específicas; 125 videografias específicas; 1.860 webgrafias específicas; alf.; 10ª Ed. rev. e aum.;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highlight w:val="white"/>
          <w:rtl w:val="0"/>
        </w:rPr>
        <w:t xml:space="preserve">Associação Internacional de Enciclopediologia Conscienciológica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(ENCYCLOSSAPIENS); &amp;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highlight w:val="white"/>
          <w:rtl w:val="0"/>
        </w:rPr>
        <w:t xml:space="preserve">Associação Internacional Editares;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Foz do Iguaçu, PR; 2023; páginas 31.820 a 31.827; disponível em: &lt;https://encyclossapiens.space/ec/ECDigital10.pdf&gt;; acesso em: 06.08.2025; 10h40.</w:t>
      </w:r>
    </w:p>
    <w:p w:rsidR="00000000" w:rsidDel="00000000" w:rsidP="00000000" w:rsidRDefault="00000000" w:rsidRPr="00000000" w14:paraId="00000055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Vieira,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Waldo;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Autoconscientização Multidimensional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(N. 377; 31.10.2006); Verbete;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In: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Vieira,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Waldo; Org.;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Enciclopédia da Conscienciologia;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apres. Coordenação da ENCYCLOSSAPIENS; revisores Equipe de Revisores da ENCYCLOSSAPIENS; Vol. Digital Único (PDF); CCXL + 34.372 p.; 3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E-mails;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11.129 enus.; 727 especialidades; 1 foto; glos. 6.500 termos (verbetes); 1 ilus.; 1.001 microbiografias; 417 tabs.; 25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websites;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22.474 bibliografias específicas; 1.048 filmografias específicas; 125 videografias específicas; 1.860 webgrafias específicas; alf.; 10ª Ed. rev. e aum.;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Associação Internacional de Enciclopediologia Conscienciológica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(ENCYCLOSSAPIENS); &amp;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Associação Internacional Editares;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Foz do Iguaçu, PR; 2023; páginas 4.010 a 4.013; disponível em: &lt;https://encyclossapiens.space/ec/ECDigital10.pdf&gt;; acesso em: 06.08.2025; 10h37.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</w:t>
      </w:r>
    </w:p>
    <w:p w:rsidR="00000000" w:rsidDel="00000000" w:rsidP="00000000" w:rsidRDefault="00000000" w:rsidRPr="00000000" w14:paraId="00000056">
      <w:pPr>
        <w:ind w:firstLine="709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Autor(a):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S.T</w:t>
      </w:r>
    </w:p>
    <w:p w:rsidR="00000000" w:rsidDel="00000000" w:rsidP="00000000" w:rsidRDefault="00000000" w:rsidRPr="00000000" w14:paraId="00000059">
      <w:pPr>
        <w:ind w:firstLine="709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266700</wp:posOffset>
                </wp:positionV>
                <wp:extent cx="9525" cy="12700"/>
                <wp:effectExtent b="0" l="0" r="0" t="0"/>
                <wp:wrapTopAndBottom distB="0" distT="0"/>
                <wp:docPr id="107361183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925890" y="3775238"/>
                          <a:ext cx="6840220" cy="9525"/>
                        </a:xfrm>
                        <a:custGeom>
                          <a:rect b="b" l="l" r="r" t="t"/>
                          <a:pathLst>
                            <a:path extrusionOk="0" h="9525" w="6840220">
                              <a:moveTo>
                                <a:pt x="6839842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39842" y="0"/>
                              </a:lnTo>
                              <a:lnTo>
                                <a:pt x="6839842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266700</wp:posOffset>
                </wp:positionV>
                <wp:extent cx="9525" cy="12700"/>
                <wp:effectExtent b="0" l="0" r="0" t="0"/>
                <wp:wrapTopAndBottom distB="0" distT="0"/>
                <wp:docPr id="107361183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footerReference r:id="rId9" w:type="default"/>
      <w:pgSz w:h="16840" w:w="11900" w:orient="portrait"/>
      <w:pgMar w:bottom="1417" w:top="1417" w:left="1701" w:right="1701" w:header="284" w:footer="2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-787399</wp:posOffset>
              </wp:positionH>
              <wp:positionV relativeFrom="paragraph">
                <wp:posOffset>10350500</wp:posOffset>
              </wp:positionV>
              <wp:extent cx="3717290" cy="167640"/>
              <wp:effectExtent b="0" l="0" r="0" t="0"/>
              <wp:wrapNone/>
              <wp:docPr id="107361183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501643" y="3710468"/>
                        <a:ext cx="3688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6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-787399</wp:posOffset>
              </wp:positionH>
              <wp:positionV relativeFrom="paragraph">
                <wp:posOffset>10350500</wp:posOffset>
              </wp:positionV>
              <wp:extent cx="3717290" cy="167640"/>
              <wp:effectExtent b="0" l="0" r="0" t="0"/>
              <wp:wrapNone/>
              <wp:docPr id="107361183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17290" cy="1676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5956300</wp:posOffset>
              </wp:positionH>
              <wp:positionV relativeFrom="paragraph">
                <wp:posOffset>10350500</wp:posOffset>
              </wp:positionV>
              <wp:extent cx="220980" cy="167640"/>
              <wp:effectExtent b="0" l="0" r="0" t="0"/>
              <wp:wrapNone/>
              <wp:docPr id="107361183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49798" y="3710468"/>
                        <a:ext cx="192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60" w:right="0" w:firstLine="1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PAGE 1/ NUMPAGES 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5956300</wp:posOffset>
              </wp:positionH>
              <wp:positionV relativeFrom="paragraph">
                <wp:posOffset>10350500</wp:posOffset>
              </wp:positionV>
              <wp:extent cx="220980" cy="167640"/>
              <wp:effectExtent b="0" l="0" r="0" t="0"/>
              <wp:wrapNone/>
              <wp:docPr id="107361183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0980" cy="1676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245" w:lineRule="auto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1062039</wp:posOffset>
              </wp:positionH>
              <wp:positionV relativeFrom="page">
                <wp:posOffset>233364</wp:posOffset>
              </wp:positionV>
              <wp:extent cx="5563870" cy="285750"/>
              <wp:effectExtent b="0" l="0" r="0" t="0"/>
              <wp:wrapSquare wrapText="bothSides" distB="0" distT="0" distL="0" distR="0"/>
              <wp:docPr id="107361183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78353" y="3651413"/>
                        <a:ext cx="553529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Dicionário  de  Sinaleticologia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1062039</wp:posOffset>
              </wp:positionH>
              <wp:positionV relativeFrom="page">
                <wp:posOffset>233364</wp:posOffset>
              </wp:positionV>
              <wp:extent cx="5563870" cy="285750"/>
              <wp:effectExtent b="0" l="0" r="0" t="0"/>
              <wp:wrapSquare wrapText="bothSides" distB="0" distT="0" distL="0" distR="0"/>
              <wp:docPr id="107361183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63870" cy="285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4"/>
        <w:szCs w:val="24"/>
        <w:rtl w:val="0"/>
      </w:rPr>
      <w:t xml:space="preserve">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cs="Times New Roman" w:eastAsia="Times New Roman" w:hAnsi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color w:val="2021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pt_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3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spacing w:before="225" w:lineRule="auto"/>
      <w:ind w:left="3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406" w:lineRule="auto"/>
      <w:ind w:left="3"/>
    </w:pPr>
    <w:rPr>
      <w:b w:val="1"/>
      <w:sz w:val="50"/>
      <w:szCs w:val="5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spacing w:before="245"/>
    </w:pPr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spacing w:before="55"/>
      <w:ind w:left="387" w:hanging="267"/>
    </w:pPr>
    <w:rPr>
      <w:rFonts w:ascii="Arial MT" w:cs="Arial MT" w:eastAsia="Arial MT" w:hAnsi="Arial MT"/>
    </w:r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3D5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C3D52"/>
    <w:rPr>
      <w:rFonts w:ascii="Georgia" w:cs="Georgia" w:eastAsia="Georgia" w:hAnsi="Georgia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DC3D5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C3D52"/>
    <w:rPr>
      <w:rFonts w:ascii="Georgia" w:cs="Georgia" w:eastAsia="Georgia" w:hAnsi="Georgia"/>
      <w:lang w:val="pt-PT"/>
    </w:rPr>
  </w:style>
  <w:style w:type="paragraph" w:styleId="PargrafodaLista1" w:customStyle="1">
    <w:name w:val="Parágrafo da Lista1"/>
    <w:basedOn w:val="Normal"/>
    <w:qFormat w:val="1"/>
    <w:rsid w:val="004E4006"/>
    <w:pPr>
      <w:widowControl w:val="1"/>
      <w:ind w:left="708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 w:val="1"/>
    <w:rsid w:val="009972E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972E4"/>
    <w:rPr>
      <w:color w:val="605e5c"/>
      <w:shd w:color="auto" w:fill="e1dfdd" w:val="clear"/>
    </w:rPr>
  </w:style>
  <w:style w:type="paragraph" w:styleId="Default" w:customStyle="1">
    <w:name w:val="Default"/>
    <w:rsid w:val="00515F1B"/>
    <w:pPr>
      <w:widowControl w:val="1"/>
      <w:adjustRightInd w:val="0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character" w:styleId="Refdecomentrio">
    <w:name w:val="annotation reference"/>
    <w:uiPriority w:val="99"/>
    <w:semiHidden w:val="1"/>
    <w:unhideWhenUsed w:val="1"/>
    <w:rsid w:val="00515F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515F1B"/>
    <w:pPr>
      <w:widowControl w:val="1"/>
      <w:jc w:val="both"/>
    </w:pPr>
    <w:rPr>
      <w:rFonts w:ascii="Times New Roman" w:cs="Times New Roman" w:eastAsia="Times New Roman" w:hAnsi="Times New Roman"/>
      <w:noProof w:val="1"/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15F1B"/>
    <w:rPr>
      <w:rFonts w:ascii="Times New Roman" w:cs="Times New Roman" w:eastAsia="Times New Roman" w:hAnsi="Times New Roman"/>
      <w:noProof w:val="1"/>
      <w:sz w:val="20"/>
      <w:szCs w:val="20"/>
      <w:lang w:val="pt-BR"/>
    </w:rPr>
  </w:style>
  <w:style w:type="paragraph" w:styleId="AACaptulosEnciclo" w:customStyle="1">
    <w:name w:val="AA Capítulos Enciclo"/>
    <w:basedOn w:val="Numerada5"/>
    <w:rsid w:val="005C4744"/>
    <w:pPr>
      <w:numPr>
        <w:numId w:val="0"/>
      </w:numPr>
      <w:pBdr>
        <w:top w:color="auto" w:space="3" w:sz="6" w:val="double"/>
        <w:left w:color="auto" w:space="0" w:sz="6" w:val="double"/>
        <w:bottom w:color="auto" w:space="3" w:sz="6" w:val="double"/>
        <w:right w:color="auto" w:space="0" w:sz="6" w:val="double"/>
      </w:pBdr>
      <w:adjustRightInd w:val="0"/>
      <w:contextualSpacing w:val="0"/>
      <w:jc w:val="center"/>
    </w:pPr>
    <w:rPr>
      <w:rFonts w:ascii="Arial" w:cs="Times New Roman" w:eastAsia="Times New Roman" w:hAnsi="Arial"/>
      <w:b w:val="1"/>
      <w:i w:val="1"/>
      <w:smallCaps w:val="1"/>
      <w:noProof w:val="1"/>
      <w:spacing w:val="30"/>
    </w:rPr>
  </w:style>
  <w:style w:type="paragraph" w:styleId="Numerada5">
    <w:name w:val="List Number 5"/>
    <w:basedOn w:val="Normal"/>
    <w:uiPriority w:val="99"/>
    <w:semiHidden w:val="1"/>
    <w:unhideWhenUsed w:val="1"/>
    <w:rsid w:val="005C4744"/>
    <w:pPr>
      <w:numPr>
        <w:numId w:val="3"/>
      </w:numPr>
      <w:tabs>
        <w:tab w:val="num" w:pos="1492"/>
      </w:tabs>
      <w:ind w:left="1492" w:hanging="360"/>
      <w:contextualSpacing w:val="1"/>
    </w:pPr>
  </w:style>
  <w:style w:type="paragraph" w:styleId="Texto" w:customStyle="1">
    <w:name w:val="Texto"/>
    <w:basedOn w:val="Normal"/>
    <w:rsid w:val="00C70D51"/>
    <w:pPr>
      <w:widowControl w:val="1"/>
      <w:ind w:firstLine="709"/>
      <w:jc w:val="both"/>
    </w:pPr>
    <w:rPr>
      <w:rFonts w:ascii="Times New Roman" w:cs="Times New Roman" w:eastAsia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515F3"/>
    <w:pPr>
      <w:widowControl w:val="0"/>
      <w:jc w:val="left"/>
    </w:pPr>
    <w:rPr>
      <w:rFonts w:ascii="Georgia" w:cs="Georgia" w:eastAsia="Georgia" w:hAnsi="Georgia"/>
      <w:b w:val="1"/>
      <w:bCs w:val="1"/>
      <w:noProof w:val="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515F3"/>
    <w:rPr>
      <w:rFonts w:ascii="Times New Roman" w:cs="Times New Roman" w:eastAsia="Times New Roman" w:hAnsi="Times New Roman"/>
      <w:b w:val="1"/>
      <w:bCs w:val="1"/>
      <w:noProof w:val="1"/>
      <w:sz w:val="20"/>
      <w:szCs w:val="20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L1XzUpyKP/KfhX0q8ZdzeQ6hIg==">CgMxLjAyDmguaHdhbGFwcmc0ZHN2Mg5oLmJ6bHpmcnU2emdxdzgAciExQm1WWlI0ZmVIZ3dJV2xFVk1XdnhvcDNCem1uZEgzOGk=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2025-08-08T21:02:00Z</dcterms:created>
  <dc:creator>Sandra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2025-01-07T00:00:00Z</vt:filetime>
  </property>
  <property fmtid="{D5CDD505-2E9C-101B-9397-08002B2CF9AE}" pid="5" name="Producer">
    <vt:lpwstr>Skia/PDF m131</vt:lpwstr>
  </property>
</Properties>
</file>