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3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Sinalética   da   Saúde   Holossomática</w:t>
      </w:r>
    </w:p>
    <w:p w:rsidR="00000000" w:rsidDel="00000000" w:rsidP="00000000" w:rsidRDefault="00000000" w:rsidRPr="00000000" w14:paraId="00000002">
      <w:pPr>
        <w:pStyle w:val="Heading1"/>
        <w:ind w:firstLine="3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10736118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1375" y="3775238"/>
                          <a:ext cx="542925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10736118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Conceitologia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zve6kgg9no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Definição.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sinalética da saúde holossomática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é a identificação, registro e mapeamento do conjunto dos sinais energéticos e parapsíquicos dos veículos de manifestação da consciência – soma, energossoma, psicossoma e mentalsoma – no estado de saúde consciencial plena, ou equilíbrio dinâmico e a relação harmônica com os holopensenes, constituindo recurso para a autevolução.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Sinonímia: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 Sinalética da saúde consciencial. 2.  Sinalética da homeostase holossomática.  3.  Sinalética do padrão homeostático de referência.  4. Sinalética de higiene consciencial.   </w:t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Antonímia: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  Sinalética da doença consciencial. 2.  Sinalética da patologia holossomática.  3.  Sinalética do padrão de desequilíbrio. </w:t>
      </w:r>
    </w:p>
    <w:p w:rsidR="00000000" w:rsidDel="00000000" w:rsidP="00000000" w:rsidRDefault="00000000" w:rsidRPr="00000000" w14:paraId="0000000B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Especialidade: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Homeostaticologia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Interdisciplinologia: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Sinaleticologia. 2. Holossomatologia. 3. Harmoniologia.  4. Interassistenciologia.  5. Evoluciologia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Neologia Multilíngue: </w:t>
      </w:r>
    </w:p>
    <w:p w:rsidR="00000000" w:rsidDel="00000000" w:rsidP="00000000" w:rsidRDefault="00000000" w:rsidRPr="00000000" w14:paraId="00000010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Francês: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Signes de santé consciente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Espanhol: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Señales de salud consciente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Inglês: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Signs of conscious health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Argumentologia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2268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Comunex.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Toda Comunex Evoluída tem relação com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saúde consciencial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porque está empenhada no objetivo da Interassistenciologia. Pelas observações das consciexes, aproximadamente 50% dos componentes da Comunidade Conscienciológica Cosmoética Internacional (CCCI), quando eram consciexes, já visitaram alguma Comunex Evoluída. A ida à Comunex Evoluída gerou impacto evolutivo, antes da ressoma, inspirando, consequentemente, as neoideias que trouxeram os intermissivistas até aqui, incluindo a consecução das proéxis pessoal e grupal. (Vieira, 2021; página 540).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Homoestaticologia.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sinalética energética parapsíquica pessoal é ferramenta essencial para a gestão da saúde holossomática. Cada veículo de manifestação da consciência possui sinais e sinaléticas específicas, tanto do ponto de vista homeostático, quanto patológico.</w:t>
      </w:r>
    </w:p>
    <w:p w:rsidR="00000000" w:rsidDel="00000000" w:rsidP="00000000" w:rsidRDefault="00000000" w:rsidRPr="00000000" w14:paraId="0000001B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Holossomatologia.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comunicação intrapsíquica ocorre a partir da manifestação pensênica da consciência. A saúde ou patologia ocorrem na raiz dessa manifestação. A partir da identificação da sinalética do padrão homeostático de referência holossomático é possível monitorar e gerenciar a saúde dos veículos de manifestação consciencial.</w:t>
      </w:r>
    </w:p>
    <w:p w:rsidR="00000000" w:rsidDel="00000000" w:rsidP="00000000" w:rsidRDefault="00000000" w:rsidRPr="00000000" w14:paraId="0000001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Pensenologia.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Os sinais energéticos e parapsíquicos passam pela manifestação básica dos pensenes da consciência. Cada elemento do pensene – pensamento, sentimento e energias – possuem relação com determinado veículo de manifestação. O pensamento com o mentalsoma, com reflexos no coronochacra, frontochacra do energossoma e no cérebro do corpo físico; o sentimento com o psicossoma, com reflexos no cardiochacra, laringochacra no energossoma e no sistema límbico do soma; as energias com a predisposição para a doação energética do energossoma, no sistema imunológico.</w:t>
      </w:r>
    </w:p>
    <w:p w:rsidR="00000000" w:rsidDel="00000000" w:rsidP="00000000" w:rsidRDefault="00000000" w:rsidRPr="00000000" w14:paraId="0000001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Evocaciologia.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Os padrões pensênicos evocam consciências e bolsões afins. Quem tem o autodiscernimento sinaleticológico consegue perceber e distinguir de imediato o padrão, a qualidade, e a categoria das consciexes no entorno.</w:t>
      </w:r>
    </w:p>
    <w:p w:rsidR="00000000" w:rsidDel="00000000" w:rsidP="00000000" w:rsidRDefault="00000000" w:rsidRPr="00000000" w14:paraId="0000001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Terapeuticologia.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Toda doença possui raiz na pensenidade consciencial. Até o vírus só se estabelece quando encontra um ambiente propício. Os erros, falhas e assédios interconscienciais também possuem raízes pensênicas. A saúde consciencial também depende da saúde coletiva ou da saúde do grupo evolutivo.</w:t>
      </w:r>
    </w:p>
    <w:p w:rsidR="00000000" w:rsidDel="00000000" w:rsidP="00000000" w:rsidRDefault="00000000" w:rsidRPr="00000000" w14:paraId="0000001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Holocarma.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anticonflitividade é sinal de conta corrente holocármica bem resolvida. A primener é o sinal do estado consciencial de pacificação íntima e doação permanente de energias benfasejas do intermissivista, com saldo positivo do ponto de vista holocármico.</w:t>
      </w:r>
    </w:p>
    <w:p w:rsidR="00000000" w:rsidDel="00000000" w:rsidP="00000000" w:rsidRDefault="00000000" w:rsidRPr="00000000" w14:paraId="0000002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Paraevidenciologia (Fatos/Parafatos)</w:t>
      </w:r>
    </w:p>
    <w:p w:rsidR="00000000" w:rsidDel="00000000" w:rsidP="00000000" w:rsidRDefault="00000000" w:rsidRPr="00000000" w14:paraId="00000023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Sinaleticologia.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O mapeamanento da sinalética é essencial para o autodiscernimento da saúde holossomática. A partir das sinaléticas mapeadas é possível aprofundar na autopesquisa e investir nas recins mais duradouras.</w:t>
      </w:r>
    </w:p>
    <w:p w:rsidR="00000000" w:rsidDel="00000000" w:rsidP="00000000" w:rsidRDefault="00000000" w:rsidRPr="00000000" w14:paraId="00000025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Comunicaciologia.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Os veículos de manifestação da consciência estão em constante comunicação. Essa conexão pode confirmar a sinalética específica de determinada paracicatriz ou patologia paragenética.</w:t>
      </w:r>
    </w:p>
    <w:p w:rsidR="00000000" w:rsidDel="00000000" w:rsidP="00000000" w:rsidRDefault="00000000" w:rsidRPr="00000000" w14:paraId="00000026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Megaeuforizaciologia.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O extrapolacionismo da saúde holossomática pode ser percebido a partir da manifestação da megaeuforização. Cada intermissivista lúcido ou sinaleticólogo irá perceber sinais personalíssimos da própria megaeuforização.</w:t>
      </w:r>
    </w:p>
    <w:p w:rsidR="00000000" w:rsidDel="00000000" w:rsidP="00000000" w:rsidRDefault="00000000" w:rsidRPr="00000000" w14:paraId="00000027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Ofiexologia.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 megaeuforização pode tornar-se o padrão de manifestação consciencial, mas pode aparecer ao modo de extrapolacionismo. Podendo ser um sinal dos preparativos para a implantação da ofiex.</w:t>
      </w:r>
    </w:p>
    <w:p w:rsidR="00000000" w:rsidDel="00000000" w:rsidP="00000000" w:rsidRDefault="00000000" w:rsidRPr="00000000" w14:paraId="00000028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Conclusiologia / Pensatologia (Síntese) 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Interassistenciologia.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Importa a conscin intermissivista interessada na evolução grupal manter a saúde holossomática, pois essa é a base da doação e da interassistência.</w:t>
      </w:r>
    </w:p>
    <w:p w:rsidR="00000000" w:rsidDel="00000000" w:rsidP="00000000" w:rsidRDefault="00000000" w:rsidRPr="00000000" w14:paraId="0000002E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Tenepessologia.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Praticar tenepes significa doação da saúde consciencial diária. A sinalética tenepessológica é o termômetro da capacidade e qualidade interassistencial do tenepessista.</w:t>
      </w:r>
    </w:p>
    <w:p w:rsidR="00000000" w:rsidDel="00000000" w:rsidP="00000000" w:rsidRDefault="00000000" w:rsidRPr="00000000" w14:paraId="0000002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Extrafisiologia.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As centrais extrafísicas são os reflexos ampliados do somatório das manifestações de todas as consciências em estado homeostático holossomático. </w:t>
      </w:r>
    </w:p>
    <w:p w:rsidR="00000000" w:rsidDel="00000000" w:rsidP="00000000" w:rsidRDefault="00000000" w:rsidRPr="00000000" w14:paraId="00000030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Correspondência.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 hipótese, cada central extrafísica possui manifestação correspondente no holossoma: central extrafísica da verdade – mentalsoma; central extrafísica da fraternidade – psicossoma e central extrafísica das energias: energossoma e soma. </w:t>
      </w:r>
    </w:p>
    <w:p w:rsidR="00000000" w:rsidDel="00000000" w:rsidP="00000000" w:rsidRDefault="00000000" w:rsidRPr="00000000" w14:paraId="00000031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Potencialização.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Quando a consciência está em seu estado máximo de saúde poderá se conectar com as centrais afins e potencializar suas manifestações, com o propósito de qualificar a ampliar a interassistência.</w:t>
      </w:r>
    </w:p>
    <w:p w:rsidR="00000000" w:rsidDel="00000000" w:rsidP="00000000" w:rsidRDefault="00000000" w:rsidRPr="00000000" w14:paraId="00000032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Projeciologia.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A convergência da participação das equipexes interassistenciais tenepessológicas e projeciológicas pode ser percebida pelas rememorações e das sinaléticas confirmatórias, ao modo de banhos energéticos pós-projetivos ou da sensação de pacificação íntima inigualável.</w:t>
      </w:r>
    </w:p>
    <w:p w:rsidR="00000000" w:rsidDel="00000000" w:rsidP="00000000" w:rsidRDefault="00000000" w:rsidRPr="00000000" w14:paraId="00000033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Remissiologia (Dicionário da Sinaleticologia)</w:t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Sinalética do Automitridatismo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(Interassistenciologia)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Sinalética de Saúde Somática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(Somatologia).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Sinalética de Saúde Energossomática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(Energossomatologia).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Sinalética de Saúde Psicossomática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(Psicossomatologia).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Sinalética de Saúde Mentalsomática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(Mentalsomatologia).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10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Referenciologia</w:t>
      </w:r>
    </w:p>
    <w:p w:rsidR="00000000" w:rsidDel="00000000" w:rsidP="00000000" w:rsidRDefault="00000000" w:rsidRPr="00000000" w14:paraId="0000003E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 Específica: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shd w:fill="ffffff" w:val="clear"/>
        <w:spacing w:after="0" w:before="280" w:lineRule="auto"/>
        <w:ind w:left="0" w:firstLine="709"/>
        <w:jc w:val="both"/>
        <w:rPr>
          <w:rFonts w:ascii="Times New Roman" w:cs="Times New Roman" w:eastAsia="Times New Roman" w:hAnsi="Times New Roman"/>
          <w:color w:val="05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Martins,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Eduardo;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6"/>
          <w:szCs w:val="16"/>
          <w:rtl w:val="0"/>
        </w:rPr>
        <w:t xml:space="preserve">Higiene Consciencial: Reconquistando a Homeostase no Microuniverso Consciencial;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Rui Bueno; revisores Equipe de Revisores da Editares; 396 p.; 6 seções; 46 caps.; 24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E-mails;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1 microbiografia; 91 enus.; 18 quadros; 12 infográficos; 1 foto; 59 refs.; alf.; ono.; 19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websites;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23 x 16 cm; br.;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Associação Internacional Editares;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Foz do Iguaçu, PR;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0"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Tornieri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Sandra;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Mapeamento da Sinalética Energética Parapsíquica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 pref.; Hernande Leite; revisores Mabel Teles; et al.; 302 p.; 4 seções; 56 caps.; 1 citação; 23 E-mails; 153 enus.; 1 fotos; 1 microbiografia; 55 pensatas; 11 questionamentos; 1 tab.; 11 técnicas; 2 testes; 21 websites; glos. 210 termos; 6 filmes; 57 refs.; 1 anexo; 2 apênds.; alf.; 21 x 14 cm; br.; 2ª Ed. Revisada e aumentada; Associação Internacional Editares; Foz do Iguaçu, PR; 2018; páginas 41,44, 145-177, 237 a 241.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0"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Waldo;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Dicionário de Argumentos da Conscienciologia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 revisores Equipe de Revisores do Holociclo; 1.572 p.; 1 blog; 21 E-mails; 551 enus.; 1 esquema da evolução consciencial; 18 fotos; glos. 650 termos; 19 websites; alf.; 28,5 x 21,5 x 7 cm; enc. Associação Internacional Editares; Foz do Iguaçu, PR; 2014; páginas 343, 344, 358.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Vieira,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Waldo;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Léxico de Ortopensatas;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revisores Equipe de Revisores do Holociclo; CEAEC; &amp; EDITARES; 3 Vols.; 2.084 p.; Vols. I, II e III;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blog;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652 conceitos analógicos; 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E-mails;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19 enus.; 1 esquema da evolução consciencial; 17 fotos; glos. 7.518 termos; 1.811 megapensenes trivocabulares; 1 microbiografia; 25.183 ortopensatas; 2 tabs.; 120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técnicas lexicográficas;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websites;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28,5 x 22 x 13 cm; enc.;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single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Ed. rev. e aum.;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Associação Internacional Editares;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Foz do Iguaçu, PR; 2019.</w:t>
      </w:r>
    </w:p>
    <w:p w:rsidR="00000000" w:rsidDel="00000000" w:rsidP="00000000" w:rsidRDefault="00000000" w:rsidRPr="00000000" w14:paraId="00000045">
      <w:pPr>
        <w:tabs>
          <w:tab w:val="left" w:leader="none" w:pos="851"/>
        </w:tabs>
        <w:ind w:left="709"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Filmografia Específica:</w:t>
      </w:r>
    </w:p>
    <w:p w:rsidR="00000000" w:rsidDel="00000000" w:rsidP="00000000" w:rsidRDefault="00000000" w:rsidRPr="00000000" w14:paraId="00000048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Corpo Fechado.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Título Original: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Unbreakable.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País: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EUA.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2000.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Duração: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107 min.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Gênero: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Suspense.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Idade (censura):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12 anos.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Idioma: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Inglês.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Cor: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Colorido.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Legendado: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Espanhol; Inglês; &amp; Português (em DVD).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 &amp; Roteiro: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M. Night Shyamalan.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Elenco: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Bruce Willis; Samuel L. Jackson; Robin Wright Penn; Spencer Treat Clark; Charlayne Woodard; Eamonn Walker; Laura Regan; &amp; Michael Kelly. Produção: Barry Mendel; Sam Mercer; &amp; M. Night Shyamalan.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Desenho de Produção: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Larry Fulton.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Direção de Arte: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Steve Arnold.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Fotografia: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Eduardo Serra.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Música: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James Newton Howard.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Montagem: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Dylan Tichenor.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Cenografia: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Gretchen Rau.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Efeitos Especiais: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K.N.B. Effects Group; &amp; Secret Lab, The (TSL).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Companhia: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Touchstone Pictures; Blinding Edge Pictures; Barry Mendel Productions; &amp; Limited Edition Productions Inc.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Sinopse: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Espantoso desastre de trem choca os Estados Unidos. Todos os passageiros morrem, com exceção de David Dunn saindo completamente ileso do acidente, para espanto dos médicos e dele próprio. Buscando explicações sobre o ocorrido, David encontra o estranho e sombrio Elijah Price, apresentando explicações bizarras e peculiares para o fato.</w:t>
      </w:r>
    </w:p>
    <w:p w:rsidR="00000000" w:rsidDel="00000000" w:rsidP="00000000" w:rsidRDefault="00000000" w:rsidRPr="00000000" w14:paraId="0000004A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Webgrafia Específica: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Schveitzer, 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Fernanda;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Saúde Consciencial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(N. 4.131; 27.05.2017); Verbete;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Vieira,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Waldo; Org.;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Enciclopédia da Conscienciologia;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apres. Coordenação da ENCYCLOSSAPIENS; revisores Equipe de Revisores da ENCYCLOSSAPIENS; Vol. Digital Único (PDF); CCXL + 34.372 p.; 3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E-mails;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11.129 enus.; 727 especialidades; 1 foto; glos. 6.500 termos (verbetes); 1 ilus.; 1.001 microbiografias; 417 tabs.; 25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websites;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22.474 bibliografias específicas; 1.048 filmografias específicas; 125 videografias específicas; 1.860 webgrafias específicas; alf.; 10ª Ed. rev. e aum.;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de Enciclopediologia Conscienciológica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(ENCYCLOSSAPIENS); &amp;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Associação Internacional Editares;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 Foz do Iguaçu, PR; 2023; páginas 29.818 a 29.823; disponível em: &lt;https://encyclossapiens.space/ec/ECDigital10.pdf&gt;; acesso em: 02.05.2025; 17h27.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Autor(a):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S.T</w:t>
      </w:r>
    </w:p>
    <w:p w:rsidR="00000000" w:rsidDel="00000000" w:rsidP="00000000" w:rsidRDefault="00000000" w:rsidRPr="00000000" w14:paraId="00000050">
      <w:pPr>
        <w:ind w:firstLine="709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25890" y="3775238"/>
                          <a:ext cx="6840220" cy="9525"/>
                        </a:xfrm>
                        <a:custGeom>
                          <a:rect b="b" l="l" r="r" t="t"/>
                          <a:pathLst>
                            <a:path extrusionOk="0" h="9525" w="6840220">
                              <a:moveTo>
                                <a:pt x="683984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TopAndBottom distB="0" distT="0"/>
                <wp:docPr id="10736118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40" w:w="11900" w:orient="portrait"/>
      <w:pgMar w:bottom="1417" w:top="1417" w:left="1701" w:right="1701" w:header="284" w:footer="2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10375900</wp:posOffset>
              </wp:positionV>
              <wp:extent cx="3698240" cy="148590"/>
              <wp:effectExtent b="0" l="0" r="0" t="0"/>
              <wp:wrapNone/>
              <wp:docPr id="10736118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01643" y="3710468"/>
                        <a:ext cx="3688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10375900</wp:posOffset>
              </wp:positionV>
              <wp:extent cx="3698240" cy="148590"/>
              <wp:effectExtent b="0" l="0" r="0" t="0"/>
              <wp:wrapNone/>
              <wp:docPr id="10736118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9824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10375900</wp:posOffset>
              </wp:positionV>
              <wp:extent cx="201930" cy="148590"/>
              <wp:effectExtent b="0" l="0" r="0" t="0"/>
              <wp:wrapNone/>
              <wp:docPr id="107361182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49798" y="3710468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1/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10375900</wp:posOffset>
              </wp:positionV>
              <wp:extent cx="201930" cy="148590"/>
              <wp:effectExtent b="0" l="0" r="0" t="0"/>
              <wp:wrapNone/>
              <wp:docPr id="107361182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5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1071563</wp:posOffset>
              </wp:positionH>
              <wp:positionV relativeFrom="page">
                <wp:posOffset>242888</wp:posOffset>
              </wp:positionV>
              <wp:extent cx="5544820" cy="266700"/>
              <wp:effectExtent b="0" l="0" r="0" t="0"/>
              <wp:wrapSquare wrapText="bothSides" distB="0" distT="0" distL="0" distR="0"/>
              <wp:docPr id="10736118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78353" y="3651413"/>
                        <a:ext cx="55352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Dicionário  de  Sinaleticologia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1071563</wp:posOffset>
              </wp:positionH>
              <wp:positionV relativeFrom="page">
                <wp:posOffset>242888</wp:posOffset>
              </wp:positionV>
              <wp:extent cx="5544820" cy="266700"/>
              <wp:effectExtent b="0" l="0" r="0" t="0"/>
              <wp:wrapSquare wrapText="bothSides" distB="0" distT="0" distL="0" distR="0"/>
              <wp:docPr id="10736118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482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3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225" w:lineRule="auto"/>
      <w:ind w:left="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06" w:lineRule="auto"/>
      <w:ind w:left="3"/>
    </w:pPr>
    <w:rPr>
      <w:b w:val="1"/>
      <w:sz w:val="50"/>
      <w:szCs w:val="50"/>
    </w:rPr>
  </w:style>
  <w:style w:type="paragraph" w:styleId="Normal" w:default="1">
    <w:name w:val="Normal"/>
    <w:qFormat w:val="1"/>
    <w:rPr>
      <w:rFonts w:ascii="Georgia" w:cs="Georgia" w:eastAsia="Georgia" w:hAnsi="Georgia"/>
      <w:lang w:val="pt-PT"/>
    </w:rPr>
  </w:style>
  <w:style w:type="paragraph" w:styleId="Ttulo1">
    <w:name w:val="heading 1"/>
    <w:basedOn w:val="Normal"/>
    <w:uiPriority w:val="9"/>
    <w:qFormat w:val="1"/>
    <w:pPr>
      <w:ind w:left="3"/>
      <w:outlineLvl w:val="0"/>
    </w:pPr>
    <w:rPr>
      <w:b w:val="1"/>
      <w:bCs w:val="1"/>
      <w:sz w:val="36"/>
      <w:szCs w:val="36"/>
    </w:rPr>
  </w:style>
  <w:style w:type="paragraph" w:styleId="Ttulo2">
    <w:name w:val="heading 2"/>
    <w:basedOn w:val="Normal"/>
    <w:uiPriority w:val="9"/>
    <w:unhideWhenUsed w:val="1"/>
    <w:qFormat w:val="1"/>
    <w:pPr>
      <w:spacing w:before="225"/>
      <w:ind w:left="3"/>
      <w:outlineLvl w:val="1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45"/>
    </w:pPr>
    <w:rPr>
      <w:sz w:val="24"/>
      <w:szCs w:val="24"/>
    </w:rPr>
  </w:style>
  <w:style w:type="paragraph" w:styleId="Ttulo">
    <w:name w:val="Title"/>
    <w:basedOn w:val="Normal"/>
    <w:uiPriority w:val="10"/>
    <w:qFormat w:val="1"/>
    <w:pPr>
      <w:spacing w:before="406"/>
      <w:ind w:left="3"/>
    </w:pPr>
    <w:rPr>
      <w:b w:val="1"/>
      <w:bCs w:val="1"/>
      <w:sz w:val="50"/>
      <w:szCs w:val="50"/>
    </w:rPr>
  </w:style>
  <w:style w:type="paragraph" w:styleId="PargrafodaLista">
    <w:name w:val="List Paragraph"/>
    <w:basedOn w:val="Normal"/>
    <w:uiPriority w:val="1"/>
    <w:qFormat w:val="1"/>
    <w:pPr>
      <w:spacing w:before="55"/>
      <w:ind w:left="387" w:hanging="267"/>
    </w:pPr>
    <w:rPr>
      <w:rFonts w:ascii="Arial MT" w:cs="Arial MT" w:eastAsia="Arial MT" w:hAnsi="Arial MT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C3D52"/>
    <w:rPr>
      <w:rFonts w:ascii="Georgia" w:cs="Georgia" w:eastAsia="Georgia" w:hAnsi="Georg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C3D5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C3D52"/>
    <w:rPr>
      <w:rFonts w:ascii="Georgia" w:cs="Georgia" w:eastAsia="Georgia" w:hAnsi="Georgia"/>
      <w:lang w:val="pt-PT"/>
    </w:rPr>
  </w:style>
  <w:style w:type="paragraph" w:styleId="PargrafodaLista1" w:customStyle="1">
    <w:name w:val="Parágrafo da Lista1"/>
    <w:basedOn w:val="Normal"/>
    <w:qFormat w:val="1"/>
    <w:rsid w:val="004E4006"/>
    <w:pPr>
      <w:widowControl w:val="1"/>
      <w:autoSpaceDE w:val="1"/>
      <w:autoSpaceDN w:val="1"/>
      <w:ind w:left="708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 w:val="1"/>
    <w:rsid w:val="009972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72E4"/>
    <w:rPr>
      <w:color w:val="605e5c"/>
      <w:shd w:color="auto" w:fill="e1dfdd" w:val="clear"/>
    </w:rPr>
  </w:style>
  <w:style w:type="paragraph" w:styleId="Default" w:customStyle="1">
    <w:name w:val="Default"/>
    <w:rsid w:val="00515F1B"/>
    <w:pPr>
      <w:widowControl w:val="1"/>
      <w:adjustRightInd w:val="0"/>
    </w:pPr>
    <w:rPr>
      <w:rFonts w:ascii="Times New Roman" w:cs="Times New Roman" w:eastAsia="Times New Roman" w:hAnsi="Times New Roman"/>
      <w:color w:val="000000"/>
      <w:sz w:val="24"/>
      <w:szCs w:val="24"/>
      <w:lang w:eastAsia="pt-BR" w:val="pt-BR"/>
    </w:rPr>
  </w:style>
  <w:style w:type="character" w:styleId="Refdecomentrio">
    <w:name w:val="annotation reference"/>
    <w:uiPriority w:val="99"/>
    <w:semiHidden w:val="1"/>
    <w:unhideWhenUsed w:val="1"/>
    <w:rsid w:val="00515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5F1B"/>
    <w:pPr>
      <w:widowControl w:val="1"/>
      <w:autoSpaceDE w:val="1"/>
      <w:autoSpaceDN w:val="1"/>
      <w:jc w:val="both"/>
    </w:pPr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15F1B"/>
    <w:rPr>
      <w:rFonts w:ascii="Times New Roman" w:cs="Times New Roman" w:eastAsia="Times New Roman" w:hAnsi="Times New Roman"/>
      <w:noProof w:val="1"/>
      <w:sz w:val="20"/>
      <w:szCs w:val="20"/>
      <w:lang w:val="pt-BR"/>
    </w:rPr>
  </w:style>
  <w:style w:type="paragraph" w:styleId="AACaptulosEnciclo" w:customStyle="1">
    <w:name w:val="AA Capítulos Enciclo"/>
    <w:basedOn w:val="Numerada5"/>
    <w:rsid w:val="005C4744"/>
    <w:pPr>
      <w:numPr>
        <w:numId w:val="0"/>
      </w:numPr>
      <w:pBdr>
        <w:top w:color="auto" w:space="3" w:sz="6" w:val="double"/>
        <w:left w:color="auto" w:space="0" w:sz="6" w:val="double"/>
        <w:bottom w:color="auto" w:space="3" w:sz="6" w:val="double"/>
        <w:right w:color="auto" w:space="0" w:sz="6" w:val="double"/>
      </w:pBdr>
      <w:adjustRightInd w:val="0"/>
      <w:contextualSpacing w:val="0"/>
      <w:jc w:val="center"/>
    </w:pPr>
    <w:rPr>
      <w:rFonts w:ascii="Arial" w:cs="Times New Roman" w:eastAsia="Times New Roman" w:hAnsi="Arial"/>
      <w:b w:val="1"/>
      <w:i w:val="1"/>
      <w:smallCaps w:val="1"/>
      <w:noProof w:val="1"/>
      <w:spacing w:val="30"/>
      <w:lang w:val="pt-BR"/>
    </w:rPr>
  </w:style>
  <w:style w:type="paragraph" w:styleId="Numerada5">
    <w:name w:val="List Number 5"/>
    <w:basedOn w:val="Normal"/>
    <w:uiPriority w:val="99"/>
    <w:semiHidden w:val="1"/>
    <w:unhideWhenUsed w:val="1"/>
    <w:rsid w:val="005C4744"/>
    <w:pPr>
      <w:numPr>
        <w:numId w:val="14"/>
      </w:numPr>
      <w:tabs>
        <w:tab w:val="num" w:pos="1492"/>
      </w:tabs>
      <w:ind w:left="1492" w:hanging="360"/>
      <w:contextualSpacing w:val="1"/>
    </w:pPr>
  </w:style>
  <w:style w:type="paragraph" w:styleId="Texto" w:customStyle="1">
    <w:name w:val="Texto"/>
    <w:basedOn w:val="Normal"/>
    <w:rsid w:val="00C70D51"/>
    <w:pPr>
      <w:widowControl w:val="1"/>
      <w:autoSpaceDE w:val="1"/>
      <w:autoSpaceDN w:val="1"/>
      <w:ind w:firstLine="709"/>
      <w:jc w:val="both"/>
    </w:pPr>
    <w:rPr>
      <w:rFonts w:ascii="Times New Roman" w:cs="Times New Roman" w:eastAsia="Times New Roman" w:hAnsi="Times New Roman"/>
      <w:sz w:val="20"/>
      <w:szCs w:val="20"/>
      <w:lang w:val="pt-BR"/>
    </w:rPr>
  </w:style>
  <w:style w:type="character" w:styleId="Forte">
    <w:name w:val="Strong"/>
    <w:basedOn w:val="Fontepargpadro"/>
    <w:uiPriority w:val="22"/>
    <w:qFormat w:val="1"/>
    <w:rsid w:val="008B4769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8B4769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gkt2EZbQRSmBgd0IKMChjvYTg==">CgMxLjAyDmguMnp2ZTZrZ2c5bm9kOAByITF0OG1QRkpvY3dCQTUzMFlGdlVOUU0tNzM3RnlwRHg1cQ==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2025-05-09T19:47:00Z</dcterms:created>
  <dc:creator>Sandra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2025-01-07T00:00:00Z</vt:filetime>
  </property>
  <property fmtid="{D5CDD505-2E9C-101B-9397-08002B2CF9AE}" pid="5" name="Producer">
    <vt:lpwstr>Skia/PDF m131</vt:lpwstr>
  </property>
</Properties>
</file>