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3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Sinaleticocrítica</w:t>
      </w:r>
    </w:p>
    <w:p w:rsidR="00000000" w:rsidDel="00000000" w:rsidP="00000000" w:rsidRDefault="00000000" w:rsidRPr="00000000" w14:paraId="00000002">
      <w:pPr>
        <w:pStyle w:val="Heading1"/>
        <w:ind w:firstLine="3"/>
        <w:rPr>
          <w:rFonts w:ascii="Times New Roman" w:cs="Times New Roman" w:eastAsia="Times New Roman" w:hAnsi="Times New Roman"/>
          <w:b w:val="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9525" cy="12700"/>
                <wp:effectExtent b="0" l="0" r="0" t="0"/>
                <wp:wrapNone/>
                <wp:docPr id="10736118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31375" y="3775238"/>
                          <a:ext cx="54292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9525" cy="12700"/>
                <wp:effectExtent b="0" l="0" r="0" t="0"/>
                <wp:wrapNone/>
                <wp:docPr id="10736118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9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Conceitologia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r7nkdsorpsl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Definição.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sinaleticocrítica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a técnica de análise conteudística aplicada antes, durante e depois das parapercepções de sinais e parassinais indicadores de prováveis sinaléticas a serem identificadas e/ou mapeadas, a fim de ampliar a autoconfiabilidade paracientífica nas autoexperiências parapsíquicas e sinaleticológicas.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Sinonímia: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1.  Autossinaleticocrítica.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Paracientificidade sinaleticol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ógica. 3. Validação autossinaleticológica.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Antonímia: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1.  Achismo. 2.  Misticismo. 3. Superstição. </w:t>
      </w:r>
    </w:p>
    <w:p w:rsidR="00000000" w:rsidDel="00000000" w:rsidP="00000000" w:rsidRDefault="00000000" w:rsidRPr="00000000" w14:paraId="0000000B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Especialidade: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Sinaleticologia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Interdisciplinologia: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Autocriticologia. 2. Hermeneuticologia. 3. Paracientificologia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Neologia Multilíngue: </w:t>
      </w:r>
    </w:p>
    <w:p w:rsidR="00000000" w:rsidDel="00000000" w:rsidP="00000000" w:rsidRDefault="00000000" w:rsidRPr="00000000" w14:paraId="00000010">
      <w:pPr>
        <w:spacing w:line="276" w:lineRule="auto"/>
        <w:ind w:firstLine="709"/>
        <w:rPr>
          <w:rFonts w:ascii="Times New Roman" w:cs="Times New Roman" w:eastAsia="Times New Roman" w:hAnsi="Times New Roman"/>
          <w:i w:val="1"/>
        </w:rPr>
      </w:pPr>
      <w:bookmarkStart w:colFirst="0" w:colLast="0" w:name="_heading=h.vwjrq77xn5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Francês: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Critique du signal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0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Espanhol: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Crítica de señales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Inglês: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Signal criticism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9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Argumentologia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2268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Descrença.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Pela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Descrenciologia,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a utilização do princípio da descrença: “Não acredite em nada, tenha suas experiências pessoais”, colabora para a isenção nas abordagens e interpretações dos parafenômenos e das sinaléticas parapsíquicas. (Tornieri, 2018, p.37)</w:t>
      </w:r>
    </w:p>
    <w:p w:rsidR="00000000" w:rsidDel="00000000" w:rsidP="00000000" w:rsidRDefault="00000000" w:rsidRPr="00000000" w14:paraId="00000019">
      <w:pPr>
        <w:spacing w:line="276" w:lineRule="auto"/>
        <w:ind w:left="2268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Qualimetria.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Pela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Interassistenciologia,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não adianta identificar e colecionar inúmeras sinaléticas parapsíquicas sem ter realizado a devida análise do conteúdo e o mapeamento a fim de checar e validar a utilização interassistencial das mesmas.</w:t>
      </w:r>
    </w:p>
    <w:p w:rsidR="00000000" w:rsidDel="00000000" w:rsidP="00000000" w:rsidRDefault="00000000" w:rsidRPr="00000000" w14:paraId="0000001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Paracientifidade.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acordo com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Hermeneuticologia,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eis lista de 15 variáveis, em ordem alfabética, a serem observadas e registradas, a fim de identificar o conteúdo da nova sinalética parapsíquica em análise: </w:t>
      </w:r>
    </w:p>
    <w:p w:rsidR="00000000" w:rsidDel="00000000" w:rsidP="00000000" w:rsidRDefault="00000000" w:rsidRPr="00000000" w14:paraId="0000001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01.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Autodefesa.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sinalética parapsíquica mapeada contribuiu para ampliar a autodefesa energética ou consciencial? </w:t>
      </w:r>
    </w:p>
    <w:p w:rsidR="00000000" w:rsidDel="00000000" w:rsidP="00000000" w:rsidRDefault="00000000" w:rsidRPr="00000000" w14:paraId="0000001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02.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Benefício.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Qual o benefício interassistencial específico obtido a partir da descoberta da sinalética em análise? </w:t>
      </w:r>
    </w:p>
    <w:p w:rsidR="00000000" w:rsidDel="00000000" w:rsidP="00000000" w:rsidRDefault="00000000" w:rsidRPr="00000000" w14:paraId="0000001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03.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Confirmação.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Ao se autoquestionar sobre a hipótese do conteúdo da sinalética, você obteve alguma repercussão, ao modo de parabanho energético ou interação direta com amparador? </w:t>
      </w:r>
    </w:p>
    <w:p w:rsidR="00000000" w:rsidDel="00000000" w:rsidP="00000000" w:rsidRDefault="00000000" w:rsidRPr="00000000" w14:paraId="0000002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Hipostasia.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Identificou algum erro ou engano na interpretação da sinalética em análise? </w:t>
      </w:r>
    </w:p>
    <w:p w:rsidR="00000000" w:rsidDel="00000000" w:rsidP="00000000" w:rsidRDefault="00000000" w:rsidRPr="00000000" w14:paraId="0000002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Holossoma.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sinalética pode ser classificada com algum predomínio maior em determinado veículo de manifestação da consciência: soma, energossoma, psicossoma e mentalsoma? </w:t>
      </w:r>
    </w:p>
    <w:p w:rsidR="00000000" w:rsidDel="00000000" w:rsidP="00000000" w:rsidRDefault="00000000" w:rsidRPr="00000000" w14:paraId="00000022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Interassistência.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Utilizou de modo prático e interassistencial a sinalética identificada? </w:t>
      </w:r>
    </w:p>
    <w:p w:rsidR="00000000" w:rsidDel="00000000" w:rsidP="00000000" w:rsidRDefault="00000000" w:rsidRPr="00000000" w14:paraId="00000023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07.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Período.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Há quanto tempo você registra e acompanha a mesma hipótese de sinalética? </w:t>
      </w:r>
    </w:p>
    <w:p w:rsidR="00000000" w:rsidDel="00000000" w:rsidP="00000000" w:rsidRDefault="00000000" w:rsidRPr="00000000" w14:paraId="00000024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08.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Pesquisa.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Investigou para saber se outras pessoas identificaram essa mesma sinalética com conteúdo ou significado semelhantes? </w:t>
      </w:r>
    </w:p>
    <w:p w:rsidR="00000000" w:rsidDel="00000000" w:rsidP="00000000" w:rsidRDefault="00000000" w:rsidRPr="00000000" w14:paraId="00000025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Registro.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Você anotou os sinais energéticos e parapsíquicos relativos a uma provável sinalética?  </w:t>
      </w:r>
    </w:p>
    <w:p w:rsidR="00000000" w:rsidDel="00000000" w:rsidP="00000000" w:rsidRDefault="00000000" w:rsidRPr="00000000" w14:paraId="00000026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Repetição.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mesma sinalética já se repetiu? Com que frequência a sinalética ocorre? </w:t>
      </w:r>
    </w:p>
    <w:p w:rsidR="00000000" w:rsidDel="00000000" w:rsidP="00000000" w:rsidRDefault="00000000" w:rsidRPr="00000000" w14:paraId="00000027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Sincronicidade.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mesma sinalética teve relação com fatos anteriores ou posteriores semelhantes? </w:t>
      </w:r>
    </w:p>
    <w:p w:rsidR="00000000" w:rsidDel="00000000" w:rsidP="00000000" w:rsidRDefault="00000000" w:rsidRPr="00000000" w14:paraId="00000028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Taxologia.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Em qual categoria essa sinalética pode ser classificada? Pertence a algum grupo, bolsão, holopensene específico ou especialidade? </w:t>
      </w:r>
    </w:p>
    <w:p w:rsidR="00000000" w:rsidDel="00000000" w:rsidP="00000000" w:rsidRDefault="00000000" w:rsidRPr="00000000" w14:paraId="0000002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Utilidade.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Você testou a utilidade da sinalética como hipótese percebida anteriormente? </w:t>
      </w:r>
    </w:p>
    <w:p w:rsidR="00000000" w:rsidDel="00000000" w:rsidP="00000000" w:rsidRDefault="00000000" w:rsidRPr="00000000" w14:paraId="0000002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Valência.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Qual é a qualificação da sinalética: homeostática ou nosográfica?</w:t>
      </w:r>
    </w:p>
    <w:p w:rsidR="00000000" w:rsidDel="00000000" w:rsidP="00000000" w:rsidRDefault="00000000" w:rsidRPr="00000000" w14:paraId="0000002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Variações.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mesma sinalética apresentou variações de significado e utilidade?</w:t>
      </w:r>
    </w:p>
    <w:p w:rsidR="00000000" w:rsidDel="00000000" w:rsidP="00000000" w:rsidRDefault="00000000" w:rsidRPr="00000000" w14:paraId="0000002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Atributos.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Segundo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Atributologia,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eis lista, em ordem alfabética, de 20 atributos capazes de contribuir para o desenvolvimento da autossinaleticocrítica:</w:t>
      </w:r>
    </w:p>
    <w:p w:rsidR="00000000" w:rsidDel="00000000" w:rsidP="00000000" w:rsidRDefault="00000000" w:rsidRPr="00000000" w14:paraId="0000002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01.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Abertismo: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flexibilidade consciencial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02.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Atenção dividida: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observar fatos e parafatos.</w:t>
      </w:r>
    </w:p>
    <w:p w:rsidR="00000000" w:rsidDel="00000000" w:rsidP="00000000" w:rsidRDefault="00000000" w:rsidRPr="00000000" w14:paraId="0000003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03.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Autocrítica: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 praticar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autoquestionamento em todas as instâncias.</w:t>
      </w:r>
    </w:p>
    <w:p w:rsidR="00000000" w:rsidDel="00000000" w:rsidP="00000000" w:rsidRDefault="00000000" w:rsidRPr="00000000" w14:paraId="0000003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Autodiscernimento: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perceber as nuances e múltiplas facetas dos fatos e parafatos. 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Continuísmo: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realizar o mapeamento sinaleticológico a longo prazo.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Cosmoética: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manter a intencionalidade depurada nas abordagens parapesquisísticas.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07.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Cosmovisão: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fazer a abordagem cosmovisiológica e multidimensional.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08.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Critério: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utilizar critérios para analisar as autossinaléticas.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Holossensoriamento: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fazer o holossensoriamento energético ambiental.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Paracientificidade: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utilizar a paracientificidade para analisar o conteúdo das autossinaléticas. 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Paciência: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manter a calma mesmo diante das incertezas.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Sinaleticografia: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capacidade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registrar as autossinaléticas ao modo rotina útil e de hábito conquistado.</w:t>
      </w:r>
    </w:p>
    <w:p w:rsidR="00000000" w:rsidDel="00000000" w:rsidP="00000000" w:rsidRDefault="00000000" w:rsidRPr="00000000" w14:paraId="0000003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Incerteza.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processo de investigação das autossinaléticas, na maioria das vezes não é possível ter certezas, pelo contrário, é necessário ter paciência para conviver com as incertezas temporárias, até que seja possível, ou não, chegar a uma conclusão mais acertada e aceitável quanto ao conteúdo da sinaléticas em mapeamento. </w:t>
      </w:r>
    </w:p>
    <w:p w:rsidR="00000000" w:rsidDel="00000000" w:rsidP="00000000" w:rsidRDefault="00000000" w:rsidRPr="00000000" w14:paraId="0000003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Funcionalidade.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Mesmo diante da complexidade parapesquisítica, o ideal é manter a autodeterminação e o megafoco interassistencial para conseguir mapear ao menos estas 12 sinaléticas parapsíquicas funcionais: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01. Sinalética de amparo.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02. Sinalética de assédio.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03. Sinalética de assim (assimilação simpática)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04. Sinalética de demanda interassistencial. </w:t>
      </w:r>
    </w:p>
    <w:p w:rsidR="00000000" w:rsidDel="00000000" w:rsidP="00000000" w:rsidRDefault="00000000" w:rsidRPr="00000000" w14:paraId="0000004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05. Sinalética de desassédio.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 Sinalética de desassim (desassimilação simpática)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07. Sinalética de ectoplasmia (doação).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08. Sinalética de iscagem lúcida.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09. Sinalética de saúde holossomática.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Sinalética do EV.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Sinalética do holopensene pessoal.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 Sinalética do padrão homeostático pessoal.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Paraevidenciologia (Fatos/Parafatos)</w:t>
      </w:r>
    </w:p>
    <w:p w:rsidR="00000000" w:rsidDel="00000000" w:rsidP="00000000" w:rsidRDefault="00000000" w:rsidRPr="00000000" w14:paraId="0000004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Influência.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Existem fatores intraconscienciais que podem interferir na interpretação da sinalética energética parapsíquica, a exemplo destas 8 variáveis homeostáticas e 8 nosográficas, capazes de influenciar no processo da hermenêutica sinaleticológica: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76" w:lineRule="auto"/>
        <w:ind w:left="992.1259842519685" w:hanging="283.46456692913375"/>
        <w:jc w:val="both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Variáveis homeostáticas</w:t>
      </w:r>
    </w:p>
    <w:p w:rsidR="00000000" w:rsidDel="00000000" w:rsidP="00000000" w:rsidRDefault="00000000" w:rsidRPr="00000000" w14:paraId="0000004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01.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Autocientificidade: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paratécnica diante das análises dos registros sinaleticológicos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02.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Autoconfiança: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prontidão diante de demandas interassistenciais sinalizadas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5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03.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Autodesassédio: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autortoabsolutismo diante dos sinais de assédio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Cosmovisão: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acúmulo de autoexperiências sinaleticológicas a longo prazo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Otimismo: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tendência do olhar traforista para conscins e consciexes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Ortopensenidade: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visão cosmoética dos fatos e parafatos, sinais e sinaléticas.  </w:t>
      </w:r>
    </w:p>
    <w:p w:rsidR="00000000" w:rsidDel="00000000" w:rsidP="00000000" w:rsidRDefault="00000000" w:rsidRPr="00000000" w14:paraId="00000054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07.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Suportabilidade: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capacidade de lidar com o desconforto.  </w:t>
      </w:r>
    </w:p>
    <w:p w:rsidR="00000000" w:rsidDel="00000000" w:rsidP="00000000" w:rsidRDefault="00000000" w:rsidRPr="00000000" w14:paraId="00000055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08.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Voliciolina: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força intraconsciencial atuante. </w:t>
      </w:r>
    </w:p>
    <w:p w:rsidR="00000000" w:rsidDel="00000000" w:rsidP="00000000" w:rsidRDefault="00000000" w:rsidRPr="00000000" w14:paraId="00000056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992.1259842519685" w:hanging="283.4645669291337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Variáveis nosográficas</w:t>
      </w:r>
    </w:p>
    <w:p w:rsidR="00000000" w:rsidDel="00000000" w:rsidP="00000000" w:rsidRDefault="00000000" w:rsidRPr="00000000" w14:paraId="00000058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Autoinsegurança: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falta de posicionamento diante dos sinais nosográficos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5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Autoassédio: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obnubilação da percepção da realidade e pararrealidade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Egocentrismo: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tendência de achar que tudo ocorre por causa de si próprio.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Fuga: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alijamento e a alienação quanto aos desconfortos.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Religiosidade: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medo de aprofundar a análise das autoparapercepções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Monovisão: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análise parcial dos fatos e parafatos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5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Pessimismo: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tendência de ver somente o lado negativo dos sinais parapsíquicos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5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Patopensenidade: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visão deturpada dos fatos e parafatos, sinais e sinaléticas. </w:t>
      </w:r>
    </w:p>
    <w:p w:rsidR="00000000" w:rsidDel="00000000" w:rsidP="00000000" w:rsidRDefault="00000000" w:rsidRPr="00000000" w14:paraId="0000006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Desperticidade.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ser desperto consegue ampliar o autodesempenho interassistencial e parapsíquico, devido a utilizar a hermenêutica da autossinalética sem cometer tantos erros. O megafoco cosmoético permite essa otimização. </w:t>
      </w:r>
    </w:p>
    <w:p w:rsidR="00000000" w:rsidDel="00000000" w:rsidP="00000000" w:rsidRDefault="00000000" w:rsidRPr="00000000" w14:paraId="00000063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Conclusiologia / Pensatologia (Síntese) </w:t>
      </w:r>
    </w:p>
    <w:p w:rsidR="00000000" w:rsidDel="00000000" w:rsidP="00000000" w:rsidRDefault="00000000" w:rsidRPr="00000000" w14:paraId="0000006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Estágio.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Ao que tudo indica, a maioria dos intermissivistas lúcidos almeja o  próximo estágio holossomático, ou seja, sair da condição de predomínio do soma e, principalmente, do psicossoma, para o predomínio do mentalsoma.  </w:t>
      </w:r>
    </w:p>
    <w:p w:rsidR="00000000" w:rsidDel="00000000" w:rsidP="00000000" w:rsidRDefault="00000000" w:rsidRPr="00000000" w14:paraId="00000068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Autossinalética.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mapeamento das autossinaléticas, quando encarado de modo paracientífico, pode ser o acelerador do autoparapsiquismo mentalsomático. </w:t>
      </w:r>
    </w:p>
    <w:p w:rsidR="00000000" w:rsidDel="00000000" w:rsidP="00000000" w:rsidRDefault="00000000" w:rsidRPr="00000000" w14:paraId="0000006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Parapsiquismo.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Em consequência, esse parapsiquismo lúcido pode ser considerado o acelerador-mor de todo processo evolutivo. </w:t>
      </w:r>
    </w:p>
    <w:p w:rsidR="00000000" w:rsidDel="00000000" w:rsidP="00000000" w:rsidRDefault="00000000" w:rsidRPr="00000000" w14:paraId="0000006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Comunicação.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ato de registrar, analisar, descrever, publicar, comunicar e compartilhar as autossinaleticocríticas promove a ampliação das pesquisas no âmbito da Sinaleticologia, contribuindo para a profusão dos conhecimentos e o aperfeiçoamento da neociência. </w:t>
      </w:r>
    </w:p>
    <w:p w:rsidR="00000000" w:rsidDel="00000000" w:rsidP="00000000" w:rsidRDefault="00000000" w:rsidRPr="00000000" w14:paraId="0000006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Remissiologia (Dicionário de Sinaleticologia)</w:t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 Sinaleticológica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(Sinaleticografia).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Autoconfiança Sinaleticológica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(Sinaleticologia).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Holofilosofia da Sinaleticologia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(Sinaleticologia)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Inteligência Holossensorial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(Holossensoriologia).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Inteligência Sinaleticológica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 Sinaléticologia). Veja se está correto???Ver Clari.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Mapeamento da Autossinalética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(Autossinaleticologia).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Paragênese da Autossinalética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(Sinaleticologia).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Sinalética de Saúde Holossomática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(Homeostati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cologia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Sinaleticologia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(Parapercepciologia).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Referenciologia</w:t>
      </w:r>
    </w:p>
    <w:p w:rsidR="00000000" w:rsidDel="00000000" w:rsidP="00000000" w:rsidRDefault="00000000" w:rsidRPr="00000000" w14:paraId="0000007A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Bibliografia Específica:</w:t>
      </w:r>
    </w:p>
    <w:p w:rsidR="00000000" w:rsidDel="00000000" w:rsidP="00000000" w:rsidRDefault="00000000" w:rsidRPr="00000000" w14:paraId="0000007C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Tornieri,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Sandra;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Mapeamento da Sinalética Energética Parapsíquica;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pref.; Hernande Leite; revisores Mabel Teles; 296 p.; 55 caps.; 51 refs.; 6 filmes; 24 verbetes; glos. 210 termos; 1 anexo.; 2 apênds.; alf.; 21 x 14 cm; br.;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Editares;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Foz do Iguaçu, PR; 2018; páginas 37-39.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Tornieri,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Sandra;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Caldas,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Milces;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Formolo,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Clarineuza;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Sinaleticologia: Princípios Holofilosóficos da Neociência Propulsora do Parapsiquismo Despertológico;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Artigo; I Congresso Internacional de Conscienciologia; Foz do Iguaçu, PR; 25-28.07.24; Conscientia; Revista; Anuário; Ano 28; N. 3; Seção: Artigo Original; 3 E-mails; 3 microbiografia; 10 enus.; 10 refs.;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Centro de Altos Estudos da Conscienciologia (CEAEC);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Foz do Iguaçu, PR; Julho/Setembro, 2024; páginas 339 a 351.</w:t>
      </w:r>
    </w:p>
    <w:p w:rsidR="00000000" w:rsidDel="00000000" w:rsidP="00000000" w:rsidRDefault="00000000" w:rsidRPr="00000000" w14:paraId="00000080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Filmografia Específica:</w:t>
      </w:r>
    </w:p>
    <w:p w:rsidR="00000000" w:rsidDel="00000000" w:rsidP="00000000" w:rsidRDefault="00000000" w:rsidRPr="00000000" w14:paraId="00000082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Homem Especial.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Título Original: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The Gifted One.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País: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EUA.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1989.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Duração: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136 min.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Gênero: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Fantasia. Idade (censura): 12 anos.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Idioma: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Inglês.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Cor: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Colorido.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Legendado: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Português; Inglês; &amp; Espanhol (em DVD).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Stephen Herek.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Elenco: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Peter Kowanko, John Rhys Davis.;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 de Arte: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David Moll.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Roteiro: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Dianne Sullens.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Fotografia: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Kees Van Oostrum.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Música: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J. Peter Robinson.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Figurino: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Darryl Martell.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Edição: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Larry Bock e Gib Jaffe.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Sinopse: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 Gifted One é um filme de 1989 dirigido por Stephen Herek. A trama acompanha um jovem com habilidades sobrenaturais que luta para encontrar seu lugar no mundo enquanto é perseguido por forças obscuras que desejam explorar seu poder. Ao longo de sua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jornada, ele descobre 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verdadeiro significado da família e do sacrifício.</w:t>
      </w:r>
    </w:p>
    <w:p w:rsidR="00000000" w:rsidDel="00000000" w:rsidP="00000000" w:rsidRDefault="00000000" w:rsidRPr="00000000" w14:paraId="00000084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Webgrafia Específica: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Haymann,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Maximiliano;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Autocrítica Parafenomenológica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(N. 2.273; 22.04.2012); Verbete;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In: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Waldo; Org.;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Enciclopédia da Conscienciologia;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apres. Coordenação da ENCYCLOSSAPIENS; revisores Equipe de Revisores da ENCYCLOSSAPIENS; Vol. Digital Único (PDF); CCXL + 34.372 p.; 3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E-mails;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11.129 enus.; 727 especialidades; 1 foto; glos. 6.500 termos (verbetes); 1 ilus.; 1.001 microbiografias; 417 tabs.; 25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websites;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22.474 bibliografias específicas; 1.048 filmografias específicas; 125 videografias específicas; 1.860 webgrafias específicas; alf.; 10ª Ed. rev. e aum.;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de Enciclopediologia Conscienciológica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 (ENCYCLOSSAPIENS); &amp;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Editares;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Foz do Iguaçu, PR; 2023; páginas 4.150 a 4.156; disponível em: &lt;https://encyclossapiens.space/ec/ECDigital10.pdf&gt;; acesso em: 11.07.2025; 21h54.</w:t>
      </w:r>
    </w:p>
    <w:p w:rsidR="00000000" w:rsidDel="00000000" w:rsidP="00000000" w:rsidRDefault="00000000" w:rsidRPr="00000000" w14:paraId="00000088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Rabelo,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Waleska;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Autoconfiança Sinaleticológica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(N. 7.079; 22.06.2025); Verbete; In: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Waldo; Org.; Enciclopédia da Conscienciologia; defendido no Tertuliarium do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 Centro de Altos Estudos da Conscienciologia (CEAEC)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 Foz do Iguaçu, PR; disponível em: &lt;https://encyclossapiens.space/buscaverbete&gt;; acesso em: 11.07.2025; 21h56.</w:t>
      </w:r>
    </w:p>
    <w:p w:rsidR="00000000" w:rsidDel="00000000" w:rsidP="00000000" w:rsidRDefault="00000000" w:rsidRPr="00000000" w14:paraId="00000089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Waldo;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Estágio Holossomático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(N. 1.426; 24.12.2009); Verbete; In: Vieira, Waldo; Org.; Enciclopédia da Conscienciologia; apres. Coordenação da ENCYCLOSSAPIENS; revisores Equipe de Revisores da ENCYCLOSSAPIENS; Vol. Digital Único (PDF); CCXL + 34.372 p.; 3 E-mails; 11.129 enus.; 727 especialidades; 1 foto; glos. 6.500 termos (verbetes); 1 ilus.; 1.001 microbiografias; 417 tabs.; 25 websites; 22.474 bibliografias específicas; 1.048 filmografias específicas; 125 videografias específicas; 1.860 webgrafias específicas; alf.; 10ª Ed. rev. e aum.;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de Enciclopediologia Conscienciológica (ENCYCLOSSAPIENS); &amp; Associação Internacional Editares;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Foz do Iguaçu, PR; 2023; páginas 15.510 a 15.513; disponível em: &lt;https://encyclossapiens.space/ec/ECDigital10.pdf&gt;; acesso em: 11.07.2025; 22h09.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firstLine="709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Autor(a):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S.T</w:t>
      </w:r>
    </w:p>
    <w:p w:rsidR="00000000" w:rsidDel="00000000" w:rsidP="00000000" w:rsidRDefault="00000000" w:rsidRPr="00000000" w14:paraId="0000008D">
      <w:pPr>
        <w:ind w:firstLine="709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TopAndBottom distB="0" distT="0"/>
                <wp:docPr id="107361182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25890" y="3775238"/>
                          <a:ext cx="6840220" cy="9525"/>
                        </a:xfrm>
                        <a:custGeom>
                          <a:rect b="b" l="l" r="r" t="t"/>
                          <a:pathLst>
                            <a:path extrusionOk="0" h="9525" w="6840220">
                              <a:moveTo>
                                <a:pt x="683984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39842" y="0"/>
                              </a:lnTo>
                              <a:lnTo>
                                <a:pt x="683984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TopAndBottom distB="0" distT="0"/>
                <wp:docPr id="10736118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40" w:w="11900" w:orient="portrait"/>
      <w:pgMar w:bottom="1417" w:top="1417" w:left="1701" w:right="1701" w:header="284" w:footer="2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spacing w:line="276" w:lineRule="auto"/>
      <w:ind w:left="720" w:firstLine="0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5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1071563</wp:posOffset>
              </wp:positionH>
              <wp:positionV relativeFrom="page">
                <wp:posOffset>242888</wp:posOffset>
              </wp:positionV>
              <wp:extent cx="5544820" cy="266700"/>
              <wp:effectExtent b="0" l="0" r="0" t="0"/>
              <wp:wrapSquare wrapText="bothSides" distB="0" distT="0" distL="0" distR="0"/>
              <wp:docPr id="10736118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78353" y="3651413"/>
                        <a:ext cx="55352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Dicionário  de  Sinaleticologia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1071563</wp:posOffset>
              </wp:positionH>
              <wp:positionV relativeFrom="page">
                <wp:posOffset>242888</wp:posOffset>
              </wp:positionV>
              <wp:extent cx="5544820" cy="266700"/>
              <wp:effectExtent b="0" l="0" r="0" t="0"/>
              <wp:wrapSquare wrapText="bothSides" distB="0" distT="0" distL="0" distR="0"/>
              <wp:docPr id="107361182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4820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before="225" w:lineRule="auto"/>
      <w:ind w:left="3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06" w:lineRule="auto"/>
      <w:ind w:left="3"/>
    </w:pPr>
    <w:rPr>
      <w:b w:val="1"/>
      <w:sz w:val="50"/>
      <w:szCs w:val="5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24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55"/>
      <w:ind w:left="387" w:hanging="267"/>
    </w:pPr>
    <w:rPr>
      <w:rFonts w:ascii="Arial MT" w:cs="Arial MT" w:eastAsia="Arial MT" w:hAnsi="Arial MT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3D5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C3D52"/>
    <w:rPr>
      <w:rFonts w:ascii="Georgia" w:cs="Georgia" w:eastAsia="Georgia" w:hAnsi="Georgi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C3D5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C3D52"/>
    <w:rPr>
      <w:rFonts w:ascii="Georgia" w:cs="Georgia" w:eastAsia="Georgia" w:hAnsi="Georgia"/>
      <w:lang w:val="pt-PT"/>
    </w:rPr>
  </w:style>
  <w:style w:type="paragraph" w:styleId="PargrafodaLista1" w:customStyle="1">
    <w:name w:val="Parágrafo da Lista1"/>
    <w:basedOn w:val="Normal"/>
    <w:qFormat w:val="1"/>
    <w:rsid w:val="004E4006"/>
    <w:pPr>
      <w:widowControl w:val="1"/>
      <w:autoSpaceDE w:val="1"/>
      <w:autoSpaceDN w:val="1"/>
      <w:ind w:left="708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 w:val="1"/>
    <w:rsid w:val="009972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972E4"/>
    <w:rPr>
      <w:color w:val="605e5c"/>
      <w:shd w:color="auto" w:fill="e1dfdd" w:val="clear"/>
    </w:rPr>
  </w:style>
  <w:style w:type="paragraph" w:styleId="Default" w:customStyle="1">
    <w:name w:val="Default"/>
    <w:rsid w:val="00515F1B"/>
    <w:pPr>
      <w:widowControl w:val="1"/>
      <w:adjustRightInd w:val="0"/>
    </w:pPr>
    <w:rPr>
      <w:rFonts w:ascii="Times New Roman" w:cs="Times New Roman" w:eastAsia="Times New Roman" w:hAnsi="Times New Roman"/>
      <w:color w:val="000000"/>
      <w:sz w:val="24"/>
      <w:szCs w:val="24"/>
      <w:lang w:eastAsia="pt-BR" w:val="pt-BR"/>
    </w:rPr>
  </w:style>
  <w:style w:type="character" w:styleId="Refdecomentrio">
    <w:name w:val="annotation reference"/>
    <w:uiPriority w:val="99"/>
    <w:semiHidden w:val="1"/>
    <w:unhideWhenUsed w:val="1"/>
    <w:rsid w:val="00515F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15F1B"/>
    <w:pPr>
      <w:widowControl w:val="1"/>
      <w:autoSpaceDE w:val="1"/>
      <w:autoSpaceDN w:val="1"/>
      <w:jc w:val="both"/>
    </w:pPr>
    <w:rPr>
      <w:rFonts w:ascii="Times New Roman" w:cs="Times New Roman" w:eastAsia="Times New Roman" w:hAnsi="Times New Roman"/>
      <w:noProof w:val="1"/>
      <w:sz w:val="20"/>
      <w:szCs w:val="20"/>
      <w:lang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15F1B"/>
    <w:rPr>
      <w:rFonts w:ascii="Times New Roman" w:cs="Times New Roman" w:eastAsia="Times New Roman" w:hAnsi="Times New Roman"/>
      <w:noProof w:val="1"/>
      <w:sz w:val="20"/>
      <w:szCs w:val="20"/>
      <w:lang w:val="pt-BR"/>
    </w:rPr>
  </w:style>
  <w:style w:type="paragraph" w:styleId="AACaptulosEnciclo" w:customStyle="1">
    <w:name w:val="AA Capítulos Enciclo"/>
    <w:basedOn w:val="Numerada5"/>
    <w:rsid w:val="005C4744"/>
    <w:pPr>
      <w:numPr>
        <w:numId w:val="0"/>
      </w:numPr>
      <w:pBdr>
        <w:top w:color="auto" w:space="3" w:sz="6" w:val="double"/>
        <w:left w:color="auto" w:space="0" w:sz="6" w:val="double"/>
        <w:bottom w:color="auto" w:space="3" w:sz="6" w:val="double"/>
        <w:right w:color="auto" w:space="0" w:sz="6" w:val="double"/>
      </w:pBdr>
      <w:adjustRightInd w:val="0"/>
      <w:contextualSpacing w:val="0"/>
      <w:jc w:val="center"/>
    </w:pPr>
    <w:rPr>
      <w:rFonts w:ascii="Arial" w:cs="Times New Roman" w:eastAsia="Times New Roman" w:hAnsi="Arial"/>
      <w:b w:val="1"/>
      <w:i w:val="1"/>
      <w:smallCaps w:val="1"/>
      <w:noProof w:val="1"/>
      <w:spacing w:val="30"/>
      <w:lang w:val="pt-BR"/>
    </w:rPr>
  </w:style>
  <w:style w:type="paragraph" w:styleId="Numerada5">
    <w:name w:val="List Number 5"/>
    <w:basedOn w:val="Normal"/>
    <w:uiPriority w:val="99"/>
    <w:semiHidden w:val="1"/>
    <w:unhideWhenUsed w:val="1"/>
    <w:rsid w:val="005C4744"/>
    <w:pPr>
      <w:numPr>
        <w:numId w:val="14"/>
      </w:numPr>
      <w:tabs>
        <w:tab w:val="num" w:pos="1492"/>
      </w:tabs>
      <w:ind w:left="1492" w:hanging="360"/>
      <w:contextualSpacing w:val="1"/>
    </w:pPr>
  </w:style>
  <w:style w:type="paragraph" w:styleId="Texto" w:customStyle="1">
    <w:name w:val="Texto"/>
    <w:basedOn w:val="Normal"/>
    <w:rsid w:val="00C70D51"/>
    <w:pPr>
      <w:widowControl w:val="1"/>
      <w:autoSpaceDE w:val="1"/>
      <w:autoSpaceDN w:val="1"/>
      <w:ind w:firstLine="709"/>
      <w:jc w:val="both"/>
    </w:pPr>
    <w:rPr>
      <w:rFonts w:ascii="Times New Roman" w:cs="Times New Roman" w:eastAsia="Times New Roman" w:hAnsi="Times New Roman"/>
      <w:sz w:val="20"/>
      <w:szCs w:val="20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gy7BWmBO2IOMqphRJ3wqZJyiw==">CgMxLjAyDmgucjdua2Rzb3Jwc2w4Mg1oLnZ3anJxNzd4bjV0OAByITF5TkJXbHpiR0xLbkp0RGZ2c01FZ1JTdVA4UnRhdV9pRg==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2025-05-02T19:30:00Z</dcterms:created>
  <dc:creator>Sandra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2025-01-07T00:00:00Z</vt:filetime>
  </property>
  <property fmtid="{D5CDD505-2E9C-101B-9397-08002B2CF9AE}" pid="5" name="Producer">
    <vt:lpwstr>Skia/PDF m131</vt:lpwstr>
  </property>
</Properties>
</file>