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" w:right="0" w:firstLine="3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Sinergismo Estado Vibracional-Sinalética Parapsíquica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5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Conceitologia</w:t>
      </w:r>
    </w:p>
    <w:p w:rsidR="00000000" w:rsidDel="00000000" w:rsidP="00000000" w:rsidRDefault="00000000" w:rsidRPr="00000000" w14:paraId="00000005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401.5748031496064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highlight w:val="white"/>
          <w:rtl w:val="0"/>
        </w:rPr>
        <w:t xml:space="preserve">automegassinal parapsíquico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 é a segunda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megaquisição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 paraperceptiva inicial, sendo a primeira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megaquisição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highlight w:val="white"/>
          <w:rtl w:val="0"/>
        </w:rPr>
        <w:t xml:space="preserve">estado vibracional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 (EV). (Vieira, 2014; p. 343)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bookmarkStart w:colFirst="0" w:colLast="0" w:name="_heading=h.hwalaprg4ds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Definição.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sinergismo estado vibracional-sinalética parapsíquica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o conjunto de efeitos potencializadores resultantes da interação da aplicação continuada das técnicas do estado vibracional e do mapeamento das autossinaléticas, capaz de ampliar a autodefesa energética, o padrão homeostático de referência, a sensibilidade e a autoconsciência holossensorial, tendo como megafoco a interassistência despertogênica.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bookmarkStart w:colFirst="0" w:colLast="0" w:name="_heading=h.57uvge8yg5o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Sinonímia: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1.  Sinergismo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vibração energossomática-sinalética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2.  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tegração parapsíquica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3.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Sinalética do Estado Vibracional.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Antonímia: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1. Sinergismo da singularidade das ECs. 2.  Conflito energoparapsíquico. 3. Sinalética de Amparo-Estado Vibracional. </w:t>
      </w:r>
    </w:p>
    <w:p w:rsidR="00000000" w:rsidDel="00000000" w:rsidP="00000000" w:rsidRDefault="00000000" w:rsidRPr="00000000" w14:paraId="0000000E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Especialidade: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Despertologia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Interdisciplinologia: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Sinaleticologia. 2. Invexologia. 3. Energossomatologia.  </w:t>
      </w:r>
    </w:p>
    <w:p w:rsidR="00000000" w:rsidDel="00000000" w:rsidP="00000000" w:rsidRDefault="00000000" w:rsidRPr="00000000" w14:paraId="00000011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Neologia Multilíngue: </w:t>
      </w:r>
    </w:p>
    <w:p w:rsidR="00000000" w:rsidDel="00000000" w:rsidP="00000000" w:rsidRDefault="00000000" w:rsidRPr="00000000" w14:paraId="00000013">
      <w:pPr>
        <w:spacing w:line="276" w:lineRule="auto"/>
        <w:ind w:firstLine="709"/>
        <w:rPr>
          <w:rFonts w:ascii="Times New Roman" w:cs="Times New Roman" w:eastAsia="Times New Roman" w:hAnsi="Times New Roman"/>
          <w:i w:val="1"/>
        </w:rPr>
      </w:pPr>
      <w:bookmarkStart w:colFirst="0" w:colLast="0" w:name="_heading=h.bzlzfru6zgqw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Francês: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Synergie état vibratoire-signalisation parapsychique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709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Espanhol: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Sinergismo estado vibracional-señalética parapsíquica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Inglês: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Synergism vibrational state-parapsychic signage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Argumentologia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240" w:line="276" w:lineRule="auto"/>
        <w:ind w:left="3401.5748031496064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Desconforto.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Faça o EV (Estado Vibracional) ao sentir algum sintoma de mini-doença, mal-estar físico ou mental, ou desconforto maior, seja onde for e quando for. (Adaptado de: Vieira, 1994, p. 287) </w:t>
      </w:r>
    </w:p>
    <w:p w:rsidR="00000000" w:rsidDel="00000000" w:rsidP="00000000" w:rsidRDefault="00000000" w:rsidRPr="00000000" w14:paraId="00000019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Adaptação.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É preciso prestar atenção ao primeiro sinal de desconforto. O cérebro é capaz de se adaptar a tudo, até às dores e sensações de mal-estar. Se a pessoa deixar passar, não irá aprofundar as origens da sinalética de característica nosográfica.   </w:t>
      </w:r>
    </w:p>
    <w:p w:rsidR="00000000" w:rsidDel="00000000" w:rsidP="00000000" w:rsidRDefault="00000000" w:rsidRPr="00000000" w14:paraId="0000001B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Detalhismo.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Quanto maior for o detalhismo ao relatar, ou registrar os sinais de  desconforto, será mais fácil identificar as possíveis causas. </w:t>
      </w:r>
    </w:p>
    <w:p w:rsidR="00000000" w:rsidDel="00000000" w:rsidP="00000000" w:rsidRDefault="00000000" w:rsidRPr="00000000" w14:paraId="0000001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Hermenêutica.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fim de obter a interpretação mais assertiva, importa verificar as variáveis somáticas e fisiológicas, para depois avaliar as variáveis energéticas, parapsíquicas ou extrafísicas.   </w:t>
      </w:r>
    </w:p>
    <w:p w:rsidR="00000000" w:rsidDel="00000000" w:rsidP="00000000" w:rsidRDefault="00000000" w:rsidRPr="00000000" w14:paraId="0000001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Padrões.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Quando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conscin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apresenta o mesmo padrão energético de determinada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consciex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essa pode passar totalmente despercebida, e no entanto, pode até estar na condição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simbionte,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 seja, fazendo parte do energossoma 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conscin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numa simbiose patológica.   </w:t>
      </w:r>
    </w:p>
    <w:p w:rsidR="00000000" w:rsidDel="00000000" w:rsidP="00000000" w:rsidRDefault="00000000" w:rsidRPr="00000000" w14:paraId="0000001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Recin.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percepção da diferenciação energética e holopensênica começa a surgir a partir da mudança de atitude, comportamento e intenção cosmoética. Nesse contexto é possível ter a autoconsciência holossesorial e holossomática da manifestação pessoal e a do outro.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EV.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hábito saudável de praticar o estado vibracional todos os dias, o maior número de vezes, cria rotina útil e gera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paraneossinapses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relativas a essa prática, sendo um fixador da  neo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parafôrma holopensênica homeostática pessoal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Retroalimentação.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busca pela homeostase holossomática e saúde consciencial faz a conscin ampliar o investimento no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sinergismo estado vibracional-sinalética parapsíquica,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retroalimentando e depurando a sensibilidade e a mudança do holopensene pessoal, tendo como meta o autodesassédio completo e o alcance da desperticidade - total. </w:t>
      </w:r>
    </w:p>
    <w:p w:rsidR="00000000" w:rsidDel="00000000" w:rsidP="00000000" w:rsidRDefault="00000000" w:rsidRPr="00000000" w14:paraId="00000021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Invéxis.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Entre as 11 metas do inversor e da inversora aos 40 anos estão: o domínio da instalação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com qualidade em qualquer lugar ou conjuntura intra e extrafísicas no tocante a autodefesa e aos desassédios, e a autoidentificação e emprego permanente de personalíssimos sinais da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sinalética energética, anímica e parapsíquica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(Vieira, 1994; p. 700).</w:t>
      </w:r>
    </w:p>
    <w:p w:rsidR="00000000" w:rsidDel="00000000" w:rsidP="00000000" w:rsidRDefault="00000000" w:rsidRPr="00000000" w14:paraId="00000022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Parapsiquismo.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sinalética parapsíquica pode ser utilizada pelo inversor ou inversora, desde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adolescência,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sendo o ideal iniciar na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infância,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 favorecer o desenvolvimento do parapsiquismo lúcido. (adaptado de Tornieri, 2018; p. 52)</w:t>
      </w:r>
    </w:p>
    <w:p w:rsidR="00000000" w:rsidDel="00000000" w:rsidP="00000000" w:rsidRDefault="00000000" w:rsidRPr="00000000" w14:paraId="00000023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Sinergismo.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Eis lista, em ordem alfabética, de 13 efeitos evolutivos do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sinergismo estado vibracional-sinalética parapsíquica: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Autodefesa.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mapeamento da sinalética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permite perceber de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imediato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padrões nosográficos e invasões na psicosfera do sensitivo lúcido. A partir dessa autopercepção é possível iniciar, também de modo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imediato,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técnica do EV,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fim de afastar e, até se possível, assistir e encaminhar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consciex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invasora ou assediadora.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autossinalética aciona a instalação do EV.  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Autodiscernimento.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t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écnica do EV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amplia o autodiscernimento e favorece a análise e a decodificação do conjunto de sinais sendo identificados, a fim de estabelecer padrões para 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mapeamento,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até a definição mais precisa da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autossinalética.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Descoincidência.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provoca o desencaixe dos veículos favorecendo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autoparapercepção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precisa das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autossinaléticas.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Ao passo que, quando os veículos estão totalmente coincidentes, o predomínio maior sobressai para a percepção do corpo físico, ou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soma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Gescon.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sinalética grafoamparológica,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ou da identificação da presença de amparador especializado na escrita, combinada com a técnica do EV favorece a captação das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neoideias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fortalece o campo gesconográfico.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Iscagem.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EV promove a limpeza da psicosfera e favorece a percepção dos sinais e sinaléticas de confirmação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consciex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sendo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iscada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pela vontade ou trazida pelo amparador da tenepes.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Interassistencialidade.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Ao utilizar a técnica do EV de modo habitual, principalmente antes de sair de casa, ou do trabalho, ou antes de deslocamentos, é possível perceber de modo mais claro a sinalética de para-orientação, ou a sinalética de teleguiamento interassistencial e atuar de modo mais lúcido.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Lucidez.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técnica do EV amplia a lucidez e favorece a compreensão da autossinalética.  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PHR.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técnica do EV promove o estabelecimento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padrão homeostático de referência (PHR),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identificação essencial para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parapercepção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dos sinais e sinaléticas de mudança para padrão superior, constatando a melhoria e a qualificação do PHR, ou ainda na obtenção de extrapolacionismo lúcido. E a identificação de padrão inferior, ao constatar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sinalética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assédio ou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autassédio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Profilaxia.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Os sinais e sinaléticas de aproximação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consciexes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patológicas ou energias gravitantes promove a antecipação das ações profiláticas, pela técnica do EV, evitando a instalação do assédio. 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Restauração.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partir do sinal de fadiga e de cansaço, ou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sinalética do limite somático,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é possível instalar o EV para restabelecer a disposição física.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Sensibilidade.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Tanto a prática do EV, quanto a autoconscientização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holossensorial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proveniente da prática do mapeamento da autossinalética ampliam a sensibilidade favorecendo a retroalimentação das autoparapercepções.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Soltura.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continuidade da aplicação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sinergismo estado vibracional-sinalética parapsíquica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irá flexibilizar o energossoma permitindo maior soltura energética para o atendimento das demandas interassistenciais diuturnas e projetivas. 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Tenepes.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prática da tenepes - tarefa energética pessoal, é iniciada a partir da formação do campo e esse a partir da instalação do estado vibracional. Nessa condição ocorre a ampliação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sinergismo estado vibracional-sinalética parapsíquica,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com a passividade-ativa do tenepessista e é potencializada pelo mapeamento do antes, durante e depois, e principalmente da sinalética amparológica e da sinalética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interassist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encial. </w:t>
      </w:r>
    </w:p>
    <w:p w:rsidR="00000000" w:rsidDel="00000000" w:rsidP="00000000" w:rsidRDefault="00000000" w:rsidRPr="00000000" w14:paraId="00000031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Cosmoética.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sinergismo estado vibracional-sinalética parapsíquica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interage com a prática da cosmoética, pelo fato de o sensitivo lúcido não se permitir passar sem atitude ao perceber sinal nosográfico. Essa conduta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autortoabsolutista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favorece a instalação do padrão interassistencial e ao mesmo tempo, ao alcance da desperticidade. </w:t>
      </w:r>
    </w:p>
    <w:p w:rsidR="00000000" w:rsidDel="00000000" w:rsidP="00000000" w:rsidRDefault="00000000" w:rsidRPr="00000000" w14:paraId="00000033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Singularidade.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megatrafor duplo domínio do EV-Autossinalética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pode compor 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paramegatrafor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sendo espécie de pérola negra dentro do perfil interassistencial raro dos intermissivistas lúcidos. </w:t>
      </w:r>
    </w:p>
    <w:p w:rsidR="00000000" w:rsidDel="00000000" w:rsidP="00000000" w:rsidRDefault="00000000" w:rsidRPr="00000000" w14:paraId="00000034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Paraevidenciologia (Fatos/Parafatos)</w:t>
      </w:r>
    </w:p>
    <w:p w:rsidR="00000000" w:rsidDel="00000000" w:rsidP="00000000" w:rsidRDefault="00000000" w:rsidRPr="00000000" w14:paraId="00000036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left="3401.574803149606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EV.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 EV ou estado vibracional, é o recurso defensivo, primário e insubstituível, disponível para você se defender energeticamente. Sem tal recurso, você não obtém outras autodefesas energéticas. Você domina, satisfatoriamente, o EV profilático? (Vieira, 1994; p. 269)</w:t>
      </w:r>
    </w:p>
    <w:p w:rsidR="00000000" w:rsidDel="00000000" w:rsidP="00000000" w:rsidRDefault="00000000" w:rsidRPr="00000000" w14:paraId="00000038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Homeostase.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sinergismo estado vibracional-sinalética parapsíquica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é a manutenção do padrão homeostático de referência, além de criar referência quanto às autodefesas energéticas.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Paratecnologia.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É possível identificar a presença de aparelho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extrafísico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amplificador e potencializador do Estado Vibracional, a partir do mapeamento de sinais e identificações de sinaléticas. </w:t>
      </w:r>
    </w:p>
    <w:p w:rsidR="00000000" w:rsidDel="00000000" w:rsidP="00000000" w:rsidRDefault="00000000" w:rsidRPr="00000000" w14:paraId="0000003B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Sensações.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Eis, lista de 10 sensações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holossomáticas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mais comuns, em ordem alfabética, a partir do mapeamento da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sinalética da instalação do EV:</w:t>
      </w:r>
    </w:p>
    <w:p w:rsidR="00000000" w:rsidDel="00000000" w:rsidP="00000000" w:rsidRDefault="00000000" w:rsidRPr="00000000" w14:paraId="0000003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01.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Ativação.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Percepção da ativação dos chacras.</w:t>
      </w:r>
    </w:p>
    <w:p w:rsidR="00000000" w:rsidDel="00000000" w:rsidP="00000000" w:rsidRDefault="00000000" w:rsidRPr="00000000" w14:paraId="0000003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02.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Descoincidência.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Sensação de descoincidência dos veículos do holossoma.</w:t>
      </w:r>
    </w:p>
    <w:p w:rsidR="00000000" w:rsidDel="00000000" w:rsidP="00000000" w:rsidRDefault="00000000" w:rsidRPr="00000000" w14:paraId="0000003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03.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Dínamo.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Sensação de se ter um dínamo energético interno.</w:t>
      </w:r>
    </w:p>
    <w:p w:rsidR="00000000" w:rsidDel="00000000" w:rsidP="00000000" w:rsidRDefault="00000000" w:rsidRPr="00000000" w14:paraId="0000003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04.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Balonamento.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Sensação de ampliação 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energosfera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05.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Enxágue.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Sensação de enxágue energético interno pelos órgãos do corpo físico.</w:t>
      </w:r>
    </w:p>
    <w:p w:rsidR="00000000" w:rsidDel="00000000" w:rsidP="00000000" w:rsidRDefault="00000000" w:rsidRPr="00000000" w14:paraId="00000041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Lucidez.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Ampliação da lucidez.</w:t>
      </w:r>
    </w:p>
    <w:p w:rsidR="00000000" w:rsidDel="00000000" w:rsidP="00000000" w:rsidRDefault="00000000" w:rsidRPr="00000000" w14:paraId="00000042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07.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Pulsação.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Pulsação dos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chacras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08.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Temperatura.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Aumento ou diminuição da temperatura corporal.</w:t>
      </w:r>
    </w:p>
    <w:p w:rsidR="00000000" w:rsidDel="00000000" w:rsidP="00000000" w:rsidRDefault="00000000" w:rsidRPr="00000000" w14:paraId="00000044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Varredura.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Sensação de varredura energética por todo soma e o energossoma.</w:t>
      </w:r>
    </w:p>
    <w:p w:rsidR="00000000" w:rsidDel="00000000" w:rsidP="00000000" w:rsidRDefault="00000000" w:rsidRPr="00000000" w14:paraId="00000045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Vibração.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Sensação de motor vibrando internamente de modo contínuo em todo corpo.</w:t>
      </w:r>
    </w:p>
    <w:p w:rsidR="00000000" w:rsidDel="00000000" w:rsidP="00000000" w:rsidRDefault="00000000" w:rsidRPr="00000000" w14:paraId="00000046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Questionamento.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Numa escala de 0 a 10, qual foi sua nota ao exercitar 20 vezes por dia o EV, a fim de fazer o mapeamento da sinalética? Você conseguiu mapear sinais energéticos e parapsíquicos recorrentes?</w:t>
      </w:r>
    </w:p>
    <w:p w:rsidR="00000000" w:rsidDel="00000000" w:rsidP="00000000" w:rsidRDefault="00000000" w:rsidRPr="00000000" w14:paraId="00000047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Matematização.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avaliação do mapeamento da sinalética pode ser realizado ao modo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sinaleticograma,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ao avaliar as competências e a inteligência sinaleticológica,  ou na condição de listagem ou inventário de cunho matemático, a fim de registrar e valorizar o detalhismo quanto ao número de sinaléticas identificadas, decodificadas e mapeadas, as autoparapercepções e a ampliação da autoconsciência holossensorial. </w:t>
      </w:r>
    </w:p>
    <w:p w:rsidR="00000000" w:rsidDel="00000000" w:rsidP="00000000" w:rsidRDefault="00000000" w:rsidRPr="00000000" w14:paraId="00000048">
      <w:pPr>
        <w:spacing w:after="240" w:before="240" w:line="276" w:lineRule="auto"/>
        <w:ind w:lef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Incerteza.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processo de investigação das autossinaléticas, na maioria das vezes não é possível ter certezas, pelo contrário, é necessário ter paciência para conviver com as incertezas temporárias, até que seja possível, ou não, chegar a uma conclusão mais acertada e aceitável quanto ao conteúdo da sinaléticas em mapeamento. </w:t>
      </w:r>
    </w:p>
    <w:p w:rsidR="00000000" w:rsidDel="00000000" w:rsidP="00000000" w:rsidRDefault="00000000" w:rsidRPr="00000000" w14:paraId="00000049">
      <w:pPr>
        <w:spacing w:after="240" w:before="240" w:line="276" w:lineRule="auto"/>
        <w:ind w:lef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Funcionalidade.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Mesmo diante da complexidade parapesquisítica, o ideal é manter a autodeterminação e o megafoco interassistencial para conseguir mapear ao menos estas 12 sinaléticas parapsíquicas funcionais: </w:t>
      </w:r>
    </w:p>
    <w:p w:rsidR="00000000" w:rsidDel="00000000" w:rsidP="00000000" w:rsidRDefault="00000000" w:rsidRPr="00000000" w14:paraId="0000004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01.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de amparo: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ampliação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reforço para as práticas interassistenciais. </w:t>
      </w:r>
    </w:p>
    <w:p w:rsidR="00000000" w:rsidDel="00000000" w:rsidP="00000000" w:rsidRDefault="00000000" w:rsidRPr="00000000" w14:paraId="0000004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02.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de assédio: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ampliação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 autodefesa e acolhimento das consciexes assistíveis.</w:t>
      </w:r>
    </w:p>
    <w:p w:rsidR="00000000" w:rsidDel="00000000" w:rsidP="00000000" w:rsidRDefault="00000000" w:rsidRPr="00000000" w14:paraId="0000004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03.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de assim (assimilação simpática):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ampliação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 conexão, acolhimento e diagnóstico dos assistidos.   </w:t>
      </w:r>
    </w:p>
    <w:p w:rsidR="00000000" w:rsidDel="00000000" w:rsidP="00000000" w:rsidRDefault="00000000" w:rsidRPr="00000000" w14:paraId="0000004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04.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de demanda interassistencial: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ampliação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 responsabilidade e da autodisponibilidade no atendimento.   </w:t>
      </w:r>
    </w:p>
    <w:p w:rsidR="00000000" w:rsidDel="00000000" w:rsidP="00000000" w:rsidRDefault="00000000" w:rsidRPr="00000000" w14:paraId="0000004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05.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de desassédio: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ampliação da capacidade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autodesassédio, de heterodesassédio e desassédio dos ambientes e holopensenes.</w:t>
      </w:r>
    </w:p>
    <w:p w:rsidR="00000000" w:rsidDel="00000000" w:rsidP="00000000" w:rsidRDefault="00000000" w:rsidRPr="00000000" w14:paraId="0000004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de desassim: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ampliação da capacidade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fazer a desassimilação simpática, os sinais energéticos e parapsíquicos da desconexão com os assistidos.  </w:t>
      </w:r>
    </w:p>
    <w:p w:rsidR="00000000" w:rsidDel="00000000" w:rsidP="00000000" w:rsidRDefault="00000000" w:rsidRPr="00000000" w14:paraId="0000005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07.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de ectoplasmia: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ampliação da doação de energias. </w:t>
      </w:r>
    </w:p>
    <w:p w:rsidR="00000000" w:rsidDel="00000000" w:rsidP="00000000" w:rsidRDefault="00000000" w:rsidRPr="00000000" w14:paraId="0000005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08.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de iscagem lúcida: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ampliação da capacidade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iscar de modo lúcido as consciexes assistíveis. </w:t>
      </w:r>
    </w:p>
    <w:p w:rsidR="00000000" w:rsidDel="00000000" w:rsidP="00000000" w:rsidRDefault="00000000" w:rsidRPr="00000000" w14:paraId="0000005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de saúde holossomática: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ampliação da capacidade de manter a homeostasia.  </w:t>
      </w:r>
    </w:p>
    <w:p w:rsidR="00000000" w:rsidDel="00000000" w:rsidP="00000000" w:rsidRDefault="00000000" w:rsidRPr="00000000" w14:paraId="0000005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do EV: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ampliação da capacidade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instalar o EV e a sensibilidade sinaleticológica. </w:t>
      </w:r>
    </w:p>
    <w:p w:rsidR="00000000" w:rsidDel="00000000" w:rsidP="00000000" w:rsidRDefault="00000000" w:rsidRPr="00000000" w14:paraId="0000005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do holopensene pessoal: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ampliação da capacidade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matematizar o padrão pensênico, a melhoria da holopensenidade. </w:t>
      </w:r>
    </w:p>
    <w:p w:rsidR="00000000" w:rsidDel="00000000" w:rsidP="00000000" w:rsidRDefault="00000000" w:rsidRPr="00000000" w14:paraId="0000005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do padrão homeostático pessoal: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ampliação da capacidade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manter o PHR.</w:t>
      </w:r>
    </w:p>
    <w:p w:rsidR="00000000" w:rsidDel="00000000" w:rsidP="00000000" w:rsidRDefault="00000000" w:rsidRPr="00000000" w14:paraId="00000056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Conclusiologia / Pensatologia (Síntese) </w:t>
      </w:r>
    </w:p>
    <w:p w:rsidR="00000000" w:rsidDel="00000000" w:rsidP="00000000" w:rsidRDefault="00000000" w:rsidRPr="00000000" w14:paraId="0000005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Prumo.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consciência que pretende evoluir 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interassistir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em níveis cada vez melhores, precisa, inevitavelmente manter-se com equilíbrio e harmonia 24 horas por dia.</w:t>
      </w:r>
    </w:p>
    <w:p w:rsidR="00000000" w:rsidDel="00000000" w:rsidP="00000000" w:rsidRDefault="00000000" w:rsidRPr="00000000" w14:paraId="0000005B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Prudência.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realismo de saber onde se está e com quem se convive, na intra 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extrafisicalidade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imprime a necessidade de maior responsabilidade perante os atos multidimensionais, a começar com a autopensenidade e o padrão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holopensênico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Escolha.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Planeta Terra possui todos os níveis evolutivos, desde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consréus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até os Serenões, ao fazer escolhas mais lúcidas nos aproximamos das consciências mais evoluídas. Estudemos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sinalética do padrão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serenológico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Funcionalidade.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implantação da rotina útil e o hábito saudável de instalar o EV e perceber as sinaléticas depende muitas vezes da autocompreensão dos efeitos e benefícios dos mesmos, ou seja, precisa fazer sentido para a automotivação funcionar.   </w:t>
      </w:r>
    </w:p>
    <w:p w:rsidR="00000000" w:rsidDel="00000000" w:rsidP="00000000" w:rsidRDefault="00000000" w:rsidRPr="00000000" w14:paraId="0000005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Régua.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sinergismo estado vibracional-sinalética parapsíquica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promove a subida da  régua 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conscienciometria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evolutiva, para a consciência lúcida e interassistencial manifestar-se em alto nível, se assim o desejar.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voliciolina move recins.  </w:t>
      </w:r>
    </w:p>
    <w:p w:rsidR="00000000" w:rsidDel="00000000" w:rsidP="00000000" w:rsidRDefault="00000000" w:rsidRPr="00000000" w14:paraId="0000005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Remissiologia (Dicionário de Sinaleticologia)</w:t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before="55" w:lineRule="auto"/>
        <w:ind w:left="1069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Parapsíquica do Estado Vibracional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(Energossomatologia).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before="55" w:lineRule="auto"/>
        <w:ind w:left="1069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Parapsíquica do Padrão Despertológico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(Despertologia).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Parapsíquica do Padrão Homeostático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(Homeostaticologia).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before="55" w:lineRule="auto"/>
        <w:ind w:left="1069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Parapsíquica do Padrão Invexológico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(Invexologia).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Parapsíquica do Padrão Serenológico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(Sere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nologia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Referenciologia</w:t>
      </w:r>
    </w:p>
    <w:p w:rsidR="00000000" w:rsidDel="00000000" w:rsidP="00000000" w:rsidRDefault="00000000" w:rsidRPr="00000000" w14:paraId="0000006B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Bibliografia Específica:</w:t>
      </w:r>
    </w:p>
    <w:p w:rsidR="00000000" w:rsidDel="00000000" w:rsidP="00000000" w:rsidRDefault="00000000" w:rsidRPr="00000000" w14:paraId="0000006D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Tornieri,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Sandra;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Caldas,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Milces;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Formolo,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Clarineuza;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Sinaleticologia: Princípios Holofilosóficos da Neociência Propulsora do Parapsiquismo Despertológico;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Artigo; I Congresso Internacional de Conscienciologia; Foz do Iguaçu, PR; 25-28.07.24; Conscientia; Revista; Anuário; Ano 28; N. 3; Seção: Artigo Original; 3 E-mails; 3 microbiografia; 10 enus.; 10 refs.; Centro de Altos Estudos da Conscienciologia (CEAEC); Foz do Iguaçu, PR; Julho/Setembro, 2024; páginas 339 a 351.</w:t>
      </w:r>
    </w:p>
    <w:p w:rsidR="00000000" w:rsidDel="00000000" w:rsidP="00000000" w:rsidRDefault="00000000" w:rsidRPr="00000000" w14:paraId="0000006F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Tornieri,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Sandra;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Mapeamento da Sinalética Energética Parapsíquica;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pref.; Hernande Leite; revisores Mabel Teles; et al.; 302 p.; 4 seções; 56 caps.; 1 citação; 23 E-mails; 153 enus.; 1 fotos; 1 microbiografia; 55 pensatas; 11 questionamentos; 1 tab.; 11 técnicas; 2 testes; 21 websites; glos. 210 termos; 6 filmes; 57 refs.; 1 anexo; 2 apêndice.; alf.; 21 x 14 cm; br.; 2a Ed. rev. e aum.; Associação Internacional Editares; Foz do Iguaçu, PR; 2018; páginas 41, 44, 52, 145 a 177 e 237 a 241.</w:t>
      </w:r>
    </w:p>
    <w:p w:rsidR="00000000" w:rsidDel="00000000" w:rsidP="00000000" w:rsidRDefault="00000000" w:rsidRPr="00000000" w14:paraId="00000070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80808"/>
          <w:sz w:val="16"/>
          <w:szCs w:val="16"/>
          <w:highlight w:val="whit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80808"/>
          <w:sz w:val="16"/>
          <w:szCs w:val="16"/>
          <w:highlight w:val="white"/>
          <w:rtl w:val="0"/>
        </w:rPr>
        <w:t xml:space="preserve">Vieira, </w:t>
      </w:r>
      <w:r w:rsidDel="00000000" w:rsidR="00000000" w:rsidRPr="00000000">
        <w:rPr>
          <w:rFonts w:ascii="Times New Roman" w:cs="Times New Roman" w:eastAsia="Times New Roman" w:hAnsi="Times New Roman"/>
          <w:color w:val="080808"/>
          <w:sz w:val="16"/>
          <w:szCs w:val="16"/>
          <w:highlight w:val="white"/>
          <w:rtl w:val="0"/>
        </w:rPr>
        <w:t xml:space="preserve">Waldo;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80808"/>
          <w:sz w:val="16"/>
          <w:szCs w:val="16"/>
          <w:highlight w:val="white"/>
          <w:rtl w:val="0"/>
        </w:rPr>
        <w:t xml:space="preserve">700 Experimentos da Conscienciologia;</w:t>
      </w:r>
      <w:r w:rsidDel="00000000" w:rsidR="00000000" w:rsidRPr="00000000">
        <w:rPr>
          <w:rFonts w:ascii="Times New Roman" w:cs="Times New Roman" w:eastAsia="Times New Roman" w:hAnsi="Times New Roman"/>
          <w:color w:val="080808"/>
          <w:sz w:val="16"/>
          <w:szCs w:val="16"/>
          <w:highlight w:val="white"/>
          <w:rtl w:val="0"/>
        </w:rPr>
        <w:t xml:space="preserve"> 1.058 p.; 40 seções; 100 subseções; 700 caps.; 147 abrevs.; 1 cronologia; 100 datas; 1 E-mail; 600 enus.; 272 estrangeirismos; 2 tabs.; 300 testes; glos. 280 termos; 5.116 refs.; alf.; geo.; ono.; 28,5 x 21,5 x 7 cm; enc.; Instituto Internacional de Projeciologia; Rio de Janeiro, RJ; 1994; páginas 269, 287, 700.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tabs>
          <w:tab w:val="left" w:leader="none" w:pos="0"/>
        </w:tabs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Idem;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Dicionário de Argumentos da Conscienciologia;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revisores Equipe de Revisores do Holociclo; 1.572 p.; 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blog;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21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E-mails;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551 enus.; 1 esquema da evolução consciencial; 18 fotos; glos. 650 termos; 19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websites;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alf.; 28,5 x 21,5 x 7 cm; enc.;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Editares;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Foz do Iguaçu, PR; 2014; página 343.</w:t>
      </w:r>
    </w:p>
    <w:p w:rsidR="00000000" w:rsidDel="00000000" w:rsidP="00000000" w:rsidRDefault="00000000" w:rsidRPr="00000000" w14:paraId="00000072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. Idem;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Léxico de Ortopensatas;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revisores Equipe de Revisores do Holociclo; 2 Vols.; 1.800 p.; Vol. I; 1 blog; 652 conceitos analógicos; 22 E-mails; 19 enus.; 1 esquema da evolução consciencial; 17 fotos; glos. 6.476 termos; 1.811 megapensenes trivocabulares; 1 microbiografía; 20.800 ortopensatas; 2 tabs.; 120 técnicas lexicográficas; 19 websites; 28,5 x 22 x 10 cm; enc.; Associação Internacional Editares; Foz do Iguaçu, PR; 2014; página 229.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Filmografia Específica:</w:t>
      </w:r>
    </w:p>
    <w:p w:rsidR="00000000" w:rsidDel="00000000" w:rsidP="00000000" w:rsidRDefault="00000000" w:rsidRPr="00000000" w14:paraId="00000075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Homem Especial.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Título Original: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The Gifted One.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País: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EUA.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1989.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Duração: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136 min.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Gênero: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Fantasia. Idade (censura): 12 anos.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Idioma: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Inglês.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Cor: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Colorido.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Legendado: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Português; Inglês; &amp; Espanhol (em DVD).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Direção: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Stephen Herek.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Elenco: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Peter Kowanko, John Rhys Davis.;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Direção de Arte: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David Moll.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Roteiro: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Dianne Sullens.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Fotografia: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Kees Van Oostrum.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Música: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J. Peter Robinson.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Figurino: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Darryl Martell.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Edição: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Larry Bock e Gib Jaffe.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Sinopse: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 Gifted One é um filme de 1989 dirigido por Stephen Herek. A trama acompanha um jovem com habilidades sobrenaturais que luta para encontrar seu lugar no mundo enquanto é perseguido por forças obscuras que desejam explorar seu poder. Ao longo de sua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jornada, ele descobre 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verdadeiro significado da família e do sacrifício.</w:t>
      </w:r>
    </w:p>
    <w:p w:rsidR="00000000" w:rsidDel="00000000" w:rsidP="00000000" w:rsidRDefault="00000000" w:rsidRPr="00000000" w14:paraId="00000077">
      <w:pPr>
        <w:spacing w:after="0" w:before="0" w:lineRule="auto"/>
        <w:ind w:firstLine="708.6614173228347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Matilda.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Título Original: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Matilda.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País: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EUA, Data: 1996.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Duração: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98 min.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Gênero: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Fantasia; Comédia; Família.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Idade (censura):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Livre.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Idioma: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Inglês.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Cor: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Colorido.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Legendado: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Português; Inglês; Espanhol (em DVD/Blu-ray).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Direção: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Danny DeVito.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Elenco: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Mara Wilson; Danny DeVito; Rhea Perlman; Embeth Davidtz; Pam Ferris.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Direção de Arte: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William A. Elliott.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Roteiro: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Nicholas Kazan e Robin Swicord (baseado no livro de Roald Dahl).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Fotografia: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Stefan Czapsky.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Música: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David Newman.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Figurino: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Ruth Myers.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Edição: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Lynzee Klingman e Brent White.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Sinopse: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Matilda é uma menina prodígio com inteligência brilhante e poderes telecinéticos. Negligenciada pela família, ela encontra apoio na professora Srta. Honey, enquanto enfrenta a diretora tirânica da escola. Usando sua astúcia e dons especiais, Matilda transforma sua realidade e inspira justiça com humor e sensibilidade.</w:t>
      </w:r>
    </w:p>
    <w:p w:rsidR="00000000" w:rsidDel="00000000" w:rsidP="00000000" w:rsidRDefault="00000000" w:rsidRPr="00000000" w14:paraId="00000078">
      <w:pPr>
        <w:spacing w:after="0" w:before="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O Sexto Sentido.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Título Original: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The Sixth Sense.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País: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EUA.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Data: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1999.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Duração: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107 min.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Gênero: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Suspense. Drama; Sobrenatural.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Idade (censura):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14 anos.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Idioma: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Inglês.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Cor: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Colorido.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Legendado: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Português; Inglês; Espanhol (em DVD/Blu-ray).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Direção: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M. Night Shyamalan.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Elenco: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Bruce Willis; Haley Joel Osment; Toni Collette; Olivia Williams. Direção de Arte: Larry Fulton.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Roteiro: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M. Night Shyamalan.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Fotografia: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Tak Fujimoto.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Música: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James Newton Howard.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Figurino: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Joanna Johnston.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Edição: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Andrew Mondshein.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Sinopse: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Um psicólogo infantil renomado, Malcolm Crowe, encontra um novo desafio ao tentar ajudar Cole, um garoto de 8 anos que afirma ver e se comunicar com espíritos. Conforme se aproxima da verdade, Crowe é confrontado com revelações que mudam profundamente sua percepção da vida e da morte.</w:t>
      </w:r>
    </w:p>
    <w:p w:rsidR="00000000" w:rsidDel="00000000" w:rsidP="00000000" w:rsidRDefault="00000000" w:rsidRPr="00000000" w14:paraId="00000079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Webgrafia Específica: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Tornieri,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Sandra;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Singularidade das Energias Conscienciais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(N. 5.249; 18.06.2020); Verbete;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In: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Vieira,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Waldo; Org.;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Enciclopédia da Conscienciologia;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apres. Coordenação da ENCYCLOSSAPIENS; revisores Equipe de Revisores da ENCYCLOSSAPIENS; Vol. Digital Único (PDF); CCXL + 34.372 p.; 3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E-mails;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11.129 enus.; 727 especialidades; 1 foto; glos. 6.500 termos (verbetes); 1 ilus.; 1.001 microbiografias; 417 tabs.; 25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websites;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22.474 bibliografías específicas; 1.048 filmografías específicas; 125 videografias específicas; 1.860 webgrafias específicas; alf.; 10ª Ed. rev. e aum.;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de Enciclopediologia Conscienciológica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(ENCYCLOSSAPIENS); &amp;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Editares;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Foz do Iguaçu, PR; 2023; páginas 31.185 a 31.190; disponível em: &lt;https://encyclossapiens.space/ec/ECDigital10.pdf&gt;; acesso em: 03.03.2025; 06h35. </w:t>
      </w:r>
    </w:p>
    <w:p w:rsidR="00000000" w:rsidDel="00000000" w:rsidP="00000000" w:rsidRDefault="00000000" w:rsidRPr="00000000" w14:paraId="0000007D">
      <w:pPr>
        <w:ind w:firstLine="709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Autor(a):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S.T</w:t>
      </w:r>
    </w:p>
    <w:p w:rsidR="00000000" w:rsidDel="00000000" w:rsidP="00000000" w:rsidRDefault="00000000" w:rsidRPr="00000000" w14:paraId="00000080">
      <w:pPr>
        <w:ind w:firstLine="709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-717548</wp:posOffset>
                </wp:positionH>
                <wp:positionV relativeFrom="paragraph">
                  <wp:posOffset>266700</wp:posOffset>
                </wp:positionV>
                <wp:extent cx="9525" cy="12700"/>
                <wp:effectExtent b="0" l="0" r="0" t="0"/>
                <wp:wrapTopAndBottom distB="0" distT="0"/>
                <wp:docPr id="10736118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25890" y="3775238"/>
                          <a:ext cx="6840220" cy="9525"/>
                        </a:xfrm>
                        <a:custGeom>
                          <a:rect b="b" l="l" r="r" t="t"/>
                          <a:pathLst>
                            <a:path extrusionOk="0" h="9525" w="6840220">
                              <a:moveTo>
                                <a:pt x="683984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39842" y="0"/>
                              </a:lnTo>
                              <a:lnTo>
                                <a:pt x="683984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-717548</wp:posOffset>
                </wp:positionH>
                <wp:positionV relativeFrom="paragraph">
                  <wp:posOffset>266700</wp:posOffset>
                </wp:positionV>
                <wp:extent cx="9525" cy="12700"/>
                <wp:effectExtent b="0" l="0" r="0" t="0"/>
                <wp:wrapTopAndBottom distB="0" distT="0"/>
                <wp:docPr id="10736118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1">
      <w:pPr>
        <w:ind w:firstLine="709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ind w:left="22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40" w:w="11900" w:orient="portrait"/>
      <w:pgMar w:bottom="1417" w:top="1417" w:left="1701" w:right="1701" w:header="284" w:footer="26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-792160</wp:posOffset>
              </wp:positionH>
              <wp:positionV relativeFrom="paragraph">
                <wp:posOffset>10371138</wp:posOffset>
              </wp:positionV>
              <wp:extent cx="3707765" cy="158115"/>
              <wp:effectExtent b="0" l="0" r="0" t="0"/>
              <wp:wrapNone/>
              <wp:docPr id="107361183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501643" y="3710468"/>
                        <a:ext cx="3688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4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-792160</wp:posOffset>
              </wp:positionH>
              <wp:positionV relativeFrom="paragraph">
                <wp:posOffset>10371138</wp:posOffset>
              </wp:positionV>
              <wp:extent cx="3707765" cy="158115"/>
              <wp:effectExtent b="0" l="0" r="0" t="0"/>
              <wp:wrapNone/>
              <wp:docPr id="107361183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07765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5976938</wp:posOffset>
              </wp:positionH>
              <wp:positionV relativeFrom="paragraph">
                <wp:posOffset>10371138</wp:posOffset>
              </wp:positionV>
              <wp:extent cx="211455" cy="158115"/>
              <wp:effectExtent b="0" l="0" r="0" t="0"/>
              <wp:wrapNone/>
              <wp:docPr id="107361183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49798" y="3710468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1/ NUMPAGES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5976938</wp:posOffset>
              </wp:positionH>
              <wp:positionV relativeFrom="paragraph">
                <wp:posOffset>10371138</wp:posOffset>
              </wp:positionV>
              <wp:extent cx="211455" cy="158115"/>
              <wp:effectExtent b="0" l="0" r="0" t="0"/>
              <wp:wrapNone/>
              <wp:docPr id="107361183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455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5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1066801</wp:posOffset>
              </wp:positionH>
              <wp:positionV relativeFrom="page">
                <wp:posOffset>238126</wp:posOffset>
              </wp:positionV>
              <wp:extent cx="5554345" cy="276225"/>
              <wp:effectExtent b="0" l="0" r="0" t="0"/>
              <wp:wrapSquare wrapText="bothSides" distB="0" distT="0" distL="0" distR="0"/>
              <wp:docPr id="10736118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78353" y="3651413"/>
                        <a:ext cx="553529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Dicionário  de  Sinaleticologia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1066801</wp:posOffset>
              </wp:positionH>
              <wp:positionV relativeFrom="page">
                <wp:posOffset>238126</wp:posOffset>
              </wp:positionV>
              <wp:extent cx="5554345" cy="276225"/>
              <wp:effectExtent b="0" l="0" r="0" t="0"/>
              <wp:wrapSquare wrapText="bothSides" distB="0" distT="0" distL="0" distR="0"/>
              <wp:docPr id="10736118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4345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spacing w:before="245" w:lineRule="auto"/>
      <w:rPr>
        <w:sz w:val="24"/>
        <w:szCs w:val="24"/>
      </w:rPr>
    </w:pPr>
    <w:r w:rsidDel="00000000" w:rsidR="00000000" w:rsidRPr="00000000">
      <w:rPr>
        <w:sz w:val="24"/>
        <w:szCs w:val="24"/>
      </w:rPr>
      <mc:AlternateContent>
        <mc:Choice Requires="wpg">
          <w:drawing>
            <wp:inline distB="0" distT="0" distL="0" distR="0">
              <wp:extent cx="5554345" cy="276225"/>
              <wp:effectExtent b="0" l="0" r="0" t="0"/>
              <wp:docPr id="10736118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78353" y="3651413"/>
                        <a:ext cx="553529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Dicionário  de  Sinaleticologia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5554345" cy="276225"/>
              <wp:effectExtent b="0" l="0" r="0" t="0"/>
              <wp:docPr id="107361182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4345" cy="2762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  <w:t xml:space="preserve">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before="225" w:lineRule="auto"/>
      <w:ind w:left="3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06" w:lineRule="auto"/>
      <w:ind w:left="3"/>
    </w:pPr>
    <w:rPr>
      <w:b w:val="1"/>
      <w:sz w:val="50"/>
      <w:szCs w:val="50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24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spacing w:before="55"/>
      <w:ind w:left="387" w:hanging="267"/>
    </w:pPr>
    <w:rPr>
      <w:rFonts w:ascii="Arial MT" w:cs="Arial MT" w:eastAsia="Arial MT" w:hAnsi="Arial MT"/>
    </w:r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3D5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C3D52"/>
    <w:rPr>
      <w:rFonts w:ascii="Georgia" w:cs="Georgia" w:eastAsia="Georgia" w:hAnsi="Georgi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C3D5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C3D52"/>
    <w:rPr>
      <w:rFonts w:ascii="Georgia" w:cs="Georgia" w:eastAsia="Georgia" w:hAnsi="Georgia"/>
      <w:lang w:val="pt-PT"/>
    </w:rPr>
  </w:style>
  <w:style w:type="paragraph" w:styleId="PargrafodaLista1" w:customStyle="1">
    <w:name w:val="Parágrafo da Lista1"/>
    <w:basedOn w:val="Normal"/>
    <w:qFormat w:val="1"/>
    <w:rsid w:val="004E4006"/>
    <w:pPr>
      <w:widowControl w:val="1"/>
      <w:autoSpaceDE w:val="1"/>
      <w:autoSpaceDN w:val="1"/>
      <w:ind w:left="708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 w:val="1"/>
    <w:rsid w:val="009972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972E4"/>
    <w:rPr>
      <w:color w:val="605e5c"/>
      <w:shd w:color="auto" w:fill="e1dfdd" w:val="clear"/>
    </w:rPr>
  </w:style>
  <w:style w:type="paragraph" w:styleId="Default" w:customStyle="1">
    <w:name w:val="Default"/>
    <w:rsid w:val="00515F1B"/>
    <w:pPr>
      <w:widowControl w:val="1"/>
      <w:adjustRightInd w:val="0"/>
    </w:pPr>
    <w:rPr>
      <w:rFonts w:ascii="Times New Roman" w:cs="Times New Roman" w:eastAsia="Times New Roman" w:hAnsi="Times New Roman"/>
      <w:color w:val="000000"/>
      <w:sz w:val="24"/>
      <w:szCs w:val="24"/>
      <w:lang w:eastAsia="pt-BR" w:val="pt-BR"/>
    </w:rPr>
  </w:style>
  <w:style w:type="character" w:styleId="Refdecomentrio">
    <w:name w:val="annotation reference"/>
    <w:uiPriority w:val="99"/>
    <w:semiHidden w:val="1"/>
    <w:unhideWhenUsed w:val="1"/>
    <w:rsid w:val="00515F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15F1B"/>
    <w:pPr>
      <w:widowControl w:val="1"/>
      <w:autoSpaceDE w:val="1"/>
      <w:autoSpaceDN w:val="1"/>
      <w:jc w:val="both"/>
    </w:pPr>
    <w:rPr>
      <w:rFonts w:ascii="Times New Roman" w:cs="Times New Roman" w:eastAsia="Times New Roman" w:hAnsi="Times New Roman"/>
      <w:noProof w:val="1"/>
      <w:sz w:val="20"/>
      <w:szCs w:val="20"/>
      <w:lang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15F1B"/>
    <w:rPr>
      <w:rFonts w:ascii="Times New Roman" w:cs="Times New Roman" w:eastAsia="Times New Roman" w:hAnsi="Times New Roman"/>
      <w:noProof w:val="1"/>
      <w:sz w:val="20"/>
      <w:szCs w:val="20"/>
      <w:lang w:val="pt-BR"/>
    </w:rPr>
  </w:style>
  <w:style w:type="paragraph" w:styleId="AACaptulosEnciclo" w:customStyle="1">
    <w:name w:val="AA Capítulos Enciclo"/>
    <w:basedOn w:val="Numerada5"/>
    <w:rsid w:val="005C4744"/>
    <w:pPr>
      <w:numPr>
        <w:numId w:val="0"/>
      </w:numPr>
      <w:pBdr>
        <w:top w:color="auto" w:space="3" w:sz="6" w:val="double"/>
        <w:left w:color="auto" w:space="0" w:sz="6" w:val="double"/>
        <w:bottom w:color="auto" w:space="3" w:sz="6" w:val="double"/>
        <w:right w:color="auto" w:space="0" w:sz="6" w:val="double"/>
      </w:pBdr>
      <w:adjustRightInd w:val="0"/>
      <w:contextualSpacing w:val="0"/>
      <w:jc w:val="center"/>
    </w:pPr>
    <w:rPr>
      <w:rFonts w:ascii="Arial" w:cs="Times New Roman" w:eastAsia="Times New Roman" w:hAnsi="Arial"/>
      <w:b w:val="1"/>
      <w:i w:val="1"/>
      <w:smallCaps w:val="1"/>
      <w:noProof w:val="1"/>
      <w:spacing w:val="30"/>
      <w:lang w:val="pt-BR"/>
    </w:rPr>
  </w:style>
  <w:style w:type="paragraph" w:styleId="Numerada5">
    <w:name w:val="List Number 5"/>
    <w:basedOn w:val="Normal"/>
    <w:uiPriority w:val="99"/>
    <w:semiHidden w:val="1"/>
    <w:unhideWhenUsed w:val="1"/>
    <w:rsid w:val="005C4744"/>
    <w:pPr>
      <w:numPr>
        <w:numId w:val="14"/>
      </w:numPr>
      <w:tabs>
        <w:tab w:val="num" w:pos="1492"/>
      </w:tabs>
      <w:ind w:left="1492" w:hanging="360"/>
      <w:contextualSpacing w:val="1"/>
    </w:pPr>
  </w:style>
  <w:style w:type="paragraph" w:styleId="Texto" w:customStyle="1">
    <w:name w:val="Texto"/>
    <w:basedOn w:val="Normal"/>
    <w:rsid w:val="00C70D51"/>
    <w:pPr>
      <w:widowControl w:val="1"/>
      <w:autoSpaceDE w:val="1"/>
      <w:autoSpaceDN w:val="1"/>
      <w:ind w:firstLine="709"/>
      <w:jc w:val="both"/>
    </w:pPr>
    <w:rPr>
      <w:rFonts w:ascii="Times New Roman" w:cs="Times New Roman" w:eastAsia="Times New Roman" w:hAnsi="Times New Roman"/>
      <w:sz w:val="20"/>
      <w:szCs w:val="20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iHRx6EQjTjc+PlkO30M3k3cuQ==">CgMxLjAyDmguaHdhbGFwcmc0ZHN2Mg5oLjU3dXZnZTh5ZzVvZzIOaC5iemx6ZnJ1NnpncXc4AHIhMTN4dzRVdHZYUWMtRk1nNml0cG51dWg2aGgzV2RTNlA2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2025-05-02T19:30:00Z</dcterms:created>
  <dc:creator>Sandra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2025-01-07T00:00:00Z</vt:filetime>
  </property>
  <property fmtid="{D5CDD505-2E9C-101B-9397-08002B2CF9AE}" pid="5" name="Producer">
    <vt:lpwstr>Skia/PDF m131</vt:lpwstr>
  </property>
</Properties>
</file>