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571A261C" w:rsidR="005E3608" w:rsidRDefault="00AD795D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314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="007365A8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71120BA9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</w:t>
      </w:r>
      <w:r w:rsidR="00314226">
        <w:rPr>
          <w:rFonts w:ascii="Arial" w:eastAsia="Times New Roman" w:hAnsi="Arial" w:cs="Arial"/>
          <w:sz w:val="24"/>
          <w:szCs w:val="24"/>
        </w:rPr>
        <w:t>Michael Day</w:t>
      </w:r>
      <w:r w:rsidR="008D2C1D">
        <w:rPr>
          <w:rFonts w:ascii="Arial" w:eastAsia="Times New Roman" w:hAnsi="Arial" w:cs="Arial"/>
          <w:sz w:val="24"/>
          <w:szCs w:val="24"/>
        </w:rPr>
        <w:t xml:space="preserve">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314226">
        <w:rPr>
          <w:rFonts w:ascii="Arial" w:eastAsia="Times New Roman" w:hAnsi="Arial" w:cs="Arial"/>
          <w:sz w:val="24"/>
          <w:szCs w:val="24"/>
        </w:rPr>
        <w:t xml:space="preserve">Amy Grady – Trustee, Bryan </w:t>
      </w:r>
      <w:r w:rsidRPr="00C61A28">
        <w:rPr>
          <w:rFonts w:ascii="Arial" w:eastAsia="Times New Roman" w:hAnsi="Arial" w:cs="Arial"/>
          <w:sz w:val="24"/>
          <w:szCs w:val="24"/>
        </w:rPr>
        <w:t xml:space="preserve">Hadeway – Trustee </w:t>
      </w:r>
    </w:p>
    <w:p w14:paraId="514D880C" w14:textId="0CABCB10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Pat Gray – Deputy Treasurer</w:t>
      </w:r>
      <w:r w:rsidR="000A1410">
        <w:rPr>
          <w:rFonts w:ascii="Arial" w:eastAsia="Times New Roman" w:hAnsi="Arial" w:cs="Arial"/>
          <w:sz w:val="24"/>
          <w:szCs w:val="24"/>
        </w:rPr>
        <w:t>, Brain Pike – Planning Commission</w:t>
      </w:r>
      <w:r w:rsidR="00314226">
        <w:rPr>
          <w:rFonts w:ascii="Arial" w:eastAsia="Times New Roman" w:hAnsi="Arial" w:cs="Arial"/>
          <w:sz w:val="24"/>
          <w:szCs w:val="24"/>
        </w:rPr>
        <w:t xml:space="preserve">, </w:t>
      </w:r>
      <w:r w:rsidR="00AD795D">
        <w:rPr>
          <w:rFonts w:ascii="Arial" w:eastAsia="Times New Roman" w:hAnsi="Arial" w:cs="Arial"/>
          <w:sz w:val="24"/>
          <w:szCs w:val="24"/>
        </w:rPr>
        <w:t>Bruce Turner – Zoning Admin, Doug Young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689F00D2" w:rsidR="00FF690D" w:rsidRDefault="00314226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 w:rsidR="00AD795D">
        <w:rPr>
          <w:rFonts w:ascii="Arial" w:hAnsi="Arial" w:cs="Arial"/>
          <w:sz w:val="24"/>
          <w:szCs w:val="24"/>
        </w:rPr>
        <w:t>Grady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AD795D">
        <w:rPr>
          <w:rFonts w:ascii="Arial" w:hAnsi="Arial" w:cs="Arial"/>
          <w:sz w:val="24"/>
          <w:szCs w:val="24"/>
        </w:rPr>
        <w:t>January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5B3310E3" w:rsidR="00F36040" w:rsidRDefault="00314226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AD795D">
        <w:rPr>
          <w:rFonts w:ascii="Arial" w:hAnsi="Arial" w:cs="Arial"/>
          <w:sz w:val="24"/>
          <w:szCs w:val="24"/>
        </w:rPr>
        <w:t>Hadeway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AD795D">
        <w:rPr>
          <w:rFonts w:ascii="Arial" w:hAnsi="Arial" w:cs="Arial"/>
          <w:sz w:val="24"/>
          <w:szCs w:val="24"/>
        </w:rPr>
        <w:t>February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31928EA0" w14:textId="461EDE2C" w:rsidR="00AD795D" w:rsidRDefault="00AD795D" w:rsidP="00AD795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Hank Goodchild stopped to introduce himself to the Township Board.</w:t>
      </w:r>
    </w:p>
    <w:p w14:paraId="4FDF7768" w14:textId="73925A25" w:rsidR="00AD795D" w:rsidRDefault="00AD795D" w:rsidP="00AD795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Pike – Regular Planning Commission meeting will take place February 26 at 8:30 PM. No update on battery storage. </w:t>
      </w:r>
    </w:p>
    <w:p w14:paraId="2066258F" w14:textId="560FAC4B" w:rsidR="00AD795D" w:rsidRPr="00AD795D" w:rsidRDefault="00AD795D" w:rsidP="00AD795D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Young – 9 runs in January, mostly assists.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65B91F8E" w14:textId="50758FC0" w:rsidR="000A1410" w:rsidRPr="005128E3" w:rsidRDefault="00AD795D" w:rsidP="005128E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14:paraId="363B8873" w14:textId="149AF8A3" w:rsidR="00DD5E68" w:rsidRDefault="00DD5E68" w:rsidP="00DD5E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0F993A54" w14:textId="21599C6D" w:rsidR="00227DAC" w:rsidRDefault="00AD795D" w:rsidP="00227DA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Hired part-time officer per email from Officer Mitin. 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308F89D1" w14:textId="492DF0A7" w:rsidR="00491375" w:rsidRDefault="00AD795D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and Grady attended meeting at Tuscola County Road Commission.</w:t>
      </w:r>
    </w:p>
    <w:p w14:paraId="090D5E40" w14:textId="25A0B840" w:rsidR="00AD795D" w:rsidRDefault="00AD795D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shown Justin Edwards the bank a few times. </w:t>
      </w:r>
    </w:p>
    <w:p w14:paraId="61B3FBF5" w14:textId="410DFCD1" w:rsidR="00CB00BF" w:rsidRDefault="00CB00BF" w:rsidP="00CB00B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758C360" w14:textId="5E528A4A" w:rsidR="00C87AFA" w:rsidRDefault="005128E3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update </w:t>
      </w:r>
    </w:p>
    <w:p w14:paraId="3D799D68" w14:textId="05391CE6" w:rsidR="00AD795D" w:rsidRDefault="00AD795D" w:rsidP="00726474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building – Discussion on bank building insurance and an offer to purchase from Justin Edwards. Discussion on </w:t>
      </w:r>
      <w:r w:rsidR="000C5BA5">
        <w:rPr>
          <w:rFonts w:ascii="Arial" w:hAnsi="Arial" w:cs="Arial"/>
          <w:sz w:val="24"/>
          <w:szCs w:val="24"/>
        </w:rPr>
        <w:t xml:space="preserve">speaking to Jim Abby to ensure the Township is following the right procedures for selling property, no further action until we speak to Abby. </w:t>
      </w:r>
    </w:p>
    <w:p w14:paraId="7A18FC1A" w14:textId="791F01FE" w:rsidR="005128E3" w:rsidRDefault="005128E3" w:rsidP="005128E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1B210F1C" w14:textId="1DC4FEF1" w:rsidR="005128E3" w:rsidRDefault="000C5BA5" w:rsidP="000C5BA5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MTA Conference: Donovan moved Grady supported to send Township Clerk to Annual Conference at a cost of $400 and for the Township to cover the cost of hotel accommodations. Passed. </w:t>
      </w:r>
    </w:p>
    <w:p w14:paraId="10008B2E" w14:textId="1D65DD89" w:rsidR="000C5BA5" w:rsidRDefault="000C5BA5" w:rsidP="000C5BA5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FOIA – Discussion on FOIA received from the Village. </w:t>
      </w:r>
    </w:p>
    <w:p w14:paraId="0AFE8F74" w14:textId="4CC230DD" w:rsidR="005128E3" w:rsidRPr="000C5BA5" w:rsidRDefault="000C5BA5" w:rsidP="000C5BA5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 w:rsidRPr="000C5BA5">
        <w:rPr>
          <w:rFonts w:ascii="Arial" w:hAnsi="Arial" w:cs="Arial"/>
          <w:sz w:val="24"/>
          <w:szCs w:val="24"/>
        </w:rPr>
        <w:t>2025/2026 Budget hearing is set for March 17 at 7:00 PM.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34B57947" w14:textId="5A543FDD" w:rsidR="00227DAC" w:rsidRDefault="000C5BA5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NorthStar CD renewed for 91 days at 3.9%</w:t>
      </w:r>
    </w:p>
    <w:p w14:paraId="1682E3C5" w14:textId="16841518" w:rsidR="000C5BA5" w:rsidRDefault="000C5BA5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1/16-1/31: $270,688.61 collected in taxes, $65,523.43 goes to the Township.</w:t>
      </w:r>
    </w:p>
    <w:p w14:paraId="689E0E85" w14:textId="0A811EB7" w:rsidR="000C5BA5" w:rsidRDefault="000C5BA5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2/1-2/15: $1,789,088.85 collected in taxes, $464,811.23 goes to the Township.</w:t>
      </w:r>
    </w:p>
    <w:p w14:paraId="6CB33281" w14:textId="3668AC12" w:rsidR="000C5BA5" w:rsidRDefault="000C5BA5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Collected 982 of 1217 parcels</w:t>
      </w:r>
    </w:p>
    <w:p w14:paraId="3A3DA927" w14:textId="1D488F09" w:rsidR="000C5BA5" w:rsidRDefault="000C5BA5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 will be at the office collecting taxes February 28</w:t>
      </w:r>
      <w:r w:rsidRPr="000C5BA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9-5.</w:t>
      </w:r>
    </w:p>
    <w:p w14:paraId="4A03A11B" w14:textId="0602F3B0" w:rsidR="000C5BA5" w:rsidRDefault="000C5BA5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Hadeway moved to approve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12C35114" w:rsidR="001C1670" w:rsidRDefault="005128E3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061CA1DA" w14:textId="4A4157CB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F2FAEAC" w14:textId="68C17363" w:rsidR="00574C3A" w:rsidRPr="00B70F19" w:rsidRDefault="000C5BA5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 with low hanging wire over Dutcher Rd. </w:t>
      </w:r>
    </w:p>
    <w:p w14:paraId="3588639F" w14:textId="4A4C866D" w:rsidR="00C60291" w:rsidRPr="00AD758F" w:rsidRDefault="000C5BA5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574C3A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1FE21417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5128E3">
        <w:rPr>
          <w:rFonts w:ascii="Arial" w:hAnsi="Arial" w:cs="Arial"/>
          <w:sz w:val="24"/>
          <w:szCs w:val="24"/>
        </w:rPr>
        <w:t>8:</w:t>
      </w:r>
      <w:r w:rsidR="000C5BA5">
        <w:rPr>
          <w:rFonts w:ascii="Arial" w:hAnsi="Arial" w:cs="Arial"/>
          <w:sz w:val="24"/>
          <w:szCs w:val="24"/>
        </w:rPr>
        <w:t>27</w:t>
      </w:r>
      <w:r w:rsidR="00574C3A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2E84" w14:textId="77777777" w:rsidR="001B656D" w:rsidRDefault="001B656D">
      <w:pPr>
        <w:spacing w:after="0" w:line="240" w:lineRule="auto"/>
      </w:pPr>
      <w:r>
        <w:separator/>
      </w:r>
    </w:p>
  </w:endnote>
  <w:endnote w:type="continuationSeparator" w:id="0">
    <w:p w14:paraId="7E29D33E" w14:textId="77777777" w:rsidR="001B656D" w:rsidRDefault="001B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4ED2E" w14:textId="77777777" w:rsidR="001B656D" w:rsidRDefault="001B656D">
      <w:pPr>
        <w:spacing w:after="0" w:line="240" w:lineRule="auto"/>
      </w:pPr>
      <w:r>
        <w:separator/>
      </w:r>
    </w:p>
  </w:footnote>
  <w:footnote w:type="continuationSeparator" w:id="0">
    <w:p w14:paraId="10005795" w14:textId="77777777" w:rsidR="001B656D" w:rsidRDefault="001B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92"/>
    <w:multiLevelType w:val="hybridMultilevel"/>
    <w:tmpl w:val="07F46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33077"/>
    <w:multiLevelType w:val="hybridMultilevel"/>
    <w:tmpl w:val="48B6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263F1"/>
    <w:multiLevelType w:val="hybridMultilevel"/>
    <w:tmpl w:val="BA48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32043"/>
    <w:multiLevelType w:val="hybridMultilevel"/>
    <w:tmpl w:val="B508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9"/>
  </w:num>
  <w:num w:numId="2" w16cid:durableId="798498856">
    <w:abstractNumId w:val="10"/>
  </w:num>
  <w:num w:numId="3" w16cid:durableId="1355306021">
    <w:abstractNumId w:val="8"/>
  </w:num>
  <w:num w:numId="4" w16cid:durableId="1480077060">
    <w:abstractNumId w:val="13"/>
  </w:num>
  <w:num w:numId="5" w16cid:durableId="1085419072">
    <w:abstractNumId w:val="31"/>
  </w:num>
  <w:num w:numId="6" w16cid:durableId="1893810989">
    <w:abstractNumId w:val="26"/>
  </w:num>
  <w:num w:numId="7" w16cid:durableId="1083457451">
    <w:abstractNumId w:val="22"/>
  </w:num>
  <w:num w:numId="8" w16cid:durableId="251745141">
    <w:abstractNumId w:val="29"/>
  </w:num>
  <w:num w:numId="9" w16cid:durableId="1100368623">
    <w:abstractNumId w:val="33"/>
  </w:num>
  <w:num w:numId="10" w16cid:durableId="1699116348">
    <w:abstractNumId w:val="21"/>
  </w:num>
  <w:num w:numId="11" w16cid:durableId="719980292">
    <w:abstractNumId w:val="14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2"/>
  </w:num>
  <w:num w:numId="15" w16cid:durableId="250553274">
    <w:abstractNumId w:val="7"/>
  </w:num>
  <w:num w:numId="16" w16cid:durableId="483738529">
    <w:abstractNumId w:val="41"/>
  </w:num>
  <w:num w:numId="17" w16cid:durableId="2107073696">
    <w:abstractNumId w:val="38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8"/>
  </w:num>
  <w:num w:numId="21" w16cid:durableId="382558919">
    <w:abstractNumId w:val="40"/>
  </w:num>
  <w:num w:numId="22" w16cid:durableId="376589691">
    <w:abstractNumId w:val="15"/>
  </w:num>
  <w:num w:numId="23" w16cid:durableId="352996399">
    <w:abstractNumId w:val="36"/>
  </w:num>
  <w:num w:numId="24" w16cid:durableId="1793859466">
    <w:abstractNumId w:val="20"/>
  </w:num>
  <w:num w:numId="25" w16cid:durableId="199361708">
    <w:abstractNumId w:val="6"/>
  </w:num>
  <w:num w:numId="26" w16cid:durableId="998340268">
    <w:abstractNumId w:val="34"/>
  </w:num>
  <w:num w:numId="27" w16cid:durableId="279997493">
    <w:abstractNumId w:val="19"/>
  </w:num>
  <w:num w:numId="28" w16cid:durableId="1721517152">
    <w:abstractNumId w:val="35"/>
  </w:num>
  <w:num w:numId="29" w16cid:durableId="1316300076">
    <w:abstractNumId w:val="23"/>
  </w:num>
  <w:num w:numId="30" w16cid:durableId="1299148093">
    <w:abstractNumId w:val="37"/>
  </w:num>
  <w:num w:numId="31" w16cid:durableId="236063936">
    <w:abstractNumId w:val="32"/>
  </w:num>
  <w:num w:numId="32" w16cid:durableId="1567914183">
    <w:abstractNumId w:val="42"/>
  </w:num>
  <w:num w:numId="33" w16cid:durableId="1882670991">
    <w:abstractNumId w:val="24"/>
  </w:num>
  <w:num w:numId="34" w16cid:durableId="81727488">
    <w:abstractNumId w:val="39"/>
  </w:num>
  <w:num w:numId="35" w16cid:durableId="446000650">
    <w:abstractNumId w:val="11"/>
  </w:num>
  <w:num w:numId="36" w16cid:durableId="1351446520">
    <w:abstractNumId w:val="30"/>
  </w:num>
  <w:num w:numId="37" w16cid:durableId="268052437">
    <w:abstractNumId w:val="25"/>
  </w:num>
  <w:num w:numId="38" w16cid:durableId="1094013587">
    <w:abstractNumId w:val="16"/>
  </w:num>
  <w:num w:numId="39" w16cid:durableId="49622425">
    <w:abstractNumId w:val="2"/>
  </w:num>
  <w:num w:numId="40" w16cid:durableId="200047665">
    <w:abstractNumId w:val="17"/>
  </w:num>
  <w:num w:numId="41" w16cid:durableId="447236738">
    <w:abstractNumId w:val="5"/>
  </w:num>
  <w:num w:numId="42" w16cid:durableId="1828131442">
    <w:abstractNumId w:val="28"/>
  </w:num>
  <w:num w:numId="43" w16cid:durableId="61572257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0A1410"/>
    <w:rsid w:val="000C5BA5"/>
    <w:rsid w:val="000D0B50"/>
    <w:rsid w:val="000D1F95"/>
    <w:rsid w:val="00103B63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B656D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80687"/>
    <w:rsid w:val="00297A36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4226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375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28E3"/>
    <w:rsid w:val="00514F35"/>
    <w:rsid w:val="00523D1F"/>
    <w:rsid w:val="005260BA"/>
    <w:rsid w:val="00526C8E"/>
    <w:rsid w:val="00527EB1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D4681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D7DC4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265ED"/>
    <w:rsid w:val="0093714B"/>
    <w:rsid w:val="00954E70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D795D"/>
    <w:rsid w:val="00AE3332"/>
    <w:rsid w:val="00AF2641"/>
    <w:rsid w:val="00B0161B"/>
    <w:rsid w:val="00B072C5"/>
    <w:rsid w:val="00B14B6C"/>
    <w:rsid w:val="00B37972"/>
    <w:rsid w:val="00B56641"/>
    <w:rsid w:val="00B661F4"/>
    <w:rsid w:val="00B70F19"/>
    <w:rsid w:val="00B8059B"/>
    <w:rsid w:val="00BB770A"/>
    <w:rsid w:val="00BC642A"/>
    <w:rsid w:val="00BF1DC8"/>
    <w:rsid w:val="00BF344C"/>
    <w:rsid w:val="00C14A59"/>
    <w:rsid w:val="00C27790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A6A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52FB0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2</cp:revision>
  <cp:lastPrinted>2025-03-17T14:37:00Z</cp:lastPrinted>
  <dcterms:created xsi:type="dcterms:W3CDTF">2025-03-17T14:37:00Z</dcterms:created>
  <dcterms:modified xsi:type="dcterms:W3CDTF">2025-03-17T14:37:00Z</dcterms:modified>
</cp:coreProperties>
</file>