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B016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DE0DD8" w:rsidRDefault="005B72AA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Hall</w:t>
      </w:r>
    </w:p>
    <w:p w:rsidR="005E3608" w:rsidRDefault="002D12AD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</w:t>
      </w:r>
      <w:r w:rsidR="005B72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</w:t>
      </w:r>
      <w:r w:rsidR="005B72AA">
        <w:rPr>
          <w:rFonts w:ascii="Arial" w:hAnsi="Arial" w:cs="Arial"/>
          <w:sz w:val="24"/>
          <w:szCs w:val="24"/>
        </w:rPr>
        <w:t>, 2021</w:t>
      </w:r>
      <w:r>
        <w:rPr>
          <w:rFonts w:ascii="Arial" w:hAnsi="Arial" w:cs="Arial"/>
          <w:sz w:val="24"/>
          <w:szCs w:val="24"/>
        </w:rPr>
        <w:t xml:space="preserve"> 7:33</w:t>
      </w:r>
      <w:r w:rsidR="00FD3971">
        <w:rPr>
          <w:rFonts w:ascii="Arial" w:hAnsi="Arial" w:cs="Arial"/>
          <w:sz w:val="24"/>
          <w:szCs w:val="24"/>
        </w:rPr>
        <w:t xml:space="preserve">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E0DD8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Roll Call: </w:t>
      </w:r>
      <w:r w:rsidR="00B14B6C">
        <w:rPr>
          <w:rFonts w:ascii="Arial" w:hAnsi="Arial" w:cs="Arial"/>
          <w:sz w:val="24"/>
          <w:szCs w:val="24"/>
        </w:rPr>
        <w:t xml:space="preserve">Supervisor Keith Aeder, Clerk Katie Gebhardt, </w:t>
      </w:r>
      <w:r w:rsidR="00DC5A41">
        <w:rPr>
          <w:rFonts w:ascii="Arial" w:hAnsi="Arial" w:cs="Arial"/>
          <w:sz w:val="24"/>
          <w:szCs w:val="24"/>
        </w:rPr>
        <w:t xml:space="preserve">Treasurer </w:t>
      </w:r>
      <w:r w:rsidR="00DE0DD8">
        <w:rPr>
          <w:rFonts w:ascii="Arial" w:hAnsi="Arial" w:cs="Arial"/>
          <w:sz w:val="24"/>
          <w:szCs w:val="24"/>
        </w:rPr>
        <w:t>Sarah</w:t>
      </w:r>
      <w:r w:rsidR="00DC5A41">
        <w:rPr>
          <w:rFonts w:ascii="Arial" w:hAnsi="Arial" w:cs="Arial"/>
          <w:sz w:val="24"/>
          <w:szCs w:val="24"/>
        </w:rPr>
        <w:t xml:space="preserve"> </w:t>
      </w:r>
      <w:r w:rsidR="00DE0DD8">
        <w:rPr>
          <w:rFonts w:ascii="Arial" w:hAnsi="Arial" w:cs="Arial"/>
          <w:sz w:val="24"/>
          <w:szCs w:val="24"/>
        </w:rPr>
        <w:t>Donovan</w:t>
      </w:r>
      <w:r w:rsidR="00DC5A41">
        <w:rPr>
          <w:rFonts w:ascii="Arial" w:hAnsi="Arial" w:cs="Arial"/>
          <w:sz w:val="24"/>
          <w:szCs w:val="24"/>
        </w:rPr>
        <w:t xml:space="preserve">, </w:t>
      </w:r>
      <w:r w:rsidR="003E0B0B">
        <w:rPr>
          <w:rFonts w:ascii="Arial" w:hAnsi="Arial" w:cs="Arial"/>
          <w:sz w:val="24"/>
          <w:szCs w:val="24"/>
        </w:rPr>
        <w:t>Trustee Dennis Hadeway, and</w:t>
      </w:r>
      <w:r w:rsidR="00F36040">
        <w:rPr>
          <w:rFonts w:ascii="Arial" w:hAnsi="Arial" w:cs="Arial"/>
          <w:sz w:val="24"/>
          <w:szCs w:val="24"/>
        </w:rPr>
        <w:t xml:space="preserve"> </w:t>
      </w:r>
      <w:r w:rsidRPr="002E2A2C">
        <w:rPr>
          <w:rFonts w:ascii="Arial" w:hAnsi="Arial" w:cs="Arial"/>
          <w:sz w:val="24"/>
          <w:szCs w:val="24"/>
        </w:rPr>
        <w:t>Truste</w:t>
      </w:r>
      <w:r w:rsidR="00780B86">
        <w:rPr>
          <w:rFonts w:ascii="Arial" w:hAnsi="Arial" w:cs="Arial"/>
          <w:sz w:val="24"/>
          <w:szCs w:val="24"/>
        </w:rPr>
        <w:t>e</w:t>
      </w:r>
      <w:r w:rsidR="00DE0DD8">
        <w:rPr>
          <w:rFonts w:ascii="Arial" w:hAnsi="Arial" w:cs="Arial"/>
          <w:sz w:val="24"/>
          <w:szCs w:val="24"/>
        </w:rPr>
        <w:t xml:space="preserve"> Justin Edwards</w:t>
      </w:r>
      <w:r w:rsidR="00FD3971">
        <w:rPr>
          <w:rFonts w:ascii="Arial" w:hAnsi="Arial" w:cs="Arial"/>
          <w:sz w:val="24"/>
          <w:szCs w:val="24"/>
        </w:rPr>
        <w:t>.</w:t>
      </w:r>
      <w:r w:rsidR="00F36040">
        <w:rPr>
          <w:rFonts w:ascii="Arial" w:hAnsi="Arial" w:cs="Arial"/>
          <w:sz w:val="24"/>
          <w:szCs w:val="24"/>
        </w:rPr>
        <w:t xml:space="preserve"> </w:t>
      </w:r>
    </w:p>
    <w:p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780B86">
        <w:rPr>
          <w:rFonts w:ascii="Arial" w:hAnsi="Arial" w:cs="Arial"/>
          <w:sz w:val="24"/>
          <w:szCs w:val="24"/>
        </w:rPr>
        <w:t xml:space="preserve"> </w:t>
      </w:r>
      <w:r w:rsidR="009E65FF">
        <w:rPr>
          <w:rFonts w:ascii="Arial" w:hAnsi="Arial" w:cs="Arial"/>
          <w:sz w:val="24"/>
          <w:szCs w:val="24"/>
        </w:rPr>
        <w:t>Colleen Russell</w:t>
      </w:r>
      <w:r w:rsidR="00166273">
        <w:rPr>
          <w:rFonts w:ascii="Arial" w:hAnsi="Arial" w:cs="Arial"/>
          <w:sz w:val="24"/>
          <w:szCs w:val="24"/>
        </w:rPr>
        <w:t xml:space="preserve"> – Deputy Clerk</w:t>
      </w:r>
      <w:r w:rsidR="00591518">
        <w:rPr>
          <w:rFonts w:ascii="Arial" w:hAnsi="Arial" w:cs="Arial"/>
          <w:sz w:val="24"/>
          <w:szCs w:val="24"/>
        </w:rPr>
        <w:t>,</w:t>
      </w:r>
      <w:r w:rsidR="00A2067D">
        <w:rPr>
          <w:rFonts w:ascii="Arial" w:hAnsi="Arial" w:cs="Arial"/>
          <w:sz w:val="24"/>
          <w:szCs w:val="24"/>
        </w:rPr>
        <w:t xml:space="preserve"> </w:t>
      </w:r>
      <w:r w:rsidR="008D3CA4">
        <w:rPr>
          <w:rFonts w:ascii="Arial" w:hAnsi="Arial" w:cs="Arial"/>
          <w:sz w:val="24"/>
          <w:szCs w:val="24"/>
        </w:rPr>
        <w:t>Pat Donovan-Gra</w:t>
      </w:r>
      <w:r w:rsidR="00FD3971">
        <w:rPr>
          <w:rFonts w:ascii="Arial" w:hAnsi="Arial" w:cs="Arial"/>
          <w:sz w:val="24"/>
          <w:szCs w:val="24"/>
        </w:rPr>
        <w:t>y – Deputy Treasurer</w:t>
      </w:r>
      <w:r w:rsidR="005B72AA">
        <w:rPr>
          <w:rFonts w:ascii="Arial" w:hAnsi="Arial" w:cs="Arial"/>
          <w:sz w:val="24"/>
          <w:szCs w:val="24"/>
        </w:rPr>
        <w:t>, Doug Foster – Sext</w:t>
      </w:r>
      <w:r w:rsidR="009A44C2">
        <w:rPr>
          <w:rFonts w:ascii="Arial" w:hAnsi="Arial" w:cs="Arial"/>
          <w:sz w:val="24"/>
          <w:szCs w:val="24"/>
        </w:rPr>
        <w:t>on, Bruce Turner – Zoning Admin, John McQuillan – Township Attorney</w:t>
      </w:r>
      <w:r w:rsidR="008D3CA4">
        <w:rPr>
          <w:rFonts w:ascii="Arial" w:hAnsi="Arial" w:cs="Arial"/>
          <w:sz w:val="24"/>
          <w:szCs w:val="24"/>
        </w:rPr>
        <w:t>, Kristin Nelson – Village of Fairgrove President, Tony Thomas –Village of Fairgrove DPW</w:t>
      </w:r>
      <w:r w:rsidR="009A44C2">
        <w:rPr>
          <w:rFonts w:ascii="Arial" w:hAnsi="Arial" w:cs="Arial"/>
          <w:sz w:val="24"/>
          <w:szCs w:val="24"/>
        </w:rPr>
        <w:t xml:space="preserve">. </w:t>
      </w:r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FF690D" w:rsidRDefault="00FF690D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</w:t>
      </w:r>
      <w:r w:rsidR="00826FD9">
        <w:rPr>
          <w:rFonts w:ascii="Arial" w:hAnsi="Arial" w:cs="Arial"/>
          <w:sz w:val="24"/>
          <w:szCs w:val="24"/>
        </w:rPr>
        <w:t>Donovan</w:t>
      </w:r>
      <w:r>
        <w:rPr>
          <w:rFonts w:ascii="Arial" w:hAnsi="Arial" w:cs="Arial"/>
          <w:sz w:val="24"/>
          <w:szCs w:val="24"/>
        </w:rPr>
        <w:t xml:space="preserve"> supported to approve </w:t>
      </w:r>
      <w:r w:rsidR="00826FD9">
        <w:rPr>
          <w:rFonts w:ascii="Arial" w:hAnsi="Arial" w:cs="Arial"/>
          <w:sz w:val="24"/>
          <w:szCs w:val="24"/>
        </w:rPr>
        <w:t>July</w:t>
      </w:r>
      <w:r w:rsidR="005B72AA">
        <w:rPr>
          <w:rFonts w:ascii="Arial" w:hAnsi="Arial" w:cs="Arial"/>
          <w:sz w:val="24"/>
          <w:szCs w:val="24"/>
        </w:rPr>
        <w:t xml:space="preserve"> Meeting</w:t>
      </w:r>
      <w:r>
        <w:rPr>
          <w:rFonts w:ascii="Arial" w:hAnsi="Arial" w:cs="Arial"/>
          <w:sz w:val="24"/>
          <w:szCs w:val="24"/>
        </w:rPr>
        <w:t xml:space="preserve"> minutes. </w:t>
      </w:r>
      <w:proofErr w:type="gramStart"/>
      <w:r w:rsidR="005B72AA">
        <w:rPr>
          <w:rFonts w:ascii="Arial" w:hAnsi="Arial" w:cs="Arial"/>
          <w:sz w:val="24"/>
          <w:szCs w:val="24"/>
        </w:rPr>
        <w:t>Passed.</w:t>
      </w:r>
      <w:proofErr w:type="gramEnd"/>
    </w:p>
    <w:p w:rsidR="00F36040" w:rsidRDefault="00DE0DD8" w:rsidP="005B72A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</w:t>
      </w:r>
      <w:r w:rsidR="00826FD9">
        <w:rPr>
          <w:rFonts w:ascii="Arial" w:hAnsi="Arial" w:cs="Arial"/>
          <w:sz w:val="24"/>
          <w:szCs w:val="24"/>
        </w:rPr>
        <w:t>Hadeway</w:t>
      </w:r>
      <w:r>
        <w:rPr>
          <w:rFonts w:ascii="Arial" w:hAnsi="Arial" w:cs="Arial"/>
          <w:sz w:val="24"/>
          <w:szCs w:val="24"/>
        </w:rPr>
        <w:t xml:space="preserve"> supported to approve </w:t>
      </w:r>
      <w:r w:rsidR="009A44C2">
        <w:rPr>
          <w:rFonts w:ascii="Arial" w:hAnsi="Arial" w:cs="Arial"/>
          <w:sz w:val="24"/>
          <w:szCs w:val="24"/>
        </w:rPr>
        <w:t>June</w:t>
      </w:r>
      <w:r w:rsidR="005B72AA">
        <w:rPr>
          <w:rFonts w:ascii="Arial" w:hAnsi="Arial" w:cs="Arial"/>
          <w:sz w:val="24"/>
          <w:szCs w:val="24"/>
        </w:rPr>
        <w:t xml:space="preserve"> Agenda</w:t>
      </w:r>
      <w:r w:rsidR="00826FD9">
        <w:rPr>
          <w:rFonts w:ascii="Arial" w:hAnsi="Arial" w:cs="Arial"/>
          <w:sz w:val="24"/>
          <w:szCs w:val="24"/>
        </w:rPr>
        <w:t>. Passed</w:t>
      </w:r>
      <w:r w:rsidR="00F36040">
        <w:rPr>
          <w:rFonts w:ascii="Arial" w:hAnsi="Arial" w:cs="Arial"/>
          <w:sz w:val="24"/>
          <w:szCs w:val="24"/>
        </w:rPr>
        <w:t xml:space="preserve"> 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:rsidR="009A44C2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</w:p>
    <w:p w:rsidR="009A44C2" w:rsidRDefault="009A44C2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Reports</w:t>
      </w:r>
    </w:p>
    <w:p w:rsidR="009A44C2" w:rsidRPr="00164762" w:rsidRDefault="009A44C2" w:rsidP="009A44C2">
      <w:pPr>
        <w:spacing w:line="259" w:lineRule="auto"/>
        <w:ind w:left="360"/>
        <w:rPr>
          <w:rFonts w:ascii="Arial" w:hAnsi="Arial" w:cs="Arial"/>
          <w:sz w:val="24"/>
          <w:szCs w:val="24"/>
        </w:rPr>
      </w:pPr>
      <w:r w:rsidRPr="00164762">
        <w:rPr>
          <w:rFonts w:ascii="Arial" w:hAnsi="Arial" w:cs="Arial"/>
          <w:sz w:val="24"/>
          <w:szCs w:val="24"/>
        </w:rPr>
        <w:t>Sexton Report</w:t>
      </w:r>
    </w:p>
    <w:p w:rsidR="009A44C2" w:rsidRDefault="00826FD9" w:rsidP="009A44C2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Burial</w:t>
      </w:r>
    </w:p>
    <w:p w:rsidR="00826FD9" w:rsidRPr="00826FD9" w:rsidRDefault="00826FD9" w:rsidP="00826FD9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ATV’s have been reported in the cemetery. </w:t>
      </w:r>
      <w:proofErr w:type="spellStart"/>
      <w:r>
        <w:rPr>
          <w:rFonts w:ascii="Arial" w:hAnsi="Arial" w:cs="Arial"/>
          <w:sz w:val="24"/>
          <w:szCs w:val="24"/>
        </w:rPr>
        <w:t>Simmerson</w:t>
      </w:r>
      <w:proofErr w:type="spellEnd"/>
      <w:r>
        <w:rPr>
          <w:rFonts w:ascii="Arial" w:hAnsi="Arial" w:cs="Arial"/>
          <w:sz w:val="24"/>
          <w:szCs w:val="24"/>
        </w:rPr>
        <w:t xml:space="preserve"> has it taken care of. Doug will fix </w:t>
      </w:r>
      <w:proofErr w:type="gramStart"/>
      <w:r>
        <w:rPr>
          <w:rFonts w:ascii="Arial" w:hAnsi="Arial" w:cs="Arial"/>
          <w:sz w:val="24"/>
          <w:szCs w:val="24"/>
        </w:rPr>
        <w:t>an</w:t>
      </w:r>
      <w:proofErr w:type="gramEnd"/>
      <w:r>
        <w:rPr>
          <w:rFonts w:ascii="Arial" w:hAnsi="Arial" w:cs="Arial"/>
          <w:sz w:val="24"/>
          <w:szCs w:val="24"/>
        </w:rPr>
        <w:t xml:space="preserve"> damage done.</w:t>
      </w:r>
    </w:p>
    <w:p w:rsidR="009A44C2" w:rsidRDefault="009A44C2" w:rsidP="009A44C2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Report</w:t>
      </w:r>
    </w:p>
    <w:p w:rsidR="009A44C2" w:rsidRDefault="00826FD9" w:rsidP="009A44C2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:rsidR="00A6132A" w:rsidRDefault="00A6132A" w:rsidP="00A6132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Assessing</w:t>
      </w:r>
    </w:p>
    <w:p w:rsidR="00A6132A" w:rsidRPr="0071110A" w:rsidRDefault="00826FD9" w:rsidP="00A6132A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:rsidR="009A44C2" w:rsidRDefault="009A44C2" w:rsidP="009A44C2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Zoning</w:t>
      </w:r>
    </w:p>
    <w:p w:rsidR="008A677C" w:rsidRPr="00826FD9" w:rsidRDefault="00826FD9" w:rsidP="00B14B6C">
      <w:pPr>
        <w:pStyle w:val="ListParagraph"/>
        <w:numPr>
          <w:ilvl w:val="0"/>
          <w:numId w:val="6"/>
        </w:num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826FD9">
        <w:rPr>
          <w:rFonts w:ascii="Arial" w:hAnsi="Arial" w:cs="Arial"/>
          <w:sz w:val="24"/>
          <w:szCs w:val="24"/>
        </w:rPr>
        <w:t>None</w:t>
      </w:r>
      <w:r w:rsidR="00A6132A" w:rsidRPr="00826FD9">
        <w:rPr>
          <w:rFonts w:ascii="Arial" w:hAnsi="Arial" w:cs="Arial"/>
          <w:sz w:val="24"/>
          <w:szCs w:val="24"/>
        </w:rPr>
        <w:t xml:space="preserve"> </w:t>
      </w:r>
      <w:r w:rsidR="001C41E8" w:rsidRPr="00826FD9">
        <w:rPr>
          <w:rFonts w:ascii="Arial" w:hAnsi="Arial" w:cs="Arial"/>
          <w:sz w:val="24"/>
          <w:szCs w:val="24"/>
        </w:rPr>
        <w:tab/>
      </w:r>
    </w:p>
    <w:p w:rsidR="00B14B6C" w:rsidRDefault="00B14B6C" w:rsidP="00B14B6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</w:p>
    <w:p w:rsidR="0071110A" w:rsidRDefault="00826FD9" w:rsidP="00620F6A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 Building Roof – The roof has been made weather tight. </w:t>
      </w:r>
      <w:proofErr w:type="spellStart"/>
      <w:r>
        <w:rPr>
          <w:rFonts w:ascii="Arial" w:hAnsi="Arial" w:cs="Arial"/>
          <w:sz w:val="24"/>
          <w:szCs w:val="24"/>
        </w:rPr>
        <w:t>LaPratt</w:t>
      </w:r>
      <w:proofErr w:type="spellEnd"/>
      <w:r>
        <w:rPr>
          <w:rFonts w:ascii="Arial" w:hAnsi="Arial" w:cs="Arial"/>
          <w:sz w:val="24"/>
          <w:szCs w:val="24"/>
        </w:rPr>
        <w:t xml:space="preserve"> has provided an estimate for additional work that needs to be done. Board discussed and wants to preserve the oldest building in town. </w:t>
      </w:r>
    </w:p>
    <w:p w:rsidR="00826FD9" w:rsidRDefault="00826FD9" w:rsidP="00826FD9">
      <w:pPr>
        <w:pStyle w:val="ListParagraph"/>
        <w:numPr>
          <w:ilvl w:val="1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DH moved KA supported to approve additional recommended work estimated at $51,535. $30,000 down, $10,000 once framed and $11,535 when complete. Passed.</w:t>
      </w:r>
    </w:p>
    <w:p w:rsidR="00826FD9" w:rsidRDefault="00826FD9" w:rsidP="00826FD9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ARPA – Villages will apply on their own, contacting the accountants for assistance submitting. </w:t>
      </w:r>
    </w:p>
    <w:p w:rsidR="00826FD9" w:rsidRDefault="00826FD9" w:rsidP="00826FD9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Thumb Body – Looking to expand to all of Tuscola County. </w:t>
      </w:r>
    </w:p>
    <w:p w:rsidR="00826FD9" w:rsidRDefault="00826FD9" w:rsidP="00826FD9">
      <w:pPr>
        <w:pStyle w:val="ListParagraph"/>
        <w:numPr>
          <w:ilvl w:val="1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Edwards supported to amend the 2021/2022 budget to add subsidizing 50% of all Thumb Body rides up to $5,000 for Fairgrove Township residents. Passed</w:t>
      </w:r>
    </w:p>
    <w:p w:rsidR="00826FD9" w:rsidRPr="00620F6A" w:rsidRDefault="00826FD9" w:rsidP="00826FD9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Building codes – No updated </w:t>
      </w:r>
      <w:proofErr w:type="gramStart"/>
      <w:r w:rsidR="004874D2">
        <w:rPr>
          <w:rFonts w:ascii="Arial" w:hAnsi="Arial" w:cs="Arial"/>
          <w:sz w:val="24"/>
          <w:szCs w:val="24"/>
        </w:rPr>
        <w:t>information</w:t>
      </w:r>
      <w:proofErr w:type="gramEnd"/>
      <w:r>
        <w:rPr>
          <w:rFonts w:ascii="Arial" w:hAnsi="Arial" w:cs="Arial"/>
          <w:sz w:val="24"/>
          <w:szCs w:val="24"/>
        </w:rPr>
        <w:t xml:space="preserve"> County is still exploring the possibility of a new company. </w:t>
      </w:r>
    </w:p>
    <w:p w:rsidR="002B0510" w:rsidRDefault="00620F6A" w:rsidP="002B05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Unfinished </w:t>
      </w:r>
      <w:r w:rsidR="002B0510">
        <w:rPr>
          <w:rFonts w:ascii="Arial" w:hAnsi="Arial" w:cs="Arial"/>
          <w:sz w:val="24"/>
          <w:szCs w:val="24"/>
        </w:rPr>
        <w:t>Business</w:t>
      </w:r>
    </w:p>
    <w:p w:rsidR="004874D2" w:rsidRDefault="004874D2" w:rsidP="004874D2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 – amend contract to end May 17</w:t>
      </w:r>
      <w:r w:rsidRPr="004874D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with a final payment of $3,379.90.</w:t>
      </w:r>
    </w:p>
    <w:p w:rsidR="004874D2" w:rsidRDefault="004874D2" w:rsidP="004874D2">
      <w:pPr>
        <w:pStyle w:val="ListParagraph"/>
        <w:numPr>
          <w:ilvl w:val="1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 moved DH supported to authorize supervisor to sign amendment to Republic contract, with a final payment of $3,379.90. Passed.</w:t>
      </w:r>
    </w:p>
    <w:p w:rsidR="004874D2" w:rsidRDefault="004874D2" w:rsidP="004874D2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Thumb Electric Franchise Agreement – 30 years, non-exclusive</w:t>
      </w:r>
    </w:p>
    <w:p w:rsidR="004874D2" w:rsidRDefault="004874D2" w:rsidP="004874D2">
      <w:pPr>
        <w:pStyle w:val="ListParagraph"/>
        <w:numPr>
          <w:ilvl w:val="1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 moved DH supported to adopt Thumb Electric Ordinance and authorize Clerk and Supervisor to sign, to be published as a summary in the Advertiser. Passed.</w:t>
      </w:r>
    </w:p>
    <w:p w:rsidR="004874D2" w:rsidRDefault="004874D2" w:rsidP="004874D2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Dump – Discussion on Township/Village dump. The Township feels that the dump is utilized fully by the Village and having two separate owners makes decision making difficult. </w:t>
      </w:r>
    </w:p>
    <w:p w:rsidR="004874D2" w:rsidRDefault="004874D2" w:rsidP="004874D2">
      <w:pPr>
        <w:pStyle w:val="ListParagraph"/>
        <w:numPr>
          <w:ilvl w:val="1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KG moved SD supported to offer to quick deed the property over to the Village of Fairgrove for $1, still allowing the Township and its residents use through the Village’s proper channels. Passed. </w:t>
      </w:r>
    </w:p>
    <w:p w:rsidR="004874D2" w:rsidRDefault="004874D2" w:rsidP="004874D2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Logo – Last logo designer has fallen through. KG has suggested a partnership with the school to run a design contest. </w:t>
      </w:r>
    </w:p>
    <w:p w:rsidR="004874D2" w:rsidRDefault="004874D2" w:rsidP="004874D2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Landscaping – Larsen’s Graphics can do building signage for $1155.00 installed. It was suggested to add letters to two sides of the building instead of one. </w:t>
      </w:r>
    </w:p>
    <w:p w:rsidR="004874D2" w:rsidRDefault="004874D2" w:rsidP="004874D2">
      <w:pPr>
        <w:pStyle w:val="ListParagraph"/>
        <w:numPr>
          <w:ilvl w:val="1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 moved DH supported to have Larsen’s Graphics install letters on the building not to exceed $2,000. Passed</w:t>
      </w:r>
    </w:p>
    <w:p w:rsidR="004874D2" w:rsidRDefault="00367320" w:rsidP="00367320">
      <w:pPr>
        <w:pStyle w:val="ListParagraph"/>
        <w:numPr>
          <w:ilvl w:val="1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Matt Kirk can redo the landscaping for $8,860.00, with a 50% deposit. </w:t>
      </w:r>
    </w:p>
    <w:p w:rsidR="00367320" w:rsidRDefault="00367320" w:rsidP="00367320">
      <w:pPr>
        <w:pStyle w:val="ListParagraph"/>
        <w:numPr>
          <w:ilvl w:val="1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 moved DH supported to authorize clerk to pay 50% deposit for Kirk Landscaping at Clerks discretion. Passed. </w:t>
      </w:r>
    </w:p>
    <w:p w:rsidR="00367320" w:rsidRDefault="00367320" w:rsidP="0036732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GFL Contract</w:t>
      </w:r>
    </w:p>
    <w:p w:rsidR="00367320" w:rsidRPr="004874D2" w:rsidRDefault="00367320" w:rsidP="00367320">
      <w:pPr>
        <w:pStyle w:val="ListParagraph"/>
        <w:numPr>
          <w:ilvl w:val="1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moved DH supported to authorize the Clerk and Supervisor to sign GFL contract. Passed.</w:t>
      </w:r>
    </w:p>
    <w:p w:rsidR="009D5F4D" w:rsidRDefault="00B8059B" w:rsidP="00402B1D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:rsidR="001C1670" w:rsidRDefault="00367320" w:rsidP="001C1670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Revenue sharing</w:t>
      </w:r>
    </w:p>
    <w:p w:rsidR="00367320" w:rsidRDefault="00367320" w:rsidP="001C1670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account update</w:t>
      </w:r>
    </w:p>
    <w:p w:rsidR="00367320" w:rsidRDefault="00367320" w:rsidP="001C1670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DH moved KG supported to accept financial report as presented. Passed.</w:t>
      </w:r>
    </w:p>
    <w:p w:rsidR="00AD758F" w:rsidRDefault="00142040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:rsidR="001C1670" w:rsidRDefault="00367320" w:rsidP="00622491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DH</w:t>
      </w:r>
      <w:r w:rsidR="00622491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SD</w:t>
      </w:r>
      <w:r w:rsidR="00622491">
        <w:rPr>
          <w:rFonts w:ascii="Arial" w:hAnsi="Arial" w:cs="Arial"/>
          <w:sz w:val="24"/>
          <w:szCs w:val="24"/>
        </w:rPr>
        <w:t xml:space="preserve"> supported to pay bills as presented</w:t>
      </w:r>
      <w:r>
        <w:rPr>
          <w:rFonts w:ascii="Arial" w:hAnsi="Arial" w:cs="Arial"/>
          <w:sz w:val="24"/>
          <w:szCs w:val="24"/>
        </w:rPr>
        <w:t xml:space="preserve">, including the addition of </w:t>
      </w:r>
      <w:proofErr w:type="spellStart"/>
      <w:r>
        <w:rPr>
          <w:rFonts w:ascii="Arial" w:hAnsi="Arial" w:cs="Arial"/>
          <w:sz w:val="24"/>
          <w:szCs w:val="24"/>
        </w:rPr>
        <w:t>Kacy</w:t>
      </w:r>
      <w:proofErr w:type="spellEnd"/>
      <w:r>
        <w:rPr>
          <w:rFonts w:ascii="Arial" w:hAnsi="Arial" w:cs="Arial"/>
          <w:sz w:val="24"/>
          <w:szCs w:val="24"/>
        </w:rPr>
        <w:t xml:space="preserve"> Riddle for Township Hall cleaning</w:t>
      </w:r>
      <w:r w:rsidR="00622491">
        <w:rPr>
          <w:rFonts w:ascii="Arial" w:hAnsi="Arial" w:cs="Arial"/>
          <w:sz w:val="24"/>
          <w:szCs w:val="24"/>
        </w:rPr>
        <w:t>. Passed.</w:t>
      </w:r>
    </w:p>
    <w:p w:rsidR="00367320" w:rsidRPr="00622491" w:rsidRDefault="00367320" w:rsidP="00367320">
      <w:pPr>
        <w:pStyle w:val="ListParagraph"/>
        <w:spacing w:line="259" w:lineRule="auto"/>
        <w:rPr>
          <w:rFonts w:ascii="Arial" w:hAnsi="Arial" w:cs="Arial"/>
          <w:sz w:val="24"/>
          <w:szCs w:val="24"/>
        </w:rPr>
      </w:pPr>
    </w:p>
    <w:p w:rsidR="004E2124" w:rsidRDefault="009A16D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Board Comments</w:t>
      </w:r>
      <w:r w:rsidR="0071110A">
        <w:rPr>
          <w:rFonts w:ascii="Arial" w:hAnsi="Arial" w:cs="Arial"/>
          <w:sz w:val="24"/>
          <w:szCs w:val="24"/>
        </w:rPr>
        <w:t xml:space="preserve"> </w:t>
      </w:r>
    </w:p>
    <w:p w:rsidR="00367320" w:rsidRDefault="00367320" w:rsidP="00367320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FOIA – Township received and completed a FOIA request about current trash collection. </w:t>
      </w:r>
    </w:p>
    <w:p w:rsidR="00367320" w:rsidRPr="00367320" w:rsidRDefault="00367320" w:rsidP="00367320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Road Commission – Discussion on solution for Dutcher Rd.</w:t>
      </w:r>
    </w:p>
    <w:p w:rsidR="00702C26" w:rsidRDefault="002D331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</w:t>
      </w:r>
      <w:r w:rsidR="0071110A">
        <w:rPr>
          <w:rFonts w:ascii="Arial" w:hAnsi="Arial" w:cs="Arial"/>
          <w:sz w:val="24"/>
          <w:szCs w:val="24"/>
        </w:rPr>
        <w:t xml:space="preserve"> - None</w:t>
      </w:r>
    </w:p>
    <w:p w:rsidR="0050166C" w:rsidRDefault="00367320" w:rsidP="00622491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DH</w:t>
      </w:r>
      <w:r w:rsidR="002D2DC8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JE</w:t>
      </w:r>
      <w:r w:rsidR="002D2DC8">
        <w:rPr>
          <w:rFonts w:ascii="Arial" w:hAnsi="Arial" w:cs="Arial"/>
          <w:sz w:val="24"/>
          <w:szCs w:val="24"/>
        </w:rPr>
        <w:t xml:space="preserve"> supported to adjourn meeting.</w:t>
      </w:r>
      <w:r w:rsidR="00AD758F">
        <w:rPr>
          <w:rFonts w:ascii="Arial" w:hAnsi="Arial" w:cs="Arial"/>
          <w:sz w:val="24"/>
          <w:szCs w:val="24"/>
        </w:rPr>
        <w:t xml:space="preserve"> </w:t>
      </w:r>
      <w:r w:rsidR="00622491">
        <w:rPr>
          <w:rFonts w:ascii="Arial" w:hAnsi="Arial" w:cs="Arial"/>
          <w:sz w:val="24"/>
          <w:szCs w:val="24"/>
        </w:rPr>
        <w:t>Passed</w:t>
      </w:r>
    </w:p>
    <w:p w:rsidR="00C60291" w:rsidRPr="00AD758F" w:rsidRDefault="00C60291" w:rsidP="00AD758F">
      <w:pPr>
        <w:spacing w:line="259" w:lineRule="auto"/>
        <w:rPr>
          <w:rFonts w:ascii="Arial" w:hAnsi="Arial" w:cs="Arial"/>
          <w:sz w:val="24"/>
          <w:szCs w:val="24"/>
        </w:rPr>
      </w:pPr>
    </w:p>
    <w:p w:rsidR="002D2DC8" w:rsidRDefault="001C167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</w:t>
      </w:r>
      <w:r w:rsidR="00367320">
        <w:rPr>
          <w:rFonts w:ascii="Arial" w:hAnsi="Arial" w:cs="Arial"/>
          <w:sz w:val="24"/>
          <w:szCs w:val="24"/>
        </w:rPr>
        <w:t>10:00</w:t>
      </w:r>
      <w:bookmarkStart w:id="0" w:name="_GoBack"/>
      <w:bookmarkEnd w:id="0"/>
      <w:r w:rsidR="00C56509">
        <w:rPr>
          <w:rFonts w:ascii="Arial" w:hAnsi="Arial" w:cs="Arial"/>
          <w:sz w:val="24"/>
          <w:szCs w:val="24"/>
        </w:rPr>
        <w:t xml:space="preserve"> PM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D150EC" w:rsidRPr="007E45AF" w:rsidRDefault="00781E17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sectPr w:rsidR="00D150EC" w:rsidRPr="007E45AF" w:rsidSect="008A677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4DA"/>
    <w:multiLevelType w:val="hybridMultilevel"/>
    <w:tmpl w:val="D644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A6E40"/>
    <w:multiLevelType w:val="hybridMultilevel"/>
    <w:tmpl w:val="C6CE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4031A"/>
    <w:multiLevelType w:val="hybridMultilevel"/>
    <w:tmpl w:val="BB5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A20F3"/>
    <w:multiLevelType w:val="hybridMultilevel"/>
    <w:tmpl w:val="6BB2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D13A2"/>
    <w:multiLevelType w:val="hybridMultilevel"/>
    <w:tmpl w:val="C9FC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210A3"/>
    <w:multiLevelType w:val="hybridMultilevel"/>
    <w:tmpl w:val="D8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F3BF1"/>
    <w:multiLevelType w:val="hybridMultilevel"/>
    <w:tmpl w:val="4EF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0327C"/>
    <w:multiLevelType w:val="hybridMultilevel"/>
    <w:tmpl w:val="E062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1232D"/>
    <w:multiLevelType w:val="hybridMultilevel"/>
    <w:tmpl w:val="741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53C84"/>
    <w:multiLevelType w:val="hybridMultilevel"/>
    <w:tmpl w:val="A4D2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A5772"/>
    <w:multiLevelType w:val="hybridMultilevel"/>
    <w:tmpl w:val="F13A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D7089"/>
    <w:multiLevelType w:val="hybridMultilevel"/>
    <w:tmpl w:val="FB0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E586A"/>
    <w:multiLevelType w:val="hybridMultilevel"/>
    <w:tmpl w:val="5290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B3A3F"/>
    <w:multiLevelType w:val="hybridMultilevel"/>
    <w:tmpl w:val="856C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E089A"/>
    <w:multiLevelType w:val="hybridMultilevel"/>
    <w:tmpl w:val="DC1465A6"/>
    <w:lvl w:ilvl="0" w:tplc="A8DA4A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611CDB"/>
    <w:multiLevelType w:val="hybridMultilevel"/>
    <w:tmpl w:val="49A6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84815"/>
    <w:multiLevelType w:val="hybridMultilevel"/>
    <w:tmpl w:val="140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E4245B"/>
    <w:multiLevelType w:val="hybridMultilevel"/>
    <w:tmpl w:val="3660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15"/>
  </w:num>
  <w:num w:numId="6">
    <w:abstractNumId w:val="13"/>
  </w:num>
  <w:num w:numId="7">
    <w:abstractNumId w:val="12"/>
  </w:num>
  <w:num w:numId="8">
    <w:abstractNumId w:val="14"/>
  </w:num>
  <w:num w:numId="9">
    <w:abstractNumId w:val="16"/>
  </w:num>
  <w:num w:numId="10">
    <w:abstractNumId w:val="11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4"/>
  </w:num>
  <w:num w:numId="16">
    <w:abstractNumId w:val="18"/>
  </w:num>
  <w:num w:numId="17">
    <w:abstractNumId w:val="17"/>
  </w:num>
  <w:num w:numId="18">
    <w:abstractNumId w:val="0"/>
  </w:num>
  <w:num w:numId="1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064A0"/>
    <w:rsid w:val="00023509"/>
    <w:rsid w:val="000535AB"/>
    <w:rsid w:val="00061AC7"/>
    <w:rsid w:val="0009380E"/>
    <w:rsid w:val="00137960"/>
    <w:rsid w:val="00142040"/>
    <w:rsid w:val="0014478E"/>
    <w:rsid w:val="00160411"/>
    <w:rsid w:val="00164762"/>
    <w:rsid w:val="00166273"/>
    <w:rsid w:val="0017344F"/>
    <w:rsid w:val="00176E11"/>
    <w:rsid w:val="001A5348"/>
    <w:rsid w:val="001C1670"/>
    <w:rsid w:val="001C41E8"/>
    <w:rsid w:val="001D4AE2"/>
    <w:rsid w:val="001F1897"/>
    <w:rsid w:val="002108C4"/>
    <w:rsid w:val="00211912"/>
    <w:rsid w:val="0024262F"/>
    <w:rsid w:val="00275A13"/>
    <w:rsid w:val="00276C3B"/>
    <w:rsid w:val="00280687"/>
    <w:rsid w:val="002B0510"/>
    <w:rsid w:val="002C13A4"/>
    <w:rsid w:val="002D0086"/>
    <w:rsid w:val="002D12AD"/>
    <w:rsid w:val="002D2DC8"/>
    <w:rsid w:val="002D3310"/>
    <w:rsid w:val="002E2A2C"/>
    <w:rsid w:val="002E6263"/>
    <w:rsid w:val="00316607"/>
    <w:rsid w:val="00321DE6"/>
    <w:rsid w:val="00337D98"/>
    <w:rsid w:val="00367320"/>
    <w:rsid w:val="003D1062"/>
    <w:rsid w:val="003E0B0B"/>
    <w:rsid w:val="00402B1D"/>
    <w:rsid w:val="0041418F"/>
    <w:rsid w:val="00415863"/>
    <w:rsid w:val="00432546"/>
    <w:rsid w:val="00453B13"/>
    <w:rsid w:val="00460923"/>
    <w:rsid w:val="00482A35"/>
    <w:rsid w:val="004868D8"/>
    <w:rsid w:val="004874D2"/>
    <w:rsid w:val="00493400"/>
    <w:rsid w:val="004E2124"/>
    <w:rsid w:val="004F4946"/>
    <w:rsid w:val="00501561"/>
    <w:rsid w:val="0050166C"/>
    <w:rsid w:val="00514F35"/>
    <w:rsid w:val="00523D1F"/>
    <w:rsid w:val="005260BA"/>
    <w:rsid w:val="00526C8E"/>
    <w:rsid w:val="00563E42"/>
    <w:rsid w:val="00591518"/>
    <w:rsid w:val="005B4F08"/>
    <w:rsid w:val="005B72AA"/>
    <w:rsid w:val="005D224B"/>
    <w:rsid w:val="005E3608"/>
    <w:rsid w:val="006054D7"/>
    <w:rsid w:val="0061798F"/>
    <w:rsid w:val="00620F6A"/>
    <w:rsid w:val="00622491"/>
    <w:rsid w:val="00647AA3"/>
    <w:rsid w:val="00677BB5"/>
    <w:rsid w:val="0068085C"/>
    <w:rsid w:val="006848B5"/>
    <w:rsid w:val="00693A86"/>
    <w:rsid w:val="006A62C7"/>
    <w:rsid w:val="006E1A16"/>
    <w:rsid w:val="006F0338"/>
    <w:rsid w:val="00702C26"/>
    <w:rsid w:val="0071110A"/>
    <w:rsid w:val="00736D8F"/>
    <w:rsid w:val="00753687"/>
    <w:rsid w:val="00772D5F"/>
    <w:rsid w:val="00780B86"/>
    <w:rsid w:val="00781E17"/>
    <w:rsid w:val="007959E8"/>
    <w:rsid w:val="007B274C"/>
    <w:rsid w:val="007B405E"/>
    <w:rsid w:val="007B7DF6"/>
    <w:rsid w:val="007C0244"/>
    <w:rsid w:val="007C392D"/>
    <w:rsid w:val="007D1B76"/>
    <w:rsid w:val="007E45AF"/>
    <w:rsid w:val="007F4398"/>
    <w:rsid w:val="007F7DBF"/>
    <w:rsid w:val="00804A95"/>
    <w:rsid w:val="00826FD9"/>
    <w:rsid w:val="00846F28"/>
    <w:rsid w:val="00853635"/>
    <w:rsid w:val="00862392"/>
    <w:rsid w:val="0086323A"/>
    <w:rsid w:val="008744D5"/>
    <w:rsid w:val="008924C8"/>
    <w:rsid w:val="008A677C"/>
    <w:rsid w:val="008B405C"/>
    <w:rsid w:val="008D3CA4"/>
    <w:rsid w:val="008E0D24"/>
    <w:rsid w:val="00971860"/>
    <w:rsid w:val="009834F5"/>
    <w:rsid w:val="009879DD"/>
    <w:rsid w:val="009941B3"/>
    <w:rsid w:val="009A16D0"/>
    <w:rsid w:val="009A44C2"/>
    <w:rsid w:val="009D121A"/>
    <w:rsid w:val="009D5F4D"/>
    <w:rsid w:val="009D7EEA"/>
    <w:rsid w:val="009E65FF"/>
    <w:rsid w:val="00A2067D"/>
    <w:rsid w:val="00A47CF5"/>
    <w:rsid w:val="00A6132A"/>
    <w:rsid w:val="00A812F0"/>
    <w:rsid w:val="00A87922"/>
    <w:rsid w:val="00A93A7B"/>
    <w:rsid w:val="00AA7BF4"/>
    <w:rsid w:val="00AD6273"/>
    <w:rsid w:val="00AD758F"/>
    <w:rsid w:val="00B0161B"/>
    <w:rsid w:val="00B072C5"/>
    <w:rsid w:val="00B14B6C"/>
    <w:rsid w:val="00B37972"/>
    <w:rsid w:val="00B56641"/>
    <w:rsid w:val="00B661F4"/>
    <w:rsid w:val="00B8059B"/>
    <w:rsid w:val="00BB770A"/>
    <w:rsid w:val="00BC642A"/>
    <w:rsid w:val="00BF1DC8"/>
    <w:rsid w:val="00C44999"/>
    <w:rsid w:val="00C56509"/>
    <w:rsid w:val="00C60291"/>
    <w:rsid w:val="00CD6C48"/>
    <w:rsid w:val="00CE4458"/>
    <w:rsid w:val="00CE61BA"/>
    <w:rsid w:val="00CF593A"/>
    <w:rsid w:val="00D02118"/>
    <w:rsid w:val="00D06147"/>
    <w:rsid w:val="00D150EC"/>
    <w:rsid w:val="00D27B78"/>
    <w:rsid w:val="00D52904"/>
    <w:rsid w:val="00D52FA6"/>
    <w:rsid w:val="00D76EFD"/>
    <w:rsid w:val="00DC5A41"/>
    <w:rsid w:val="00DE0DD8"/>
    <w:rsid w:val="00DF0EC1"/>
    <w:rsid w:val="00E2510E"/>
    <w:rsid w:val="00E91DB9"/>
    <w:rsid w:val="00EC6377"/>
    <w:rsid w:val="00F03C9D"/>
    <w:rsid w:val="00F36040"/>
    <w:rsid w:val="00F83F8D"/>
    <w:rsid w:val="00FA3C88"/>
    <w:rsid w:val="00FD0EF6"/>
    <w:rsid w:val="00FD3971"/>
    <w:rsid w:val="00FF388C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E898-A0EA-4321-AD94-E7784B3F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4</cp:revision>
  <cp:lastPrinted>2021-01-31T13:53:00Z</cp:lastPrinted>
  <dcterms:created xsi:type="dcterms:W3CDTF">2021-08-04T16:27:00Z</dcterms:created>
  <dcterms:modified xsi:type="dcterms:W3CDTF">2021-08-04T17:00:00Z</dcterms:modified>
</cp:coreProperties>
</file>