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240C" w14:textId="52323F32" w:rsidR="007B3D60" w:rsidRPr="007B3D60" w:rsidRDefault="007B3D60" w:rsidP="00E604FD">
      <w:pPr>
        <w:spacing w:after="0" w:line="240" w:lineRule="atLeast"/>
        <w:textAlignment w:val="baseline"/>
        <w:outlineLvl w:val="0"/>
        <w:divId w:val="1047029356"/>
        <w:rPr>
          <w:rFonts w:ascii="Arial" w:eastAsia="Times New Roman" w:hAnsi="Arial" w:cs="Arial"/>
          <w:b/>
          <w:bCs/>
          <w:caps/>
          <w:color w:val="000000" w:themeColor="text1"/>
          <w:kern w:val="36"/>
          <w14:ligatures w14:val="none"/>
        </w:rPr>
      </w:pPr>
      <w:r w:rsidRPr="007B3D60">
        <w:rPr>
          <w:rFonts w:ascii="Arial" w:eastAsia="Times New Roman" w:hAnsi="Arial" w:cs="Arial"/>
          <w:b/>
          <w:bCs/>
          <w:caps/>
          <w:color w:val="000000" w:themeColor="text1"/>
          <w:kern w:val="36"/>
          <w14:ligatures w14:val="none"/>
        </w:rPr>
        <w:t>HEALTH AND SAFETY POLICY</w:t>
      </w:r>
    </w:p>
    <w:p w14:paraId="3FF6BD1F"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INTRODUCTION</w:t>
      </w:r>
    </w:p>
    <w:p w14:paraId="77C22327" w14:textId="6995A293" w:rsidR="007B3D60" w:rsidRPr="007B3D60" w:rsidRDefault="00AD55E4" w:rsidP="007B3D60">
      <w:pPr>
        <w:spacing w:after="0" w:line="240" w:lineRule="auto"/>
        <w:textAlignment w:val="baseline"/>
        <w:divId w:val="944769852"/>
        <w:rPr>
          <w:rFonts w:ascii="Arial" w:hAnsi="Arial" w:cs="Arial"/>
          <w:color w:val="000000" w:themeColor="text1"/>
          <w:kern w:val="0"/>
          <w14:ligatures w14:val="none"/>
        </w:rPr>
      </w:pPr>
      <w:r>
        <w:rPr>
          <w:rFonts w:ascii="Arial" w:hAnsi="Arial" w:cs="Arial"/>
          <w:color w:val="000000" w:themeColor="text1"/>
          <w:kern w:val="0"/>
          <w14:ligatures w14:val="none"/>
        </w:rPr>
        <w:t>Wild Oaks ELC</w:t>
      </w:r>
      <w:r w:rsidR="007B3D60" w:rsidRPr="007B3D60">
        <w:rPr>
          <w:rFonts w:ascii="Arial" w:hAnsi="Arial" w:cs="Arial"/>
          <w:color w:val="000000" w:themeColor="text1"/>
          <w:kern w:val="0"/>
          <w14:ligatures w14:val="none"/>
        </w:rPr>
        <w:t xml:space="preserve"> is committed to maintaining a safe, healthy, and supportive environment for all children, staff, visitors, and contractors in line with the </w:t>
      </w:r>
      <w:r w:rsidR="007B3D60" w:rsidRPr="007B3D60">
        <w:rPr>
          <w:rFonts w:ascii="Arial" w:hAnsi="Arial" w:cs="Arial"/>
          <w:b/>
          <w:bCs/>
          <w:color w:val="000000" w:themeColor="text1"/>
          <w:kern w:val="0"/>
          <w:bdr w:val="none" w:sz="0" w:space="0" w:color="auto" w:frame="1"/>
          <w14:ligatures w14:val="none"/>
        </w:rPr>
        <w:t>Health and Safety at Work Act 1974</w:t>
      </w:r>
      <w:r w:rsidR="007B3D60" w:rsidRPr="007B3D60">
        <w:rPr>
          <w:rFonts w:ascii="Arial" w:hAnsi="Arial" w:cs="Arial"/>
          <w:color w:val="000000" w:themeColor="text1"/>
          <w:kern w:val="0"/>
          <w14:ligatures w14:val="none"/>
        </w:rPr>
        <w:t> and the </w:t>
      </w:r>
      <w:r w:rsidR="007B3D60" w:rsidRPr="007B3D60">
        <w:rPr>
          <w:rFonts w:ascii="Arial" w:hAnsi="Arial" w:cs="Arial"/>
          <w:b/>
          <w:bCs/>
          <w:color w:val="000000" w:themeColor="text1"/>
          <w:kern w:val="0"/>
          <w:bdr w:val="none" w:sz="0" w:space="0" w:color="auto" w:frame="1"/>
          <w14:ligatures w14:val="none"/>
        </w:rPr>
        <w:t>Management of Health and Safety at Work Regulations 1999</w:t>
      </w:r>
      <w:r w:rsidR="007B3D60" w:rsidRPr="007B3D60">
        <w:rPr>
          <w:rFonts w:ascii="Arial" w:hAnsi="Arial" w:cs="Arial"/>
          <w:color w:val="000000" w:themeColor="text1"/>
          <w:kern w:val="0"/>
          <w14:ligatures w14:val="none"/>
        </w:rPr>
        <w:t>.</w:t>
      </w:r>
    </w:p>
    <w:p w14:paraId="6DCB87A6" w14:textId="77777777"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We recognise our legal and moral responsibility to prevent injury and ill health and to ensure all setting practices meet or exceed current health and safety standards. We take all reasonably practicable steps to identify and mitigate risks, promote a culture of safety, and embed robust safety procedures across the nursery.</w:t>
      </w:r>
    </w:p>
    <w:p w14:paraId="341FEE81"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23C154D4" wp14:editId="4AE00435">
                <wp:extent cx="5731510" cy="1270"/>
                <wp:effectExtent l="0" t="31750" r="0" b="36830"/>
                <wp:docPr id="18882164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B598A5" id="Rectangl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80DA6CD"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OUR COMMITMENT</w:t>
      </w:r>
    </w:p>
    <w:p w14:paraId="4EC4DB71" w14:textId="77777777"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We are dedicated to:</w:t>
      </w:r>
    </w:p>
    <w:p w14:paraId="71235723" w14:textId="77777777" w:rsidR="007B3D60" w:rsidRPr="007B3D60" w:rsidRDefault="007B3D60" w:rsidP="007B3D60">
      <w:pPr>
        <w:numPr>
          <w:ilvl w:val="0"/>
          <w:numId w:val="1"/>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Providing and maintaining a safe and healthy environment for all children, staff, and visitors.</w:t>
      </w:r>
    </w:p>
    <w:p w14:paraId="73D2D8CA" w14:textId="77777777" w:rsidR="007B3D60" w:rsidRPr="007B3D60" w:rsidRDefault="007B3D60" w:rsidP="007B3D60">
      <w:pPr>
        <w:numPr>
          <w:ilvl w:val="0"/>
          <w:numId w:val="1"/>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Ensuring all staff are trained to recognise hazards and actively protect children from risk.</w:t>
      </w:r>
    </w:p>
    <w:p w14:paraId="7AD3BFFB" w14:textId="77777777" w:rsidR="007B3D60" w:rsidRPr="007B3D60" w:rsidRDefault="007B3D60" w:rsidP="007B3D60">
      <w:pPr>
        <w:numPr>
          <w:ilvl w:val="0"/>
          <w:numId w:val="1"/>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Equipping all staff, where possible, with </w:t>
      </w:r>
      <w:r w:rsidRPr="007B3D60">
        <w:rPr>
          <w:rFonts w:ascii="Arial" w:hAnsi="Arial" w:cs="Arial"/>
          <w:b/>
          <w:bCs/>
          <w:color w:val="000000" w:themeColor="text1"/>
          <w:kern w:val="0"/>
          <w:bdr w:val="none" w:sz="0" w:space="0" w:color="auto" w:frame="1"/>
          <w14:ligatures w14:val="none"/>
        </w:rPr>
        <w:t>paediatric first aid training</w:t>
      </w:r>
      <w:r w:rsidRPr="007B3D60">
        <w:rPr>
          <w:rFonts w:ascii="Arial" w:hAnsi="Arial" w:cs="Arial"/>
          <w:color w:val="000000" w:themeColor="text1"/>
          <w:kern w:val="0"/>
          <w14:ligatures w14:val="none"/>
        </w:rPr>
        <w:t>.</w:t>
      </w:r>
    </w:p>
    <w:p w14:paraId="2878F11A" w14:textId="77777777" w:rsidR="007B3D60" w:rsidRPr="007B3D60" w:rsidRDefault="007B3D60" w:rsidP="007B3D60">
      <w:pPr>
        <w:numPr>
          <w:ilvl w:val="0"/>
          <w:numId w:val="1"/>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Recording and communicating all accidents and incidents accurately and promptly.</w:t>
      </w:r>
    </w:p>
    <w:p w14:paraId="42C64218" w14:textId="77777777" w:rsidR="007B3D60" w:rsidRPr="007B3D60" w:rsidRDefault="007B3D60" w:rsidP="007B3D60">
      <w:pPr>
        <w:numPr>
          <w:ilvl w:val="0"/>
          <w:numId w:val="1"/>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Following strict hygiene protocols, especially regarding bodily fluids and infection prevention.</w:t>
      </w:r>
    </w:p>
    <w:p w14:paraId="4AE26FC8" w14:textId="77777777" w:rsidR="007B3D60" w:rsidRPr="007B3D60" w:rsidRDefault="007B3D60" w:rsidP="007B3D60">
      <w:pPr>
        <w:numPr>
          <w:ilvl w:val="0"/>
          <w:numId w:val="1"/>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Maintaining a culture of safety awareness and continuous improvement through regular risk assessments and reviews.</w:t>
      </w:r>
    </w:p>
    <w:p w14:paraId="6BE7160F"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0F0E5221" wp14:editId="33716C8B">
                <wp:extent cx="5731510" cy="1270"/>
                <wp:effectExtent l="0" t="31750" r="0" b="36830"/>
                <wp:docPr id="8079344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1AAC3C"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B462574"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LEGAL FRAMEWORK</w:t>
      </w:r>
    </w:p>
    <w:p w14:paraId="6D178B1C" w14:textId="77777777"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This policy aligns with the following legislation and guidance:</w:t>
      </w:r>
    </w:p>
    <w:p w14:paraId="3B40A550" w14:textId="77777777" w:rsidR="007B3D60" w:rsidRPr="007B3D60" w:rsidRDefault="007B3D60" w:rsidP="007B3D60">
      <w:pPr>
        <w:numPr>
          <w:ilvl w:val="0"/>
          <w:numId w:val="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b/>
          <w:bCs/>
          <w:color w:val="000000" w:themeColor="text1"/>
          <w:kern w:val="0"/>
          <w:bdr w:val="none" w:sz="0" w:space="0" w:color="auto" w:frame="1"/>
          <w14:ligatures w14:val="none"/>
        </w:rPr>
        <w:t>Statutory Framework for the Early Years Foundation Stage (EYFS)</w:t>
      </w:r>
    </w:p>
    <w:p w14:paraId="3A12B65E" w14:textId="77777777" w:rsidR="007B3D60" w:rsidRPr="007B3D60" w:rsidRDefault="007B3D60" w:rsidP="007B3D60">
      <w:pPr>
        <w:numPr>
          <w:ilvl w:val="0"/>
          <w:numId w:val="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b/>
          <w:bCs/>
          <w:color w:val="000000" w:themeColor="text1"/>
          <w:kern w:val="0"/>
          <w:bdr w:val="none" w:sz="0" w:space="0" w:color="auto" w:frame="1"/>
          <w14:ligatures w14:val="none"/>
        </w:rPr>
        <w:t>Health and Safety at Work Act 1974</w:t>
      </w:r>
    </w:p>
    <w:p w14:paraId="7AEB18D9" w14:textId="77777777" w:rsidR="007B3D60" w:rsidRPr="007B3D60" w:rsidRDefault="007B3D60" w:rsidP="007B3D60">
      <w:pPr>
        <w:numPr>
          <w:ilvl w:val="0"/>
          <w:numId w:val="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b/>
          <w:bCs/>
          <w:color w:val="000000" w:themeColor="text1"/>
          <w:kern w:val="0"/>
          <w:bdr w:val="none" w:sz="0" w:space="0" w:color="auto" w:frame="1"/>
          <w14:ligatures w14:val="none"/>
        </w:rPr>
        <w:t>Management of Health and Safety at Work Regulations 1999</w:t>
      </w:r>
    </w:p>
    <w:p w14:paraId="282541D5" w14:textId="77777777" w:rsidR="007B3D60" w:rsidRPr="007B3D60" w:rsidRDefault="007B3D60" w:rsidP="007B3D60">
      <w:pPr>
        <w:numPr>
          <w:ilvl w:val="0"/>
          <w:numId w:val="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b/>
          <w:bCs/>
          <w:color w:val="000000" w:themeColor="text1"/>
          <w:kern w:val="0"/>
          <w:bdr w:val="none" w:sz="0" w:space="0" w:color="auto" w:frame="1"/>
          <w14:ligatures w14:val="none"/>
        </w:rPr>
        <w:t>Control of Substances Hazardous to Health (COSHH) Regulations</w:t>
      </w:r>
    </w:p>
    <w:p w14:paraId="385B4BBE" w14:textId="77777777" w:rsidR="007B3D60" w:rsidRPr="007B3D60" w:rsidRDefault="007B3D60" w:rsidP="007B3D60">
      <w:pPr>
        <w:numPr>
          <w:ilvl w:val="0"/>
          <w:numId w:val="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Guidance from:</w:t>
      </w:r>
    </w:p>
    <w:p w14:paraId="217576D1" w14:textId="77777777" w:rsidR="007B3D60" w:rsidRPr="007B3D60" w:rsidRDefault="007B3D60" w:rsidP="007B3D60">
      <w:pPr>
        <w:numPr>
          <w:ilvl w:val="1"/>
          <w:numId w:val="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UK Health Security Agency (formerly Public Health England)</w:t>
      </w:r>
    </w:p>
    <w:p w14:paraId="325BEBA5" w14:textId="77777777" w:rsidR="007B3D60" w:rsidRPr="007B3D60" w:rsidRDefault="007B3D60" w:rsidP="007B3D60">
      <w:pPr>
        <w:numPr>
          <w:ilvl w:val="1"/>
          <w:numId w:val="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Local Authority Environmental Health Departments</w:t>
      </w:r>
    </w:p>
    <w:p w14:paraId="0B6BE9DE" w14:textId="77777777" w:rsidR="007B3D60" w:rsidRPr="007B3D60" w:rsidRDefault="007B3D60" w:rsidP="007B3D60">
      <w:pPr>
        <w:numPr>
          <w:ilvl w:val="1"/>
          <w:numId w:val="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Local Fire Authority</w:t>
      </w:r>
    </w:p>
    <w:p w14:paraId="45F7A3B8" w14:textId="77777777" w:rsidR="007B3D60" w:rsidRPr="007B3D60" w:rsidRDefault="007B3D60" w:rsidP="007B3D60">
      <w:pPr>
        <w:numPr>
          <w:ilvl w:val="1"/>
          <w:numId w:val="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Health and Safety Executive (HSE)</w:t>
      </w:r>
    </w:p>
    <w:p w14:paraId="48509AEA"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215DDEF3" wp14:editId="293ECA93">
                <wp:extent cx="5731510" cy="1270"/>
                <wp:effectExtent l="0" t="31750" r="0" b="36830"/>
                <wp:docPr id="7314028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9DEC6A"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0p79Tz4CAABsBAAADgAAAAAA&#10;AAAAAAAAAAAuAgAAZHJzL2Uyb0RvYy54bWxQSwECLQAUAAYACAAAACEA0+Fv9dsAAAAHAQAADwAA&#10;AAAAAAAAAAAAAACYBAAAZHJzL2Rvd25yZXYueG1sUEsFBgAAAAAEAAQA8wAAAKAFAAAAAA==&#10;" filled="f">
                <w10:anchorlock/>
              </v:rect>
            </w:pict>
          </mc:Fallback>
        </mc:AlternateContent>
      </w:r>
    </w:p>
    <w:p w14:paraId="5753F160"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HEALTH AND SAFETY RESPONSIBILITIES</w:t>
      </w:r>
    </w:p>
    <w:p w14:paraId="4A5FDF11" w14:textId="77777777" w:rsidR="007B3D60" w:rsidRPr="007B3D60" w:rsidRDefault="007B3D60" w:rsidP="007B3D60">
      <w:pPr>
        <w:spacing w:after="0" w:line="240" w:lineRule="atLeast"/>
        <w:textAlignment w:val="baseline"/>
        <w:outlineLvl w:val="3"/>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OVERALL RESPONSIBILITY</w:t>
      </w:r>
    </w:p>
    <w:p w14:paraId="5AFD7E4B" w14:textId="77777777"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lastRenderedPageBreak/>
        <w:t>The </w:t>
      </w:r>
      <w:r w:rsidRPr="007B3D60">
        <w:rPr>
          <w:rFonts w:ascii="Arial" w:hAnsi="Arial" w:cs="Arial"/>
          <w:i/>
          <w:iCs/>
          <w:color w:val="000000" w:themeColor="text1"/>
          <w:kern w:val="0"/>
          <w:bdr w:val="none" w:sz="0" w:space="0" w:color="auto" w:frame="1"/>
          <w14:ligatures w14:val="none"/>
        </w:rPr>
        <w:t>Owners and Managers</w:t>
      </w:r>
      <w:r w:rsidRPr="007B3D60">
        <w:rPr>
          <w:rFonts w:ascii="Arial" w:hAnsi="Arial" w:cs="Arial"/>
          <w:color w:val="000000" w:themeColor="text1"/>
          <w:kern w:val="0"/>
          <w14:ligatures w14:val="none"/>
        </w:rPr>
        <w:t> listed below have overall accountability for health and safety:</w:t>
      </w:r>
    </w:p>
    <w:p w14:paraId="3B6693C2" w14:textId="543FF1DF" w:rsidR="007B3D60" w:rsidRPr="007B3D60" w:rsidRDefault="00FC0721" w:rsidP="00FC0721">
      <w:pPr>
        <w:numPr>
          <w:ilvl w:val="0"/>
          <w:numId w:val="3"/>
        </w:numPr>
        <w:spacing w:after="0" w:line="390" w:lineRule="atLeast"/>
        <w:textAlignment w:val="baseline"/>
        <w:divId w:val="944769852"/>
        <w:rPr>
          <w:rFonts w:ascii="Arial" w:hAnsi="Arial" w:cs="Arial"/>
          <w:color w:val="000000" w:themeColor="text1"/>
          <w:kern w:val="0"/>
          <w14:ligatures w14:val="none"/>
        </w:rPr>
      </w:pPr>
      <w:r>
        <w:rPr>
          <w:rFonts w:ascii="Arial" w:hAnsi="Arial" w:cs="Arial"/>
          <w:b/>
          <w:bCs/>
          <w:color w:val="000000" w:themeColor="text1"/>
          <w:kern w:val="0"/>
          <w:bdr w:val="none" w:sz="0" w:space="0" w:color="auto" w:frame="1"/>
          <w14:ligatures w14:val="none"/>
        </w:rPr>
        <w:t xml:space="preserve">Hannah Watkins-Cave </w:t>
      </w:r>
    </w:p>
    <w:p w14:paraId="693F5736" w14:textId="77777777" w:rsidR="007B3D60" w:rsidRPr="007B3D60" w:rsidRDefault="007B3D60" w:rsidP="007B3D60">
      <w:pPr>
        <w:spacing w:after="0" w:line="240" w:lineRule="atLeast"/>
        <w:textAlignment w:val="baseline"/>
        <w:outlineLvl w:val="3"/>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DAY-TO-DAY IMPLEMENTATION</w:t>
      </w:r>
    </w:p>
    <w:p w14:paraId="3E019560" w14:textId="77777777"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The responsibility for daily implementation lies with:</w:t>
      </w:r>
    </w:p>
    <w:p w14:paraId="5DCC46C9" w14:textId="7901A47C" w:rsidR="007B3D60" w:rsidRPr="00FC0721" w:rsidRDefault="00FC0721" w:rsidP="00FC0721">
      <w:pPr>
        <w:numPr>
          <w:ilvl w:val="0"/>
          <w:numId w:val="4"/>
        </w:numPr>
        <w:spacing w:after="0" w:line="390" w:lineRule="atLeast"/>
        <w:textAlignment w:val="baseline"/>
        <w:divId w:val="944769852"/>
        <w:rPr>
          <w:rFonts w:ascii="Arial" w:hAnsi="Arial" w:cs="Arial"/>
          <w:color w:val="000000" w:themeColor="text1"/>
          <w:kern w:val="0"/>
          <w14:ligatures w14:val="none"/>
        </w:rPr>
      </w:pPr>
      <w:r>
        <w:rPr>
          <w:rFonts w:ascii="Arial" w:hAnsi="Arial" w:cs="Arial"/>
          <w:b/>
          <w:bCs/>
          <w:color w:val="000000" w:themeColor="text1"/>
          <w:kern w:val="0"/>
          <w:bdr w:val="none" w:sz="0" w:space="0" w:color="auto" w:frame="1"/>
          <w14:ligatures w14:val="none"/>
        </w:rPr>
        <w:t>Hannah Watkins-</w:t>
      </w:r>
      <w:proofErr w:type="gramStart"/>
      <w:r>
        <w:rPr>
          <w:rFonts w:ascii="Arial" w:hAnsi="Arial" w:cs="Arial"/>
          <w:b/>
          <w:bCs/>
          <w:color w:val="000000" w:themeColor="text1"/>
          <w:kern w:val="0"/>
          <w:bdr w:val="none" w:sz="0" w:space="0" w:color="auto" w:frame="1"/>
          <w14:ligatures w14:val="none"/>
        </w:rPr>
        <w:t>Cave</w:t>
      </w:r>
      <w:r>
        <w:rPr>
          <w:rFonts w:ascii="Arial" w:hAnsi="Arial" w:cs="Arial"/>
          <w:color w:val="000000" w:themeColor="text1"/>
          <w:kern w:val="0"/>
          <w14:ligatures w14:val="none"/>
        </w:rPr>
        <w:t xml:space="preserve"> </w:t>
      </w:r>
      <w:r w:rsidR="007B3D60" w:rsidRPr="007B3D60">
        <w:rPr>
          <w:rFonts w:ascii="Arial" w:hAnsi="Arial" w:cs="Arial"/>
          <w:b/>
          <w:bCs/>
          <w:color w:val="000000" w:themeColor="text1"/>
          <w:kern w:val="0"/>
          <w:bdr w:val="none" w:sz="0" w:space="0" w:color="auto" w:frame="1"/>
          <w14:ligatures w14:val="none"/>
        </w:rPr>
        <w:t xml:space="preserve"> Manager</w:t>
      </w:r>
      <w:proofErr w:type="gramEnd"/>
    </w:p>
    <w:p w14:paraId="38817FA4" w14:textId="4FE97C65" w:rsidR="00FC0721" w:rsidRPr="007B3D60" w:rsidRDefault="00FC0721" w:rsidP="00FC0721">
      <w:pPr>
        <w:numPr>
          <w:ilvl w:val="0"/>
          <w:numId w:val="4"/>
        </w:numPr>
        <w:spacing w:after="0" w:line="390" w:lineRule="atLeast"/>
        <w:textAlignment w:val="baseline"/>
        <w:divId w:val="944769852"/>
        <w:rPr>
          <w:rFonts w:ascii="Arial" w:hAnsi="Arial" w:cs="Arial"/>
          <w:color w:val="000000" w:themeColor="text1"/>
          <w:kern w:val="0"/>
          <w14:ligatures w14:val="none"/>
        </w:rPr>
      </w:pPr>
      <w:r>
        <w:rPr>
          <w:rFonts w:ascii="Arial" w:hAnsi="Arial" w:cs="Arial"/>
          <w:b/>
          <w:bCs/>
          <w:color w:val="000000" w:themeColor="text1"/>
          <w:kern w:val="0"/>
          <w:bdr w:val="none" w:sz="0" w:space="0" w:color="auto" w:frame="1"/>
          <w14:ligatures w14:val="none"/>
        </w:rPr>
        <w:t xml:space="preserve">Amy Vizor Deputy </w:t>
      </w:r>
    </w:p>
    <w:p w14:paraId="00C46EBB" w14:textId="19A47DB2" w:rsidR="007B3D60" w:rsidRPr="007B3D60" w:rsidRDefault="00FC0721" w:rsidP="007B3D60">
      <w:pPr>
        <w:numPr>
          <w:ilvl w:val="0"/>
          <w:numId w:val="4"/>
        </w:numPr>
        <w:spacing w:after="0" w:line="390" w:lineRule="atLeast"/>
        <w:textAlignment w:val="baseline"/>
        <w:divId w:val="944769852"/>
        <w:rPr>
          <w:rFonts w:ascii="Arial" w:hAnsi="Arial" w:cs="Arial"/>
          <w:color w:val="000000" w:themeColor="text1"/>
          <w:kern w:val="0"/>
          <w14:ligatures w14:val="none"/>
        </w:rPr>
      </w:pPr>
      <w:r>
        <w:rPr>
          <w:rFonts w:ascii="Arial" w:hAnsi="Arial" w:cs="Arial"/>
          <w:b/>
          <w:bCs/>
          <w:color w:val="000000" w:themeColor="text1"/>
          <w:kern w:val="0"/>
          <w:bdr w:val="none" w:sz="0" w:space="0" w:color="auto" w:frame="1"/>
          <w14:ligatures w14:val="none"/>
        </w:rPr>
        <w:t xml:space="preserve">Room Leads </w:t>
      </w:r>
    </w:p>
    <w:p w14:paraId="0AD8AA05"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68EE2904" wp14:editId="13A86076">
                <wp:extent cx="5731510" cy="1270"/>
                <wp:effectExtent l="0" t="31750" r="0" b="36830"/>
                <wp:docPr id="2521004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3E57A9"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4FF2A21"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RISK ASSESSMENT</w:t>
      </w:r>
    </w:p>
    <w:p w14:paraId="3C000EB1" w14:textId="77777777" w:rsidR="007B3D60" w:rsidRPr="007B3D60" w:rsidRDefault="007B3D60" w:rsidP="007B3D60">
      <w:pPr>
        <w:numPr>
          <w:ilvl w:val="0"/>
          <w:numId w:val="5"/>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Risk assessments are carried out by </w:t>
      </w:r>
      <w:r w:rsidRPr="007B3D60">
        <w:rPr>
          <w:rFonts w:ascii="Arial" w:hAnsi="Arial" w:cs="Arial"/>
          <w:b/>
          <w:bCs/>
          <w:color w:val="000000" w:themeColor="text1"/>
          <w:kern w:val="0"/>
          <w:bdr w:val="none" w:sz="0" w:space="0" w:color="auto" w:frame="1"/>
          <w14:ligatures w14:val="none"/>
        </w:rPr>
        <w:t>Room Seniors</w:t>
      </w:r>
      <w:r w:rsidRPr="007B3D60">
        <w:rPr>
          <w:rFonts w:ascii="Arial" w:hAnsi="Arial" w:cs="Arial"/>
          <w:color w:val="000000" w:themeColor="text1"/>
          <w:kern w:val="0"/>
          <w14:ligatures w14:val="none"/>
        </w:rPr>
        <w:t>.</w:t>
      </w:r>
    </w:p>
    <w:p w14:paraId="69405E33" w14:textId="4C70D43A" w:rsidR="007B3D60" w:rsidRPr="007B3D60" w:rsidRDefault="007B3D60" w:rsidP="007B3D60">
      <w:pPr>
        <w:numPr>
          <w:ilvl w:val="0"/>
          <w:numId w:val="5"/>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Findings are reported to </w:t>
      </w:r>
      <w:r w:rsidR="00FC0721">
        <w:rPr>
          <w:rFonts w:ascii="Arial" w:hAnsi="Arial" w:cs="Arial"/>
          <w:b/>
          <w:bCs/>
          <w:color w:val="000000" w:themeColor="text1"/>
          <w:kern w:val="0"/>
          <w:bdr w:val="none" w:sz="0" w:space="0" w:color="auto" w:frame="1"/>
          <w14:ligatures w14:val="none"/>
        </w:rPr>
        <w:t>Hannah or Amy</w:t>
      </w:r>
      <w:r w:rsidRPr="007B3D60">
        <w:rPr>
          <w:rFonts w:ascii="Arial" w:hAnsi="Arial" w:cs="Arial"/>
          <w:color w:val="000000" w:themeColor="text1"/>
          <w:kern w:val="0"/>
          <w14:ligatures w14:val="none"/>
        </w:rPr>
        <w:t>.</w:t>
      </w:r>
    </w:p>
    <w:p w14:paraId="656AAE1B" w14:textId="051D73DE" w:rsidR="007B3D60" w:rsidRPr="007B3D60" w:rsidRDefault="007B3D60" w:rsidP="007B3D60">
      <w:pPr>
        <w:numPr>
          <w:ilvl w:val="0"/>
          <w:numId w:val="5"/>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Actions required to mitigate risk are approved and implemented by </w:t>
      </w:r>
      <w:r w:rsidR="001A209E">
        <w:rPr>
          <w:rFonts w:ascii="Arial" w:hAnsi="Arial" w:cs="Arial"/>
          <w:b/>
          <w:bCs/>
          <w:color w:val="000000" w:themeColor="text1"/>
          <w:kern w:val="0"/>
          <w:bdr w:val="none" w:sz="0" w:space="0" w:color="auto" w:frame="1"/>
          <w14:ligatures w14:val="none"/>
        </w:rPr>
        <w:t>Hannah or Amy</w:t>
      </w:r>
      <w:r w:rsidRPr="007B3D60">
        <w:rPr>
          <w:rFonts w:ascii="Arial" w:hAnsi="Arial" w:cs="Arial"/>
          <w:color w:val="000000" w:themeColor="text1"/>
          <w:kern w:val="0"/>
          <w14:ligatures w14:val="none"/>
        </w:rPr>
        <w:t>.</w:t>
      </w:r>
    </w:p>
    <w:p w14:paraId="48A62B02" w14:textId="77777777" w:rsidR="007B3D60" w:rsidRPr="007B3D60" w:rsidRDefault="007B3D60" w:rsidP="007B3D60">
      <w:pPr>
        <w:numPr>
          <w:ilvl w:val="0"/>
          <w:numId w:val="5"/>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They also verify the effectiveness of control measures.</w:t>
      </w:r>
    </w:p>
    <w:p w14:paraId="29CCC677" w14:textId="77777777" w:rsidR="007B3D60" w:rsidRPr="007B3D60" w:rsidRDefault="007B3D60" w:rsidP="007B3D60">
      <w:pPr>
        <w:numPr>
          <w:ilvl w:val="0"/>
          <w:numId w:val="5"/>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b/>
          <w:bCs/>
          <w:color w:val="000000" w:themeColor="text1"/>
          <w:kern w:val="0"/>
          <w:bdr w:val="none" w:sz="0" w:space="0" w:color="auto" w:frame="1"/>
          <w14:ligatures w14:val="none"/>
        </w:rPr>
        <w:t>Assessments are reviewed monthly</w:t>
      </w:r>
      <w:r w:rsidRPr="007B3D60">
        <w:rPr>
          <w:rFonts w:ascii="Arial" w:hAnsi="Arial" w:cs="Arial"/>
          <w:color w:val="000000" w:themeColor="text1"/>
          <w:kern w:val="0"/>
          <w14:ligatures w14:val="none"/>
        </w:rPr>
        <w:t> or when there is a change in activity or environment.</w:t>
      </w:r>
    </w:p>
    <w:p w14:paraId="2FE69BCC" w14:textId="77777777" w:rsidR="007B3D60" w:rsidRPr="007B3D60" w:rsidRDefault="007B3D60" w:rsidP="007B3D60">
      <w:pPr>
        <w:spacing w:after="0" w:line="240" w:lineRule="atLeast"/>
        <w:textAlignment w:val="baseline"/>
        <w:outlineLvl w:val="3"/>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TYPES OF RISK ASSESSMENT COVERED INCLUDE:</w:t>
      </w:r>
    </w:p>
    <w:p w14:paraId="3CF3AF69" w14:textId="77777777" w:rsidR="007B3D60" w:rsidRPr="007B3D60" w:rsidRDefault="007B3D60" w:rsidP="007B3D60">
      <w:pPr>
        <w:numPr>
          <w:ilvl w:val="0"/>
          <w:numId w:val="6"/>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Falls from heights</w:t>
      </w:r>
    </w:p>
    <w:p w14:paraId="6B9D21DD" w14:textId="77777777" w:rsidR="007B3D60" w:rsidRPr="007B3D60" w:rsidRDefault="007B3D60" w:rsidP="007B3D60">
      <w:pPr>
        <w:numPr>
          <w:ilvl w:val="0"/>
          <w:numId w:val="6"/>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COSHH (chemicals and substances)</w:t>
      </w:r>
    </w:p>
    <w:p w14:paraId="06290982" w14:textId="77777777" w:rsidR="007B3D60" w:rsidRPr="007B3D60" w:rsidRDefault="007B3D60" w:rsidP="007B3D60">
      <w:pPr>
        <w:numPr>
          <w:ilvl w:val="0"/>
          <w:numId w:val="6"/>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Outdoor play areas</w:t>
      </w:r>
    </w:p>
    <w:p w14:paraId="6F5E7B31" w14:textId="77777777" w:rsidR="007B3D60" w:rsidRPr="007B3D60" w:rsidRDefault="007B3D60" w:rsidP="007B3D60">
      <w:pPr>
        <w:numPr>
          <w:ilvl w:val="0"/>
          <w:numId w:val="6"/>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Food preparation (cross-contamination, food handling, stock rotation)</w:t>
      </w:r>
    </w:p>
    <w:p w14:paraId="16A90522" w14:textId="77777777" w:rsidR="007B3D60" w:rsidRPr="007B3D60" w:rsidRDefault="007B3D60" w:rsidP="007B3D60">
      <w:pPr>
        <w:numPr>
          <w:ilvl w:val="0"/>
          <w:numId w:val="6"/>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Infection control</w:t>
      </w:r>
    </w:p>
    <w:p w14:paraId="6D36A644" w14:textId="77777777" w:rsidR="007B3D60" w:rsidRPr="007B3D60" w:rsidRDefault="007B3D60" w:rsidP="007B3D60">
      <w:pPr>
        <w:numPr>
          <w:ilvl w:val="0"/>
          <w:numId w:val="6"/>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Manual handling</w:t>
      </w:r>
    </w:p>
    <w:p w14:paraId="64957264" w14:textId="77777777" w:rsidR="007B3D60" w:rsidRPr="007B3D60" w:rsidRDefault="007B3D60" w:rsidP="007B3D60">
      <w:pPr>
        <w:numPr>
          <w:ilvl w:val="0"/>
          <w:numId w:val="6"/>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Use of equipment and play resources</w:t>
      </w:r>
    </w:p>
    <w:p w14:paraId="5452518D"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3D8958D2" wp14:editId="592154D7">
                <wp:extent cx="5731510" cy="1270"/>
                <wp:effectExtent l="0" t="31750" r="0" b="36830"/>
                <wp:docPr id="5889429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87ACB1"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50F6549"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INFORMATION, INSTRUCTION &amp; SUPERVISION</w:t>
      </w:r>
    </w:p>
    <w:p w14:paraId="6AADA444" w14:textId="77777777" w:rsidR="007B3D60" w:rsidRPr="007B3D60" w:rsidRDefault="007B3D60" w:rsidP="007B3D60">
      <w:pPr>
        <w:numPr>
          <w:ilvl w:val="0"/>
          <w:numId w:val="7"/>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The “</w:t>
      </w:r>
      <w:r w:rsidRPr="007B3D60">
        <w:rPr>
          <w:rFonts w:ascii="Arial" w:hAnsi="Arial" w:cs="Arial"/>
          <w:b/>
          <w:bCs/>
          <w:color w:val="000000" w:themeColor="text1"/>
          <w:kern w:val="0"/>
          <w:bdr w:val="none" w:sz="0" w:space="0" w:color="auto" w:frame="1"/>
          <w14:ligatures w14:val="none"/>
        </w:rPr>
        <w:t>Health and Safety Law: What You Need to Know</w:t>
      </w:r>
      <w:r w:rsidRPr="007B3D60">
        <w:rPr>
          <w:rFonts w:ascii="Arial" w:hAnsi="Arial" w:cs="Arial"/>
          <w:color w:val="000000" w:themeColor="text1"/>
          <w:kern w:val="0"/>
          <w14:ligatures w14:val="none"/>
        </w:rPr>
        <w:t>” poster is displayed at reception.</w:t>
      </w:r>
    </w:p>
    <w:p w14:paraId="2283C38F" w14:textId="77777777" w:rsidR="007B3D60" w:rsidRPr="007B3D60" w:rsidRDefault="007B3D60" w:rsidP="007B3D60">
      <w:pPr>
        <w:numPr>
          <w:ilvl w:val="0"/>
          <w:numId w:val="7"/>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Health and safety advice is available from </w:t>
      </w:r>
      <w:r w:rsidRPr="007B3D60">
        <w:rPr>
          <w:rFonts w:ascii="Arial" w:hAnsi="Arial" w:cs="Arial"/>
          <w:color w:val="000000" w:themeColor="text1"/>
          <w:kern w:val="0"/>
          <w:bdr w:val="none" w:sz="0" w:space="0" w:color="auto" w:frame="1"/>
          <w14:ligatures w14:val="none"/>
        </w:rPr>
        <w:t>Supervision of trainees and young workers is arranged and monitored by the same individuals.</w:t>
      </w:r>
    </w:p>
    <w:p w14:paraId="1FC04020" w14:textId="5531E950" w:rsidR="007B3D60" w:rsidRPr="0004467E" w:rsidRDefault="0004467E" w:rsidP="0004467E">
      <w:pPr>
        <w:pStyle w:val="ListParagraph"/>
        <w:numPr>
          <w:ilvl w:val="2"/>
          <w:numId w:val="7"/>
        </w:numPr>
        <w:spacing w:after="0" w:line="390" w:lineRule="atLeast"/>
        <w:textAlignment w:val="baseline"/>
        <w:divId w:val="944769852"/>
        <w:rPr>
          <w:rFonts w:ascii="Arial" w:hAnsi="Arial" w:cs="Arial"/>
          <w:color w:val="000000" w:themeColor="text1"/>
          <w:kern w:val="0"/>
          <w14:ligatures w14:val="none"/>
        </w:rPr>
      </w:pPr>
      <w:r>
        <w:rPr>
          <w:rFonts w:ascii="Arial" w:hAnsi="Arial" w:cs="Arial"/>
          <w:color w:val="000000" w:themeColor="text1"/>
          <w:kern w:val="0"/>
          <w14:ligatures w14:val="none"/>
        </w:rPr>
        <w:t>Hannah or Amy</w:t>
      </w:r>
    </w:p>
    <w:p w14:paraId="2D68C3D3"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6EC0B32A" wp14:editId="71A64425">
                <wp:extent cx="5731510" cy="1270"/>
                <wp:effectExtent l="0" t="31750" r="0" b="36830"/>
                <wp:docPr id="5970491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291715"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72D31F9"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EMPLOYEE RESPONSIBILITIES</w:t>
      </w:r>
    </w:p>
    <w:p w14:paraId="0BE2D967" w14:textId="77777777"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All employees must:</w:t>
      </w:r>
    </w:p>
    <w:p w14:paraId="18BB03E3" w14:textId="77777777" w:rsidR="007B3D60" w:rsidRPr="007B3D60" w:rsidRDefault="007B3D60" w:rsidP="007B3D60">
      <w:pPr>
        <w:numPr>
          <w:ilvl w:val="0"/>
          <w:numId w:val="8"/>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Comply with health and safety procedures and policies.</w:t>
      </w:r>
    </w:p>
    <w:p w14:paraId="5990C92B" w14:textId="77777777" w:rsidR="007B3D60" w:rsidRPr="007B3D60" w:rsidRDefault="007B3D60" w:rsidP="007B3D60">
      <w:pPr>
        <w:numPr>
          <w:ilvl w:val="0"/>
          <w:numId w:val="8"/>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Cooperate with supervisors and managers on health and safety matters.</w:t>
      </w:r>
    </w:p>
    <w:p w14:paraId="22826F2F" w14:textId="77777777" w:rsidR="007B3D60" w:rsidRPr="007B3D60" w:rsidRDefault="007B3D60" w:rsidP="007B3D60">
      <w:pPr>
        <w:numPr>
          <w:ilvl w:val="0"/>
          <w:numId w:val="8"/>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Not interfere with anything provided in the interests of safety.</w:t>
      </w:r>
    </w:p>
    <w:p w14:paraId="00F01B85" w14:textId="77777777" w:rsidR="007B3D60" w:rsidRPr="007B3D60" w:rsidRDefault="007B3D60" w:rsidP="007B3D60">
      <w:pPr>
        <w:numPr>
          <w:ilvl w:val="0"/>
          <w:numId w:val="8"/>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Take reasonable care of their own health and safety and that of others.</w:t>
      </w:r>
    </w:p>
    <w:p w14:paraId="165C6EB2" w14:textId="77777777" w:rsidR="007B3D60" w:rsidRPr="007B3D60" w:rsidRDefault="007B3D60" w:rsidP="007B3D60">
      <w:pPr>
        <w:numPr>
          <w:ilvl w:val="0"/>
          <w:numId w:val="8"/>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lastRenderedPageBreak/>
        <w:t>Report hazards, near misses, or incidents promptly.</w:t>
      </w:r>
    </w:p>
    <w:p w14:paraId="730F710A"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1291433E" wp14:editId="69CD687A">
                <wp:extent cx="5731510" cy="1270"/>
                <wp:effectExtent l="0" t="31750" r="0" b="36830"/>
                <wp:docPr id="852490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35FBDE"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27071D3"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TRAINING AND COMPETENCY</w:t>
      </w:r>
    </w:p>
    <w:p w14:paraId="1ECB7E00" w14:textId="77777777" w:rsidR="007B3D60" w:rsidRPr="007B3D60" w:rsidRDefault="007B3D60" w:rsidP="007B3D60">
      <w:pPr>
        <w:numPr>
          <w:ilvl w:val="0"/>
          <w:numId w:val="9"/>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b/>
          <w:bCs/>
          <w:color w:val="000000" w:themeColor="text1"/>
          <w:kern w:val="0"/>
          <w:bdr w:val="none" w:sz="0" w:space="0" w:color="auto" w:frame="1"/>
          <w14:ligatures w14:val="none"/>
        </w:rPr>
        <w:t>Induction training</w:t>
      </w:r>
      <w:r w:rsidRPr="007B3D60">
        <w:rPr>
          <w:rFonts w:ascii="Arial" w:hAnsi="Arial" w:cs="Arial"/>
          <w:color w:val="000000" w:themeColor="text1"/>
          <w:kern w:val="0"/>
          <w14:ligatures w14:val="none"/>
        </w:rPr>
        <w:t> is provided to all new staff by senior management.</w:t>
      </w:r>
    </w:p>
    <w:p w14:paraId="7FAD9160" w14:textId="2948C594" w:rsidR="007B3D60" w:rsidRPr="007B3D60" w:rsidRDefault="007B3D60" w:rsidP="007B3D60">
      <w:pPr>
        <w:numPr>
          <w:ilvl w:val="0"/>
          <w:numId w:val="9"/>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b/>
          <w:bCs/>
          <w:color w:val="000000" w:themeColor="text1"/>
          <w:kern w:val="0"/>
          <w:bdr w:val="none" w:sz="0" w:space="0" w:color="auto" w:frame="1"/>
          <w14:ligatures w14:val="none"/>
        </w:rPr>
        <w:t>Job-specific training</w:t>
      </w:r>
      <w:r w:rsidRPr="007B3D60">
        <w:rPr>
          <w:rFonts w:ascii="Arial" w:hAnsi="Arial" w:cs="Arial"/>
          <w:color w:val="000000" w:themeColor="text1"/>
          <w:kern w:val="0"/>
          <w14:ligatures w14:val="none"/>
        </w:rPr>
        <w:t> is delivered by </w:t>
      </w:r>
      <w:r w:rsidR="0004467E">
        <w:rPr>
          <w:rFonts w:ascii="Arial" w:hAnsi="Arial" w:cs="Arial"/>
          <w:b/>
          <w:bCs/>
          <w:color w:val="000000" w:themeColor="text1"/>
          <w:kern w:val="0"/>
          <w:bdr w:val="none" w:sz="0" w:space="0" w:color="auto" w:frame="1"/>
          <w14:ligatures w14:val="none"/>
        </w:rPr>
        <w:t>Hannah</w:t>
      </w:r>
      <w:r w:rsidRPr="007B3D60">
        <w:rPr>
          <w:rFonts w:ascii="Arial" w:hAnsi="Arial" w:cs="Arial"/>
          <w:color w:val="000000" w:themeColor="text1"/>
          <w:kern w:val="0"/>
          <w14:ligatures w14:val="none"/>
        </w:rPr>
        <w:t> or </w:t>
      </w:r>
      <w:r w:rsidR="0004467E">
        <w:rPr>
          <w:rFonts w:ascii="Arial" w:hAnsi="Arial" w:cs="Arial"/>
          <w:b/>
          <w:bCs/>
          <w:color w:val="000000" w:themeColor="text1"/>
          <w:kern w:val="0"/>
          <w:bdr w:val="none" w:sz="0" w:space="0" w:color="auto" w:frame="1"/>
          <w14:ligatures w14:val="none"/>
        </w:rPr>
        <w:t>Amy</w:t>
      </w:r>
      <w:r w:rsidRPr="007B3D60">
        <w:rPr>
          <w:rFonts w:ascii="Arial" w:hAnsi="Arial" w:cs="Arial"/>
          <w:color w:val="000000" w:themeColor="text1"/>
          <w:kern w:val="0"/>
          <w14:ligatures w14:val="none"/>
        </w:rPr>
        <w:t>.</w:t>
      </w:r>
    </w:p>
    <w:p w14:paraId="40AF05BD" w14:textId="77777777" w:rsidR="007B3D60" w:rsidRPr="007B3D60" w:rsidRDefault="007B3D60" w:rsidP="007B3D60">
      <w:pPr>
        <w:spacing w:after="0" w:line="240" w:lineRule="atLeast"/>
        <w:textAlignment w:val="baseline"/>
        <w:outlineLvl w:val="3"/>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ROLES REQUIRING ADDITIONAL TRAINING:</w:t>
      </w:r>
    </w:p>
    <w:p w14:paraId="157BF2DD" w14:textId="77777777" w:rsidR="007B3D60" w:rsidRPr="007B3D60" w:rsidRDefault="007B3D60" w:rsidP="007B3D60">
      <w:pPr>
        <w:numPr>
          <w:ilvl w:val="0"/>
          <w:numId w:val="10"/>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Paediatric first aiders</w:t>
      </w:r>
    </w:p>
    <w:p w14:paraId="4F20BB89" w14:textId="77777777" w:rsidR="007B3D60" w:rsidRPr="007B3D60" w:rsidRDefault="007B3D60" w:rsidP="007B3D60">
      <w:pPr>
        <w:numPr>
          <w:ilvl w:val="0"/>
          <w:numId w:val="10"/>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Staff working with babies</w:t>
      </w:r>
    </w:p>
    <w:p w14:paraId="35C759E7" w14:textId="77777777" w:rsidR="007B3D60" w:rsidRPr="007B3D60" w:rsidRDefault="007B3D60" w:rsidP="007B3D60">
      <w:pPr>
        <w:numPr>
          <w:ilvl w:val="0"/>
          <w:numId w:val="10"/>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Kitchen/food preparation staff</w:t>
      </w:r>
    </w:p>
    <w:p w14:paraId="3BD0B24F" w14:textId="77777777" w:rsidR="007B3D60" w:rsidRPr="007B3D60" w:rsidRDefault="007B3D60" w:rsidP="007B3D60">
      <w:pPr>
        <w:numPr>
          <w:ilvl w:val="0"/>
          <w:numId w:val="10"/>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SEN and safeguarding leads</w:t>
      </w:r>
    </w:p>
    <w:p w14:paraId="50554DCD" w14:textId="77777777" w:rsidR="007B3D60" w:rsidRPr="007B3D60" w:rsidRDefault="007B3D60" w:rsidP="007B3D60">
      <w:pPr>
        <w:numPr>
          <w:ilvl w:val="0"/>
          <w:numId w:val="10"/>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b/>
          <w:bCs/>
          <w:color w:val="000000" w:themeColor="text1"/>
          <w:kern w:val="0"/>
          <w:bdr w:val="none" w:sz="0" w:space="0" w:color="auto" w:frame="1"/>
          <w14:ligatures w14:val="none"/>
        </w:rPr>
        <w:t>Training records</w:t>
      </w:r>
      <w:r w:rsidRPr="007B3D60">
        <w:rPr>
          <w:rFonts w:ascii="Arial" w:hAnsi="Arial" w:cs="Arial"/>
          <w:color w:val="000000" w:themeColor="text1"/>
          <w:kern w:val="0"/>
          <w14:ligatures w14:val="none"/>
        </w:rPr>
        <w:t> are stored securely in the nursery office.</w:t>
      </w:r>
    </w:p>
    <w:p w14:paraId="739687CA" w14:textId="3A499990" w:rsidR="007B3D60" w:rsidRPr="007B3D60" w:rsidRDefault="0004467E" w:rsidP="007B3D60">
      <w:pPr>
        <w:numPr>
          <w:ilvl w:val="0"/>
          <w:numId w:val="10"/>
        </w:numPr>
        <w:spacing w:after="0" w:line="390" w:lineRule="atLeast"/>
        <w:textAlignment w:val="baseline"/>
        <w:divId w:val="944769852"/>
        <w:rPr>
          <w:rFonts w:ascii="Arial" w:hAnsi="Arial" w:cs="Arial"/>
          <w:color w:val="000000" w:themeColor="text1"/>
          <w:kern w:val="0"/>
          <w14:ligatures w14:val="none"/>
        </w:rPr>
      </w:pPr>
      <w:r>
        <w:rPr>
          <w:rFonts w:ascii="Arial" w:hAnsi="Arial" w:cs="Arial"/>
          <w:b/>
          <w:bCs/>
          <w:color w:val="000000" w:themeColor="text1"/>
          <w:kern w:val="0"/>
          <w:bdr w:val="none" w:sz="0" w:space="0" w:color="auto" w:frame="1"/>
          <w14:ligatures w14:val="none"/>
        </w:rPr>
        <w:t>Hannah or Amy</w:t>
      </w:r>
      <w:r w:rsidR="007B3D60" w:rsidRPr="007B3D60">
        <w:rPr>
          <w:rFonts w:ascii="Arial" w:hAnsi="Arial" w:cs="Arial"/>
          <w:color w:val="000000" w:themeColor="text1"/>
          <w:kern w:val="0"/>
          <w14:ligatures w14:val="none"/>
        </w:rPr>
        <w:t> </w:t>
      </w:r>
      <w:proofErr w:type="gramStart"/>
      <w:r w:rsidR="007B3D60" w:rsidRPr="007B3D60">
        <w:rPr>
          <w:rFonts w:ascii="Arial" w:hAnsi="Arial" w:cs="Arial"/>
          <w:color w:val="000000" w:themeColor="text1"/>
          <w:kern w:val="0"/>
          <w14:ligatures w14:val="none"/>
        </w:rPr>
        <w:t>are</w:t>
      </w:r>
      <w:proofErr w:type="gramEnd"/>
      <w:r w:rsidR="007B3D60" w:rsidRPr="007B3D60">
        <w:rPr>
          <w:rFonts w:ascii="Arial" w:hAnsi="Arial" w:cs="Arial"/>
          <w:color w:val="000000" w:themeColor="text1"/>
          <w:kern w:val="0"/>
          <w14:ligatures w14:val="none"/>
        </w:rPr>
        <w:t xml:space="preserve"> responsible for arranging and tracking training.</w:t>
      </w:r>
    </w:p>
    <w:p w14:paraId="70E433CF"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082E110D" wp14:editId="6A50D572">
                <wp:extent cx="5731510" cy="1270"/>
                <wp:effectExtent l="0" t="31750" r="0" b="36830"/>
                <wp:docPr id="963616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E731E2"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DA48DE6"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FIRST AID AND EMERGENCY PROCEDURES</w:t>
      </w:r>
    </w:p>
    <w:p w14:paraId="2CE49A94" w14:textId="77777777" w:rsidR="007B3D60" w:rsidRPr="007B3D60" w:rsidRDefault="007B3D60" w:rsidP="007B3D60">
      <w:pPr>
        <w:numPr>
          <w:ilvl w:val="0"/>
          <w:numId w:val="11"/>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A </w:t>
      </w:r>
      <w:r w:rsidRPr="007B3D60">
        <w:rPr>
          <w:rFonts w:ascii="Arial" w:hAnsi="Arial" w:cs="Arial"/>
          <w:b/>
          <w:bCs/>
          <w:color w:val="000000" w:themeColor="text1"/>
          <w:kern w:val="0"/>
          <w:bdr w:val="none" w:sz="0" w:space="0" w:color="auto" w:frame="1"/>
          <w14:ligatures w14:val="none"/>
        </w:rPr>
        <w:t>fully stocked first aid kit</w:t>
      </w:r>
      <w:r w:rsidRPr="007B3D60">
        <w:rPr>
          <w:rFonts w:ascii="Arial" w:hAnsi="Arial" w:cs="Arial"/>
          <w:color w:val="000000" w:themeColor="text1"/>
          <w:kern w:val="0"/>
          <w14:ligatures w14:val="none"/>
        </w:rPr>
        <w:t> is kept in each room, with additional mobile kits for outings.</w:t>
      </w:r>
    </w:p>
    <w:p w14:paraId="590AFA81" w14:textId="77777777" w:rsidR="007B3D60" w:rsidRPr="007B3D60" w:rsidRDefault="007B3D60" w:rsidP="007B3D60">
      <w:pPr>
        <w:numPr>
          <w:ilvl w:val="0"/>
          <w:numId w:val="11"/>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Emergency evacuation procedures are practised regularly and recorded.</w:t>
      </w:r>
    </w:p>
    <w:p w14:paraId="1538FF6E" w14:textId="77777777" w:rsidR="007B3D60" w:rsidRPr="007B3D60" w:rsidRDefault="007B3D60" w:rsidP="007B3D60">
      <w:pPr>
        <w:numPr>
          <w:ilvl w:val="0"/>
          <w:numId w:val="11"/>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Accidents and incidents are recorded, monitored, and reported to parents/carers without delay.</w:t>
      </w:r>
    </w:p>
    <w:p w14:paraId="46ABED43"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3A195952" wp14:editId="79846FA2">
                <wp:extent cx="5731510" cy="1270"/>
                <wp:effectExtent l="0" t="31750" r="0" b="36830"/>
                <wp:docPr id="4200835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EB0947"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CB9F60F"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HEALTH AND HYGIENE PRACTICES</w:t>
      </w:r>
    </w:p>
    <w:p w14:paraId="15218BAC" w14:textId="77777777"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We maintain strict hygiene and safety practices, including:</w:t>
      </w:r>
    </w:p>
    <w:p w14:paraId="42F80061" w14:textId="77777777" w:rsidR="007B3D60" w:rsidRPr="007B3D60" w:rsidRDefault="007B3D60" w:rsidP="007B3D60">
      <w:pPr>
        <w:numPr>
          <w:ilvl w:val="0"/>
          <w:numId w:val="1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Regular cleaning and inspection of indoor and outdoor toys.</w:t>
      </w:r>
    </w:p>
    <w:p w14:paraId="3F335A3C" w14:textId="77777777" w:rsidR="007B3D60" w:rsidRPr="007B3D60" w:rsidRDefault="007B3D60" w:rsidP="007B3D60">
      <w:pPr>
        <w:numPr>
          <w:ilvl w:val="0"/>
          <w:numId w:val="1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Age-appropriate toys (no small parts for younger children).</w:t>
      </w:r>
    </w:p>
    <w:p w14:paraId="30199733" w14:textId="77777777" w:rsidR="007B3D60" w:rsidRPr="007B3D60" w:rsidRDefault="007B3D60" w:rsidP="007B3D60">
      <w:pPr>
        <w:numPr>
          <w:ilvl w:val="0"/>
          <w:numId w:val="1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Secure storage of all medicines and hazardous substances.</w:t>
      </w:r>
    </w:p>
    <w:p w14:paraId="60CA4C7A" w14:textId="77777777" w:rsidR="007B3D60" w:rsidRPr="007B3D60" w:rsidRDefault="007B3D60" w:rsidP="007B3D60">
      <w:pPr>
        <w:numPr>
          <w:ilvl w:val="0"/>
          <w:numId w:val="1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Use of safety equipment (stair gates, harnesses, highchairs, reins).</w:t>
      </w:r>
    </w:p>
    <w:p w14:paraId="4BE4D310" w14:textId="77777777" w:rsidR="007B3D60" w:rsidRPr="007B3D60" w:rsidRDefault="007B3D60" w:rsidP="007B3D60">
      <w:pPr>
        <w:numPr>
          <w:ilvl w:val="0"/>
          <w:numId w:val="1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High hygiene standards to prevent cross-infection.</w:t>
      </w:r>
    </w:p>
    <w:p w14:paraId="2481F87D" w14:textId="580EF986" w:rsidR="007B3D60" w:rsidRPr="007B3D60" w:rsidRDefault="007B3D60" w:rsidP="007B3D60">
      <w:pPr>
        <w:numPr>
          <w:ilvl w:val="0"/>
          <w:numId w:val="1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Safe transport of children (pushchair harnesses).</w:t>
      </w:r>
    </w:p>
    <w:p w14:paraId="29268790" w14:textId="77777777" w:rsidR="007B3D60" w:rsidRPr="007B3D60" w:rsidRDefault="007B3D60" w:rsidP="007B3D60">
      <w:pPr>
        <w:numPr>
          <w:ilvl w:val="0"/>
          <w:numId w:val="1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Outdoor play areas are checked daily for hazards (glass, animal waste, etc.).</w:t>
      </w:r>
    </w:p>
    <w:p w14:paraId="462B62F9" w14:textId="77777777" w:rsidR="007B3D60" w:rsidRPr="007B3D60" w:rsidRDefault="007B3D60" w:rsidP="007B3D60">
      <w:pPr>
        <w:numPr>
          <w:ilvl w:val="0"/>
          <w:numId w:val="12"/>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No smoking on nursery premises or during off-site activities.</w:t>
      </w:r>
    </w:p>
    <w:p w14:paraId="0980C520"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68BB99AD" wp14:editId="00037D69">
                <wp:extent cx="5731510" cy="1270"/>
                <wp:effectExtent l="0" t="31750" r="0" b="36830"/>
                <wp:docPr id="4394145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4930A3"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C1707DC"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CULTURE OF SAFETY</w:t>
      </w:r>
    </w:p>
    <w:p w14:paraId="0A955559" w14:textId="77777777"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We aim to embed this policy into daily practice by:</w:t>
      </w:r>
    </w:p>
    <w:p w14:paraId="1DF7E351" w14:textId="77777777" w:rsidR="007B3D60" w:rsidRPr="007B3D60" w:rsidRDefault="007B3D60" w:rsidP="007B3D60">
      <w:pPr>
        <w:numPr>
          <w:ilvl w:val="0"/>
          <w:numId w:val="13"/>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Encouraging open communication about health and safety concerns.</w:t>
      </w:r>
    </w:p>
    <w:p w14:paraId="49D865CE" w14:textId="77777777" w:rsidR="007B3D60" w:rsidRPr="007B3D60" w:rsidRDefault="007B3D60" w:rsidP="007B3D60">
      <w:pPr>
        <w:numPr>
          <w:ilvl w:val="0"/>
          <w:numId w:val="13"/>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Promoting a team-wide commitment to “thinking safely”.</w:t>
      </w:r>
    </w:p>
    <w:p w14:paraId="0DC65F57" w14:textId="77777777" w:rsidR="007B3D60" w:rsidRPr="007B3D60" w:rsidRDefault="007B3D60" w:rsidP="007B3D60">
      <w:pPr>
        <w:numPr>
          <w:ilvl w:val="0"/>
          <w:numId w:val="13"/>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Allocating sufficient funding to address safety issues.</w:t>
      </w:r>
    </w:p>
    <w:p w14:paraId="0E44355F" w14:textId="77777777" w:rsidR="007B3D60" w:rsidRPr="007B3D60" w:rsidRDefault="007B3D60" w:rsidP="007B3D60">
      <w:pPr>
        <w:numPr>
          <w:ilvl w:val="0"/>
          <w:numId w:val="13"/>
        </w:numPr>
        <w:spacing w:after="0" w:line="390" w:lineRule="atLeast"/>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t>Constantly reviewing risk assessments and improving safety measures.</w:t>
      </w:r>
    </w:p>
    <w:p w14:paraId="69C029CB" w14:textId="77777777" w:rsidR="007B3D60" w:rsidRPr="007B3D60" w:rsidRDefault="007B3D60" w:rsidP="007B3D60">
      <w:pPr>
        <w:spacing w:after="0" w:line="240" w:lineRule="auto"/>
        <w:textAlignment w:val="baseline"/>
        <w:divId w:val="944769852"/>
        <w:rPr>
          <w:rFonts w:ascii="Arial" w:eastAsia="Times New Roman" w:hAnsi="Arial" w:cs="Arial"/>
          <w:color w:val="000000" w:themeColor="text1"/>
          <w:kern w:val="0"/>
          <w14:ligatures w14:val="none"/>
        </w:rPr>
      </w:pPr>
      <w:r w:rsidRPr="007B3D60">
        <w:rPr>
          <w:rFonts w:ascii="Arial" w:eastAsia="Times New Roman" w:hAnsi="Arial" w:cs="Arial"/>
          <w:noProof/>
          <w:color w:val="000000" w:themeColor="text1"/>
          <w:kern w:val="0"/>
          <w14:ligatures w14:val="none"/>
        </w:rPr>
        <mc:AlternateContent>
          <mc:Choice Requires="wps">
            <w:drawing>
              <wp:inline distT="0" distB="0" distL="0" distR="0" wp14:anchorId="20EEC66A" wp14:editId="033E9CDD">
                <wp:extent cx="5731510" cy="1270"/>
                <wp:effectExtent l="0" t="31750" r="0" b="36830"/>
                <wp:docPr id="6983243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489C42"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0C103800" w14:textId="77777777" w:rsidR="007B3D60" w:rsidRPr="007B3D60" w:rsidRDefault="007B3D60" w:rsidP="007B3D60">
      <w:pPr>
        <w:spacing w:after="0" w:line="240" w:lineRule="atLeast"/>
        <w:textAlignment w:val="baseline"/>
        <w:outlineLvl w:val="2"/>
        <w:divId w:val="944769852"/>
        <w:rPr>
          <w:rFonts w:ascii="Arial" w:eastAsia="Times New Roman" w:hAnsi="Arial" w:cs="Arial"/>
          <w:b/>
          <w:bCs/>
          <w:caps/>
          <w:color w:val="000000" w:themeColor="text1"/>
          <w:kern w:val="0"/>
          <w14:ligatures w14:val="none"/>
        </w:rPr>
      </w:pPr>
      <w:r w:rsidRPr="007B3D60">
        <w:rPr>
          <w:rFonts w:ascii="Arial" w:eastAsia="Times New Roman" w:hAnsi="Arial" w:cs="Arial"/>
          <w:b/>
          <w:bCs/>
          <w:caps/>
          <w:color w:val="000000" w:themeColor="text1"/>
          <w:kern w:val="0"/>
          <w:bdr w:val="none" w:sz="0" w:space="0" w:color="auto" w:frame="1"/>
          <w14:ligatures w14:val="none"/>
        </w:rPr>
        <w:t>POLICY REVIEW</w:t>
      </w:r>
    </w:p>
    <w:p w14:paraId="65411703" w14:textId="77777777"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color w:val="000000" w:themeColor="text1"/>
          <w:kern w:val="0"/>
          <w14:ligatures w14:val="none"/>
        </w:rPr>
        <w:lastRenderedPageBreak/>
        <w:t>This policy is reviewed at least </w:t>
      </w:r>
      <w:r w:rsidRPr="007B3D60">
        <w:rPr>
          <w:rFonts w:ascii="Arial" w:hAnsi="Arial" w:cs="Arial"/>
          <w:b/>
          <w:bCs/>
          <w:color w:val="000000" w:themeColor="text1"/>
          <w:kern w:val="0"/>
          <w:bdr w:val="none" w:sz="0" w:space="0" w:color="auto" w:frame="1"/>
          <w14:ligatures w14:val="none"/>
        </w:rPr>
        <w:t>annually</w:t>
      </w:r>
      <w:r w:rsidRPr="007B3D60">
        <w:rPr>
          <w:rFonts w:ascii="Arial" w:hAnsi="Arial" w:cs="Arial"/>
          <w:color w:val="000000" w:themeColor="text1"/>
          <w:kern w:val="0"/>
          <w14:ligatures w14:val="none"/>
        </w:rPr>
        <w:t> or more frequently if there are changes in legislation, guidance, or nursery operations.</w:t>
      </w:r>
    </w:p>
    <w:p w14:paraId="0D1CC514" w14:textId="26908CB0" w:rsidR="007B3D60" w:rsidRPr="007B3D60" w:rsidRDefault="007B3D60" w:rsidP="007B3D60">
      <w:pPr>
        <w:spacing w:after="0" w:line="240" w:lineRule="auto"/>
        <w:textAlignment w:val="baseline"/>
        <w:divId w:val="944769852"/>
        <w:rPr>
          <w:rFonts w:ascii="Arial" w:hAnsi="Arial" w:cs="Arial"/>
          <w:color w:val="000000" w:themeColor="text1"/>
          <w:kern w:val="0"/>
          <w14:ligatures w14:val="none"/>
        </w:rPr>
      </w:pPr>
      <w:r w:rsidRPr="007B3D60">
        <w:rPr>
          <w:rFonts w:ascii="Arial" w:hAnsi="Arial" w:cs="Arial"/>
          <w:b/>
          <w:bCs/>
          <w:color w:val="000000" w:themeColor="text1"/>
          <w:kern w:val="0"/>
          <w:bdr w:val="none" w:sz="0" w:space="0" w:color="auto" w:frame="1"/>
          <w14:ligatures w14:val="none"/>
        </w:rPr>
        <w:t>Reviewed By:</w:t>
      </w:r>
      <w:r w:rsidRPr="007B3D60">
        <w:rPr>
          <w:rFonts w:ascii="Arial" w:hAnsi="Arial" w:cs="Arial"/>
          <w:color w:val="000000" w:themeColor="text1"/>
          <w:kern w:val="0"/>
          <w14:ligatures w14:val="none"/>
        </w:rPr>
        <w:t> </w:t>
      </w:r>
      <w:r w:rsidR="00BE1C13">
        <w:rPr>
          <w:rFonts w:ascii="Arial" w:hAnsi="Arial" w:cs="Arial"/>
          <w:color w:val="000000" w:themeColor="text1"/>
          <w:kern w:val="0"/>
          <w14:ligatures w14:val="none"/>
        </w:rPr>
        <w:t>H Watkins-</w:t>
      </w:r>
      <w:proofErr w:type="gramStart"/>
      <w:r w:rsidR="00BE1C13">
        <w:rPr>
          <w:rFonts w:ascii="Arial" w:hAnsi="Arial" w:cs="Arial"/>
          <w:color w:val="000000" w:themeColor="text1"/>
          <w:kern w:val="0"/>
          <w14:ligatures w14:val="none"/>
        </w:rPr>
        <w:t xml:space="preserve">Cave </w:t>
      </w:r>
      <w:r w:rsidRPr="007B3D60">
        <w:rPr>
          <w:rFonts w:ascii="Arial" w:hAnsi="Arial" w:cs="Arial"/>
          <w:color w:val="000000" w:themeColor="text1"/>
          <w:kern w:val="0"/>
          <w14:ligatures w14:val="none"/>
        </w:rPr>
        <w:t xml:space="preserve"> –</w:t>
      </w:r>
      <w:proofErr w:type="gramEnd"/>
      <w:r w:rsidRPr="007B3D60">
        <w:rPr>
          <w:rFonts w:ascii="Arial" w:hAnsi="Arial" w:cs="Arial"/>
          <w:color w:val="000000" w:themeColor="text1"/>
          <w:kern w:val="0"/>
          <w14:ligatures w14:val="none"/>
        </w:rPr>
        <w:t xml:space="preserve"> Manager – </w:t>
      </w:r>
      <w:r w:rsidR="00BE1C13">
        <w:rPr>
          <w:rFonts w:ascii="Arial" w:hAnsi="Arial" w:cs="Arial"/>
          <w:color w:val="000000" w:themeColor="text1"/>
          <w:kern w:val="0"/>
          <w14:ligatures w14:val="none"/>
        </w:rPr>
        <w:t>01</w:t>
      </w:r>
      <w:r w:rsidRPr="007B3D60">
        <w:rPr>
          <w:rFonts w:ascii="Arial" w:hAnsi="Arial" w:cs="Arial"/>
          <w:color w:val="000000" w:themeColor="text1"/>
          <w:kern w:val="0"/>
          <w14:ligatures w14:val="none"/>
        </w:rPr>
        <w:t>/0</w:t>
      </w:r>
      <w:r w:rsidR="00BE1C13">
        <w:rPr>
          <w:rFonts w:ascii="Arial" w:hAnsi="Arial" w:cs="Arial"/>
          <w:color w:val="000000" w:themeColor="text1"/>
          <w:kern w:val="0"/>
          <w14:ligatures w14:val="none"/>
        </w:rPr>
        <w:t>9</w:t>
      </w:r>
      <w:r w:rsidRPr="007B3D60">
        <w:rPr>
          <w:rFonts w:ascii="Arial" w:hAnsi="Arial" w:cs="Arial"/>
          <w:color w:val="000000" w:themeColor="text1"/>
          <w:kern w:val="0"/>
          <w14:ligatures w14:val="none"/>
        </w:rPr>
        <w:t>/2025</w:t>
      </w:r>
    </w:p>
    <w:p w14:paraId="5980721E" w14:textId="77777777" w:rsidR="007B3D60" w:rsidRPr="00AD55E4" w:rsidRDefault="007B3D60">
      <w:pPr>
        <w:rPr>
          <w:rFonts w:ascii="Arial" w:hAnsi="Arial" w:cs="Arial"/>
          <w:color w:val="000000" w:themeColor="text1"/>
        </w:rPr>
      </w:pPr>
    </w:p>
    <w:sectPr w:rsidR="007B3D60" w:rsidRPr="00AD5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E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48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F61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B2E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15A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843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E74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E6F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91B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E7C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A11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62B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578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554147">
    <w:abstractNumId w:val="1"/>
  </w:num>
  <w:num w:numId="2" w16cid:durableId="309330538">
    <w:abstractNumId w:val="7"/>
  </w:num>
  <w:num w:numId="3" w16cid:durableId="1167211187">
    <w:abstractNumId w:val="10"/>
  </w:num>
  <w:num w:numId="4" w16cid:durableId="1832406132">
    <w:abstractNumId w:val="6"/>
  </w:num>
  <w:num w:numId="5" w16cid:durableId="408625281">
    <w:abstractNumId w:val="9"/>
  </w:num>
  <w:num w:numId="6" w16cid:durableId="2120486582">
    <w:abstractNumId w:val="4"/>
  </w:num>
  <w:num w:numId="7" w16cid:durableId="628167152">
    <w:abstractNumId w:val="3"/>
  </w:num>
  <w:num w:numId="8" w16cid:durableId="934897663">
    <w:abstractNumId w:val="11"/>
  </w:num>
  <w:num w:numId="9" w16cid:durableId="1133213557">
    <w:abstractNumId w:val="12"/>
  </w:num>
  <w:num w:numId="10" w16cid:durableId="1579749570">
    <w:abstractNumId w:val="0"/>
  </w:num>
  <w:num w:numId="11" w16cid:durableId="1914778274">
    <w:abstractNumId w:val="5"/>
  </w:num>
  <w:num w:numId="12" w16cid:durableId="631861952">
    <w:abstractNumId w:val="8"/>
  </w:num>
  <w:num w:numId="13" w16cid:durableId="1978221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60"/>
    <w:rsid w:val="0004467E"/>
    <w:rsid w:val="001A209E"/>
    <w:rsid w:val="001F622C"/>
    <w:rsid w:val="007B3D60"/>
    <w:rsid w:val="009128D1"/>
    <w:rsid w:val="00AD55E4"/>
    <w:rsid w:val="00BE1C13"/>
    <w:rsid w:val="00C30B86"/>
    <w:rsid w:val="00E604FD"/>
    <w:rsid w:val="00FC0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EEDC"/>
  <w15:chartTrackingRefBased/>
  <w15:docId w15:val="{FF7CA979-9C46-A14D-A533-819685E4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3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B3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B3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3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3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3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D60"/>
    <w:rPr>
      <w:rFonts w:eastAsiaTheme="majorEastAsia" w:cstheme="majorBidi"/>
      <w:color w:val="272727" w:themeColor="text1" w:themeTint="D8"/>
    </w:rPr>
  </w:style>
  <w:style w:type="paragraph" w:styleId="Title">
    <w:name w:val="Title"/>
    <w:basedOn w:val="Normal"/>
    <w:next w:val="Normal"/>
    <w:link w:val="TitleChar"/>
    <w:uiPriority w:val="10"/>
    <w:qFormat/>
    <w:rsid w:val="007B3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D60"/>
    <w:pPr>
      <w:spacing w:before="160"/>
      <w:jc w:val="center"/>
    </w:pPr>
    <w:rPr>
      <w:i/>
      <w:iCs/>
      <w:color w:val="404040" w:themeColor="text1" w:themeTint="BF"/>
    </w:rPr>
  </w:style>
  <w:style w:type="character" w:customStyle="1" w:styleId="QuoteChar">
    <w:name w:val="Quote Char"/>
    <w:basedOn w:val="DefaultParagraphFont"/>
    <w:link w:val="Quote"/>
    <w:uiPriority w:val="29"/>
    <w:rsid w:val="007B3D60"/>
    <w:rPr>
      <w:i/>
      <w:iCs/>
      <w:color w:val="404040" w:themeColor="text1" w:themeTint="BF"/>
    </w:rPr>
  </w:style>
  <w:style w:type="paragraph" w:styleId="ListParagraph">
    <w:name w:val="List Paragraph"/>
    <w:basedOn w:val="Normal"/>
    <w:uiPriority w:val="34"/>
    <w:qFormat/>
    <w:rsid w:val="007B3D60"/>
    <w:pPr>
      <w:ind w:left="720"/>
      <w:contextualSpacing/>
    </w:pPr>
  </w:style>
  <w:style w:type="character" w:styleId="IntenseEmphasis">
    <w:name w:val="Intense Emphasis"/>
    <w:basedOn w:val="DefaultParagraphFont"/>
    <w:uiPriority w:val="21"/>
    <w:qFormat/>
    <w:rsid w:val="007B3D60"/>
    <w:rPr>
      <w:i/>
      <w:iCs/>
      <w:color w:val="2F5496" w:themeColor="accent1" w:themeShade="BF"/>
    </w:rPr>
  </w:style>
  <w:style w:type="paragraph" w:styleId="IntenseQuote">
    <w:name w:val="Intense Quote"/>
    <w:basedOn w:val="Normal"/>
    <w:next w:val="Normal"/>
    <w:link w:val="IntenseQuoteChar"/>
    <w:uiPriority w:val="30"/>
    <w:qFormat/>
    <w:rsid w:val="007B3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3D60"/>
    <w:rPr>
      <w:i/>
      <w:iCs/>
      <w:color w:val="2F5496" w:themeColor="accent1" w:themeShade="BF"/>
    </w:rPr>
  </w:style>
  <w:style w:type="character" w:styleId="IntenseReference">
    <w:name w:val="Intense Reference"/>
    <w:basedOn w:val="DefaultParagraphFont"/>
    <w:uiPriority w:val="32"/>
    <w:qFormat/>
    <w:rsid w:val="007B3D60"/>
    <w:rPr>
      <w:b/>
      <w:bCs/>
      <w:smallCaps/>
      <w:color w:val="2F5496" w:themeColor="accent1" w:themeShade="BF"/>
      <w:spacing w:val="5"/>
    </w:rPr>
  </w:style>
  <w:style w:type="paragraph" w:styleId="NormalWeb">
    <w:name w:val="Normal (Web)"/>
    <w:basedOn w:val="Normal"/>
    <w:uiPriority w:val="99"/>
    <w:semiHidden/>
    <w:unhideWhenUsed/>
    <w:rsid w:val="007B3D60"/>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7B3D60"/>
    <w:rPr>
      <w:b/>
      <w:bCs/>
    </w:rPr>
  </w:style>
  <w:style w:type="character" w:customStyle="1" w:styleId="apple-converted-space">
    <w:name w:val="apple-converted-space"/>
    <w:basedOn w:val="DefaultParagraphFont"/>
    <w:rsid w:val="007B3D60"/>
  </w:style>
  <w:style w:type="character" w:styleId="Emphasis">
    <w:name w:val="Emphasis"/>
    <w:basedOn w:val="DefaultParagraphFont"/>
    <w:uiPriority w:val="20"/>
    <w:qFormat/>
    <w:rsid w:val="007B3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69852">
      <w:marLeft w:val="0"/>
      <w:marRight w:val="0"/>
      <w:marTop w:val="0"/>
      <w:marBottom w:val="0"/>
      <w:divBdr>
        <w:top w:val="none" w:sz="0" w:space="0" w:color="auto"/>
        <w:left w:val="none" w:sz="0" w:space="0" w:color="auto"/>
        <w:bottom w:val="none" w:sz="0" w:space="0" w:color="auto"/>
        <w:right w:val="none" w:sz="0" w:space="0" w:color="auto"/>
      </w:divBdr>
    </w:div>
    <w:div w:id="1418483578">
      <w:marLeft w:val="0"/>
      <w:marRight w:val="0"/>
      <w:marTop w:val="0"/>
      <w:marBottom w:val="450"/>
      <w:divBdr>
        <w:top w:val="none" w:sz="0" w:space="0" w:color="auto"/>
        <w:left w:val="none" w:sz="0" w:space="0" w:color="auto"/>
        <w:bottom w:val="none" w:sz="0" w:space="0" w:color="auto"/>
        <w:right w:val="none" w:sz="0" w:space="0" w:color="auto"/>
      </w:divBdr>
      <w:divsChild>
        <w:div w:id="104702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2025-07-31T08:57:00Z</dcterms:created>
  <dcterms:modified xsi:type="dcterms:W3CDTF">2025-07-31T08:57:00Z</dcterms:modified>
</cp:coreProperties>
</file>