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3ED5" w14:textId="2C8F77B3" w:rsidR="005C7556" w:rsidRPr="005C7556" w:rsidRDefault="005C7556" w:rsidP="00600E9C">
      <w:pPr>
        <w:spacing w:after="0" w:line="240" w:lineRule="atLeast"/>
        <w:textAlignment w:val="baseline"/>
        <w:outlineLvl w:val="0"/>
        <w:divId w:val="2134790092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5"/>
          <w:szCs w:val="45"/>
          <w14:ligatures w14:val="none"/>
        </w:rPr>
        <w:t>BEHAVIOUR MANAGEMENT</w:t>
      </w:r>
    </w:p>
    <w:p w14:paraId="4D797B3F" w14:textId="77777777" w:rsidR="005C7556" w:rsidRPr="005C7556" w:rsidRDefault="005C7556" w:rsidP="005C7556">
      <w:pPr>
        <w:spacing w:after="0" w:line="240" w:lineRule="atLeast"/>
        <w:textAlignment w:val="baseline"/>
        <w:outlineLvl w:val="2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3"/>
          <w:szCs w:val="33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3"/>
          <w:szCs w:val="33"/>
          <w:bdr w:val="none" w:sz="0" w:space="0" w:color="auto" w:frame="1"/>
          <w14:ligatures w14:val="none"/>
        </w:rPr>
        <w:t>OUR COMMITMENT</w:t>
      </w:r>
    </w:p>
    <w:p w14:paraId="487A021E" w14:textId="58D9E4DD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At </w:t>
      </w:r>
      <w:r w:rsidR="00600E9C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Wild Oaks ELC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, we are dedicated to promoting a safe, nurturing environment where every child feels valued, respected, and secure. We aim to help children develop a strong sense of right and wrong by teaching appropriate behaviour and discouraging inappropriate actions in a supportive, developmentally appropriate manner.</w:t>
      </w:r>
    </w:p>
    <w:p w14:paraId="0BB017C3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believe that behaviour is part of a child’s developmental journey. Through consistent guidance, role modelling, and partnership with parents and carers, we strive to empower children to build confidence, self-esteem, and positive relationships.</w:t>
      </w:r>
    </w:p>
    <w:p w14:paraId="7D8C45AA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58A39134" wp14:editId="1606587A">
                <wp:extent cx="5731510" cy="1270"/>
                <wp:effectExtent l="0" t="31750" r="0" b="36830"/>
                <wp:docPr id="14208867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9A06CF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95982F2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OUR APPROACH TO BEHAVIOUR</w:t>
      </w:r>
    </w:p>
    <w:p w14:paraId="4A013EE0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understand that learning to regulate emotions and behave appropriately in a group setting is a gradual process. This policy outlines our principles and strategies for supporting children as they develop socially and emotionally.</w:t>
      </w:r>
    </w:p>
    <w:p w14:paraId="2CD603B9" w14:textId="77777777" w:rsidR="005C7556" w:rsidRPr="005C7556" w:rsidRDefault="005C7556" w:rsidP="005C7556">
      <w:pPr>
        <w:spacing w:after="0" w:line="240" w:lineRule="atLeast"/>
        <w:textAlignment w:val="baseline"/>
        <w:outlineLvl w:val="2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3"/>
          <w:szCs w:val="33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3"/>
          <w:szCs w:val="33"/>
          <w:bdr w:val="none" w:sz="0" w:space="0" w:color="auto" w:frame="1"/>
          <w14:ligatures w14:val="none"/>
        </w:rPr>
        <w:t>CORE VALUES AND BEHAVIOUR GOALS</w:t>
      </w:r>
    </w:p>
    <w:p w14:paraId="29599CB6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aim to promote the following five core characteristics that underpin positive behaviour:</w:t>
      </w:r>
    </w:p>
    <w:p w14:paraId="6DDDB70C" w14:textId="77777777" w:rsidR="005C7556" w:rsidRPr="005C7556" w:rsidRDefault="005C7556" w:rsidP="005C7556">
      <w:pPr>
        <w:numPr>
          <w:ilvl w:val="0"/>
          <w:numId w:val="1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Confidence</w:t>
      </w:r>
    </w:p>
    <w:p w14:paraId="6DC44BC1" w14:textId="77777777" w:rsidR="005C7556" w:rsidRPr="005C7556" w:rsidRDefault="005C7556" w:rsidP="005C7556">
      <w:pPr>
        <w:numPr>
          <w:ilvl w:val="0"/>
          <w:numId w:val="1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Communication</w:t>
      </w:r>
    </w:p>
    <w:p w14:paraId="1E9B29D2" w14:textId="77777777" w:rsidR="005C7556" w:rsidRPr="005C7556" w:rsidRDefault="005C7556" w:rsidP="005C7556">
      <w:pPr>
        <w:numPr>
          <w:ilvl w:val="0"/>
          <w:numId w:val="1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Co-operation</w:t>
      </w:r>
    </w:p>
    <w:p w14:paraId="41A016C2" w14:textId="77777777" w:rsidR="005C7556" w:rsidRPr="005C7556" w:rsidRDefault="005C7556" w:rsidP="005C7556">
      <w:pPr>
        <w:numPr>
          <w:ilvl w:val="0"/>
          <w:numId w:val="1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Curiosity</w:t>
      </w:r>
    </w:p>
    <w:p w14:paraId="3595F688" w14:textId="77777777" w:rsidR="005C7556" w:rsidRPr="005C7556" w:rsidRDefault="005C7556" w:rsidP="005C7556">
      <w:pPr>
        <w:numPr>
          <w:ilvl w:val="0"/>
          <w:numId w:val="1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Concentration</w:t>
      </w:r>
    </w:p>
    <w:p w14:paraId="551F8204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Children may exhibit challenging behaviours as a response to emotions such as boredom, anxiety, frustration, or tiredness. Our approach focuses on:</w:t>
      </w:r>
    </w:p>
    <w:p w14:paraId="34CBBFA7" w14:textId="77777777" w:rsidR="005C7556" w:rsidRPr="005C7556" w:rsidRDefault="005C7556" w:rsidP="005C7556">
      <w:pPr>
        <w:numPr>
          <w:ilvl w:val="0"/>
          <w:numId w:val="2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Modelling kind and considerate behaviour.</w:t>
      </w:r>
    </w:p>
    <w:p w14:paraId="0784283D" w14:textId="4BE3AD27" w:rsidR="005C7556" w:rsidRPr="005C7556" w:rsidRDefault="005C7556" w:rsidP="005C7556">
      <w:pPr>
        <w:numPr>
          <w:ilvl w:val="0"/>
          <w:numId w:val="2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Providing engaging activities that support social and emotional development (a </w:t>
      </w:r>
      <w:r w:rsidR="003060A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Prime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 area in the Early Years Foundation Stage).</w:t>
      </w:r>
    </w:p>
    <w:p w14:paraId="740852F8" w14:textId="77777777" w:rsidR="005C7556" w:rsidRPr="005C7556" w:rsidRDefault="005C7556" w:rsidP="005C7556">
      <w:pPr>
        <w:numPr>
          <w:ilvl w:val="0"/>
          <w:numId w:val="2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Using role play, stories, and visual aids to help children express and manage emotions.</w:t>
      </w:r>
    </w:p>
    <w:p w14:paraId="7E63F7BD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0C7CF8F8" wp14:editId="316801DC">
                <wp:extent cx="5731510" cy="1270"/>
                <wp:effectExtent l="0" t="31750" r="0" b="36830"/>
                <wp:docPr id="69254250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CAD13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C241368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PROMOTING POSITIVE BEHAVIOUR</w:t>
      </w:r>
    </w:p>
    <w:p w14:paraId="6F095F76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To encourage positive behaviour, we focus on:</w:t>
      </w:r>
    </w:p>
    <w:p w14:paraId="55A0142C" w14:textId="77777777" w:rsidR="005C7556" w:rsidRPr="005C7556" w:rsidRDefault="005C7556" w:rsidP="005C7556">
      <w:pPr>
        <w:numPr>
          <w:ilvl w:val="0"/>
          <w:numId w:val="3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Modelling appropriate conduct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by being positive role models.</w:t>
      </w:r>
    </w:p>
    <w:p w14:paraId="7932C1CF" w14:textId="77777777" w:rsidR="005C7556" w:rsidRPr="005C7556" w:rsidRDefault="005C7556" w:rsidP="005C7556">
      <w:pPr>
        <w:numPr>
          <w:ilvl w:val="0"/>
          <w:numId w:val="3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Consistency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in enforcing boundaries and expectations.</w:t>
      </w:r>
    </w:p>
    <w:p w14:paraId="2B421CA2" w14:textId="77777777" w:rsidR="005C7556" w:rsidRPr="005C7556" w:rsidRDefault="005C7556" w:rsidP="005C7556">
      <w:pPr>
        <w:numPr>
          <w:ilvl w:val="0"/>
          <w:numId w:val="3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Positive reinforcement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through praise and recognition.</w:t>
      </w:r>
    </w:p>
    <w:p w14:paraId="2251450D" w14:textId="77777777" w:rsidR="005C7556" w:rsidRPr="005C7556" w:rsidRDefault="005C7556" w:rsidP="005C7556">
      <w:pPr>
        <w:numPr>
          <w:ilvl w:val="0"/>
          <w:numId w:val="3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Encouraging self-regulation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and problem-solving.</w:t>
      </w:r>
    </w:p>
    <w:p w14:paraId="22D2C12A" w14:textId="77777777" w:rsidR="005C7556" w:rsidRPr="005C7556" w:rsidRDefault="005C7556" w:rsidP="005C7556">
      <w:pPr>
        <w:numPr>
          <w:ilvl w:val="0"/>
          <w:numId w:val="3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Using positive body language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and engaging at the child’s level.</w:t>
      </w:r>
    </w:p>
    <w:p w14:paraId="0A494001" w14:textId="77777777" w:rsidR="005C7556" w:rsidRPr="005C7556" w:rsidRDefault="005C7556" w:rsidP="005C7556">
      <w:pPr>
        <w:numPr>
          <w:ilvl w:val="0"/>
          <w:numId w:val="3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Offering choices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and opportunities for behavioural improvement.</w:t>
      </w:r>
    </w:p>
    <w:p w14:paraId="37290E60" w14:textId="436C90FD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We recognise that misbehaviour is often a result of unmet emotional needs or developmental limitations, not deliberate </w:t>
      </w:r>
      <w:r w:rsidR="005009BD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actions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.</w:t>
      </w:r>
    </w:p>
    <w:p w14:paraId="3D195291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7E1C1E7F" wp14:editId="17CAFC94">
                <wp:extent cx="5731510" cy="1270"/>
                <wp:effectExtent l="0" t="31750" r="0" b="36830"/>
                <wp:docPr id="52840977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1F02C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F81486A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BEHAVIOUR INTERVENTION STRATEGIES</w:t>
      </w:r>
    </w:p>
    <w:p w14:paraId="6DC3C5C6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When inappropriate behaviour occurs, staff will:</w:t>
      </w:r>
    </w:p>
    <w:p w14:paraId="0A8730C6" w14:textId="77777777" w:rsidR="005C7556" w:rsidRPr="005C7556" w:rsidRDefault="005C7556" w:rsidP="005C7556">
      <w:pPr>
        <w:numPr>
          <w:ilvl w:val="0"/>
          <w:numId w:val="4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Intervene immediately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and assess the situation.</w:t>
      </w:r>
    </w:p>
    <w:p w14:paraId="7F66C85C" w14:textId="77777777" w:rsidR="005C7556" w:rsidRPr="005C7556" w:rsidRDefault="005C7556" w:rsidP="005C7556">
      <w:pPr>
        <w:numPr>
          <w:ilvl w:val="0"/>
          <w:numId w:val="4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Engage with all children involved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, using a calm, respectful tone and age-appropriate language.</w:t>
      </w:r>
    </w:p>
    <w:p w14:paraId="2521669D" w14:textId="77777777" w:rsidR="005C7556" w:rsidRPr="005C7556" w:rsidRDefault="005C7556" w:rsidP="005C7556">
      <w:pPr>
        <w:numPr>
          <w:ilvl w:val="0"/>
          <w:numId w:val="4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Discuss feelings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and support children in recognising how their actions affect others.</w:t>
      </w:r>
    </w:p>
    <w:p w14:paraId="0D6A4BD0" w14:textId="77777777" w:rsidR="005C7556" w:rsidRPr="005C7556" w:rsidRDefault="005C7556" w:rsidP="005C7556">
      <w:pPr>
        <w:numPr>
          <w:ilvl w:val="0"/>
          <w:numId w:val="4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Redirect younger children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using distraction or alternative activities.</w:t>
      </w:r>
    </w:p>
    <w:p w14:paraId="41EB1592" w14:textId="77777777" w:rsidR="005C7556" w:rsidRPr="005C7556" w:rsidRDefault="005C7556" w:rsidP="005C7556">
      <w:pPr>
        <w:numPr>
          <w:ilvl w:val="0"/>
          <w:numId w:val="4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Avoid punitive language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such as “naughty” or “bad”. Instead, we separate the behaviour from the child.</w:t>
      </w:r>
    </w:p>
    <w:p w14:paraId="72A765EA" w14:textId="77777777" w:rsidR="005C7556" w:rsidRPr="005C7556" w:rsidRDefault="005C7556" w:rsidP="005C7556">
      <w:pPr>
        <w:numPr>
          <w:ilvl w:val="0"/>
          <w:numId w:val="4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Use alternatives to forced apologies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, such as comforting gestures, drawing a picture, or Makaton signs.</w:t>
      </w:r>
    </w:p>
    <w:p w14:paraId="1AFDC715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Staff will 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:</w:t>
      </w:r>
    </w:p>
    <w:p w14:paraId="14CB3AE3" w14:textId="77777777" w:rsidR="005C7556" w:rsidRPr="005C7556" w:rsidRDefault="005C7556" w:rsidP="005C7556">
      <w:pPr>
        <w:numPr>
          <w:ilvl w:val="0"/>
          <w:numId w:val="5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Shout, intimidate, or use physical punishment.</w:t>
      </w:r>
    </w:p>
    <w:p w14:paraId="539ECA2A" w14:textId="0616753C" w:rsidR="005C7556" w:rsidRPr="005C7556" w:rsidRDefault="005C7556" w:rsidP="005C7556">
      <w:pPr>
        <w:numPr>
          <w:ilvl w:val="0"/>
          <w:numId w:val="5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Use exclusion strategies such as a </w:t>
      </w:r>
      <w:r w:rsidR="005009BD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 xml:space="preserve">‘time out.’ </w:t>
      </w:r>
    </w:p>
    <w:p w14:paraId="0DBE93D7" w14:textId="77777777" w:rsidR="005C7556" w:rsidRPr="005C7556" w:rsidRDefault="005C7556" w:rsidP="005C7556">
      <w:pPr>
        <w:numPr>
          <w:ilvl w:val="0"/>
          <w:numId w:val="5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Withhold food or treats.</w:t>
      </w:r>
    </w:p>
    <w:p w14:paraId="633A45C4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Instead, we use 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reflective or calming time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to help children regain composure in a supportive way.</w:t>
      </w:r>
    </w:p>
    <w:p w14:paraId="4D9365EA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614878C7" wp14:editId="344E6148">
                <wp:extent cx="5731510" cy="1270"/>
                <wp:effectExtent l="0" t="31750" r="0" b="36830"/>
                <wp:docPr id="5565583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AD205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AB9A98F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ESCALATION AND SUPPORT</w:t>
      </w:r>
    </w:p>
    <w:p w14:paraId="2FAAADD7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If challenging behaviour persists despite consistent strategies:</w:t>
      </w:r>
    </w:p>
    <w:p w14:paraId="41DBD13F" w14:textId="77777777" w:rsidR="005C7556" w:rsidRPr="005C7556" w:rsidRDefault="005C7556" w:rsidP="005C7556">
      <w:pPr>
        <w:numPr>
          <w:ilvl w:val="0"/>
          <w:numId w:val="6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Staff will work closely with parents/carers to ensure consistency.</w:t>
      </w:r>
    </w:p>
    <w:p w14:paraId="28F723F2" w14:textId="77777777" w:rsidR="005C7556" w:rsidRPr="005C7556" w:rsidRDefault="005C7556" w:rsidP="005C7556">
      <w:pPr>
        <w:numPr>
          <w:ilvl w:val="0"/>
          <w:numId w:val="6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Outside support (e.g. SENCo, Health Visitor) may be recommended.</w:t>
      </w:r>
    </w:p>
    <w:p w14:paraId="2C2ACE63" w14:textId="77777777" w:rsidR="005C7556" w:rsidRPr="005C7556" w:rsidRDefault="005C7556" w:rsidP="005C7556">
      <w:pPr>
        <w:numPr>
          <w:ilvl w:val="0"/>
          <w:numId w:val="6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Incidents will be recorded, and 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ABC (Antecedent, Behaviour, Consequence)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analysis will be used to identify triggers and patterns.</w:t>
      </w:r>
    </w:p>
    <w:p w14:paraId="013C6CC8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3DF6CBB7" wp14:editId="3FF20D0A">
                <wp:extent cx="5731510" cy="1270"/>
                <wp:effectExtent l="0" t="31750" r="0" b="36830"/>
                <wp:docPr id="6498621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93B37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625ECB5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BITING POLICY</w:t>
      </w:r>
    </w:p>
    <w:p w14:paraId="77F68A22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Biting is a common but distressing behaviour in early childhood. We handle incidents with sensitivity and aim to support both the child who bites and the child who is bitten.</w:t>
      </w:r>
    </w:p>
    <w:p w14:paraId="481E3067" w14:textId="77777777" w:rsidR="005C7556" w:rsidRPr="005C7556" w:rsidRDefault="005C7556" w:rsidP="005C7556">
      <w:pPr>
        <w:spacing w:after="0" w:line="240" w:lineRule="atLeast"/>
        <w:textAlignment w:val="baseline"/>
        <w:outlineLvl w:val="2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3"/>
          <w:szCs w:val="33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3"/>
          <w:szCs w:val="33"/>
          <w:bdr w:val="none" w:sz="0" w:space="0" w:color="auto" w:frame="1"/>
          <w14:ligatures w14:val="none"/>
        </w:rPr>
        <w:t>WHY CHILDREN BITE</w:t>
      </w:r>
    </w:p>
    <w:p w14:paraId="4933ACD2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Biting may occur due to:</w:t>
      </w:r>
    </w:p>
    <w:p w14:paraId="5E79C01D" w14:textId="77777777" w:rsidR="005C7556" w:rsidRPr="005C7556" w:rsidRDefault="005C7556" w:rsidP="005C7556">
      <w:pPr>
        <w:numPr>
          <w:ilvl w:val="0"/>
          <w:numId w:val="7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Exploration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or sensory stimulation.</w:t>
      </w:r>
    </w:p>
    <w:p w14:paraId="7FCC11D7" w14:textId="77777777" w:rsidR="005C7556" w:rsidRPr="005C7556" w:rsidRDefault="005C7556" w:rsidP="005C7556">
      <w:pPr>
        <w:numPr>
          <w:ilvl w:val="0"/>
          <w:numId w:val="7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Teething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discomfort.</w:t>
      </w:r>
    </w:p>
    <w:p w14:paraId="52D5683B" w14:textId="77777777" w:rsidR="005C7556" w:rsidRPr="005C7556" w:rsidRDefault="005C7556" w:rsidP="005C7556">
      <w:pPr>
        <w:numPr>
          <w:ilvl w:val="0"/>
          <w:numId w:val="7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Cause-and-effect curiosity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.</w:t>
      </w:r>
    </w:p>
    <w:p w14:paraId="600C7453" w14:textId="77777777" w:rsidR="005C7556" w:rsidRPr="005C7556" w:rsidRDefault="005C7556" w:rsidP="005C7556">
      <w:pPr>
        <w:numPr>
          <w:ilvl w:val="0"/>
          <w:numId w:val="7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Attention-seeking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.</w:t>
      </w:r>
    </w:p>
    <w:p w14:paraId="58D78CA3" w14:textId="77777777" w:rsidR="005C7556" w:rsidRPr="005C7556" w:rsidRDefault="005C7556" w:rsidP="005C7556">
      <w:pPr>
        <w:numPr>
          <w:ilvl w:val="0"/>
          <w:numId w:val="7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Imitation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of peers.</w:t>
      </w:r>
    </w:p>
    <w:p w14:paraId="603B260D" w14:textId="77777777" w:rsidR="005C7556" w:rsidRPr="005C7556" w:rsidRDefault="005C7556" w:rsidP="005C7556">
      <w:pPr>
        <w:numPr>
          <w:ilvl w:val="0"/>
          <w:numId w:val="7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Frustration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, anxiety, or stress.</w:t>
      </w:r>
    </w:p>
    <w:p w14:paraId="582F9C95" w14:textId="77777777" w:rsidR="005C7556" w:rsidRPr="005C7556" w:rsidRDefault="005C7556" w:rsidP="005C7556">
      <w:pPr>
        <w:numPr>
          <w:ilvl w:val="0"/>
          <w:numId w:val="7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Lack of language skills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to express emotions.</w:t>
      </w:r>
    </w:p>
    <w:p w14:paraId="3596F47E" w14:textId="77777777" w:rsidR="005C7556" w:rsidRPr="005C7556" w:rsidRDefault="005C7556" w:rsidP="005C7556">
      <w:pPr>
        <w:spacing w:after="0" w:line="240" w:lineRule="atLeast"/>
        <w:textAlignment w:val="baseline"/>
        <w:outlineLvl w:val="2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3"/>
          <w:szCs w:val="33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3"/>
          <w:szCs w:val="33"/>
          <w:bdr w:val="none" w:sz="0" w:space="0" w:color="auto" w:frame="1"/>
          <w14:ligatures w14:val="none"/>
        </w:rPr>
        <w:t>RESPONSE AND PREVENTION</w:t>
      </w:r>
    </w:p>
    <w:p w14:paraId="7B2E62FB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use the 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“Who, What, When, </w:t>
      </w:r>
      <w:proofErr w:type="gramStart"/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proofErr w:type="gramEnd"/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”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method to understand each incident:</w:t>
      </w:r>
    </w:p>
    <w:p w14:paraId="3D9835E3" w14:textId="77777777" w:rsidR="005C7556" w:rsidRPr="005C7556" w:rsidRDefault="005C7556" w:rsidP="005C7556">
      <w:pPr>
        <w:numPr>
          <w:ilvl w:val="0"/>
          <w:numId w:val="8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Who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was involved?</w:t>
      </w:r>
    </w:p>
    <w:p w14:paraId="1358254D" w14:textId="77777777" w:rsidR="005C7556" w:rsidRPr="005C7556" w:rsidRDefault="005C7556" w:rsidP="005C7556">
      <w:pPr>
        <w:numPr>
          <w:ilvl w:val="0"/>
          <w:numId w:val="8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What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happened before and after?</w:t>
      </w:r>
    </w:p>
    <w:p w14:paraId="379BBAAA" w14:textId="77777777" w:rsidR="005C7556" w:rsidRPr="005C7556" w:rsidRDefault="005C7556" w:rsidP="005C7556">
      <w:pPr>
        <w:numPr>
          <w:ilvl w:val="0"/>
          <w:numId w:val="8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When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did it happen?</w:t>
      </w:r>
    </w:p>
    <w:p w14:paraId="6C54CE5E" w14:textId="77777777" w:rsidR="005C7556" w:rsidRPr="005C7556" w:rsidRDefault="005C7556" w:rsidP="005C7556">
      <w:pPr>
        <w:numPr>
          <w:ilvl w:val="0"/>
          <w:numId w:val="8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Where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did it take place?</w:t>
      </w:r>
    </w:p>
    <w:p w14:paraId="0C7DD859" w14:textId="77777777" w:rsidR="005C7556" w:rsidRPr="005C7556" w:rsidRDefault="005C7556" w:rsidP="005C7556">
      <w:pPr>
        <w:spacing w:after="0" w:line="240" w:lineRule="atLeast"/>
        <w:textAlignment w:val="baseline"/>
        <w:outlineLvl w:val="3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7"/>
          <w:szCs w:val="27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7"/>
          <w:szCs w:val="27"/>
          <w:bdr w:val="none" w:sz="0" w:space="0" w:color="auto" w:frame="1"/>
          <w14:ligatures w14:val="none"/>
        </w:rPr>
        <w:t>PREVENTION STRATEGIES:</w:t>
      </w:r>
    </w:p>
    <w:p w14:paraId="52E18CE5" w14:textId="77777777" w:rsidR="005C7556" w:rsidRPr="005C7556" w:rsidRDefault="005C7556" w:rsidP="005C7556">
      <w:pPr>
        <w:numPr>
          <w:ilvl w:val="0"/>
          <w:numId w:val="9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Provide teething toys or sensory items.</w:t>
      </w:r>
    </w:p>
    <w:p w14:paraId="31E720BB" w14:textId="77777777" w:rsidR="005C7556" w:rsidRPr="005C7556" w:rsidRDefault="005C7556" w:rsidP="005C7556">
      <w:pPr>
        <w:numPr>
          <w:ilvl w:val="0"/>
          <w:numId w:val="9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Adjust routines to reduce tiredness or hunger.</w:t>
      </w:r>
    </w:p>
    <w:p w14:paraId="0ADF8339" w14:textId="77777777" w:rsidR="005C7556" w:rsidRPr="005C7556" w:rsidRDefault="005C7556" w:rsidP="005C7556">
      <w:pPr>
        <w:numPr>
          <w:ilvl w:val="0"/>
          <w:numId w:val="9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Closely monitor high-risk situations (e.g. sharing toys).</w:t>
      </w:r>
    </w:p>
    <w:p w14:paraId="3BB9DAA7" w14:textId="77777777" w:rsidR="005C7556" w:rsidRPr="005C7556" w:rsidRDefault="005C7556" w:rsidP="005C7556">
      <w:pPr>
        <w:numPr>
          <w:ilvl w:val="0"/>
          <w:numId w:val="9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Reinforce positive behaviour with attention and praise.</w:t>
      </w:r>
    </w:p>
    <w:p w14:paraId="6406144E" w14:textId="77777777" w:rsidR="005C7556" w:rsidRPr="005C7556" w:rsidRDefault="005C7556" w:rsidP="005C7556">
      <w:pPr>
        <w:numPr>
          <w:ilvl w:val="0"/>
          <w:numId w:val="9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Encourage emotional expression using language, visuals, and play.</w:t>
      </w:r>
    </w:p>
    <w:p w14:paraId="5845D3CB" w14:textId="77777777" w:rsidR="005C7556" w:rsidRPr="005C7556" w:rsidRDefault="005C7556" w:rsidP="005C7556">
      <w:pPr>
        <w:numPr>
          <w:ilvl w:val="0"/>
          <w:numId w:val="9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Create calm, predictable environments to reduce stress.</w:t>
      </w:r>
    </w:p>
    <w:p w14:paraId="09DAFC53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follow the 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HPA guidelines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for managing human bites in childcare settings.</w:t>
      </w:r>
    </w:p>
    <w:p w14:paraId="310EAD02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43EAFF24" wp14:editId="294ADEFF">
                <wp:extent cx="5731510" cy="1270"/>
                <wp:effectExtent l="0" t="31750" r="0" b="36830"/>
                <wp:docPr id="15019028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2648F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B0FE9B0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INVOLVING PARENTS AND CARERS</w:t>
      </w:r>
    </w:p>
    <w:p w14:paraId="4C84D51C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Working in partnership with families is essential. We ask parents to:</w:t>
      </w:r>
    </w:p>
    <w:p w14:paraId="1EF07AA6" w14:textId="77777777" w:rsidR="005C7556" w:rsidRPr="005C7556" w:rsidRDefault="005C7556" w:rsidP="005C7556">
      <w:pPr>
        <w:numPr>
          <w:ilvl w:val="0"/>
          <w:numId w:val="10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Share relevant changes in the child’s home life.</w:t>
      </w:r>
    </w:p>
    <w:p w14:paraId="0A9E063A" w14:textId="77777777" w:rsidR="005C7556" w:rsidRPr="005C7556" w:rsidRDefault="005C7556" w:rsidP="005C7556">
      <w:pPr>
        <w:numPr>
          <w:ilvl w:val="0"/>
          <w:numId w:val="10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Reinforce behaviour expectations at home.</w:t>
      </w:r>
    </w:p>
    <w:p w14:paraId="6B61A354" w14:textId="77777777" w:rsidR="005C7556" w:rsidRPr="005C7556" w:rsidRDefault="005C7556" w:rsidP="005C7556">
      <w:pPr>
        <w:numPr>
          <w:ilvl w:val="0"/>
          <w:numId w:val="10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Collaborate with staff and support agreed strategies.</w:t>
      </w:r>
    </w:p>
    <w:p w14:paraId="1BC3B991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promise to:</w:t>
      </w:r>
    </w:p>
    <w:p w14:paraId="3EB2A04E" w14:textId="77777777" w:rsidR="005C7556" w:rsidRPr="005C7556" w:rsidRDefault="005C7556" w:rsidP="005C7556">
      <w:pPr>
        <w:numPr>
          <w:ilvl w:val="0"/>
          <w:numId w:val="11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Communicate daily about your child’s behaviour and progress.</w:t>
      </w:r>
    </w:p>
    <w:p w14:paraId="65BCA5C1" w14:textId="77777777" w:rsidR="005C7556" w:rsidRPr="005C7556" w:rsidRDefault="005C7556" w:rsidP="005C7556">
      <w:pPr>
        <w:numPr>
          <w:ilvl w:val="0"/>
          <w:numId w:val="11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Be consistent, non-judgmental, and supportive.</w:t>
      </w:r>
    </w:p>
    <w:p w14:paraId="112FB9A7" w14:textId="77777777" w:rsidR="005C7556" w:rsidRPr="005C7556" w:rsidRDefault="005C7556" w:rsidP="005C7556">
      <w:pPr>
        <w:numPr>
          <w:ilvl w:val="0"/>
          <w:numId w:val="11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Offer guidance and external support when needed.</w:t>
      </w:r>
    </w:p>
    <w:p w14:paraId="6EF1FBA7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3859AB16" wp14:editId="63054BA6">
                <wp:extent cx="5731510" cy="1270"/>
                <wp:effectExtent l="0" t="31750" r="0" b="36830"/>
                <wp:docPr id="12178942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C3162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4503A84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STRATEGIES FOR INCONSIDERATE BEHAVIOUR</w:t>
      </w:r>
    </w:p>
    <w:p w14:paraId="24E1B5BE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All staff, students, and volunteers are expected to use 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positive guidance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strategies:</w:t>
      </w:r>
    </w:p>
    <w:p w14:paraId="0206010F" w14:textId="77777777" w:rsidR="005C7556" w:rsidRPr="005C7556" w:rsidRDefault="005C7556" w:rsidP="005C7556">
      <w:pPr>
        <w:numPr>
          <w:ilvl w:val="0"/>
          <w:numId w:val="12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Help children identify and express feelings.</w:t>
      </w:r>
    </w:p>
    <w:p w14:paraId="3B63576B" w14:textId="77777777" w:rsidR="005C7556" w:rsidRPr="005C7556" w:rsidRDefault="005C7556" w:rsidP="005C7556">
      <w:pPr>
        <w:numPr>
          <w:ilvl w:val="0"/>
          <w:numId w:val="12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Acknowledge positive behaviours like sharing and kindness.</w:t>
      </w:r>
    </w:p>
    <w:p w14:paraId="6D1D7BD6" w14:textId="77777777" w:rsidR="005C7556" w:rsidRPr="005C7556" w:rsidRDefault="005C7556" w:rsidP="005C7556">
      <w:pPr>
        <w:numPr>
          <w:ilvl w:val="0"/>
          <w:numId w:val="12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Avoid giving attention only in response to negative behaviour.</w:t>
      </w:r>
    </w:p>
    <w:p w14:paraId="1F24BB07" w14:textId="77777777" w:rsidR="005C7556" w:rsidRPr="005C7556" w:rsidRDefault="005C7556" w:rsidP="005C7556">
      <w:pPr>
        <w:numPr>
          <w:ilvl w:val="0"/>
          <w:numId w:val="12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Support children in problem-solving conflicts.</w:t>
      </w:r>
    </w:p>
    <w:p w14:paraId="5F27BFCD" w14:textId="77777777" w:rsidR="005C7556" w:rsidRPr="005C7556" w:rsidRDefault="005C7556" w:rsidP="005C7556">
      <w:pPr>
        <w:numPr>
          <w:ilvl w:val="0"/>
          <w:numId w:val="12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Never isolate or punish children physically or emotionally.</w:t>
      </w:r>
    </w:p>
    <w:p w14:paraId="12F60786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Where necessary, physical restraint is used 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only</w:t>
      </w: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 to prevent injury or serious damage and is documented thoroughly, with parents informed the same day.</w:t>
      </w:r>
    </w:p>
    <w:p w14:paraId="038B5050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5D340548" wp14:editId="2FBB7D2A">
                <wp:extent cx="5731510" cy="1270"/>
                <wp:effectExtent l="0" t="31750" r="0" b="36830"/>
                <wp:docPr id="2516388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34EA0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294BC1F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CHILDREN UNDER 3</w:t>
      </w:r>
    </w:p>
    <w:p w14:paraId="6F01A76F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use developmentally appropriate strategies for very young children. We understand that tantrums, biting, and other behaviours may arise from:</w:t>
      </w:r>
    </w:p>
    <w:p w14:paraId="2D8133AD" w14:textId="77777777" w:rsidR="005C7556" w:rsidRPr="005C7556" w:rsidRDefault="005C7556" w:rsidP="005C7556">
      <w:pPr>
        <w:numPr>
          <w:ilvl w:val="0"/>
          <w:numId w:val="13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Separation anxiety</w:t>
      </w:r>
    </w:p>
    <w:p w14:paraId="50A85255" w14:textId="77777777" w:rsidR="005C7556" w:rsidRPr="005C7556" w:rsidRDefault="005C7556" w:rsidP="005C7556">
      <w:pPr>
        <w:numPr>
          <w:ilvl w:val="0"/>
          <w:numId w:val="13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Difficulty regulating emotions</w:t>
      </w:r>
    </w:p>
    <w:p w14:paraId="646B6297" w14:textId="77777777" w:rsidR="005C7556" w:rsidRPr="005C7556" w:rsidRDefault="005C7556" w:rsidP="005C7556">
      <w:pPr>
        <w:numPr>
          <w:ilvl w:val="0"/>
          <w:numId w:val="13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Disrupted routines</w:t>
      </w:r>
    </w:p>
    <w:p w14:paraId="06B22149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Support is provided through:</w:t>
      </w:r>
    </w:p>
    <w:p w14:paraId="7AB3AC9B" w14:textId="77777777" w:rsidR="005C7556" w:rsidRPr="005C7556" w:rsidRDefault="005C7556" w:rsidP="005C7556">
      <w:pPr>
        <w:numPr>
          <w:ilvl w:val="0"/>
          <w:numId w:val="14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lastRenderedPageBreak/>
        <w:t>Consistent attachment with a key person</w:t>
      </w:r>
    </w:p>
    <w:p w14:paraId="59F1B443" w14:textId="77777777" w:rsidR="005C7556" w:rsidRPr="005C7556" w:rsidRDefault="005C7556" w:rsidP="005C7556">
      <w:pPr>
        <w:numPr>
          <w:ilvl w:val="0"/>
          <w:numId w:val="14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Gentle, patient responses</w:t>
      </w:r>
    </w:p>
    <w:p w14:paraId="289D5538" w14:textId="77777777" w:rsidR="005C7556" w:rsidRPr="005C7556" w:rsidRDefault="005C7556" w:rsidP="005C7556">
      <w:pPr>
        <w:numPr>
          <w:ilvl w:val="0"/>
          <w:numId w:val="14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Focus on emotional support and co-regulation</w:t>
      </w:r>
    </w:p>
    <w:p w14:paraId="36DB07E2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46BD7E36" wp14:editId="6E9FC22B">
                <wp:extent cx="5731510" cy="1270"/>
                <wp:effectExtent l="0" t="31750" r="0" b="36830"/>
                <wp:docPr id="15348181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73645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BCA27F8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ROUGH-AND-TUMBLE PLAY &amp; FANTASY AGGRESSION</w:t>
      </w:r>
    </w:p>
    <w:p w14:paraId="656C17C7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recognise the value of fantasy and physical play, which may include aggressive themes. While not inherently harmful, boundaries are necessary:</w:t>
      </w:r>
    </w:p>
    <w:p w14:paraId="7ED92074" w14:textId="77777777" w:rsidR="005C7556" w:rsidRPr="005C7556" w:rsidRDefault="005C7556" w:rsidP="005C7556">
      <w:pPr>
        <w:numPr>
          <w:ilvl w:val="0"/>
          <w:numId w:val="15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engage in play to teach empathy and conflict resolution.</w:t>
      </w:r>
    </w:p>
    <w:p w14:paraId="6ABF094F" w14:textId="77777777" w:rsidR="005C7556" w:rsidRPr="005C7556" w:rsidRDefault="005C7556" w:rsidP="005C7556">
      <w:pPr>
        <w:numPr>
          <w:ilvl w:val="0"/>
          <w:numId w:val="15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set clear limits and guidelines for physical play.</w:t>
      </w:r>
    </w:p>
    <w:p w14:paraId="3DD50F9D" w14:textId="77777777" w:rsidR="005C7556" w:rsidRPr="005C7556" w:rsidRDefault="005C7556" w:rsidP="005C7556">
      <w:pPr>
        <w:numPr>
          <w:ilvl w:val="0"/>
          <w:numId w:val="15"/>
        </w:numPr>
        <w:spacing w:after="0" w:line="390" w:lineRule="atLeast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We use fantasy themes as “teachable moments” to reinforce values.</w:t>
      </w:r>
    </w:p>
    <w:p w14:paraId="31C4D3CD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eastAsia="Times New Roman" w:hAnsi="Arial" w:cs="Arial"/>
          <w:noProof/>
          <w:color w:val="000000" w:themeColor="text1"/>
          <w:kern w:val="0"/>
          <w:sz w:val="21"/>
          <w:szCs w:val="21"/>
          <w14:ligatures w14:val="none"/>
        </w:rPr>
        <mc:AlternateContent>
          <mc:Choice Requires="wps">
            <w:drawing>
              <wp:inline distT="0" distB="0" distL="0" distR="0" wp14:anchorId="01E8E2B0" wp14:editId="5E4D1F2D">
                <wp:extent cx="5731510" cy="1270"/>
                <wp:effectExtent l="0" t="31750" r="0" b="36830"/>
                <wp:docPr id="164268599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A6637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6FE2A2D" w14:textId="77777777" w:rsidR="005C7556" w:rsidRPr="005C7556" w:rsidRDefault="005C7556" w:rsidP="005C7556">
      <w:pPr>
        <w:spacing w:after="0" w:line="240" w:lineRule="atLeast"/>
        <w:textAlignment w:val="baseline"/>
        <w:outlineLvl w:val="1"/>
        <w:divId w:val="204598489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14:ligatures w14:val="none"/>
        </w:rPr>
      </w:pPr>
      <w:r w:rsidRPr="005C7556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39"/>
          <w:szCs w:val="39"/>
          <w:bdr w:val="none" w:sz="0" w:space="0" w:color="auto" w:frame="1"/>
          <w14:ligatures w14:val="none"/>
        </w:rPr>
        <w:t>MONITORING AND REVIEW</w:t>
      </w:r>
    </w:p>
    <w:p w14:paraId="3FA4DDDC" w14:textId="77777777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  <w:t>This policy is reviewed annually and updated with input from staff and parents.</w:t>
      </w:r>
    </w:p>
    <w:p w14:paraId="32E00EC6" w14:textId="69C985C2" w:rsidR="005C7556" w:rsidRPr="005C7556" w:rsidRDefault="005C7556" w:rsidP="005C7556">
      <w:pPr>
        <w:spacing w:after="0" w:line="240" w:lineRule="auto"/>
        <w:textAlignment w:val="baseline"/>
        <w:divId w:val="2045984891"/>
        <w:rPr>
          <w:rFonts w:ascii="Arial" w:hAnsi="Arial" w:cs="Arial"/>
          <w:color w:val="000000" w:themeColor="text1"/>
          <w:kern w:val="0"/>
          <w:sz w:val="21"/>
          <w:szCs w:val="21"/>
          <w14:ligatures w14:val="none"/>
        </w:rPr>
      </w:pP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policy </w:t>
      </w:r>
      <w:r w:rsidR="00600E9C"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reviewed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 by </w:t>
      </w:r>
      <w:r w:rsidR="00600E9C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H Watkins-Cave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 xml:space="preserve">– Manager – </w:t>
      </w:r>
      <w:r w:rsidR="00600E9C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01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/0</w:t>
      </w:r>
      <w:r w:rsidR="00600E9C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9</w:t>
      </w:r>
      <w:r w:rsidRPr="005C7556">
        <w:rPr>
          <w:rFonts w:ascii="Arial" w:hAnsi="Arial" w:cs="Arial"/>
          <w:b/>
          <w:bCs/>
          <w:color w:val="000000" w:themeColor="text1"/>
          <w:kern w:val="0"/>
          <w:sz w:val="21"/>
          <w:szCs w:val="21"/>
          <w:bdr w:val="none" w:sz="0" w:space="0" w:color="auto" w:frame="1"/>
          <w14:ligatures w14:val="none"/>
        </w:rPr>
        <w:t>/2025</w:t>
      </w:r>
    </w:p>
    <w:p w14:paraId="38EA6514" w14:textId="77777777" w:rsidR="005C7556" w:rsidRPr="00600E9C" w:rsidRDefault="005C7556">
      <w:pPr>
        <w:rPr>
          <w:rFonts w:ascii="Arial" w:hAnsi="Arial" w:cs="Arial"/>
          <w:color w:val="000000" w:themeColor="text1"/>
        </w:rPr>
      </w:pPr>
    </w:p>
    <w:sectPr w:rsidR="005C7556" w:rsidRPr="00600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4A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E0B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C57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C47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211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715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300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E2B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F70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D21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954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B778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D946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B22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25B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174448">
    <w:abstractNumId w:val="12"/>
  </w:num>
  <w:num w:numId="2" w16cid:durableId="2042169175">
    <w:abstractNumId w:val="1"/>
  </w:num>
  <w:num w:numId="3" w16cid:durableId="1422799742">
    <w:abstractNumId w:val="4"/>
  </w:num>
  <w:num w:numId="4" w16cid:durableId="523370720">
    <w:abstractNumId w:val="2"/>
  </w:num>
  <w:num w:numId="5" w16cid:durableId="215555682">
    <w:abstractNumId w:val="5"/>
  </w:num>
  <w:num w:numId="6" w16cid:durableId="849871946">
    <w:abstractNumId w:val="10"/>
  </w:num>
  <w:num w:numId="7" w16cid:durableId="924608953">
    <w:abstractNumId w:val="6"/>
  </w:num>
  <w:num w:numId="8" w16cid:durableId="85347355">
    <w:abstractNumId w:val="3"/>
  </w:num>
  <w:num w:numId="9" w16cid:durableId="419722649">
    <w:abstractNumId w:val="14"/>
  </w:num>
  <w:num w:numId="10" w16cid:durableId="965739808">
    <w:abstractNumId w:val="9"/>
  </w:num>
  <w:num w:numId="11" w16cid:durableId="1473281191">
    <w:abstractNumId w:val="7"/>
  </w:num>
  <w:num w:numId="12" w16cid:durableId="1120875823">
    <w:abstractNumId w:val="13"/>
  </w:num>
  <w:num w:numId="13" w16cid:durableId="740829364">
    <w:abstractNumId w:val="0"/>
  </w:num>
  <w:num w:numId="14" w16cid:durableId="1647854411">
    <w:abstractNumId w:val="8"/>
  </w:num>
  <w:num w:numId="15" w16cid:durableId="8131820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56"/>
    <w:rsid w:val="003060A6"/>
    <w:rsid w:val="00434BCC"/>
    <w:rsid w:val="00473584"/>
    <w:rsid w:val="005009BD"/>
    <w:rsid w:val="005C7556"/>
    <w:rsid w:val="00600E9C"/>
    <w:rsid w:val="00C53E74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5BFD"/>
  <w15:chartTrackingRefBased/>
  <w15:docId w15:val="{1CC421AD-9E78-1D44-AC91-65294159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7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5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5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5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5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55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C7556"/>
    <w:rPr>
      <w:b/>
      <w:bCs/>
    </w:rPr>
  </w:style>
  <w:style w:type="character" w:customStyle="1" w:styleId="apple-converted-space">
    <w:name w:val="apple-converted-space"/>
    <w:basedOn w:val="DefaultParagraphFont"/>
    <w:rsid w:val="005C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28622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2025-07-31T08:36:00Z</dcterms:created>
  <dcterms:modified xsi:type="dcterms:W3CDTF">2025-07-31T08:36:00Z</dcterms:modified>
</cp:coreProperties>
</file>