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B84" w:rsidRDefault="00824845" w:rsidP="00096B84">
      <w:pPr>
        <w:spacing w:after="0" w:line="240" w:lineRule="auto"/>
        <w:jc w:val="center"/>
        <w:rPr>
          <w:rFonts w:ascii="Times New Roman" w:hAnsi="Times New Roman" w:cs="Times New Roman"/>
          <w:b/>
          <w:sz w:val="32"/>
          <w:szCs w:val="32"/>
        </w:rPr>
      </w:pPr>
      <w:bookmarkStart w:id="0" w:name="_GoBack"/>
      <w:bookmarkEnd w:id="0"/>
      <w:r w:rsidRPr="00096B84">
        <w:rPr>
          <w:rFonts w:ascii="Times New Roman" w:hAnsi="Times New Roman" w:cs="Times New Roman"/>
          <w:b/>
          <w:sz w:val="32"/>
          <w:szCs w:val="32"/>
        </w:rPr>
        <w:t>Gender Effect on</w:t>
      </w:r>
      <w:r w:rsidR="007D13E2" w:rsidRPr="00096B84">
        <w:rPr>
          <w:rFonts w:ascii="Times New Roman" w:hAnsi="Times New Roman" w:cs="Times New Roman"/>
          <w:b/>
          <w:sz w:val="32"/>
          <w:szCs w:val="32"/>
        </w:rPr>
        <w:t xml:space="preserve"> Performance in Management Accounting </w:t>
      </w:r>
      <w:r w:rsidR="00E559DB" w:rsidRPr="00096B84">
        <w:rPr>
          <w:rFonts w:ascii="Times New Roman" w:hAnsi="Times New Roman" w:cs="Times New Roman"/>
          <w:b/>
          <w:sz w:val="32"/>
          <w:szCs w:val="32"/>
        </w:rPr>
        <w:t>Courses</w:t>
      </w:r>
    </w:p>
    <w:p w:rsidR="007D13E2" w:rsidRPr="00096B84" w:rsidRDefault="007D13E2" w:rsidP="00096B84">
      <w:pPr>
        <w:spacing w:after="0" w:line="240" w:lineRule="auto"/>
        <w:jc w:val="center"/>
        <w:rPr>
          <w:rFonts w:ascii="Times New Roman" w:hAnsi="Times New Roman" w:cs="Times New Roman"/>
          <w:b/>
          <w:sz w:val="32"/>
          <w:szCs w:val="32"/>
        </w:rPr>
      </w:pPr>
      <w:r>
        <w:rPr>
          <w:rFonts w:ascii="Times New Roman" w:hAnsi="Times New Roman" w:cs="Times New Roman"/>
          <w:sz w:val="20"/>
          <w:szCs w:val="20"/>
        </w:rPr>
        <w:t>William H. Lloyd, DBA, MBA, CPA, CGMA</w:t>
      </w:r>
    </w:p>
    <w:p w:rsidR="007D13E2" w:rsidRDefault="007D13E2" w:rsidP="00096B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Lock Haven University</w:t>
      </w:r>
    </w:p>
    <w:p w:rsidR="007D13E2" w:rsidRDefault="007D13E2" w:rsidP="00096B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United States</w:t>
      </w:r>
    </w:p>
    <w:p w:rsidR="00824845" w:rsidRDefault="00005123" w:rsidP="00096B84">
      <w:pPr>
        <w:spacing w:after="0" w:line="240" w:lineRule="auto"/>
        <w:jc w:val="center"/>
        <w:rPr>
          <w:rFonts w:ascii="Times New Roman" w:hAnsi="Times New Roman" w:cs="Times New Roman"/>
          <w:sz w:val="20"/>
          <w:szCs w:val="20"/>
        </w:rPr>
      </w:pPr>
      <w:hyperlink r:id="rId8" w:history="1">
        <w:r w:rsidR="00096B84" w:rsidRPr="00B66FED">
          <w:rPr>
            <w:rStyle w:val="Hyperlink"/>
            <w:rFonts w:ascii="Times New Roman" w:hAnsi="Times New Roman" w:cs="Times New Roman"/>
            <w:sz w:val="20"/>
            <w:szCs w:val="20"/>
          </w:rPr>
          <w:t>wlloyd@lockhaven.edu</w:t>
        </w:r>
      </w:hyperlink>
    </w:p>
    <w:p w:rsidR="00096B84" w:rsidRDefault="00096B84" w:rsidP="00096B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570-484-2273</w:t>
      </w:r>
    </w:p>
    <w:p w:rsidR="00096B84" w:rsidRDefault="00096B84" w:rsidP="00096B84">
      <w:pPr>
        <w:spacing w:after="0" w:line="240" w:lineRule="auto"/>
        <w:jc w:val="center"/>
        <w:rPr>
          <w:rFonts w:ascii="Times New Roman" w:hAnsi="Times New Roman" w:cs="Times New Roman"/>
          <w:sz w:val="20"/>
          <w:szCs w:val="20"/>
        </w:rPr>
      </w:pPr>
    </w:p>
    <w:p w:rsidR="00096B84" w:rsidRDefault="00096B84" w:rsidP="00096B84">
      <w:pPr>
        <w:spacing w:after="0" w:line="240" w:lineRule="auto"/>
        <w:jc w:val="center"/>
        <w:rPr>
          <w:rFonts w:ascii="Times New Roman" w:hAnsi="Times New Roman" w:cs="Times New Roman"/>
          <w:sz w:val="20"/>
          <w:szCs w:val="20"/>
        </w:rPr>
      </w:pPr>
    </w:p>
    <w:p w:rsidR="00824845" w:rsidRDefault="00096B84" w:rsidP="00096B84">
      <w:pPr>
        <w:spacing w:after="0" w:line="240" w:lineRule="auto"/>
        <w:jc w:val="center"/>
        <w:rPr>
          <w:rFonts w:ascii="Times New Roman" w:hAnsi="Times New Roman" w:cs="Times New Roman"/>
          <w:b/>
          <w:sz w:val="20"/>
          <w:szCs w:val="20"/>
        </w:rPr>
      </w:pPr>
      <w:r w:rsidRPr="00096B84">
        <w:rPr>
          <w:rFonts w:ascii="Times New Roman" w:hAnsi="Times New Roman" w:cs="Times New Roman"/>
          <w:b/>
          <w:sz w:val="20"/>
          <w:szCs w:val="20"/>
        </w:rPr>
        <w:t>ABSTRACT</w:t>
      </w:r>
    </w:p>
    <w:p w:rsidR="000936D5" w:rsidRDefault="000936D5" w:rsidP="00B47993">
      <w:pPr>
        <w:spacing w:after="0" w:line="240" w:lineRule="auto"/>
        <w:rPr>
          <w:rFonts w:ascii="Times New Roman" w:hAnsi="Times New Roman" w:cs="Times New Roman"/>
          <w:b/>
          <w:sz w:val="20"/>
          <w:szCs w:val="20"/>
        </w:rPr>
      </w:pPr>
    </w:p>
    <w:p w:rsidR="00B47993" w:rsidRPr="00B47993" w:rsidRDefault="00B47993" w:rsidP="00B47993">
      <w:pPr>
        <w:spacing w:after="0" w:line="240" w:lineRule="auto"/>
        <w:rPr>
          <w:rFonts w:ascii="Times New Roman" w:hAnsi="Times New Roman" w:cs="Times New Roman"/>
          <w:sz w:val="20"/>
          <w:szCs w:val="20"/>
        </w:rPr>
      </w:pPr>
      <w:r>
        <w:rPr>
          <w:rFonts w:ascii="Times New Roman" w:hAnsi="Times New Roman" w:cs="Times New Roman"/>
          <w:b/>
          <w:sz w:val="20"/>
          <w:szCs w:val="20"/>
        </w:rPr>
        <w:tab/>
      </w:r>
      <w:r w:rsidRPr="00B47993">
        <w:rPr>
          <w:rFonts w:ascii="Times New Roman" w:hAnsi="Times New Roman" w:cs="Times New Roman"/>
          <w:sz w:val="20"/>
          <w:szCs w:val="20"/>
        </w:rPr>
        <w:t xml:space="preserve">Significant </w:t>
      </w:r>
      <w:r>
        <w:rPr>
          <w:rFonts w:ascii="Times New Roman" w:hAnsi="Times New Roman" w:cs="Times New Roman"/>
          <w:sz w:val="20"/>
          <w:szCs w:val="20"/>
        </w:rPr>
        <w:t xml:space="preserve">research has been done on the differences between male and female academic performance. This study looks at the gender effect in management accounting courses. The was a five year study involving 531 students. Of these 531 students, 210 were female and 321 were male. The GPA for each student was calculated and the population divided into two groups; male and female. The average GPA for females was 3.11 and for males was 2.83. Utilizing an independent t-test, there was a statistically significant difference between males and females indicating that a gender effect does exist in management accounting </w:t>
      </w:r>
      <w:r w:rsidR="00C43E16">
        <w:rPr>
          <w:rFonts w:ascii="Times New Roman" w:hAnsi="Times New Roman" w:cs="Times New Roman"/>
          <w:sz w:val="20"/>
          <w:szCs w:val="20"/>
        </w:rPr>
        <w:t>courses.</w:t>
      </w:r>
    </w:p>
    <w:p w:rsidR="00824845" w:rsidRDefault="00824845" w:rsidP="00824845">
      <w:pPr>
        <w:rPr>
          <w:rFonts w:ascii="Times New Roman" w:hAnsi="Times New Roman" w:cs="Times New Roman"/>
          <w:sz w:val="20"/>
          <w:szCs w:val="20"/>
        </w:rPr>
      </w:pPr>
    </w:p>
    <w:p w:rsidR="00824845" w:rsidRDefault="00824845" w:rsidP="000936D5">
      <w:pPr>
        <w:jc w:val="both"/>
        <w:rPr>
          <w:rFonts w:ascii="Times New Roman" w:hAnsi="Times New Roman" w:cs="Times New Roman"/>
          <w:sz w:val="20"/>
          <w:szCs w:val="20"/>
        </w:rPr>
      </w:pPr>
      <w:r>
        <w:rPr>
          <w:rFonts w:ascii="Times New Roman" w:hAnsi="Times New Roman" w:cs="Times New Roman"/>
          <w:sz w:val="20"/>
          <w:szCs w:val="20"/>
        </w:rPr>
        <w:br w:type="page"/>
      </w:r>
    </w:p>
    <w:p w:rsidR="007D13E2" w:rsidRPr="00096B84" w:rsidRDefault="00824845" w:rsidP="00824845">
      <w:pPr>
        <w:jc w:val="both"/>
        <w:rPr>
          <w:rFonts w:ascii="Times New Roman" w:hAnsi="Times New Roman" w:cs="Times New Roman"/>
          <w:b/>
          <w:caps/>
          <w:sz w:val="20"/>
          <w:szCs w:val="20"/>
        </w:rPr>
      </w:pPr>
      <w:r w:rsidRPr="00096B84">
        <w:rPr>
          <w:rFonts w:ascii="Times New Roman" w:hAnsi="Times New Roman" w:cs="Times New Roman"/>
          <w:b/>
          <w:caps/>
          <w:sz w:val="20"/>
          <w:szCs w:val="20"/>
        </w:rPr>
        <w:lastRenderedPageBreak/>
        <w:t>Introduction</w:t>
      </w:r>
    </w:p>
    <w:p w:rsidR="00384EBF" w:rsidRDefault="00384EBF" w:rsidP="00096B84">
      <w:pPr>
        <w:ind w:firstLine="720"/>
        <w:jc w:val="both"/>
        <w:rPr>
          <w:rFonts w:ascii="Times New Roman" w:hAnsi="Times New Roman" w:cs="Times New Roman"/>
          <w:sz w:val="20"/>
          <w:szCs w:val="20"/>
        </w:rPr>
      </w:pPr>
      <w:r>
        <w:rPr>
          <w:rFonts w:ascii="Times New Roman" w:hAnsi="Times New Roman" w:cs="Times New Roman"/>
          <w:sz w:val="20"/>
          <w:szCs w:val="20"/>
        </w:rPr>
        <w:t>Significant research has been done on the differences between male and female academic performance. Commonly referred to</w:t>
      </w:r>
      <w:r w:rsidR="008A4C10">
        <w:rPr>
          <w:rFonts w:ascii="Times New Roman" w:hAnsi="Times New Roman" w:cs="Times New Roman"/>
          <w:sz w:val="20"/>
          <w:szCs w:val="20"/>
        </w:rPr>
        <w:t xml:space="preserve"> as</w:t>
      </w:r>
      <w:r>
        <w:rPr>
          <w:rFonts w:ascii="Times New Roman" w:hAnsi="Times New Roman" w:cs="Times New Roman"/>
          <w:sz w:val="20"/>
          <w:szCs w:val="20"/>
        </w:rPr>
        <w:t xml:space="preserve"> the Gender Gap in academics</w:t>
      </w:r>
      <w:r w:rsidR="00EE301D">
        <w:rPr>
          <w:rFonts w:ascii="Times New Roman" w:hAnsi="Times New Roman" w:cs="Times New Roman"/>
          <w:sz w:val="20"/>
          <w:szCs w:val="20"/>
        </w:rPr>
        <w:t xml:space="preserve">; </w:t>
      </w:r>
      <w:r>
        <w:rPr>
          <w:rFonts w:ascii="Times New Roman" w:hAnsi="Times New Roman" w:cs="Times New Roman"/>
          <w:sz w:val="20"/>
          <w:szCs w:val="20"/>
        </w:rPr>
        <w:t xml:space="preserve">the findings of this research are mixed. </w:t>
      </w:r>
      <w:r w:rsidR="00EE301D">
        <w:rPr>
          <w:rFonts w:ascii="Times New Roman" w:hAnsi="Times New Roman" w:cs="Times New Roman"/>
          <w:sz w:val="20"/>
          <w:szCs w:val="20"/>
        </w:rPr>
        <w:t>N</w:t>
      </w:r>
      <w:r w:rsidR="00D961A3">
        <w:rPr>
          <w:rFonts w:ascii="Times New Roman" w:hAnsi="Times New Roman" w:cs="Times New Roman"/>
          <w:sz w:val="20"/>
          <w:szCs w:val="20"/>
        </w:rPr>
        <w:t xml:space="preserve">o dominant situation </w:t>
      </w:r>
      <w:r w:rsidR="00EE301D">
        <w:rPr>
          <w:rFonts w:ascii="Times New Roman" w:hAnsi="Times New Roman" w:cs="Times New Roman"/>
          <w:sz w:val="20"/>
          <w:szCs w:val="20"/>
        </w:rPr>
        <w:t xml:space="preserve">exists </w:t>
      </w:r>
      <w:r w:rsidR="00D961A3">
        <w:rPr>
          <w:rFonts w:ascii="Times New Roman" w:hAnsi="Times New Roman" w:cs="Times New Roman"/>
          <w:sz w:val="20"/>
          <w:szCs w:val="20"/>
        </w:rPr>
        <w:t>where one gender excels academically over another. “The average performance difference across all subjects is essentially zero.” (Cole, 1997, p. 1). Prior studies of gender and performance resulted in contradictory results. (</w:t>
      </w:r>
      <w:proofErr w:type="spellStart"/>
      <w:r w:rsidR="00D961A3">
        <w:rPr>
          <w:rFonts w:ascii="Times New Roman" w:hAnsi="Times New Roman" w:cs="Times New Roman"/>
          <w:sz w:val="20"/>
          <w:szCs w:val="20"/>
        </w:rPr>
        <w:t>Fallan</w:t>
      </w:r>
      <w:proofErr w:type="spellEnd"/>
      <w:r w:rsidR="00D961A3">
        <w:rPr>
          <w:rFonts w:ascii="Times New Roman" w:hAnsi="Times New Roman" w:cs="Times New Roman"/>
          <w:sz w:val="20"/>
          <w:szCs w:val="20"/>
        </w:rPr>
        <w:t xml:space="preserve"> </w:t>
      </w:r>
      <w:r w:rsidR="00EE301D">
        <w:rPr>
          <w:rFonts w:ascii="Times New Roman" w:hAnsi="Times New Roman" w:cs="Times New Roman"/>
          <w:sz w:val="20"/>
          <w:szCs w:val="20"/>
        </w:rPr>
        <w:t xml:space="preserve">&amp; </w:t>
      </w:r>
      <w:proofErr w:type="spellStart"/>
      <w:r w:rsidR="00D961A3">
        <w:rPr>
          <w:rFonts w:ascii="Times New Roman" w:hAnsi="Times New Roman" w:cs="Times New Roman"/>
          <w:sz w:val="20"/>
          <w:szCs w:val="20"/>
        </w:rPr>
        <w:t>Opstad</w:t>
      </w:r>
      <w:proofErr w:type="spellEnd"/>
      <w:r w:rsidR="00EE301D">
        <w:rPr>
          <w:rFonts w:ascii="Times New Roman" w:hAnsi="Times New Roman" w:cs="Times New Roman"/>
          <w:sz w:val="20"/>
          <w:szCs w:val="20"/>
        </w:rPr>
        <w:t>, 2014</w:t>
      </w:r>
      <w:r w:rsidR="00D961A3">
        <w:rPr>
          <w:rFonts w:ascii="Times New Roman" w:hAnsi="Times New Roman" w:cs="Times New Roman"/>
          <w:sz w:val="20"/>
          <w:szCs w:val="20"/>
        </w:rPr>
        <w:t>).</w:t>
      </w:r>
      <w:r w:rsidR="00BD18D5">
        <w:rPr>
          <w:rFonts w:ascii="Times New Roman" w:hAnsi="Times New Roman" w:cs="Times New Roman"/>
          <w:sz w:val="20"/>
          <w:szCs w:val="20"/>
        </w:rPr>
        <w:t xml:space="preserve"> However, several studies have found sharp differences in academic performance favoring girls over boys. (Cole, 1997; Duckworth </w:t>
      </w:r>
      <w:r w:rsidR="005D5426">
        <w:rPr>
          <w:rFonts w:ascii="Times New Roman" w:hAnsi="Times New Roman" w:cs="Times New Roman"/>
          <w:sz w:val="20"/>
          <w:szCs w:val="20"/>
        </w:rPr>
        <w:t xml:space="preserve">&amp; </w:t>
      </w:r>
      <w:r w:rsidR="00BD18D5">
        <w:rPr>
          <w:rFonts w:ascii="Times New Roman" w:hAnsi="Times New Roman" w:cs="Times New Roman"/>
          <w:sz w:val="20"/>
          <w:szCs w:val="20"/>
        </w:rPr>
        <w:t>Seligman, 2006).</w:t>
      </w:r>
      <w:r w:rsidR="0007121C">
        <w:rPr>
          <w:rFonts w:ascii="Times New Roman" w:hAnsi="Times New Roman" w:cs="Times New Roman"/>
          <w:sz w:val="20"/>
          <w:szCs w:val="20"/>
        </w:rPr>
        <w:t xml:space="preserve"> </w:t>
      </w:r>
      <w:r w:rsidR="008A4C10">
        <w:rPr>
          <w:rFonts w:ascii="Times New Roman" w:hAnsi="Times New Roman" w:cs="Times New Roman"/>
          <w:sz w:val="20"/>
          <w:szCs w:val="20"/>
        </w:rPr>
        <w:t xml:space="preserve">Boys and girls do differ in academic performance in ways that are like conventional gender stereotypes. The differences primarily relate </w:t>
      </w:r>
      <w:r w:rsidR="005D5426">
        <w:rPr>
          <w:rFonts w:ascii="Times New Roman" w:hAnsi="Times New Roman" w:cs="Times New Roman"/>
          <w:sz w:val="20"/>
          <w:szCs w:val="20"/>
        </w:rPr>
        <w:t>to</w:t>
      </w:r>
      <w:r w:rsidR="008A4C10">
        <w:rPr>
          <w:rFonts w:ascii="Times New Roman" w:hAnsi="Times New Roman" w:cs="Times New Roman"/>
          <w:sz w:val="20"/>
          <w:szCs w:val="20"/>
        </w:rPr>
        <w:t xml:space="preserve"> physical behaviors, styles of social interaction, academic motivations,</w:t>
      </w:r>
      <w:r w:rsidR="000436FB">
        <w:rPr>
          <w:rFonts w:ascii="Times New Roman" w:hAnsi="Times New Roman" w:cs="Times New Roman"/>
          <w:sz w:val="20"/>
          <w:szCs w:val="20"/>
        </w:rPr>
        <w:t xml:space="preserve"> </w:t>
      </w:r>
      <w:r w:rsidR="008A4C10">
        <w:rPr>
          <w:rFonts w:ascii="Times New Roman" w:hAnsi="Times New Roman" w:cs="Times New Roman"/>
          <w:sz w:val="20"/>
          <w:szCs w:val="20"/>
        </w:rPr>
        <w:t>behaviors and choices (Educational Psychology</w:t>
      </w:r>
      <w:r w:rsidR="005D5426">
        <w:rPr>
          <w:rFonts w:ascii="Times New Roman" w:hAnsi="Times New Roman" w:cs="Times New Roman"/>
          <w:sz w:val="20"/>
          <w:szCs w:val="20"/>
        </w:rPr>
        <w:t xml:space="preserve">, </w:t>
      </w:r>
      <w:proofErr w:type="spellStart"/>
      <w:r w:rsidR="005D5426">
        <w:rPr>
          <w:rFonts w:ascii="Times New Roman" w:hAnsi="Times New Roman" w:cs="Times New Roman"/>
          <w:sz w:val="20"/>
          <w:szCs w:val="20"/>
        </w:rPr>
        <w:t>n.d</w:t>
      </w:r>
      <w:proofErr w:type="spellEnd"/>
      <w:r w:rsidR="001F11BE">
        <w:rPr>
          <w:rFonts w:ascii="Times New Roman" w:hAnsi="Times New Roman" w:cs="Times New Roman"/>
          <w:sz w:val="20"/>
          <w:szCs w:val="20"/>
        </w:rPr>
        <w:t xml:space="preserve">). Girls are more motivated than boys to do </w:t>
      </w:r>
      <w:r w:rsidR="000436FB">
        <w:rPr>
          <w:rFonts w:ascii="Times New Roman" w:hAnsi="Times New Roman" w:cs="Times New Roman"/>
          <w:sz w:val="20"/>
          <w:szCs w:val="20"/>
        </w:rPr>
        <w:t>well</w:t>
      </w:r>
      <w:r w:rsidR="001F11BE">
        <w:rPr>
          <w:rFonts w:ascii="Times New Roman" w:hAnsi="Times New Roman" w:cs="Times New Roman"/>
          <w:sz w:val="20"/>
          <w:szCs w:val="20"/>
        </w:rPr>
        <w:t xml:space="preserve"> in school</w:t>
      </w:r>
      <w:r w:rsidR="000436FB">
        <w:rPr>
          <w:rFonts w:ascii="Times New Roman" w:hAnsi="Times New Roman" w:cs="Times New Roman"/>
          <w:sz w:val="20"/>
          <w:szCs w:val="20"/>
        </w:rPr>
        <w:t>,</w:t>
      </w:r>
      <w:r w:rsidR="001F11BE">
        <w:rPr>
          <w:rFonts w:ascii="Times New Roman" w:hAnsi="Times New Roman" w:cs="Times New Roman"/>
          <w:sz w:val="20"/>
          <w:szCs w:val="20"/>
        </w:rPr>
        <w:t xml:space="preserve"> at least in elementary</w:t>
      </w:r>
      <w:r w:rsidR="00C43E16">
        <w:rPr>
          <w:rFonts w:ascii="Times New Roman" w:hAnsi="Times New Roman" w:cs="Times New Roman"/>
          <w:sz w:val="20"/>
          <w:szCs w:val="20"/>
        </w:rPr>
        <w:t xml:space="preserve"> grades</w:t>
      </w:r>
      <w:r w:rsidR="001F11BE">
        <w:rPr>
          <w:rFonts w:ascii="Times New Roman" w:hAnsi="Times New Roman" w:cs="Times New Roman"/>
          <w:sz w:val="20"/>
          <w:szCs w:val="20"/>
        </w:rPr>
        <w:t xml:space="preserve"> (Educational Psychology</w:t>
      </w:r>
      <w:r w:rsidR="005D5426">
        <w:rPr>
          <w:rFonts w:ascii="Times New Roman" w:hAnsi="Times New Roman" w:cs="Times New Roman"/>
          <w:sz w:val="20"/>
          <w:szCs w:val="20"/>
        </w:rPr>
        <w:t xml:space="preserve">, </w:t>
      </w:r>
      <w:proofErr w:type="spellStart"/>
      <w:r w:rsidR="005D5426">
        <w:rPr>
          <w:rFonts w:ascii="Times New Roman" w:hAnsi="Times New Roman" w:cs="Times New Roman"/>
          <w:sz w:val="20"/>
          <w:szCs w:val="20"/>
        </w:rPr>
        <w:t>n.d</w:t>
      </w:r>
      <w:proofErr w:type="spellEnd"/>
      <w:r w:rsidR="001F11BE">
        <w:rPr>
          <w:rFonts w:ascii="Times New Roman" w:hAnsi="Times New Roman" w:cs="Times New Roman"/>
          <w:sz w:val="20"/>
          <w:szCs w:val="20"/>
        </w:rPr>
        <w:t>). Once girl’s reach high school they tend to downplay their scholastic ability to be more likeable (Davies, 2005). However, this does not affect their grades</w:t>
      </w:r>
      <w:r w:rsidR="005D5426">
        <w:rPr>
          <w:rFonts w:ascii="Times New Roman" w:hAnsi="Times New Roman" w:cs="Times New Roman"/>
          <w:sz w:val="20"/>
          <w:szCs w:val="20"/>
        </w:rPr>
        <w:t>;</w:t>
      </w:r>
      <w:r w:rsidR="001F11BE">
        <w:rPr>
          <w:rFonts w:ascii="Times New Roman" w:hAnsi="Times New Roman" w:cs="Times New Roman"/>
          <w:sz w:val="20"/>
          <w:szCs w:val="20"/>
        </w:rPr>
        <w:t xml:space="preserve"> from kindergarten through 12</w:t>
      </w:r>
      <w:r w:rsidR="001F11BE" w:rsidRPr="001F11BE">
        <w:rPr>
          <w:rFonts w:ascii="Times New Roman" w:hAnsi="Times New Roman" w:cs="Times New Roman"/>
          <w:sz w:val="20"/>
          <w:szCs w:val="20"/>
          <w:vertAlign w:val="superscript"/>
        </w:rPr>
        <w:t>th</w:t>
      </w:r>
      <w:r w:rsidR="001F11BE">
        <w:rPr>
          <w:rFonts w:ascii="Times New Roman" w:hAnsi="Times New Roman" w:cs="Times New Roman"/>
          <w:sz w:val="20"/>
          <w:szCs w:val="20"/>
        </w:rPr>
        <w:t xml:space="preserve"> grade girls receive higher average grades than boys. (Freeman, 2004).</w:t>
      </w:r>
      <w:r w:rsidR="00BD18D5">
        <w:rPr>
          <w:rFonts w:ascii="Times New Roman" w:hAnsi="Times New Roman" w:cs="Times New Roman"/>
          <w:sz w:val="20"/>
          <w:szCs w:val="20"/>
        </w:rPr>
        <w:t xml:space="preserve"> </w:t>
      </w:r>
      <w:r w:rsidR="005D5426">
        <w:rPr>
          <w:rFonts w:ascii="Times New Roman" w:hAnsi="Times New Roman" w:cs="Times New Roman"/>
          <w:sz w:val="20"/>
          <w:szCs w:val="20"/>
        </w:rPr>
        <w:t>T</w:t>
      </w:r>
      <w:r w:rsidR="00BD18D5">
        <w:rPr>
          <w:rFonts w:ascii="Times New Roman" w:hAnsi="Times New Roman" w:cs="Times New Roman"/>
          <w:sz w:val="20"/>
          <w:szCs w:val="20"/>
        </w:rPr>
        <w:t xml:space="preserve">hese inconsistent results </w:t>
      </w:r>
      <w:r w:rsidR="005D5426">
        <w:rPr>
          <w:rFonts w:ascii="Times New Roman" w:hAnsi="Times New Roman" w:cs="Times New Roman"/>
          <w:sz w:val="20"/>
          <w:szCs w:val="20"/>
        </w:rPr>
        <w:t>support</w:t>
      </w:r>
      <w:r w:rsidR="00BD18D5">
        <w:rPr>
          <w:rFonts w:ascii="Times New Roman" w:hAnsi="Times New Roman" w:cs="Times New Roman"/>
          <w:sz w:val="20"/>
          <w:szCs w:val="20"/>
        </w:rPr>
        <w:t xml:space="preserve"> a need to study the gender effect on academic performance</w:t>
      </w:r>
      <w:r w:rsidR="006133E1">
        <w:rPr>
          <w:rFonts w:ascii="Times New Roman" w:hAnsi="Times New Roman" w:cs="Times New Roman"/>
          <w:sz w:val="20"/>
          <w:szCs w:val="20"/>
        </w:rPr>
        <w:t xml:space="preserve"> further. In addition, the specific gender impact in management accounting classes will be researched.</w:t>
      </w:r>
    </w:p>
    <w:p w:rsidR="006133E1" w:rsidRPr="00096B84" w:rsidRDefault="006133E1" w:rsidP="00824845">
      <w:pPr>
        <w:jc w:val="both"/>
        <w:rPr>
          <w:rFonts w:ascii="Times New Roman" w:hAnsi="Times New Roman" w:cs="Times New Roman"/>
          <w:b/>
          <w:caps/>
          <w:sz w:val="20"/>
          <w:szCs w:val="20"/>
        </w:rPr>
      </w:pPr>
      <w:r w:rsidRPr="00096B84">
        <w:rPr>
          <w:rFonts w:ascii="Times New Roman" w:hAnsi="Times New Roman" w:cs="Times New Roman"/>
          <w:b/>
          <w:caps/>
          <w:sz w:val="20"/>
          <w:szCs w:val="20"/>
        </w:rPr>
        <w:t>Purpose of Study</w:t>
      </w:r>
    </w:p>
    <w:p w:rsidR="006133E1" w:rsidRDefault="008A4C10" w:rsidP="00096B84">
      <w:pPr>
        <w:ind w:firstLine="720"/>
        <w:jc w:val="both"/>
        <w:rPr>
          <w:rFonts w:ascii="Times New Roman" w:hAnsi="Times New Roman" w:cs="Times New Roman"/>
          <w:sz w:val="20"/>
          <w:szCs w:val="20"/>
        </w:rPr>
      </w:pPr>
      <w:r>
        <w:rPr>
          <w:rFonts w:ascii="Times New Roman" w:hAnsi="Times New Roman" w:cs="Times New Roman"/>
          <w:sz w:val="20"/>
          <w:szCs w:val="20"/>
        </w:rPr>
        <w:t>The purpose of this study is to examine the effect of gender on the performance of students in management accounting courses.</w:t>
      </w:r>
    </w:p>
    <w:p w:rsidR="008A4C10" w:rsidRPr="00096B84" w:rsidRDefault="008A4C10" w:rsidP="00824845">
      <w:pPr>
        <w:jc w:val="both"/>
        <w:rPr>
          <w:rFonts w:ascii="Times New Roman" w:hAnsi="Times New Roman" w:cs="Times New Roman"/>
          <w:b/>
          <w:caps/>
          <w:sz w:val="20"/>
          <w:szCs w:val="20"/>
        </w:rPr>
      </w:pPr>
      <w:r w:rsidRPr="00096B84">
        <w:rPr>
          <w:rFonts w:ascii="Times New Roman" w:hAnsi="Times New Roman" w:cs="Times New Roman"/>
          <w:b/>
          <w:caps/>
          <w:sz w:val="20"/>
          <w:szCs w:val="20"/>
        </w:rPr>
        <w:t>Literature Review</w:t>
      </w:r>
    </w:p>
    <w:p w:rsidR="007D7CE0" w:rsidRDefault="007D7CE0" w:rsidP="00096B84">
      <w:pPr>
        <w:ind w:firstLine="720"/>
        <w:jc w:val="both"/>
        <w:rPr>
          <w:rFonts w:ascii="Times New Roman" w:hAnsi="Times New Roman" w:cs="Times New Roman"/>
          <w:sz w:val="20"/>
          <w:szCs w:val="20"/>
        </w:rPr>
      </w:pPr>
      <w:r>
        <w:rPr>
          <w:rFonts w:ascii="Times New Roman" w:hAnsi="Times New Roman" w:cs="Times New Roman"/>
          <w:sz w:val="20"/>
          <w:szCs w:val="20"/>
        </w:rPr>
        <w:t xml:space="preserve">Prior research dealing with the gender effect in accounting classes indicates that female undergraduate accounting majors </w:t>
      </w:r>
      <w:r w:rsidR="005D5426">
        <w:rPr>
          <w:rFonts w:ascii="Times New Roman" w:hAnsi="Times New Roman" w:cs="Times New Roman"/>
          <w:sz w:val="20"/>
          <w:szCs w:val="20"/>
        </w:rPr>
        <w:t xml:space="preserve">earn </w:t>
      </w:r>
      <w:r>
        <w:rPr>
          <w:rFonts w:ascii="Times New Roman" w:hAnsi="Times New Roman" w:cs="Times New Roman"/>
          <w:sz w:val="20"/>
          <w:szCs w:val="20"/>
        </w:rPr>
        <w:t xml:space="preserve">higher grade point averages than men (Pillsbury, Capozzoli, </w:t>
      </w:r>
      <w:r w:rsidR="005D5426">
        <w:rPr>
          <w:rFonts w:ascii="Times New Roman" w:hAnsi="Times New Roman" w:cs="Times New Roman"/>
          <w:sz w:val="20"/>
          <w:szCs w:val="20"/>
        </w:rPr>
        <w:t xml:space="preserve">&amp; </w:t>
      </w:r>
      <w:r>
        <w:rPr>
          <w:rFonts w:ascii="Times New Roman" w:hAnsi="Times New Roman" w:cs="Times New Roman"/>
          <w:sz w:val="20"/>
          <w:szCs w:val="20"/>
        </w:rPr>
        <w:t>Ciampa, 1989). Yet, other research indicates that gender is not an important factor in predicting academic success (</w:t>
      </w:r>
      <w:proofErr w:type="spellStart"/>
      <w:r>
        <w:rPr>
          <w:rFonts w:ascii="Times New Roman" w:hAnsi="Times New Roman" w:cs="Times New Roman"/>
          <w:sz w:val="20"/>
          <w:szCs w:val="20"/>
        </w:rPr>
        <w:t>Seow</w:t>
      </w:r>
      <w:proofErr w:type="spellEnd"/>
      <w:r>
        <w:rPr>
          <w:rFonts w:ascii="Times New Roman" w:hAnsi="Times New Roman" w:cs="Times New Roman"/>
          <w:sz w:val="20"/>
          <w:szCs w:val="20"/>
        </w:rPr>
        <w:t xml:space="preserve">, Pan, </w:t>
      </w:r>
      <w:r w:rsidR="005D5426">
        <w:rPr>
          <w:rFonts w:ascii="Times New Roman" w:hAnsi="Times New Roman" w:cs="Times New Roman"/>
          <w:sz w:val="20"/>
          <w:szCs w:val="20"/>
        </w:rPr>
        <w:t xml:space="preserve">&amp; </w:t>
      </w:r>
      <w:r>
        <w:rPr>
          <w:rFonts w:ascii="Times New Roman" w:hAnsi="Times New Roman" w:cs="Times New Roman"/>
          <w:sz w:val="20"/>
          <w:szCs w:val="20"/>
        </w:rPr>
        <w:t>Tay, 2014).</w:t>
      </w:r>
      <w:r w:rsidR="00DC0A1E">
        <w:rPr>
          <w:rFonts w:ascii="Times New Roman" w:hAnsi="Times New Roman" w:cs="Times New Roman"/>
          <w:sz w:val="20"/>
          <w:szCs w:val="20"/>
        </w:rPr>
        <w:t xml:space="preserve"> Female students in introductory accounting and auditing</w:t>
      </w:r>
      <w:r w:rsidR="005D5426">
        <w:rPr>
          <w:rFonts w:ascii="Times New Roman" w:hAnsi="Times New Roman" w:cs="Times New Roman"/>
          <w:sz w:val="20"/>
          <w:szCs w:val="20"/>
        </w:rPr>
        <w:t xml:space="preserve"> classes</w:t>
      </w:r>
      <w:r w:rsidR="00DC0A1E">
        <w:rPr>
          <w:rFonts w:ascii="Times New Roman" w:hAnsi="Times New Roman" w:cs="Times New Roman"/>
          <w:sz w:val="20"/>
          <w:szCs w:val="20"/>
        </w:rPr>
        <w:t xml:space="preserve"> outperformed their male counterparts, but no other gender differences were identified. (</w:t>
      </w:r>
      <w:proofErr w:type="spellStart"/>
      <w:r w:rsidR="00DC0A1E">
        <w:rPr>
          <w:rFonts w:ascii="Times New Roman" w:hAnsi="Times New Roman" w:cs="Times New Roman"/>
          <w:sz w:val="20"/>
          <w:szCs w:val="20"/>
        </w:rPr>
        <w:t>Gammie</w:t>
      </w:r>
      <w:proofErr w:type="spellEnd"/>
      <w:r w:rsidR="00DC0A1E">
        <w:rPr>
          <w:rFonts w:ascii="Times New Roman" w:hAnsi="Times New Roman" w:cs="Times New Roman"/>
          <w:sz w:val="20"/>
          <w:szCs w:val="20"/>
        </w:rPr>
        <w:t xml:space="preserve">, Paver, </w:t>
      </w:r>
      <w:proofErr w:type="spellStart"/>
      <w:r w:rsidR="00DC0A1E">
        <w:rPr>
          <w:rFonts w:ascii="Times New Roman" w:hAnsi="Times New Roman" w:cs="Times New Roman"/>
          <w:sz w:val="20"/>
          <w:szCs w:val="20"/>
        </w:rPr>
        <w:t>Gammie</w:t>
      </w:r>
      <w:proofErr w:type="spellEnd"/>
      <w:r w:rsidR="00DC0A1E">
        <w:rPr>
          <w:rFonts w:ascii="Times New Roman" w:hAnsi="Times New Roman" w:cs="Times New Roman"/>
          <w:sz w:val="20"/>
          <w:szCs w:val="20"/>
        </w:rPr>
        <w:t>, &amp; Duncan</w:t>
      </w:r>
      <w:r w:rsidR="00A538CE">
        <w:rPr>
          <w:rFonts w:ascii="Times New Roman" w:hAnsi="Times New Roman" w:cs="Times New Roman"/>
          <w:sz w:val="20"/>
          <w:szCs w:val="20"/>
        </w:rPr>
        <w:t>, 2003).</w:t>
      </w:r>
      <w:r w:rsidR="00154BCC">
        <w:rPr>
          <w:rFonts w:ascii="Times New Roman" w:hAnsi="Times New Roman" w:cs="Times New Roman"/>
          <w:sz w:val="20"/>
          <w:szCs w:val="20"/>
        </w:rPr>
        <w:t xml:space="preserve"> Men outperformed women when given a mathematical problem in management accounting. Presentation of the information </w:t>
      </w:r>
      <w:r w:rsidR="003744BF">
        <w:rPr>
          <w:rFonts w:ascii="Times New Roman" w:hAnsi="Times New Roman" w:cs="Times New Roman"/>
          <w:sz w:val="20"/>
          <w:szCs w:val="20"/>
        </w:rPr>
        <w:t xml:space="preserve">in tabular verses graphical format </w:t>
      </w:r>
      <w:r w:rsidR="00154BCC">
        <w:rPr>
          <w:rFonts w:ascii="Times New Roman" w:hAnsi="Times New Roman" w:cs="Times New Roman"/>
          <w:sz w:val="20"/>
          <w:szCs w:val="20"/>
        </w:rPr>
        <w:t xml:space="preserve">was also a factor in this study (Togo &amp; Hood, 1992). </w:t>
      </w:r>
      <w:r w:rsidR="003744BF">
        <w:rPr>
          <w:rFonts w:ascii="Times New Roman" w:hAnsi="Times New Roman" w:cs="Times New Roman"/>
          <w:sz w:val="20"/>
          <w:szCs w:val="20"/>
        </w:rPr>
        <w:t xml:space="preserve">In another study, </w:t>
      </w:r>
      <w:r w:rsidR="00266EEC">
        <w:rPr>
          <w:rFonts w:ascii="Times New Roman" w:hAnsi="Times New Roman" w:cs="Times New Roman"/>
          <w:sz w:val="20"/>
          <w:szCs w:val="20"/>
        </w:rPr>
        <w:t xml:space="preserve">no evidence was found for gender </w:t>
      </w:r>
      <w:r w:rsidR="00A25E2B">
        <w:rPr>
          <w:rFonts w:ascii="Times New Roman" w:hAnsi="Times New Roman" w:cs="Times New Roman"/>
          <w:sz w:val="20"/>
          <w:szCs w:val="20"/>
        </w:rPr>
        <w:t>or racial</w:t>
      </w:r>
      <w:r w:rsidR="00091B8D">
        <w:rPr>
          <w:rFonts w:ascii="Times New Roman" w:hAnsi="Times New Roman" w:cs="Times New Roman"/>
          <w:sz w:val="20"/>
          <w:szCs w:val="20"/>
        </w:rPr>
        <w:t xml:space="preserve"> differences in student performance (</w:t>
      </w:r>
      <w:proofErr w:type="spellStart"/>
      <w:r w:rsidR="00091B8D">
        <w:rPr>
          <w:rFonts w:ascii="Times New Roman" w:hAnsi="Times New Roman" w:cs="Times New Roman"/>
          <w:sz w:val="20"/>
          <w:szCs w:val="20"/>
        </w:rPr>
        <w:t>Keef</w:t>
      </w:r>
      <w:proofErr w:type="spellEnd"/>
      <w:r w:rsidR="00091B8D">
        <w:rPr>
          <w:rFonts w:ascii="Times New Roman" w:hAnsi="Times New Roman" w:cs="Times New Roman"/>
          <w:sz w:val="20"/>
          <w:szCs w:val="20"/>
        </w:rPr>
        <w:t xml:space="preserve"> &amp; Roush, 1997).</w:t>
      </w:r>
      <w:r w:rsidR="0076707D">
        <w:rPr>
          <w:rFonts w:ascii="Times New Roman" w:hAnsi="Times New Roman" w:cs="Times New Roman"/>
          <w:sz w:val="20"/>
          <w:szCs w:val="20"/>
        </w:rPr>
        <w:t xml:space="preserve"> </w:t>
      </w:r>
      <w:r w:rsidR="003744BF">
        <w:rPr>
          <w:rFonts w:ascii="Times New Roman" w:hAnsi="Times New Roman" w:cs="Times New Roman"/>
          <w:sz w:val="20"/>
          <w:szCs w:val="20"/>
        </w:rPr>
        <w:t>However</w:t>
      </w:r>
      <w:r w:rsidR="00A25E2B">
        <w:rPr>
          <w:rFonts w:ascii="Times New Roman" w:hAnsi="Times New Roman" w:cs="Times New Roman"/>
          <w:sz w:val="20"/>
          <w:szCs w:val="20"/>
        </w:rPr>
        <w:t>, the gender effect was significant before accounting for scholastic aptitude. After adjusting for scholastic aptitude using SAT or ACT scores, the gender effect was statistically insignificant</w:t>
      </w:r>
      <w:r w:rsidR="003744BF">
        <w:rPr>
          <w:rFonts w:ascii="Times New Roman" w:hAnsi="Times New Roman" w:cs="Times New Roman"/>
          <w:sz w:val="20"/>
          <w:szCs w:val="20"/>
        </w:rPr>
        <w:t xml:space="preserve"> (</w:t>
      </w:r>
      <w:proofErr w:type="spellStart"/>
      <w:r w:rsidR="003744BF">
        <w:rPr>
          <w:rFonts w:ascii="Times New Roman" w:hAnsi="Times New Roman" w:cs="Times New Roman"/>
          <w:sz w:val="20"/>
          <w:szCs w:val="20"/>
        </w:rPr>
        <w:t>Buckless</w:t>
      </w:r>
      <w:proofErr w:type="spellEnd"/>
      <w:r w:rsidR="003744BF">
        <w:rPr>
          <w:rFonts w:ascii="Times New Roman" w:hAnsi="Times New Roman" w:cs="Times New Roman"/>
          <w:sz w:val="20"/>
          <w:szCs w:val="20"/>
        </w:rPr>
        <w:t xml:space="preserve">, </w:t>
      </w:r>
      <w:proofErr w:type="spellStart"/>
      <w:r w:rsidR="003744BF">
        <w:rPr>
          <w:rFonts w:ascii="Times New Roman" w:hAnsi="Times New Roman" w:cs="Times New Roman"/>
          <w:sz w:val="20"/>
          <w:szCs w:val="20"/>
        </w:rPr>
        <w:t>Lipe</w:t>
      </w:r>
      <w:proofErr w:type="spellEnd"/>
      <w:r w:rsidR="003744BF">
        <w:rPr>
          <w:rFonts w:ascii="Times New Roman" w:hAnsi="Times New Roman" w:cs="Times New Roman"/>
          <w:sz w:val="20"/>
          <w:szCs w:val="20"/>
        </w:rPr>
        <w:t>, &amp; Ravenscroft, 1991)</w:t>
      </w:r>
      <w:r w:rsidR="00A25E2B">
        <w:rPr>
          <w:rFonts w:ascii="Times New Roman" w:hAnsi="Times New Roman" w:cs="Times New Roman"/>
          <w:sz w:val="20"/>
          <w:szCs w:val="20"/>
        </w:rPr>
        <w:t xml:space="preserve"> This study also surveyed the accounting professors who indicated that they perceived female students to be better students than male accounting students (</w:t>
      </w:r>
      <w:proofErr w:type="spellStart"/>
      <w:r w:rsidR="00A25E2B">
        <w:rPr>
          <w:rFonts w:ascii="Times New Roman" w:hAnsi="Times New Roman" w:cs="Times New Roman"/>
          <w:sz w:val="20"/>
          <w:szCs w:val="20"/>
        </w:rPr>
        <w:t>Buckless</w:t>
      </w:r>
      <w:proofErr w:type="spellEnd"/>
      <w:r w:rsidR="00A25E2B">
        <w:rPr>
          <w:rFonts w:ascii="Times New Roman" w:hAnsi="Times New Roman" w:cs="Times New Roman"/>
          <w:sz w:val="20"/>
          <w:szCs w:val="20"/>
        </w:rPr>
        <w:t xml:space="preserve">, </w:t>
      </w:r>
      <w:proofErr w:type="spellStart"/>
      <w:r w:rsidR="00A25E2B">
        <w:rPr>
          <w:rFonts w:ascii="Times New Roman" w:hAnsi="Times New Roman" w:cs="Times New Roman"/>
          <w:sz w:val="20"/>
          <w:szCs w:val="20"/>
        </w:rPr>
        <w:t>Lipe</w:t>
      </w:r>
      <w:proofErr w:type="spellEnd"/>
      <w:r w:rsidR="00A25E2B">
        <w:rPr>
          <w:rFonts w:ascii="Times New Roman" w:hAnsi="Times New Roman" w:cs="Times New Roman"/>
          <w:sz w:val="20"/>
          <w:szCs w:val="20"/>
        </w:rPr>
        <w:t>,</w:t>
      </w:r>
      <w:r w:rsidR="003744BF">
        <w:rPr>
          <w:rFonts w:ascii="Times New Roman" w:hAnsi="Times New Roman" w:cs="Times New Roman"/>
          <w:sz w:val="20"/>
          <w:szCs w:val="20"/>
        </w:rPr>
        <w:t xml:space="preserve"> &amp; </w:t>
      </w:r>
      <w:r w:rsidR="00A25E2B">
        <w:rPr>
          <w:rFonts w:ascii="Times New Roman" w:hAnsi="Times New Roman" w:cs="Times New Roman"/>
          <w:sz w:val="20"/>
          <w:szCs w:val="20"/>
        </w:rPr>
        <w:t>Ravenscroft 1991).</w:t>
      </w:r>
      <w:r w:rsidR="00E05E98">
        <w:rPr>
          <w:rFonts w:ascii="Times New Roman" w:hAnsi="Times New Roman" w:cs="Times New Roman"/>
          <w:sz w:val="20"/>
          <w:szCs w:val="20"/>
        </w:rPr>
        <w:t xml:space="preserve"> An additional study found that female accounting students outperformed male accounting students on both multiple choice examinations and constructed response questions. However, this difference was diminished in the use of multiple choice questions as oppose</w:t>
      </w:r>
      <w:r w:rsidR="00C43E16">
        <w:rPr>
          <w:rFonts w:ascii="Times New Roman" w:hAnsi="Times New Roman" w:cs="Times New Roman"/>
          <w:sz w:val="20"/>
          <w:szCs w:val="20"/>
        </w:rPr>
        <w:t>d</w:t>
      </w:r>
      <w:r w:rsidR="00E05E98">
        <w:rPr>
          <w:rFonts w:ascii="Times New Roman" w:hAnsi="Times New Roman" w:cs="Times New Roman"/>
          <w:sz w:val="20"/>
          <w:szCs w:val="20"/>
        </w:rPr>
        <w:t xml:space="preserve"> to constructed response questions (</w:t>
      </w:r>
      <w:proofErr w:type="spellStart"/>
      <w:r w:rsidR="00E05E98">
        <w:rPr>
          <w:rFonts w:ascii="Times New Roman" w:hAnsi="Times New Roman" w:cs="Times New Roman"/>
          <w:sz w:val="20"/>
          <w:szCs w:val="20"/>
        </w:rPr>
        <w:t>Everaert</w:t>
      </w:r>
      <w:proofErr w:type="spellEnd"/>
      <w:r w:rsidR="00E05E98">
        <w:rPr>
          <w:rFonts w:ascii="Times New Roman" w:hAnsi="Times New Roman" w:cs="Times New Roman"/>
          <w:sz w:val="20"/>
          <w:szCs w:val="20"/>
        </w:rPr>
        <w:t>, P. 2012).</w:t>
      </w:r>
    </w:p>
    <w:p w:rsidR="00E559DB" w:rsidRPr="00096B84" w:rsidRDefault="004D2E91" w:rsidP="00824845">
      <w:pPr>
        <w:jc w:val="both"/>
        <w:rPr>
          <w:rFonts w:ascii="Times New Roman" w:hAnsi="Times New Roman" w:cs="Times New Roman"/>
          <w:b/>
          <w:caps/>
          <w:sz w:val="20"/>
          <w:szCs w:val="20"/>
        </w:rPr>
      </w:pPr>
      <w:r w:rsidRPr="00096B84">
        <w:rPr>
          <w:rFonts w:ascii="Times New Roman" w:hAnsi="Times New Roman" w:cs="Times New Roman"/>
          <w:b/>
          <w:caps/>
          <w:sz w:val="20"/>
          <w:szCs w:val="20"/>
        </w:rPr>
        <w:t>Data Collection</w:t>
      </w:r>
    </w:p>
    <w:p w:rsidR="004D2E91" w:rsidRDefault="004D2E91" w:rsidP="00096B84">
      <w:pPr>
        <w:ind w:firstLine="720"/>
        <w:jc w:val="both"/>
        <w:rPr>
          <w:rFonts w:ascii="Times New Roman" w:hAnsi="Times New Roman" w:cs="Times New Roman"/>
          <w:sz w:val="20"/>
          <w:szCs w:val="20"/>
        </w:rPr>
      </w:pPr>
      <w:r>
        <w:rPr>
          <w:rFonts w:ascii="Times New Roman" w:hAnsi="Times New Roman" w:cs="Times New Roman"/>
          <w:sz w:val="20"/>
          <w:szCs w:val="20"/>
        </w:rPr>
        <w:t>The study was conducted over a five-year period beginning</w:t>
      </w:r>
      <w:r w:rsidR="000436FB">
        <w:rPr>
          <w:rFonts w:ascii="Times New Roman" w:hAnsi="Times New Roman" w:cs="Times New Roman"/>
          <w:sz w:val="20"/>
          <w:szCs w:val="20"/>
        </w:rPr>
        <w:t xml:space="preserve"> </w:t>
      </w:r>
      <w:r>
        <w:rPr>
          <w:rFonts w:ascii="Times New Roman" w:hAnsi="Times New Roman" w:cs="Times New Roman"/>
          <w:sz w:val="20"/>
          <w:szCs w:val="20"/>
        </w:rPr>
        <w:t>with the fall semester of 2013 and ending with the fall semester of 2018. This covered ten semesters with two section</w:t>
      </w:r>
      <w:r w:rsidR="003744BF">
        <w:rPr>
          <w:rFonts w:ascii="Times New Roman" w:hAnsi="Times New Roman" w:cs="Times New Roman"/>
          <w:sz w:val="20"/>
          <w:szCs w:val="20"/>
        </w:rPr>
        <w:t>s</w:t>
      </w:r>
      <w:r>
        <w:rPr>
          <w:rFonts w:ascii="Times New Roman" w:hAnsi="Times New Roman" w:cs="Times New Roman"/>
          <w:sz w:val="20"/>
          <w:szCs w:val="20"/>
        </w:rPr>
        <w:t xml:space="preserve"> each semester. The total </w:t>
      </w:r>
      <w:proofErr w:type="spellStart"/>
      <w:r w:rsidR="003744BF">
        <w:rPr>
          <w:rFonts w:ascii="Times New Roman" w:hAnsi="Times New Roman" w:cs="Times New Roman"/>
          <w:sz w:val="20"/>
          <w:szCs w:val="20"/>
        </w:rPr>
        <w:t>enrollement</w:t>
      </w:r>
      <w:proofErr w:type="spellEnd"/>
      <w:r>
        <w:rPr>
          <w:rFonts w:ascii="Times New Roman" w:hAnsi="Times New Roman" w:cs="Times New Roman"/>
          <w:sz w:val="20"/>
          <w:szCs w:val="20"/>
        </w:rPr>
        <w:t xml:space="preserve"> in the management accounting course</w:t>
      </w:r>
      <w:r w:rsidR="003744BF">
        <w:rPr>
          <w:rFonts w:ascii="Times New Roman" w:hAnsi="Times New Roman" w:cs="Times New Roman"/>
          <w:sz w:val="20"/>
          <w:szCs w:val="20"/>
        </w:rPr>
        <w:t>s</w:t>
      </w:r>
      <w:r>
        <w:rPr>
          <w:rFonts w:ascii="Times New Roman" w:hAnsi="Times New Roman" w:cs="Times New Roman"/>
          <w:sz w:val="20"/>
          <w:szCs w:val="20"/>
        </w:rPr>
        <w:t xml:space="preserve"> was 531</w:t>
      </w:r>
      <w:r w:rsidR="003744BF">
        <w:rPr>
          <w:rFonts w:ascii="Times New Roman" w:hAnsi="Times New Roman" w:cs="Times New Roman"/>
          <w:sz w:val="20"/>
          <w:szCs w:val="20"/>
        </w:rPr>
        <w:t xml:space="preserve"> students</w:t>
      </w:r>
      <w:r>
        <w:rPr>
          <w:rFonts w:ascii="Times New Roman" w:hAnsi="Times New Roman" w:cs="Times New Roman"/>
          <w:sz w:val="20"/>
          <w:szCs w:val="20"/>
        </w:rPr>
        <w:t>. Of the population, 210 were female and 321 were male.</w:t>
      </w:r>
      <w:r w:rsidR="009C59EF">
        <w:rPr>
          <w:rFonts w:ascii="Times New Roman" w:hAnsi="Times New Roman" w:cs="Times New Roman"/>
          <w:sz w:val="20"/>
          <w:szCs w:val="20"/>
        </w:rPr>
        <w:t xml:space="preserve"> The composition of the classes was primarily sophomore business administration and accounting students. However,</w:t>
      </w:r>
      <w:r w:rsidR="003744BF">
        <w:rPr>
          <w:rFonts w:ascii="Times New Roman" w:hAnsi="Times New Roman" w:cs="Times New Roman"/>
          <w:sz w:val="20"/>
          <w:szCs w:val="20"/>
        </w:rPr>
        <w:t xml:space="preserve"> </w:t>
      </w:r>
      <w:r w:rsidR="009C59EF">
        <w:rPr>
          <w:rFonts w:ascii="Times New Roman" w:hAnsi="Times New Roman" w:cs="Times New Roman"/>
          <w:sz w:val="20"/>
          <w:szCs w:val="20"/>
        </w:rPr>
        <w:t>small number</w:t>
      </w:r>
      <w:r w:rsidR="000436FB">
        <w:rPr>
          <w:rFonts w:ascii="Times New Roman" w:hAnsi="Times New Roman" w:cs="Times New Roman"/>
          <w:sz w:val="20"/>
          <w:szCs w:val="20"/>
        </w:rPr>
        <w:t>s</w:t>
      </w:r>
      <w:r w:rsidR="009C59EF">
        <w:rPr>
          <w:rFonts w:ascii="Times New Roman" w:hAnsi="Times New Roman" w:cs="Times New Roman"/>
          <w:sz w:val="20"/>
          <w:szCs w:val="20"/>
        </w:rPr>
        <w:t xml:space="preserve"> of students from other majors and students who were juniors or seniors</w:t>
      </w:r>
      <w:r w:rsidR="003744BF">
        <w:rPr>
          <w:rFonts w:ascii="Times New Roman" w:hAnsi="Times New Roman" w:cs="Times New Roman"/>
          <w:sz w:val="20"/>
          <w:szCs w:val="20"/>
        </w:rPr>
        <w:t xml:space="preserve"> were enrolled</w:t>
      </w:r>
      <w:r w:rsidR="009C59EF">
        <w:rPr>
          <w:rFonts w:ascii="Times New Roman" w:hAnsi="Times New Roman" w:cs="Times New Roman"/>
          <w:sz w:val="20"/>
          <w:szCs w:val="20"/>
        </w:rPr>
        <w:t>.</w:t>
      </w:r>
      <w:r>
        <w:rPr>
          <w:rFonts w:ascii="Times New Roman" w:hAnsi="Times New Roman" w:cs="Times New Roman"/>
          <w:sz w:val="20"/>
          <w:szCs w:val="20"/>
        </w:rPr>
        <w:t xml:space="preserve"> The individual final grades were download</w:t>
      </w:r>
      <w:r w:rsidR="00A25E2B">
        <w:rPr>
          <w:rFonts w:ascii="Times New Roman" w:hAnsi="Times New Roman" w:cs="Times New Roman"/>
          <w:sz w:val="20"/>
          <w:szCs w:val="20"/>
        </w:rPr>
        <w:t>ed</w:t>
      </w:r>
      <w:r>
        <w:rPr>
          <w:rFonts w:ascii="Times New Roman" w:hAnsi="Times New Roman" w:cs="Times New Roman"/>
          <w:sz w:val="20"/>
          <w:szCs w:val="20"/>
        </w:rPr>
        <w:t xml:space="preserve"> from the learning management software D2L. They were imported into Excel and each student was identified as (1) – male or (2) - female. The final letter grades were converted to a grade-point-average (GPA) using the following scale: A = 4.0. A- = 3.7, B+ = 3.3, B = 3.0, B- = 2.7, C+ = 2.3, C = 2.0, C- = 1.7, D+ = 1.3, D = 1.0, D- = </w:t>
      </w:r>
      <w:r w:rsidR="00586315">
        <w:rPr>
          <w:rFonts w:ascii="Times New Roman" w:hAnsi="Times New Roman" w:cs="Times New Roman"/>
          <w:sz w:val="20"/>
          <w:szCs w:val="20"/>
        </w:rPr>
        <w:t>.7, E = 0. The final grade was stated in percentage terms. The following scale was used: 93-100 = A, 90-92 = A-, 87-89 = B+, 83-86 = B, 80-82 = B-, 77-79 = C+, 73-76 = C, 70-72 = C-, 67-69 = D+, 63-66 = D, 60-62 = D -, 59 and below = E. The GPA average for men was 2.83 and for women it was 3.11.</w:t>
      </w:r>
    </w:p>
    <w:p w:rsidR="00B47993" w:rsidRDefault="00B47993" w:rsidP="00824845">
      <w:pPr>
        <w:jc w:val="both"/>
        <w:rPr>
          <w:rFonts w:ascii="Times New Roman" w:hAnsi="Times New Roman" w:cs="Times New Roman"/>
          <w:b/>
          <w:caps/>
          <w:sz w:val="20"/>
          <w:szCs w:val="20"/>
        </w:rPr>
      </w:pPr>
    </w:p>
    <w:p w:rsidR="00B47993" w:rsidRDefault="00B47993" w:rsidP="00824845">
      <w:pPr>
        <w:jc w:val="both"/>
        <w:rPr>
          <w:rFonts w:ascii="Times New Roman" w:hAnsi="Times New Roman" w:cs="Times New Roman"/>
          <w:b/>
          <w:caps/>
          <w:sz w:val="20"/>
          <w:szCs w:val="20"/>
        </w:rPr>
      </w:pPr>
    </w:p>
    <w:p w:rsidR="004D2E91" w:rsidRPr="00096B84" w:rsidRDefault="004D2E91" w:rsidP="00824845">
      <w:pPr>
        <w:jc w:val="both"/>
        <w:rPr>
          <w:rFonts w:ascii="Times New Roman" w:hAnsi="Times New Roman" w:cs="Times New Roman"/>
          <w:b/>
          <w:caps/>
          <w:sz w:val="20"/>
          <w:szCs w:val="20"/>
        </w:rPr>
      </w:pPr>
      <w:r w:rsidRPr="00096B84">
        <w:rPr>
          <w:rFonts w:ascii="Times New Roman" w:hAnsi="Times New Roman" w:cs="Times New Roman"/>
          <w:b/>
          <w:caps/>
          <w:sz w:val="20"/>
          <w:szCs w:val="20"/>
        </w:rPr>
        <w:t>Analyses Method</w:t>
      </w:r>
    </w:p>
    <w:p w:rsidR="003744BF" w:rsidRDefault="003744BF" w:rsidP="00096B84">
      <w:pPr>
        <w:ind w:firstLine="720"/>
        <w:jc w:val="both"/>
        <w:rPr>
          <w:rFonts w:ascii="Times New Roman" w:hAnsi="Times New Roman" w:cs="Times New Roman"/>
          <w:sz w:val="20"/>
          <w:szCs w:val="20"/>
        </w:rPr>
      </w:pPr>
      <w:r>
        <w:rPr>
          <w:rFonts w:ascii="Times New Roman" w:hAnsi="Times New Roman" w:cs="Times New Roman"/>
          <w:sz w:val="20"/>
          <w:szCs w:val="20"/>
        </w:rPr>
        <w:t>Running a t-test on the data produced the following result</w:t>
      </w:r>
      <w:r w:rsidR="0078772E">
        <w:rPr>
          <w:rFonts w:ascii="Times New Roman" w:hAnsi="Times New Roman" w:cs="Times New Roman"/>
          <w:sz w:val="20"/>
          <w:szCs w:val="20"/>
        </w:rPr>
        <w:t>s</w:t>
      </w:r>
      <w:r>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3116"/>
        <w:gridCol w:w="3117"/>
        <w:gridCol w:w="3117"/>
      </w:tblGrid>
      <w:tr w:rsidR="0078772E" w:rsidTr="0078772E">
        <w:tc>
          <w:tcPr>
            <w:tcW w:w="3116" w:type="dxa"/>
          </w:tcPr>
          <w:p w:rsidR="0078772E" w:rsidRDefault="0078772E" w:rsidP="0078772E">
            <w:pPr>
              <w:jc w:val="center"/>
              <w:rPr>
                <w:rFonts w:ascii="Times New Roman" w:hAnsi="Times New Roman" w:cs="Times New Roman"/>
                <w:sz w:val="20"/>
                <w:szCs w:val="20"/>
              </w:rPr>
            </w:pPr>
          </w:p>
        </w:tc>
        <w:tc>
          <w:tcPr>
            <w:tcW w:w="3117" w:type="dxa"/>
          </w:tcPr>
          <w:p w:rsidR="0078772E" w:rsidRDefault="0078772E" w:rsidP="0078772E">
            <w:pPr>
              <w:jc w:val="center"/>
              <w:rPr>
                <w:rFonts w:ascii="Times New Roman" w:hAnsi="Times New Roman" w:cs="Times New Roman"/>
                <w:sz w:val="20"/>
                <w:szCs w:val="20"/>
              </w:rPr>
            </w:pPr>
            <w:r>
              <w:rPr>
                <w:rFonts w:ascii="Times New Roman" w:hAnsi="Times New Roman" w:cs="Times New Roman"/>
                <w:sz w:val="20"/>
                <w:szCs w:val="20"/>
              </w:rPr>
              <w:t>3.3</w:t>
            </w:r>
          </w:p>
        </w:tc>
        <w:tc>
          <w:tcPr>
            <w:tcW w:w="3117" w:type="dxa"/>
          </w:tcPr>
          <w:p w:rsidR="0078772E" w:rsidRDefault="0078772E" w:rsidP="0078772E">
            <w:pPr>
              <w:jc w:val="center"/>
              <w:rPr>
                <w:rFonts w:ascii="Times New Roman" w:hAnsi="Times New Roman" w:cs="Times New Roman"/>
                <w:sz w:val="20"/>
                <w:szCs w:val="20"/>
              </w:rPr>
            </w:pPr>
            <w:r>
              <w:rPr>
                <w:rFonts w:ascii="Times New Roman" w:hAnsi="Times New Roman" w:cs="Times New Roman"/>
                <w:sz w:val="20"/>
                <w:szCs w:val="20"/>
              </w:rPr>
              <w:t>4</w:t>
            </w:r>
          </w:p>
        </w:tc>
      </w:tr>
      <w:tr w:rsidR="0078772E" w:rsidTr="0078772E">
        <w:tc>
          <w:tcPr>
            <w:tcW w:w="3116" w:type="dxa"/>
          </w:tcPr>
          <w:p w:rsidR="0078772E" w:rsidRDefault="0078772E" w:rsidP="00096B84">
            <w:pPr>
              <w:jc w:val="both"/>
              <w:rPr>
                <w:rFonts w:ascii="Times New Roman" w:hAnsi="Times New Roman" w:cs="Times New Roman"/>
                <w:sz w:val="20"/>
                <w:szCs w:val="20"/>
              </w:rPr>
            </w:pPr>
            <w:r>
              <w:rPr>
                <w:rFonts w:ascii="Times New Roman" w:hAnsi="Times New Roman" w:cs="Times New Roman"/>
                <w:sz w:val="20"/>
                <w:szCs w:val="20"/>
              </w:rPr>
              <w:t>Mean</w:t>
            </w:r>
          </w:p>
        </w:tc>
        <w:tc>
          <w:tcPr>
            <w:tcW w:w="3117" w:type="dxa"/>
          </w:tcPr>
          <w:p w:rsidR="0078772E" w:rsidRDefault="0078772E" w:rsidP="0078772E">
            <w:pPr>
              <w:jc w:val="center"/>
              <w:rPr>
                <w:rFonts w:ascii="Times New Roman" w:hAnsi="Times New Roman" w:cs="Times New Roman"/>
                <w:sz w:val="20"/>
                <w:szCs w:val="20"/>
              </w:rPr>
            </w:pPr>
            <w:r>
              <w:rPr>
                <w:rFonts w:ascii="Times New Roman" w:hAnsi="Times New Roman" w:cs="Times New Roman"/>
                <w:sz w:val="20"/>
                <w:szCs w:val="20"/>
              </w:rPr>
              <w:t>2.792339</w:t>
            </w:r>
          </w:p>
          <w:p w:rsidR="0078772E" w:rsidRDefault="0078772E" w:rsidP="0078772E">
            <w:pPr>
              <w:jc w:val="center"/>
              <w:rPr>
                <w:rFonts w:ascii="Times New Roman" w:hAnsi="Times New Roman" w:cs="Times New Roman"/>
                <w:sz w:val="20"/>
                <w:szCs w:val="20"/>
              </w:rPr>
            </w:pPr>
          </w:p>
        </w:tc>
        <w:tc>
          <w:tcPr>
            <w:tcW w:w="3117" w:type="dxa"/>
          </w:tcPr>
          <w:p w:rsidR="0078772E" w:rsidRDefault="0078772E" w:rsidP="0078772E">
            <w:pPr>
              <w:jc w:val="center"/>
              <w:rPr>
                <w:rFonts w:ascii="Times New Roman" w:hAnsi="Times New Roman" w:cs="Times New Roman"/>
                <w:sz w:val="20"/>
                <w:szCs w:val="20"/>
              </w:rPr>
            </w:pPr>
            <w:r>
              <w:rPr>
                <w:rFonts w:ascii="Times New Roman" w:hAnsi="Times New Roman" w:cs="Times New Roman"/>
                <w:sz w:val="20"/>
                <w:szCs w:val="20"/>
              </w:rPr>
              <w:t>3.109091</w:t>
            </w:r>
          </w:p>
        </w:tc>
      </w:tr>
      <w:tr w:rsidR="0078772E" w:rsidTr="0078772E">
        <w:tc>
          <w:tcPr>
            <w:tcW w:w="3116" w:type="dxa"/>
          </w:tcPr>
          <w:p w:rsidR="0078772E" w:rsidRDefault="0078772E" w:rsidP="00096B84">
            <w:pPr>
              <w:jc w:val="both"/>
              <w:rPr>
                <w:rFonts w:ascii="Times New Roman" w:hAnsi="Times New Roman" w:cs="Times New Roman"/>
                <w:sz w:val="20"/>
                <w:szCs w:val="20"/>
              </w:rPr>
            </w:pPr>
            <w:r>
              <w:rPr>
                <w:rFonts w:ascii="Times New Roman" w:hAnsi="Times New Roman" w:cs="Times New Roman"/>
                <w:sz w:val="20"/>
                <w:szCs w:val="20"/>
              </w:rPr>
              <w:t>Variance</w:t>
            </w:r>
          </w:p>
        </w:tc>
        <w:tc>
          <w:tcPr>
            <w:tcW w:w="3117" w:type="dxa"/>
          </w:tcPr>
          <w:p w:rsidR="0078772E" w:rsidRDefault="0078772E" w:rsidP="0078772E">
            <w:pPr>
              <w:jc w:val="center"/>
              <w:rPr>
                <w:rFonts w:ascii="Times New Roman" w:hAnsi="Times New Roman" w:cs="Times New Roman"/>
                <w:sz w:val="20"/>
                <w:szCs w:val="20"/>
              </w:rPr>
            </w:pPr>
            <w:r>
              <w:rPr>
                <w:rFonts w:ascii="Times New Roman" w:hAnsi="Times New Roman" w:cs="Times New Roman"/>
                <w:sz w:val="20"/>
                <w:szCs w:val="20"/>
              </w:rPr>
              <w:t>1.239415</w:t>
            </w:r>
          </w:p>
        </w:tc>
        <w:tc>
          <w:tcPr>
            <w:tcW w:w="3117" w:type="dxa"/>
          </w:tcPr>
          <w:p w:rsidR="0078772E" w:rsidRDefault="0078772E" w:rsidP="0078772E">
            <w:pPr>
              <w:jc w:val="center"/>
              <w:rPr>
                <w:rFonts w:ascii="Times New Roman" w:hAnsi="Times New Roman" w:cs="Times New Roman"/>
                <w:sz w:val="20"/>
                <w:szCs w:val="20"/>
              </w:rPr>
            </w:pPr>
            <w:r>
              <w:rPr>
                <w:rFonts w:ascii="Times New Roman" w:hAnsi="Times New Roman" w:cs="Times New Roman"/>
                <w:sz w:val="20"/>
                <w:szCs w:val="20"/>
              </w:rPr>
              <w:t>1.000927</w:t>
            </w:r>
          </w:p>
        </w:tc>
      </w:tr>
      <w:tr w:rsidR="0078772E" w:rsidTr="0078772E">
        <w:tc>
          <w:tcPr>
            <w:tcW w:w="3116" w:type="dxa"/>
          </w:tcPr>
          <w:p w:rsidR="0078772E" w:rsidRDefault="0078772E" w:rsidP="00096B84">
            <w:pPr>
              <w:jc w:val="both"/>
              <w:rPr>
                <w:rFonts w:ascii="Times New Roman" w:hAnsi="Times New Roman" w:cs="Times New Roman"/>
                <w:sz w:val="20"/>
                <w:szCs w:val="20"/>
              </w:rPr>
            </w:pPr>
            <w:r>
              <w:rPr>
                <w:rFonts w:ascii="Times New Roman" w:hAnsi="Times New Roman" w:cs="Times New Roman"/>
                <w:sz w:val="20"/>
                <w:szCs w:val="20"/>
              </w:rPr>
              <w:t>Observations</w:t>
            </w:r>
          </w:p>
        </w:tc>
        <w:tc>
          <w:tcPr>
            <w:tcW w:w="3117" w:type="dxa"/>
          </w:tcPr>
          <w:p w:rsidR="0078772E" w:rsidRDefault="0078772E" w:rsidP="0078772E">
            <w:pPr>
              <w:jc w:val="center"/>
              <w:rPr>
                <w:rFonts w:ascii="Times New Roman" w:hAnsi="Times New Roman" w:cs="Times New Roman"/>
                <w:sz w:val="20"/>
                <w:szCs w:val="20"/>
              </w:rPr>
            </w:pPr>
            <w:r>
              <w:rPr>
                <w:rFonts w:ascii="Times New Roman" w:hAnsi="Times New Roman" w:cs="Times New Roman"/>
                <w:sz w:val="20"/>
                <w:szCs w:val="20"/>
              </w:rPr>
              <w:t>321</w:t>
            </w:r>
          </w:p>
        </w:tc>
        <w:tc>
          <w:tcPr>
            <w:tcW w:w="3117" w:type="dxa"/>
          </w:tcPr>
          <w:p w:rsidR="0078772E" w:rsidRDefault="0078772E" w:rsidP="0078772E">
            <w:pPr>
              <w:jc w:val="center"/>
              <w:rPr>
                <w:rFonts w:ascii="Times New Roman" w:hAnsi="Times New Roman" w:cs="Times New Roman"/>
                <w:sz w:val="20"/>
                <w:szCs w:val="20"/>
              </w:rPr>
            </w:pPr>
            <w:r>
              <w:rPr>
                <w:rFonts w:ascii="Times New Roman" w:hAnsi="Times New Roman" w:cs="Times New Roman"/>
                <w:sz w:val="20"/>
                <w:szCs w:val="20"/>
              </w:rPr>
              <w:t>209</w:t>
            </w:r>
          </w:p>
        </w:tc>
      </w:tr>
      <w:tr w:rsidR="0078772E" w:rsidTr="0078772E">
        <w:tc>
          <w:tcPr>
            <w:tcW w:w="3116" w:type="dxa"/>
          </w:tcPr>
          <w:p w:rsidR="0078772E" w:rsidRDefault="0078772E" w:rsidP="00096B84">
            <w:pPr>
              <w:jc w:val="both"/>
              <w:rPr>
                <w:rFonts w:ascii="Times New Roman" w:hAnsi="Times New Roman" w:cs="Times New Roman"/>
                <w:sz w:val="20"/>
                <w:szCs w:val="20"/>
              </w:rPr>
            </w:pPr>
            <w:r>
              <w:rPr>
                <w:rFonts w:ascii="Times New Roman" w:hAnsi="Times New Roman" w:cs="Times New Roman"/>
                <w:sz w:val="20"/>
                <w:szCs w:val="20"/>
              </w:rPr>
              <w:t>Pooled Variance</w:t>
            </w:r>
          </w:p>
        </w:tc>
        <w:tc>
          <w:tcPr>
            <w:tcW w:w="3117" w:type="dxa"/>
          </w:tcPr>
          <w:p w:rsidR="0078772E" w:rsidRDefault="0078772E" w:rsidP="0078772E">
            <w:pPr>
              <w:jc w:val="center"/>
              <w:rPr>
                <w:rFonts w:ascii="Times New Roman" w:hAnsi="Times New Roman" w:cs="Times New Roman"/>
                <w:sz w:val="20"/>
                <w:szCs w:val="20"/>
              </w:rPr>
            </w:pPr>
            <w:r>
              <w:rPr>
                <w:rFonts w:ascii="Times New Roman" w:hAnsi="Times New Roman" w:cs="Times New Roman"/>
                <w:sz w:val="20"/>
                <w:szCs w:val="20"/>
              </w:rPr>
              <w:t>1.130392</w:t>
            </w:r>
          </w:p>
        </w:tc>
        <w:tc>
          <w:tcPr>
            <w:tcW w:w="3117" w:type="dxa"/>
          </w:tcPr>
          <w:p w:rsidR="0078772E" w:rsidRDefault="0078772E" w:rsidP="00096B84">
            <w:pPr>
              <w:jc w:val="both"/>
              <w:rPr>
                <w:rFonts w:ascii="Times New Roman" w:hAnsi="Times New Roman" w:cs="Times New Roman"/>
                <w:sz w:val="20"/>
                <w:szCs w:val="20"/>
              </w:rPr>
            </w:pPr>
          </w:p>
        </w:tc>
      </w:tr>
      <w:tr w:rsidR="0078772E" w:rsidTr="0078772E">
        <w:tc>
          <w:tcPr>
            <w:tcW w:w="3116" w:type="dxa"/>
          </w:tcPr>
          <w:p w:rsidR="0078772E" w:rsidRDefault="0078772E" w:rsidP="00096B84">
            <w:pPr>
              <w:jc w:val="both"/>
              <w:rPr>
                <w:rFonts w:ascii="Times New Roman" w:hAnsi="Times New Roman" w:cs="Times New Roman"/>
                <w:sz w:val="20"/>
                <w:szCs w:val="20"/>
              </w:rPr>
            </w:pPr>
            <w:r>
              <w:rPr>
                <w:rFonts w:ascii="Times New Roman" w:hAnsi="Times New Roman" w:cs="Times New Roman"/>
                <w:sz w:val="20"/>
                <w:szCs w:val="20"/>
              </w:rPr>
              <w:t>Hypothesized Mean Difference</w:t>
            </w:r>
          </w:p>
        </w:tc>
        <w:tc>
          <w:tcPr>
            <w:tcW w:w="3117" w:type="dxa"/>
          </w:tcPr>
          <w:p w:rsidR="0078772E" w:rsidRDefault="0078772E" w:rsidP="0078772E">
            <w:pPr>
              <w:jc w:val="center"/>
              <w:rPr>
                <w:rFonts w:ascii="Times New Roman" w:hAnsi="Times New Roman" w:cs="Times New Roman"/>
                <w:sz w:val="20"/>
                <w:szCs w:val="20"/>
              </w:rPr>
            </w:pPr>
            <w:r>
              <w:rPr>
                <w:rFonts w:ascii="Times New Roman" w:hAnsi="Times New Roman" w:cs="Times New Roman"/>
                <w:sz w:val="20"/>
                <w:szCs w:val="20"/>
              </w:rPr>
              <w:t>.07</w:t>
            </w:r>
          </w:p>
        </w:tc>
        <w:tc>
          <w:tcPr>
            <w:tcW w:w="3117" w:type="dxa"/>
          </w:tcPr>
          <w:p w:rsidR="0078772E" w:rsidRDefault="0078772E" w:rsidP="00096B84">
            <w:pPr>
              <w:jc w:val="both"/>
              <w:rPr>
                <w:rFonts w:ascii="Times New Roman" w:hAnsi="Times New Roman" w:cs="Times New Roman"/>
                <w:sz w:val="20"/>
                <w:szCs w:val="20"/>
              </w:rPr>
            </w:pPr>
          </w:p>
        </w:tc>
      </w:tr>
      <w:tr w:rsidR="0078772E" w:rsidTr="0078772E">
        <w:tc>
          <w:tcPr>
            <w:tcW w:w="3116" w:type="dxa"/>
          </w:tcPr>
          <w:p w:rsidR="0078772E" w:rsidRDefault="0078772E" w:rsidP="00096B84">
            <w:pPr>
              <w:jc w:val="both"/>
              <w:rPr>
                <w:rFonts w:ascii="Times New Roman" w:hAnsi="Times New Roman" w:cs="Times New Roman"/>
                <w:sz w:val="20"/>
                <w:szCs w:val="20"/>
              </w:rPr>
            </w:pPr>
            <w:r>
              <w:rPr>
                <w:rFonts w:ascii="Times New Roman" w:hAnsi="Times New Roman" w:cs="Times New Roman"/>
                <w:sz w:val="20"/>
                <w:szCs w:val="20"/>
              </w:rPr>
              <w:t>df</w:t>
            </w:r>
          </w:p>
        </w:tc>
        <w:tc>
          <w:tcPr>
            <w:tcW w:w="3117" w:type="dxa"/>
          </w:tcPr>
          <w:p w:rsidR="0078772E" w:rsidRDefault="0078772E" w:rsidP="0078772E">
            <w:pPr>
              <w:jc w:val="center"/>
              <w:rPr>
                <w:rFonts w:ascii="Times New Roman" w:hAnsi="Times New Roman" w:cs="Times New Roman"/>
                <w:sz w:val="20"/>
                <w:szCs w:val="20"/>
              </w:rPr>
            </w:pPr>
            <w:r>
              <w:rPr>
                <w:rFonts w:ascii="Times New Roman" w:hAnsi="Times New Roman" w:cs="Times New Roman"/>
                <w:sz w:val="20"/>
                <w:szCs w:val="20"/>
              </w:rPr>
              <w:t>455</w:t>
            </w:r>
          </w:p>
        </w:tc>
        <w:tc>
          <w:tcPr>
            <w:tcW w:w="3117" w:type="dxa"/>
          </w:tcPr>
          <w:p w:rsidR="0078772E" w:rsidRDefault="0078772E" w:rsidP="00096B84">
            <w:pPr>
              <w:jc w:val="both"/>
              <w:rPr>
                <w:rFonts w:ascii="Times New Roman" w:hAnsi="Times New Roman" w:cs="Times New Roman"/>
                <w:sz w:val="20"/>
                <w:szCs w:val="20"/>
              </w:rPr>
            </w:pPr>
          </w:p>
        </w:tc>
      </w:tr>
      <w:tr w:rsidR="0078772E" w:rsidTr="0078772E">
        <w:tc>
          <w:tcPr>
            <w:tcW w:w="3116" w:type="dxa"/>
          </w:tcPr>
          <w:p w:rsidR="0078772E" w:rsidRDefault="0078772E" w:rsidP="00096B84">
            <w:pPr>
              <w:jc w:val="both"/>
              <w:rPr>
                <w:rFonts w:ascii="Times New Roman" w:hAnsi="Times New Roman" w:cs="Times New Roman"/>
                <w:sz w:val="20"/>
                <w:szCs w:val="20"/>
              </w:rPr>
            </w:pPr>
            <w:r>
              <w:rPr>
                <w:rFonts w:ascii="Times New Roman" w:hAnsi="Times New Roman" w:cs="Times New Roman"/>
                <w:sz w:val="20"/>
                <w:szCs w:val="20"/>
              </w:rPr>
              <w:t>T stat</w:t>
            </w:r>
          </w:p>
        </w:tc>
        <w:tc>
          <w:tcPr>
            <w:tcW w:w="3117" w:type="dxa"/>
          </w:tcPr>
          <w:p w:rsidR="0078772E" w:rsidRDefault="0078772E" w:rsidP="0078772E">
            <w:pPr>
              <w:jc w:val="center"/>
              <w:rPr>
                <w:rFonts w:ascii="Times New Roman" w:hAnsi="Times New Roman" w:cs="Times New Roman"/>
                <w:sz w:val="20"/>
                <w:szCs w:val="20"/>
              </w:rPr>
            </w:pPr>
            <w:r>
              <w:rPr>
                <w:rFonts w:ascii="Times New Roman" w:hAnsi="Times New Roman" w:cs="Times New Roman"/>
                <w:sz w:val="20"/>
                <w:szCs w:val="20"/>
              </w:rPr>
              <w:t>-3.874</w:t>
            </w:r>
          </w:p>
        </w:tc>
        <w:tc>
          <w:tcPr>
            <w:tcW w:w="3117" w:type="dxa"/>
          </w:tcPr>
          <w:p w:rsidR="0078772E" w:rsidRDefault="0078772E" w:rsidP="00096B84">
            <w:pPr>
              <w:jc w:val="both"/>
              <w:rPr>
                <w:rFonts w:ascii="Times New Roman" w:hAnsi="Times New Roman" w:cs="Times New Roman"/>
                <w:sz w:val="20"/>
                <w:szCs w:val="20"/>
              </w:rPr>
            </w:pPr>
          </w:p>
        </w:tc>
      </w:tr>
      <w:tr w:rsidR="0078772E" w:rsidTr="0078772E">
        <w:tc>
          <w:tcPr>
            <w:tcW w:w="3116" w:type="dxa"/>
          </w:tcPr>
          <w:p w:rsidR="0078772E" w:rsidRDefault="0078772E" w:rsidP="00096B84">
            <w:pPr>
              <w:jc w:val="both"/>
              <w:rPr>
                <w:rFonts w:ascii="Times New Roman" w:hAnsi="Times New Roman" w:cs="Times New Roman"/>
                <w:sz w:val="20"/>
                <w:szCs w:val="20"/>
              </w:rPr>
            </w:pPr>
            <w:r>
              <w:rPr>
                <w:rFonts w:ascii="Times New Roman" w:hAnsi="Times New Roman" w:cs="Times New Roman"/>
                <w:sz w:val="20"/>
                <w:szCs w:val="20"/>
              </w:rPr>
              <w:t>P(T&lt;=t) one tail</w:t>
            </w:r>
          </w:p>
        </w:tc>
        <w:tc>
          <w:tcPr>
            <w:tcW w:w="3117" w:type="dxa"/>
          </w:tcPr>
          <w:p w:rsidR="0078772E" w:rsidRDefault="0078772E" w:rsidP="0078772E">
            <w:pPr>
              <w:jc w:val="center"/>
              <w:rPr>
                <w:rFonts w:ascii="Times New Roman" w:hAnsi="Times New Roman" w:cs="Times New Roman"/>
                <w:sz w:val="20"/>
                <w:szCs w:val="20"/>
              </w:rPr>
            </w:pPr>
            <w:r>
              <w:rPr>
                <w:rFonts w:ascii="Times New Roman" w:hAnsi="Times New Roman" w:cs="Times New Roman"/>
                <w:sz w:val="20"/>
                <w:szCs w:val="20"/>
              </w:rPr>
              <w:t>6.14E-05</w:t>
            </w:r>
          </w:p>
        </w:tc>
        <w:tc>
          <w:tcPr>
            <w:tcW w:w="3117" w:type="dxa"/>
          </w:tcPr>
          <w:p w:rsidR="0078772E" w:rsidRDefault="0078772E" w:rsidP="00096B84">
            <w:pPr>
              <w:jc w:val="both"/>
              <w:rPr>
                <w:rFonts w:ascii="Times New Roman" w:hAnsi="Times New Roman" w:cs="Times New Roman"/>
                <w:sz w:val="20"/>
                <w:szCs w:val="20"/>
              </w:rPr>
            </w:pPr>
          </w:p>
        </w:tc>
      </w:tr>
      <w:tr w:rsidR="0078772E" w:rsidTr="0078772E">
        <w:tc>
          <w:tcPr>
            <w:tcW w:w="3116" w:type="dxa"/>
          </w:tcPr>
          <w:p w:rsidR="0078772E" w:rsidRDefault="0078772E" w:rsidP="0078772E">
            <w:pPr>
              <w:jc w:val="both"/>
              <w:rPr>
                <w:rFonts w:ascii="Times New Roman" w:hAnsi="Times New Roman" w:cs="Times New Roman"/>
                <w:sz w:val="20"/>
                <w:szCs w:val="20"/>
              </w:rPr>
            </w:pPr>
            <w:r>
              <w:rPr>
                <w:rFonts w:ascii="Times New Roman" w:hAnsi="Times New Roman" w:cs="Times New Roman"/>
                <w:sz w:val="20"/>
                <w:szCs w:val="20"/>
              </w:rPr>
              <w:t>T critical one-tail</w:t>
            </w:r>
          </w:p>
        </w:tc>
        <w:tc>
          <w:tcPr>
            <w:tcW w:w="3117" w:type="dxa"/>
          </w:tcPr>
          <w:p w:rsidR="0078772E" w:rsidRDefault="0078772E" w:rsidP="0078772E">
            <w:pPr>
              <w:jc w:val="center"/>
              <w:rPr>
                <w:rFonts w:ascii="Times New Roman" w:hAnsi="Times New Roman" w:cs="Times New Roman"/>
                <w:sz w:val="20"/>
                <w:szCs w:val="20"/>
              </w:rPr>
            </w:pPr>
            <w:r>
              <w:rPr>
                <w:rFonts w:ascii="Times New Roman" w:hAnsi="Times New Roman" w:cs="Times New Roman"/>
                <w:sz w:val="20"/>
                <w:szCs w:val="20"/>
              </w:rPr>
              <w:t>1.648209</w:t>
            </w:r>
          </w:p>
        </w:tc>
        <w:tc>
          <w:tcPr>
            <w:tcW w:w="3117" w:type="dxa"/>
          </w:tcPr>
          <w:p w:rsidR="0078772E" w:rsidRDefault="0078772E" w:rsidP="0078772E">
            <w:pPr>
              <w:jc w:val="both"/>
              <w:rPr>
                <w:rFonts w:ascii="Times New Roman" w:hAnsi="Times New Roman" w:cs="Times New Roman"/>
                <w:sz w:val="20"/>
                <w:szCs w:val="20"/>
              </w:rPr>
            </w:pPr>
          </w:p>
        </w:tc>
      </w:tr>
      <w:tr w:rsidR="0078772E" w:rsidTr="0078772E">
        <w:tc>
          <w:tcPr>
            <w:tcW w:w="3116" w:type="dxa"/>
          </w:tcPr>
          <w:p w:rsidR="0078772E" w:rsidRDefault="0078772E" w:rsidP="0078772E">
            <w:pPr>
              <w:jc w:val="both"/>
              <w:rPr>
                <w:rFonts w:ascii="Times New Roman" w:hAnsi="Times New Roman" w:cs="Times New Roman"/>
                <w:sz w:val="20"/>
                <w:szCs w:val="20"/>
              </w:rPr>
            </w:pPr>
            <w:r>
              <w:rPr>
                <w:rFonts w:ascii="Times New Roman" w:hAnsi="Times New Roman" w:cs="Times New Roman"/>
                <w:sz w:val="20"/>
                <w:szCs w:val="20"/>
              </w:rPr>
              <w:t>P(T&lt;=t) two tail</w:t>
            </w:r>
          </w:p>
        </w:tc>
        <w:tc>
          <w:tcPr>
            <w:tcW w:w="3117" w:type="dxa"/>
          </w:tcPr>
          <w:p w:rsidR="0078772E" w:rsidRDefault="0078772E" w:rsidP="0078772E">
            <w:pPr>
              <w:jc w:val="center"/>
              <w:rPr>
                <w:rFonts w:ascii="Times New Roman" w:hAnsi="Times New Roman" w:cs="Times New Roman"/>
                <w:sz w:val="20"/>
                <w:szCs w:val="20"/>
              </w:rPr>
            </w:pPr>
            <w:r>
              <w:rPr>
                <w:rFonts w:ascii="Times New Roman" w:hAnsi="Times New Roman" w:cs="Times New Roman"/>
                <w:sz w:val="20"/>
                <w:szCs w:val="20"/>
              </w:rPr>
              <w:t>0.000123</w:t>
            </w:r>
          </w:p>
        </w:tc>
        <w:tc>
          <w:tcPr>
            <w:tcW w:w="3117" w:type="dxa"/>
          </w:tcPr>
          <w:p w:rsidR="0078772E" w:rsidRDefault="0078772E" w:rsidP="0078772E">
            <w:pPr>
              <w:jc w:val="both"/>
              <w:rPr>
                <w:rFonts w:ascii="Times New Roman" w:hAnsi="Times New Roman" w:cs="Times New Roman"/>
                <w:sz w:val="20"/>
                <w:szCs w:val="20"/>
              </w:rPr>
            </w:pPr>
          </w:p>
        </w:tc>
      </w:tr>
      <w:tr w:rsidR="0078772E" w:rsidTr="0078772E">
        <w:tc>
          <w:tcPr>
            <w:tcW w:w="3116" w:type="dxa"/>
          </w:tcPr>
          <w:p w:rsidR="0078772E" w:rsidRDefault="0078772E" w:rsidP="0078772E">
            <w:pPr>
              <w:jc w:val="both"/>
              <w:rPr>
                <w:rFonts w:ascii="Times New Roman" w:hAnsi="Times New Roman" w:cs="Times New Roman"/>
                <w:sz w:val="20"/>
                <w:szCs w:val="20"/>
              </w:rPr>
            </w:pPr>
            <w:r>
              <w:rPr>
                <w:rFonts w:ascii="Times New Roman" w:hAnsi="Times New Roman" w:cs="Times New Roman"/>
                <w:sz w:val="20"/>
                <w:szCs w:val="20"/>
              </w:rPr>
              <w:t>T Critical two-tail</w:t>
            </w:r>
          </w:p>
        </w:tc>
        <w:tc>
          <w:tcPr>
            <w:tcW w:w="3117" w:type="dxa"/>
          </w:tcPr>
          <w:p w:rsidR="0078772E" w:rsidRDefault="0078772E" w:rsidP="0078772E">
            <w:pPr>
              <w:jc w:val="center"/>
              <w:rPr>
                <w:rFonts w:ascii="Times New Roman" w:hAnsi="Times New Roman" w:cs="Times New Roman"/>
                <w:sz w:val="20"/>
                <w:szCs w:val="20"/>
              </w:rPr>
            </w:pPr>
            <w:r>
              <w:rPr>
                <w:rFonts w:ascii="Times New Roman" w:hAnsi="Times New Roman" w:cs="Times New Roman"/>
                <w:sz w:val="20"/>
                <w:szCs w:val="20"/>
              </w:rPr>
              <w:t>1.965191</w:t>
            </w:r>
          </w:p>
        </w:tc>
        <w:tc>
          <w:tcPr>
            <w:tcW w:w="3117" w:type="dxa"/>
          </w:tcPr>
          <w:p w:rsidR="0078772E" w:rsidRDefault="0078772E" w:rsidP="0078772E">
            <w:pPr>
              <w:jc w:val="both"/>
              <w:rPr>
                <w:rFonts w:ascii="Times New Roman" w:hAnsi="Times New Roman" w:cs="Times New Roman"/>
                <w:sz w:val="20"/>
                <w:szCs w:val="20"/>
              </w:rPr>
            </w:pPr>
          </w:p>
        </w:tc>
      </w:tr>
    </w:tbl>
    <w:p w:rsidR="003744BF" w:rsidRDefault="003744BF" w:rsidP="00096B84">
      <w:pPr>
        <w:ind w:firstLine="720"/>
        <w:jc w:val="both"/>
        <w:rPr>
          <w:rFonts w:ascii="Times New Roman" w:hAnsi="Times New Roman" w:cs="Times New Roman"/>
          <w:sz w:val="20"/>
          <w:szCs w:val="20"/>
        </w:rPr>
      </w:pPr>
    </w:p>
    <w:p w:rsidR="00586315" w:rsidRDefault="00586315" w:rsidP="0078772E">
      <w:pPr>
        <w:ind w:firstLine="720"/>
        <w:jc w:val="both"/>
        <w:rPr>
          <w:rFonts w:ascii="Times New Roman" w:hAnsi="Times New Roman" w:cs="Times New Roman"/>
          <w:sz w:val="20"/>
          <w:szCs w:val="20"/>
        </w:rPr>
      </w:pPr>
      <w:r>
        <w:rPr>
          <w:rFonts w:ascii="Times New Roman" w:hAnsi="Times New Roman" w:cs="Times New Roman"/>
          <w:sz w:val="20"/>
          <w:szCs w:val="20"/>
        </w:rPr>
        <w:t>The independent t-test or the two sample t-test is the appropriate analyses method in this situation. This is an inferential statistical test that determines whether there is a statically significant difference between the means of two populations. The null hypothesis in this case is Ho: u</w:t>
      </w:r>
      <w:r w:rsidRPr="00586315">
        <w:rPr>
          <w:rFonts w:ascii="Times New Roman" w:hAnsi="Times New Roman" w:cs="Times New Roman"/>
          <w:sz w:val="20"/>
          <w:szCs w:val="20"/>
          <w:vertAlign w:val="subscript"/>
        </w:rPr>
        <w:t>1</w:t>
      </w:r>
      <w:r>
        <w:rPr>
          <w:rFonts w:ascii="Times New Roman" w:hAnsi="Times New Roman" w:cs="Times New Roman"/>
          <w:sz w:val="20"/>
          <w:szCs w:val="20"/>
        </w:rPr>
        <w:t xml:space="preserve"> = u</w:t>
      </w:r>
      <w:r w:rsidRPr="00586315">
        <w:rPr>
          <w:rFonts w:ascii="Times New Roman" w:hAnsi="Times New Roman" w:cs="Times New Roman"/>
          <w:sz w:val="20"/>
          <w:szCs w:val="20"/>
          <w:vertAlign w:val="subscript"/>
        </w:rPr>
        <w:t>2</w:t>
      </w:r>
      <w:r>
        <w:rPr>
          <w:rFonts w:ascii="Times New Roman" w:hAnsi="Times New Roman" w:cs="Times New Roman"/>
          <w:sz w:val="20"/>
          <w:szCs w:val="20"/>
        </w:rPr>
        <w:t>. In other words, no difference between the population means for men and women</w:t>
      </w:r>
      <w:r w:rsidR="004B147D">
        <w:rPr>
          <w:rFonts w:ascii="Times New Roman" w:hAnsi="Times New Roman" w:cs="Times New Roman"/>
          <w:sz w:val="20"/>
          <w:szCs w:val="20"/>
        </w:rPr>
        <w:t xml:space="preserve"> exists</w:t>
      </w:r>
      <w:r>
        <w:rPr>
          <w:rFonts w:ascii="Times New Roman" w:hAnsi="Times New Roman" w:cs="Times New Roman"/>
          <w:sz w:val="20"/>
          <w:szCs w:val="20"/>
        </w:rPr>
        <w:t xml:space="preserve">. </w:t>
      </w:r>
      <w:r w:rsidR="001A656F">
        <w:rPr>
          <w:rFonts w:ascii="Times New Roman" w:hAnsi="Times New Roman" w:cs="Times New Roman"/>
          <w:sz w:val="20"/>
          <w:szCs w:val="20"/>
        </w:rPr>
        <w:t>The alternative hypothesis is H</w:t>
      </w:r>
      <w:r w:rsidR="001A656F" w:rsidRPr="001A656F">
        <w:rPr>
          <w:rFonts w:ascii="Times New Roman" w:hAnsi="Times New Roman" w:cs="Times New Roman"/>
          <w:sz w:val="20"/>
          <w:szCs w:val="20"/>
          <w:vertAlign w:val="subscript"/>
        </w:rPr>
        <w:t>A</w:t>
      </w:r>
      <w:r w:rsidR="001A656F">
        <w:rPr>
          <w:rFonts w:ascii="Times New Roman" w:hAnsi="Times New Roman" w:cs="Times New Roman"/>
          <w:sz w:val="20"/>
          <w:szCs w:val="20"/>
        </w:rPr>
        <w:t>: u</w:t>
      </w:r>
      <w:r w:rsidR="001A656F" w:rsidRPr="001A656F">
        <w:rPr>
          <w:rFonts w:ascii="Times New Roman" w:hAnsi="Times New Roman" w:cs="Times New Roman"/>
          <w:sz w:val="20"/>
          <w:szCs w:val="20"/>
          <w:vertAlign w:val="subscript"/>
        </w:rPr>
        <w:t xml:space="preserve">1 </w:t>
      </w:r>
      <w:r w:rsidR="001A656F">
        <w:rPr>
          <w:rFonts w:ascii="Times New Roman" w:hAnsi="Times New Roman" w:cs="Times New Roman"/>
          <w:sz w:val="20"/>
          <w:szCs w:val="20"/>
        </w:rPr>
        <w:t xml:space="preserve">≠ </w:t>
      </w:r>
      <w:r w:rsidR="001A656F" w:rsidRPr="001A656F">
        <w:rPr>
          <w:rFonts w:ascii="Times New Roman" w:hAnsi="Times New Roman" w:cs="Times New Roman"/>
          <w:sz w:val="20"/>
          <w:szCs w:val="20"/>
        </w:rPr>
        <w:t>u</w:t>
      </w:r>
      <w:r w:rsidR="001A656F" w:rsidRPr="001A656F">
        <w:rPr>
          <w:rFonts w:ascii="Times New Roman" w:hAnsi="Times New Roman" w:cs="Times New Roman"/>
          <w:sz w:val="20"/>
          <w:szCs w:val="20"/>
          <w:vertAlign w:val="subscript"/>
        </w:rPr>
        <w:t>2</w:t>
      </w:r>
      <w:r w:rsidR="001A656F">
        <w:rPr>
          <w:rFonts w:ascii="Times New Roman" w:hAnsi="Times New Roman" w:cs="Times New Roman"/>
          <w:sz w:val="20"/>
          <w:szCs w:val="20"/>
        </w:rPr>
        <w:t>.</w:t>
      </w:r>
      <w:r>
        <w:rPr>
          <w:rFonts w:ascii="Times New Roman" w:hAnsi="Times New Roman" w:cs="Times New Roman"/>
          <w:sz w:val="20"/>
          <w:szCs w:val="20"/>
        </w:rPr>
        <w:t xml:space="preserve"> </w:t>
      </w:r>
      <w:r w:rsidR="001A656F">
        <w:rPr>
          <w:rFonts w:ascii="Times New Roman" w:hAnsi="Times New Roman" w:cs="Times New Roman"/>
          <w:sz w:val="20"/>
          <w:szCs w:val="20"/>
        </w:rPr>
        <w:t>This means</w:t>
      </w:r>
      <w:r w:rsidR="004B147D">
        <w:rPr>
          <w:rFonts w:ascii="Times New Roman" w:hAnsi="Times New Roman" w:cs="Times New Roman"/>
          <w:sz w:val="20"/>
          <w:szCs w:val="20"/>
        </w:rPr>
        <w:t xml:space="preserve"> that</w:t>
      </w:r>
      <w:r w:rsidR="001A656F">
        <w:rPr>
          <w:rFonts w:ascii="Times New Roman" w:hAnsi="Times New Roman" w:cs="Times New Roman"/>
          <w:sz w:val="20"/>
          <w:szCs w:val="20"/>
        </w:rPr>
        <w:t xml:space="preserve"> a statistically significant differences</w:t>
      </w:r>
      <w:r w:rsidR="004B147D">
        <w:rPr>
          <w:rFonts w:ascii="Times New Roman" w:hAnsi="Times New Roman" w:cs="Times New Roman"/>
          <w:sz w:val="20"/>
          <w:szCs w:val="20"/>
        </w:rPr>
        <w:t xml:space="preserve"> exists</w:t>
      </w:r>
      <w:r w:rsidR="001A656F">
        <w:rPr>
          <w:rFonts w:ascii="Times New Roman" w:hAnsi="Times New Roman" w:cs="Times New Roman"/>
          <w:sz w:val="20"/>
          <w:szCs w:val="20"/>
        </w:rPr>
        <w:t xml:space="preserve"> in the population mean for men and that for women.</w:t>
      </w:r>
      <w:r w:rsidR="00B47993">
        <w:rPr>
          <w:rFonts w:ascii="Times New Roman" w:hAnsi="Times New Roman" w:cs="Times New Roman"/>
          <w:sz w:val="20"/>
          <w:szCs w:val="20"/>
        </w:rPr>
        <w:t xml:space="preserve"> </w:t>
      </w:r>
      <w:r w:rsidR="004B147D">
        <w:rPr>
          <w:rFonts w:ascii="Times New Roman" w:hAnsi="Times New Roman" w:cs="Times New Roman"/>
          <w:sz w:val="20"/>
          <w:szCs w:val="20"/>
        </w:rPr>
        <w:t>T</w:t>
      </w:r>
      <w:r w:rsidR="00B47993">
        <w:rPr>
          <w:rFonts w:ascii="Times New Roman" w:hAnsi="Times New Roman" w:cs="Times New Roman"/>
          <w:sz w:val="20"/>
          <w:szCs w:val="20"/>
        </w:rPr>
        <w:t>he t-statistic was found to be -3.6 indicating that there was a statistically significant difference between the GPAs of male and female students. The null hypothesis is rejected, and the alternative hypothesis is accepted.</w:t>
      </w:r>
    </w:p>
    <w:p w:rsidR="004D2E91" w:rsidRPr="00096B84" w:rsidRDefault="004D2E91" w:rsidP="00824845">
      <w:pPr>
        <w:jc w:val="both"/>
        <w:rPr>
          <w:rFonts w:ascii="Times New Roman" w:hAnsi="Times New Roman" w:cs="Times New Roman"/>
          <w:b/>
          <w:caps/>
          <w:sz w:val="20"/>
          <w:szCs w:val="20"/>
        </w:rPr>
      </w:pPr>
      <w:r w:rsidRPr="00096B84">
        <w:rPr>
          <w:rFonts w:ascii="Times New Roman" w:hAnsi="Times New Roman" w:cs="Times New Roman"/>
          <w:b/>
          <w:caps/>
          <w:sz w:val="20"/>
          <w:szCs w:val="20"/>
        </w:rPr>
        <w:t>Contribution to the Literature</w:t>
      </w:r>
    </w:p>
    <w:p w:rsidR="00E559DB" w:rsidRDefault="00B47993" w:rsidP="00824845">
      <w:pPr>
        <w:jc w:val="both"/>
        <w:rPr>
          <w:rFonts w:ascii="Times New Roman" w:hAnsi="Times New Roman" w:cs="Times New Roman"/>
          <w:sz w:val="20"/>
          <w:szCs w:val="20"/>
        </w:rPr>
      </w:pPr>
      <w:r>
        <w:rPr>
          <w:rFonts w:ascii="Times New Roman" w:hAnsi="Times New Roman" w:cs="Times New Roman"/>
          <w:sz w:val="20"/>
          <w:szCs w:val="20"/>
        </w:rPr>
        <w:tab/>
        <w:t xml:space="preserve">This study adds to the body of literature indicating that there is a gender effect in accounting courses. Specifically, in management accounting courses. The additional question that must be asked is why there is a gender effect. The literature </w:t>
      </w:r>
      <w:r w:rsidR="00240538">
        <w:rPr>
          <w:rFonts w:ascii="Times New Roman" w:hAnsi="Times New Roman" w:cs="Times New Roman"/>
          <w:sz w:val="20"/>
          <w:szCs w:val="20"/>
        </w:rPr>
        <w:t>suggests</w:t>
      </w:r>
      <w:r>
        <w:rPr>
          <w:rFonts w:ascii="Times New Roman" w:hAnsi="Times New Roman" w:cs="Times New Roman"/>
          <w:sz w:val="20"/>
          <w:szCs w:val="20"/>
        </w:rPr>
        <w:t xml:space="preserve"> that </w:t>
      </w:r>
      <w:r w:rsidR="00240538">
        <w:rPr>
          <w:rFonts w:ascii="Times New Roman" w:hAnsi="Times New Roman" w:cs="Times New Roman"/>
          <w:sz w:val="20"/>
          <w:szCs w:val="20"/>
        </w:rPr>
        <w:t>these variables</w:t>
      </w:r>
      <w:r>
        <w:rPr>
          <w:rFonts w:ascii="Times New Roman" w:hAnsi="Times New Roman" w:cs="Times New Roman"/>
          <w:sz w:val="20"/>
          <w:szCs w:val="20"/>
        </w:rPr>
        <w:t xml:space="preserve"> include student maturity, student motivation, and student effort. Future research should look at these variables</w:t>
      </w:r>
      <w:r w:rsidR="00240538">
        <w:rPr>
          <w:rFonts w:ascii="Times New Roman" w:hAnsi="Times New Roman" w:cs="Times New Roman"/>
          <w:sz w:val="20"/>
          <w:szCs w:val="20"/>
        </w:rPr>
        <w:t xml:space="preserve"> and their impact on the gender effect. This is important in establishing the methods that can be used to decrease or eliminate the gender effect.</w:t>
      </w:r>
      <w:r w:rsidR="004B147D">
        <w:rPr>
          <w:rFonts w:ascii="Times New Roman" w:hAnsi="Times New Roman" w:cs="Times New Roman"/>
          <w:sz w:val="20"/>
          <w:szCs w:val="20"/>
        </w:rPr>
        <w:t xml:space="preserve"> This could </w:t>
      </w:r>
      <w:r w:rsidR="00890E3C">
        <w:rPr>
          <w:rFonts w:ascii="Times New Roman" w:hAnsi="Times New Roman" w:cs="Times New Roman"/>
          <w:sz w:val="20"/>
          <w:szCs w:val="20"/>
        </w:rPr>
        <w:t>include</w:t>
      </w:r>
      <w:r w:rsidR="004B147D">
        <w:rPr>
          <w:rFonts w:ascii="Times New Roman" w:hAnsi="Times New Roman" w:cs="Times New Roman"/>
          <w:sz w:val="20"/>
          <w:szCs w:val="20"/>
        </w:rPr>
        <w:t xml:space="preserve"> choosing instructional methods and motivating students.</w:t>
      </w:r>
    </w:p>
    <w:p w:rsidR="00E559DB" w:rsidRDefault="00E559DB" w:rsidP="004B147D">
      <w:pPr>
        <w:jc w:val="center"/>
        <w:rPr>
          <w:rFonts w:ascii="Times New Roman" w:hAnsi="Times New Roman" w:cs="Times New Roman"/>
          <w:sz w:val="20"/>
          <w:szCs w:val="20"/>
        </w:rPr>
      </w:pPr>
      <w:r>
        <w:rPr>
          <w:rFonts w:ascii="Times New Roman" w:hAnsi="Times New Roman" w:cs="Times New Roman"/>
          <w:sz w:val="20"/>
          <w:szCs w:val="20"/>
        </w:rPr>
        <w:br w:type="page"/>
      </w:r>
      <w:r>
        <w:rPr>
          <w:rFonts w:ascii="Times New Roman" w:hAnsi="Times New Roman" w:cs="Times New Roman"/>
          <w:sz w:val="20"/>
          <w:szCs w:val="20"/>
        </w:rPr>
        <w:lastRenderedPageBreak/>
        <w:t>References</w:t>
      </w:r>
    </w:p>
    <w:p w:rsidR="00E559DB" w:rsidRDefault="00A25E2B" w:rsidP="00A25E2B">
      <w:pPr>
        <w:ind w:left="720" w:hanging="720"/>
        <w:rPr>
          <w:rFonts w:ascii="Times New Roman" w:hAnsi="Times New Roman" w:cs="Times New Roman"/>
          <w:sz w:val="20"/>
          <w:szCs w:val="20"/>
        </w:rPr>
      </w:pPr>
      <w:proofErr w:type="spellStart"/>
      <w:r>
        <w:rPr>
          <w:rFonts w:ascii="Times New Roman" w:hAnsi="Times New Roman" w:cs="Times New Roman"/>
          <w:sz w:val="20"/>
          <w:szCs w:val="20"/>
        </w:rPr>
        <w:t>Buckless</w:t>
      </w:r>
      <w:proofErr w:type="spellEnd"/>
      <w:r>
        <w:rPr>
          <w:rFonts w:ascii="Times New Roman" w:hAnsi="Times New Roman" w:cs="Times New Roman"/>
          <w:sz w:val="20"/>
          <w:szCs w:val="20"/>
        </w:rPr>
        <w:t xml:space="preserve">, F, </w:t>
      </w:r>
      <w:proofErr w:type="spellStart"/>
      <w:r>
        <w:rPr>
          <w:rFonts w:ascii="Times New Roman" w:hAnsi="Times New Roman" w:cs="Times New Roman"/>
          <w:sz w:val="20"/>
          <w:szCs w:val="20"/>
        </w:rPr>
        <w:t>Lipe</w:t>
      </w:r>
      <w:proofErr w:type="spellEnd"/>
      <w:r>
        <w:rPr>
          <w:rFonts w:ascii="Times New Roman" w:hAnsi="Times New Roman" w:cs="Times New Roman"/>
          <w:sz w:val="20"/>
          <w:szCs w:val="20"/>
        </w:rPr>
        <w:t xml:space="preserve">, M., Ravenscroft, S. (1991). </w:t>
      </w:r>
      <w:r w:rsidRPr="004B147D">
        <w:rPr>
          <w:rFonts w:ascii="Times New Roman" w:hAnsi="Times New Roman" w:cs="Times New Roman"/>
          <w:i/>
          <w:sz w:val="20"/>
          <w:szCs w:val="20"/>
        </w:rPr>
        <w:t>Do gender effects on accounting course performance persist after controlling for general academic aptitude. Issues in Accounting Education,</w:t>
      </w:r>
      <w:r>
        <w:rPr>
          <w:rFonts w:ascii="Times New Roman" w:hAnsi="Times New Roman" w:cs="Times New Roman"/>
          <w:sz w:val="20"/>
          <w:szCs w:val="20"/>
        </w:rPr>
        <w:t xml:space="preserve"> </w:t>
      </w:r>
      <w:r w:rsidR="004B147D">
        <w:rPr>
          <w:rFonts w:ascii="Times New Roman" w:hAnsi="Times New Roman" w:cs="Times New Roman"/>
          <w:sz w:val="20"/>
          <w:szCs w:val="20"/>
        </w:rPr>
        <w:t>6(2)</w:t>
      </w:r>
      <w:r w:rsidR="00EA17BF">
        <w:rPr>
          <w:rFonts w:ascii="Times New Roman" w:hAnsi="Times New Roman" w:cs="Times New Roman"/>
          <w:sz w:val="20"/>
          <w:szCs w:val="20"/>
        </w:rPr>
        <w:t>, 248-261.</w:t>
      </w:r>
    </w:p>
    <w:p w:rsidR="00E559DB" w:rsidRDefault="00E559DB" w:rsidP="00E559DB">
      <w:pPr>
        <w:ind w:left="720" w:hanging="720"/>
        <w:rPr>
          <w:rFonts w:ascii="Times New Roman" w:hAnsi="Times New Roman" w:cs="Times New Roman"/>
          <w:sz w:val="20"/>
          <w:szCs w:val="20"/>
        </w:rPr>
      </w:pPr>
      <w:r>
        <w:rPr>
          <w:rFonts w:ascii="Times New Roman" w:hAnsi="Times New Roman" w:cs="Times New Roman"/>
          <w:sz w:val="20"/>
          <w:szCs w:val="20"/>
        </w:rPr>
        <w:t xml:space="preserve">Cole, N. S., (1997). </w:t>
      </w:r>
      <w:r w:rsidRPr="00EA17BF">
        <w:rPr>
          <w:rFonts w:ascii="Times New Roman" w:hAnsi="Times New Roman" w:cs="Times New Roman"/>
          <w:i/>
          <w:sz w:val="20"/>
          <w:szCs w:val="20"/>
        </w:rPr>
        <w:t>The ETS gender study: How females and males perform in educational settings.</w:t>
      </w:r>
      <w:r>
        <w:rPr>
          <w:rFonts w:ascii="Times New Roman" w:hAnsi="Times New Roman" w:cs="Times New Roman"/>
          <w:sz w:val="20"/>
          <w:szCs w:val="20"/>
        </w:rPr>
        <w:t xml:space="preserve"> Educational Testing Service, Princeton, NJ.</w:t>
      </w:r>
    </w:p>
    <w:p w:rsidR="001F11BE" w:rsidRDefault="001F11BE" w:rsidP="00E559DB">
      <w:pPr>
        <w:ind w:left="720" w:hanging="720"/>
        <w:rPr>
          <w:rFonts w:ascii="Times New Roman" w:hAnsi="Times New Roman" w:cs="Times New Roman"/>
          <w:sz w:val="20"/>
          <w:szCs w:val="20"/>
        </w:rPr>
      </w:pPr>
      <w:r>
        <w:rPr>
          <w:rFonts w:ascii="Times New Roman" w:hAnsi="Times New Roman" w:cs="Times New Roman"/>
          <w:sz w:val="20"/>
          <w:szCs w:val="20"/>
        </w:rPr>
        <w:t xml:space="preserve">Davies, J. (2005). </w:t>
      </w:r>
      <w:r w:rsidRPr="00EA17BF">
        <w:rPr>
          <w:rFonts w:ascii="Times New Roman" w:hAnsi="Times New Roman" w:cs="Times New Roman"/>
          <w:i/>
          <w:sz w:val="20"/>
          <w:szCs w:val="20"/>
        </w:rPr>
        <w:t>Expressions of gender: An analysis of pupils’ gendered discourse styles in small group classroom discussions</w:t>
      </w:r>
      <w:r>
        <w:rPr>
          <w:rFonts w:ascii="Times New Roman" w:hAnsi="Times New Roman" w:cs="Times New Roman"/>
          <w:sz w:val="20"/>
          <w:szCs w:val="20"/>
        </w:rPr>
        <w:t xml:space="preserve">. </w:t>
      </w:r>
      <w:r w:rsidRPr="001F11BE">
        <w:rPr>
          <w:rFonts w:ascii="Times New Roman" w:hAnsi="Times New Roman" w:cs="Times New Roman"/>
          <w:i/>
          <w:sz w:val="20"/>
          <w:szCs w:val="20"/>
        </w:rPr>
        <w:t>Discourse and Society</w:t>
      </w:r>
      <w:r>
        <w:rPr>
          <w:rFonts w:ascii="Times New Roman" w:hAnsi="Times New Roman" w:cs="Times New Roman"/>
          <w:sz w:val="20"/>
          <w:szCs w:val="20"/>
        </w:rPr>
        <w:t>, 142(2), 115-132.</w:t>
      </w:r>
    </w:p>
    <w:p w:rsidR="00BD18D5" w:rsidRDefault="00BD18D5" w:rsidP="00E559DB">
      <w:pPr>
        <w:ind w:left="720" w:hanging="720"/>
        <w:rPr>
          <w:rFonts w:ascii="Times New Roman" w:hAnsi="Times New Roman" w:cs="Times New Roman"/>
          <w:sz w:val="20"/>
          <w:szCs w:val="20"/>
        </w:rPr>
      </w:pPr>
      <w:r>
        <w:rPr>
          <w:rFonts w:ascii="Times New Roman" w:hAnsi="Times New Roman" w:cs="Times New Roman"/>
          <w:sz w:val="20"/>
          <w:szCs w:val="20"/>
        </w:rPr>
        <w:t xml:space="preserve">Duckworth, A., &amp; Seligman, M. (2006). </w:t>
      </w:r>
      <w:r w:rsidRPr="00EA17BF">
        <w:rPr>
          <w:rFonts w:ascii="Times New Roman" w:hAnsi="Times New Roman" w:cs="Times New Roman"/>
          <w:i/>
          <w:sz w:val="20"/>
          <w:szCs w:val="20"/>
        </w:rPr>
        <w:t>Self-discipline gives girls the edge: Gender in self-discipline, grades, and achievement test scores</w:t>
      </w:r>
      <w:r>
        <w:rPr>
          <w:rFonts w:ascii="Times New Roman" w:hAnsi="Times New Roman" w:cs="Times New Roman"/>
          <w:sz w:val="20"/>
          <w:szCs w:val="20"/>
        </w:rPr>
        <w:t xml:space="preserve">. </w:t>
      </w:r>
      <w:r w:rsidRPr="00BD18D5">
        <w:rPr>
          <w:rFonts w:ascii="Times New Roman" w:hAnsi="Times New Roman" w:cs="Times New Roman"/>
          <w:i/>
          <w:sz w:val="20"/>
          <w:szCs w:val="20"/>
        </w:rPr>
        <w:t>Journal of Educational Psychology</w:t>
      </w:r>
      <w:r>
        <w:rPr>
          <w:rFonts w:ascii="Times New Roman" w:hAnsi="Times New Roman" w:cs="Times New Roman"/>
          <w:sz w:val="20"/>
          <w:szCs w:val="20"/>
        </w:rPr>
        <w:t>, 98, 198-308.</w:t>
      </w:r>
    </w:p>
    <w:p w:rsidR="008A4C10" w:rsidRDefault="008A4C10" w:rsidP="00E559DB">
      <w:pPr>
        <w:ind w:left="720" w:hanging="720"/>
        <w:rPr>
          <w:rFonts w:ascii="Times New Roman" w:hAnsi="Times New Roman" w:cs="Times New Roman"/>
          <w:sz w:val="20"/>
          <w:szCs w:val="20"/>
        </w:rPr>
      </w:pPr>
      <w:r>
        <w:rPr>
          <w:rFonts w:ascii="Times New Roman" w:hAnsi="Times New Roman" w:cs="Times New Roman"/>
          <w:sz w:val="20"/>
          <w:szCs w:val="20"/>
        </w:rPr>
        <w:t>Educational Psychology</w:t>
      </w:r>
      <w:r w:rsidR="00EA17BF">
        <w:rPr>
          <w:rFonts w:ascii="Times New Roman" w:hAnsi="Times New Roman" w:cs="Times New Roman"/>
          <w:sz w:val="20"/>
          <w:szCs w:val="20"/>
        </w:rPr>
        <w:t xml:space="preserve"> (n.d.)</w:t>
      </w:r>
      <w:r>
        <w:rPr>
          <w:rFonts w:ascii="Times New Roman" w:hAnsi="Times New Roman" w:cs="Times New Roman"/>
          <w:sz w:val="20"/>
          <w:szCs w:val="20"/>
        </w:rPr>
        <w:t xml:space="preserve"> Module 4: </w:t>
      </w:r>
      <w:r w:rsidRPr="00EA17BF">
        <w:rPr>
          <w:rFonts w:ascii="Times New Roman" w:hAnsi="Times New Roman" w:cs="Times New Roman"/>
          <w:i/>
          <w:sz w:val="20"/>
          <w:szCs w:val="20"/>
        </w:rPr>
        <w:t>Student diversity: Gender differences in the classroom.</w:t>
      </w:r>
      <w:r>
        <w:rPr>
          <w:rFonts w:ascii="Times New Roman" w:hAnsi="Times New Roman" w:cs="Times New Roman"/>
          <w:sz w:val="20"/>
          <w:szCs w:val="20"/>
        </w:rPr>
        <w:t xml:space="preserve"> Retrieved on March 1, 2018, from https;//courses.lumenlearning.com/educationalpsychology/chapter/gender-differences-in-the-classroom.</w:t>
      </w:r>
    </w:p>
    <w:p w:rsidR="00E05E98" w:rsidRDefault="00E05E98" w:rsidP="00E559DB">
      <w:pPr>
        <w:ind w:left="720" w:hanging="720"/>
        <w:rPr>
          <w:rFonts w:ascii="Times New Roman" w:hAnsi="Times New Roman" w:cs="Times New Roman"/>
          <w:sz w:val="20"/>
          <w:szCs w:val="20"/>
        </w:rPr>
      </w:pPr>
      <w:proofErr w:type="spellStart"/>
      <w:r>
        <w:rPr>
          <w:rFonts w:ascii="Times New Roman" w:hAnsi="Times New Roman" w:cs="Times New Roman"/>
          <w:sz w:val="20"/>
          <w:szCs w:val="20"/>
        </w:rPr>
        <w:t>Everaert</w:t>
      </w:r>
      <w:proofErr w:type="spellEnd"/>
      <w:r>
        <w:rPr>
          <w:rFonts w:ascii="Times New Roman" w:hAnsi="Times New Roman" w:cs="Times New Roman"/>
          <w:sz w:val="20"/>
          <w:szCs w:val="20"/>
        </w:rPr>
        <w:t xml:space="preserve">, P. (2012). </w:t>
      </w:r>
      <w:r w:rsidRPr="00EA17BF">
        <w:rPr>
          <w:rFonts w:ascii="Times New Roman" w:hAnsi="Times New Roman" w:cs="Times New Roman"/>
          <w:i/>
          <w:sz w:val="20"/>
          <w:szCs w:val="20"/>
        </w:rPr>
        <w:t>Gender and performance in accounting examinations: Exploring the impact of examination format.</w:t>
      </w:r>
      <w:r>
        <w:rPr>
          <w:rFonts w:ascii="Times New Roman" w:hAnsi="Times New Roman" w:cs="Times New Roman"/>
          <w:sz w:val="20"/>
          <w:szCs w:val="20"/>
        </w:rPr>
        <w:t xml:space="preserve"> </w:t>
      </w:r>
      <w:r w:rsidRPr="00EA17BF">
        <w:rPr>
          <w:rFonts w:ascii="Times New Roman" w:hAnsi="Times New Roman" w:cs="Times New Roman"/>
          <w:i/>
          <w:sz w:val="20"/>
          <w:szCs w:val="20"/>
        </w:rPr>
        <w:t>Accounting Education,</w:t>
      </w:r>
      <w:r>
        <w:rPr>
          <w:rFonts w:ascii="Times New Roman" w:hAnsi="Times New Roman" w:cs="Times New Roman"/>
          <w:sz w:val="20"/>
          <w:szCs w:val="20"/>
        </w:rPr>
        <w:t xml:space="preserve"> 21</w:t>
      </w:r>
      <w:r w:rsidR="00EA17BF">
        <w:rPr>
          <w:rFonts w:ascii="Times New Roman" w:hAnsi="Times New Roman" w:cs="Times New Roman"/>
          <w:sz w:val="20"/>
          <w:szCs w:val="20"/>
        </w:rPr>
        <w:t>(</w:t>
      </w:r>
      <w:r>
        <w:rPr>
          <w:rFonts w:ascii="Times New Roman" w:hAnsi="Times New Roman" w:cs="Times New Roman"/>
          <w:sz w:val="20"/>
          <w:szCs w:val="20"/>
        </w:rPr>
        <w:t>5</w:t>
      </w:r>
      <w:r w:rsidR="00EA17BF">
        <w:rPr>
          <w:rFonts w:ascii="Times New Roman" w:hAnsi="Times New Roman" w:cs="Times New Roman"/>
          <w:sz w:val="20"/>
          <w:szCs w:val="20"/>
        </w:rPr>
        <w:t>)</w:t>
      </w:r>
      <w:r>
        <w:rPr>
          <w:rFonts w:ascii="Times New Roman" w:hAnsi="Times New Roman" w:cs="Times New Roman"/>
          <w:sz w:val="20"/>
          <w:szCs w:val="20"/>
        </w:rPr>
        <w:t>, 471-487.</w:t>
      </w:r>
    </w:p>
    <w:p w:rsidR="00E559DB" w:rsidRDefault="00D961A3" w:rsidP="00BD18D5">
      <w:pPr>
        <w:ind w:left="720" w:hanging="720"/>
        <w:rPr>
          <w:rFonts w:ascii="Times New Roman" w:hAnsi="Times New Roman" w:cs="Times New Roman"/>
          <w:i/>
          <w:sz w:val="20"/>
          <w:szCs w:val="20"/>
        </w:rPr>
      </w:pPr>
      <w:proofErr w:type="spellStart"/>
      <w:r>
        <w:rPr>
          <w:rFonts w:ascii="Times New Roman" w:hAnsi="Times New Roman" w:cs="Times New Roman"/>
          <w:sz w:val="20"/>
          <w:szCs w:val="20"/>
        </w:rPr>
        <w:t>Fallan</w:t>
      </w:r>
      <w:proofErr w:type="spellEnd"/>
      <w:r>
        <w:rPr>
          <w:rFonts w:ascii="Times New Roman" w:hAnsi="Times New Roman" w:cs="Times New Roman"/>
          <w:sz w:val="20"/>
          <w:szCs w:val="20"/>
        </w:rPr>
        <w:t xml:space="preserve">, L., &amp; </w:t>
      </w:r>
      <w:proofErr w:type="spellStart"/>
      <w:r>
        <w:rPr>
          <w:rFonts w:ascii="Times New Roman" w:hAnsi="Times New Roman" w:cs="Times New Roman"/>
          <w:sz w:val="20"/>
          <w:szCs w:val="20"/>
        </w:rPr>
        <w:t>Opstad</w:t>
      </w:r>
      <w:proofErr w:type="spellEnd"/>
      <w:r>
        <w:rPr>
          <w:rFonts w:ascii="Times New Roman" w:hAnsi="Times New Roman" w:cs="Times New Roman"/>
          <w:sz w:val="20"/>
          <w:szCs w:val="20"/>
        </w:rPr>
        <w:t>,</w:t>
      </w:r>
      <w:r w:rsidR="009C59EF">
        <w:rPr>
          <w:rFonts w:ascii="Times New Roman" w:hAnsi="Times New Roman" w:cs="Times New Roman"/>
          <w:sz w:val="20"/>
          <w:szCs w:val="20"/>
        </w:rPr>
        <w:t xml:space="preserve"> L.</w:t>
      </w:r>
      <w:r>
        <w:rPr>
          <w:rFonts w:ascii="Times New Roman" w:hAnsi="Times New Roman" w:cs="Times New Roman"/>
          <w:sz w:val="20"/>
          <w:szCs w:val="20"/>
        </w:rPr>
        <w:t xml:space="preserve"> (2014). </w:t>
      </w:r>
      <w:r w:rsidRPr="006713C4">
        <w:rPr>
          <w:rFonts w:ascii="Times New Roman" w:hAnsi="Times New Roman" w:cs="Times New Roman"/>
          <w:i/>
          <w:sz w:val="20"/>
          <w:szCs w:val="20"/>
        </w:rPr>
        <w:t>Beyond gender performance in accounting: Does personality distinction matter.</w:t>
      </w:r>
      <w:r>
        <w:rPr>
          <w:rFonts w:ascii="Times New Roman" w:hAnsi="Times New Roman" w:cs="Times New Roman"/>
          <w:sz w:val="20"/>
          <w:szCs w:val="20"/>
        </w:rPr>
        <w:t xml:space="preserve"> </w:t>
      </w:r>
      <w:r w:rsidRPr="00D961A3">
        <w:rPr>
          <w:rFonts w:ascii="Times New Roman" w:hAnsi="Times New Roman" w:cs="Times New Roman"/>
          <w:i/>
          <w:sz w:val="20"/>
          <w:szCs w:val="20"/>
        </w:rPr>
        <w:t>Accounting Education: an international Journal</w:t>
      </w:r>
      <w:r w:rsidRPr="00D961A3">
        <w:rPr>
          <w:rFonts w:ascii="Times New Roman" w:hAnsi="Times New Roman" w:cs="Times New Roman"/>
          <w:sz w:val="20"/>
          <w:szCs w:val="20"/>
        </w:rPr>
        <w:t>, 23</w:t>
      </w:r>
      <w:r w:rsidR="006713C4">
        <w:rPr>
          <w:rFonts w:ascii="Times New Roman" w:hAnsi="Times New Roman" w:cs="Times New Roman"/>
          <w:sz w:val="20"/>
          <w:szCs w:val="20"/>
        </w:rPr>
        <w:t>(</w:t>
      </w:r>
      <w:r w:rsidRPr="00D961A3">
        <w:rPr>
          <w:rFonts w:ascii="Times New Roman" w:hAnsi="Times New Roman" w:cs="Times New Roman"/>
          <w:sz w:val="20"/>
          <w:szCs w:val="20"/>
        </w:rPr>
        <w:t>4</w:t>
      </w:r>
      <w:r w:rsidR="006713C4">
        <w:rPr>
          <w:rFonts w:ascii="Times New Roman" w:hAnsi="Times New Roman" w:cs="Times New Roman"/>
          <w:sz w:val="20"/>
          <w:szCs w:val="20"/>
        </w:rPr>
        <w:t>)</w:t>
      </w:r>
      <w:r w:rsidRPr="00D961A3">
        <w:rPr>
          <w:rFonts w:ascii="Times New Roman" w:hAnsi="Times New Roman" w:cs="Times New Roman"/>
          <w:sz w:val="20"/>
          <w:szCs w:val="20"/>
        </w:rPr>
        <w:t>, 343-361.</w:t>
      </w:r>
      <w:r>
        <w:rPr>
          <w:rFonts w:ascii="Times New Roman" w:hAnsi="Times New Roman" w:cs="Times New Roman"/>
          <w:i/>
          <w:sz w:val="20"/>
          <w:szCs w:val="20"/>
        </w:rPr>
        <w:t xml:space="preserve">  </w:t>
      </w:r>
    </w:p>
    <w:p w:rsidR="001F11BE" w:rsidRDefault="001F11BE" w:rsidP="00BD18D5">
      <w:pPr>
        <w:ind w:left="720" w:hanging="720"/>
        <w:rPr>
          <w:rFonts w:ascii="Times New Roman" w:hAnsi="Times New Roman" w:cs="Times New Roman"/>
          <w:sz w:val="20"/>
          <w:szCs w:val="20"/>
        </w:rPr>
      </w:pPr>
      <w:r>
        <w:rPr>
          <w:rFonts w:ascii="Times New Roman" w:hAnsi="Times New Roman" w:cs="Times New Roman"/>
          <w:sz w:val="20"/>
          <w:szCs w:val="20"/>
        </w:rPr>
        <w:t xml:space="preserve">Freeman, D. (2004). </w:t>
      </w:r>
      <w:r w:rsidRPr="006713C4">
        <w:rPr>
          <w:rFonts w:ascii="Times New Roman" w:hAnsi="Times New Roman" w:cs="Times New Roman"/>
          <w:i/>
          <w:sz w:val="20"/>
          <w:szCs w:val="20"/>
        </w:rPr>
        <w:t>Trends in educational equity of girls and women.</w:t>
      </w:r>
      <w:r>
        <w:rPr>
          <w:rFonts w:ascii="Times New Roman" w:hAnsi="Times New Roman" w:cs="Times New Roman"/>
          <w:sz w:val="20"/>
          <w:szCs w:val="20"/>
        </w:rPr>
        <w:t xml:space="preserve"> Washington, D.C.: United States Department of Education, National Center for Educational Statistics.</w:t>
      </w:r>
    </w:p>
    <w:p w:rsidR="00A538CE" w:rsidRDefault="00A538CE" w:rsidP="00BD18D5">
      <w:pPr>
        <w:ind w:left="720" w:hanging="720"/>
        <w:rPr>
          <w:rFonts w:ascii="Times New Roman" w:hAnsi="Times New Roman" w:cs="Times New Roman"/>
          <w:sz w:val="20"/>
          <w:szCs w:val="20"/>
        </w:rPr>
      </w:pPr>
      <w:proofErr w:type="spellStart"/>
      <w:r>
        <w:rPr>
          <w:rFonts w:ascii="Times New Roman" w:hAnsi="Times New Roman" w:cs="Times New Roman"/>
          <w:sz w:val="20"/>
          <w:szCs w:val="20"/>
        </w:rPr>
        <w:t>Gammie</w:t>
      </w:r>
      <w:proofErr w:type="spellEnd"/>
      <w:r>
        <w:rPr>
          <w:rFonts w:ascii="Times New Roman" w:hAnsi="Times New Roman" w:cs="Times New Roman"/>
          <w:sz w:val="20"/>
          <w:szCs w:val="20"/>
        </w:rPr>
        <w:t xml:space="preserve">, E., Paver, B., </w:t>
      </w:r>
      <w:proofErr w:type="spellStart"/>
      <w:r>
        <w:rPr>
          <w:rFonts w:ascii="Times New Roman" w:hAnsi="Times New Roman" w:cs="Times New Roman"/>
          <w:sz w:val="20"/>
          <w:szCs w:val="20"/>
        </w:rPr>
        <w:t>Gammie</w:t>
      </w:r>
      <w:proofErr w:type="spellEnd"/>
      <w:r>
        <w:rPr>
          <w:rFonts w:ascii="Times New Roman" w:hAnsi="Times New Roman" w:cs="Times New Roman"/>
          <w:sz w:val="20"/>
          <w:szCs w:val="20"/>
        </w:rPr>
        <w:t>, B.</w:t>
      </w:r>
      <w:r w:rsidR="006713C4">
        <w:rPr>
          <w:rFonts w:ascii="Times New Roman" w:hAnsi="Times New Roman" w:cs="Times New Roman"/>
          <w:sz w:val="20"/>
          <w:szCs w:val="20"/>
        </w:rPr>
        <w:t>,</w:t>
      </w:r>
      <w:r>
        <w:rPr>
          <w:rFonts w:ascii="Times New Roman" w:hAnsi="Times New Roman" w:cs="Times New Roman"/>
          <w:sz w:val="20"/>
          <w:szCs w:val="20"/>
        </w:rPr>
        <w:t xml:space="preserve"> &amp; Duncan, F. (2003). </w:t>
      </w:r>
      <w:r w:rsidRPr="006713C4">
        <w:rPr>
          <w:rFonts w:ascii="Times New Roman" w:hAnsi="Times New Roman" w:cs="Times New Roman"/>
          <w:i/>
          <w:sz w:val="20"/>
          <w:szCs w:val="20"/>
        </w:rPr>
        <w:t>Gender differences in accounting education: A</w:t>
      </w:r>
      <w:r w:rsidR="006713C4" w:rsidRPr="006713C4">
        <w:rPr>
          <w:rFonts w:ascii="Times New Roman" w:hAnsi="Times New Roman" w:cs="Times New Roman"/>
          <w:i/>
          <w:sz w:val="20"/>
          <w:szCs w:val="20"/>
        </w:rPr>
        <w:t>n</w:t>
      </w:r>
      <w:r w:rsidRPr="006713C4">
        <w:rPr>
          <w:rFonts w:ascii="Times New Roman" w:hAnsi="Times New Roman" w:cs="Times New Roman"/>
          <w:i/>
          <w:sz w:val="20"/>
          <w:szCs w:val="20"/>
        </w:rPr>
        <w:t xml:space="preserve"> undergraduate exploration. Journal of Accounting </w:t>
      </w:r>
      <w:proofErr w:type="spellStart"/>
      <w:r w:rsidRPr="006713C4">
        <w:rPr>
          <w:rFonts w:ascii="Times New Roman" w:hAnsi="Times New Roman" w:cs="Times New Roman"/>
          <w:i/>
          <w:sz w:val="20"/>
          <w:szCs w:val="20"/>
        </w:rPr>
        <w:t>Educatio</w:t>
      </w:r>
      <w:r w:rsidR="006713C4">
        <w:rPr>
          <w:rFonts w:ascii="Times New Roman" w:hAnsi="Times New Roman" w:cs="Times New Roman"/>
          <w:i/>
          <w:sz w:val="20"/>
          <w:szCs w:val="20"/>
        </w:rPr>
        <w:t>b</w:t>
      </w:r>
      <w:proofErr w:type="spellEnd"/>
      <w:r w:rsidR="006713C4">
        <w:rPr>
          <w:rFonts w:ascii="Times New Roman" w:hAnsi="Times New Roman" w:cs="Times New Roman"/>
          <w:i/>
          <w:sz w:val="20"/>
          <w:szCs w:val="20"/>
        </w:rPr>
        <w:t xml:space="preserve"> 1</w:t>
      </w:r>
      <w:r>
        <w:rPr>
          <w:rFonts w:ascii="Times New Roman" w:hAnsi="Times New Roman" w:cs="Times New Roman"/>
          <w:sz w:val="20"/>
          <w:szCs w:val="20"/>
        </w:rPr>
        <w:t>2</w:t>
      </w:r>
      <w:r w:rsidR="006713C4">
        <w:rPr>
          <w:rFonts w:ascii="Times New Roman" w:hAnsi="Times New Roman" w:cs="Times New Roman"/>
          <w:sz w:val="20"/>
          <w:szCs w:val="20"/>
        </w:rPr>
        <w:t>(2), 177-196.</w:t>
      </w:r>
    </w:p>
    <w:p w:rsidR="00091B8D" w:rsidRDefault="00091B8D" w:rsidP="00BD18D5">
      <w:pPr>
        <w:ind w:left="720" w:hanging="720"/>
        <w:rPr>
          <w:rFonts w:ascii="Times New Roman" w:hAnsi="Times New Roman" w:cs="Times New Roman"/>
          <w:sz w:val="20"/>
          <w:szCs w:val="20"/>
        </w:rPr>
      </w:pPr>
      <w:proofErr w:type="spellStart"/>
      <w:r>
        <w:rPr>
          <w:rFonts w:ascii="Times New Roman" w:hAnsi="Times New Roman" w:cs="Times New Roman"/>
          <w:sz w:val="20"/>
          <w:szCs w:val="20"/>
        </w:rPr>
        <w:t>Keef</w:t>
      </w:r>
      <w:proofErr w:type="spellEnd"/>
      <w:r>
        <w:rPr>
          <w:rFonts w:ascii="Times New Roman" w:hAnsi="Times New Roman" w:cs="Times New Roman"/>
          <w:sz w:val="20"/>
          <w:szCs w:val="20"/>
        </w:rPr>
        <w:t xml:space="preserve">, S., &amp; Roush, M. (1997). </w:t>
      </w:r>
      <w:r w:rsidRPr="006713C4">
        <w:rPr>
          <w:rFonts w:ascii="Times New Roman" w:hAnsi="Times New Roman" w:cs="Times New Roman"/>
          <w:i/>
          <w:sz w:val="20"/>
          <w:szCs w:val="20"/>
        </w:rPr>
        <w:t>New Zealand evidence on the performance of accounting students: Race, gender, and self-concept. Issues in Accounting Education,</w:t>
      </w:r>
      <w:r>
        <w:rPr>
          <w:rFonts w:ascii="Times New Roman" w:hAnsi="Times New Roman" w:cs="Times New Roman"/>
          <w:sz w:val="20"/>
          <w:szCs w:val="20"/>
        </w:rPr>
        <w:t xml:space="preserve"> 12</w:t>
      </w:r>
      <w:r w:rsidR="006713C4">
        <w:rPr>
          <w:rFonts w:ascii="Times New Roman" w:hAnsi="Times New Roman" w:cs="Times New Roman"/>
          <w:sz w:val="20"/>
          <w:szCs w:val="20"/>
        </w:rPr>
        <w:t>(</w:t>
      </w:r>
      <w:r>
        <w:rPr>
          <w:rFonts w:ascii="Times New Roman" w:hAnsi="Times New Roman" w:cs="Times New Roman"/>
          <w:sz w:val="20"/>
          <w:szCs w:val="20"/>
        </w:rPr>
        <w:t>2</w:t>
      </w:r>
      <w:r w:rsidR="006713C4">
        <w:rPr>
          <w:rFonts w:ascii="Times New Roman" w:hAnsi="Times New Roman" w:cs="Times New Roman"/>
          <w:sz w:val="20"/>
          <w:szCs w:val="20"/>
        </w:rPr>
        <w:t>) 315-331.</w:t>
      </w:r>
    </w:p>
    <w:p w:rsidR="00E559DB" w:rsidRDefault="00E559DB" w:rsidP="007D7CE0">
      <w:pPr>
        <w:ind w:left="720" w:hanging="720"/>
        <w:rPr>
          <w:rFonts w:ascii="Times New Roman" w:hAnsi="Times New Roman" w:cs="Times New Roman"/>
          <w:sz w:val="20"/>
          <w:szCs w:val="20"/>
        </w:rPr>
      </w:pPr>
      <w:r>
        <w:rPr>
          <w:rFonts w:ascii="Times New Roman" w:hAnsi="Times New Roman" w:cs="Times New Roman"/>
          <w:sz w:val="20"/>
          <w:szCs w:val="20"/>
        </w:rPr>
        <w:t xml:space="preserve">Odom, A.M. (2016). </w:t>
      </w:r>
      <w:r w:rsidRPr="006713C4">
        <w:rPr>
          <w:rFonts w:ascii="Times New Roman" w:hAnsi="Times New Roman" w:cs="Times New Roman"/>
          <w:i/>
          <w:sz w:val="20"/>
          <w:szCs w:val="20"/>
        </w:rPr>
        <w:t>An analysis of gender effects and career choices in public accounting.</w:t>
      </w:r>
      <w:r>
        <w:rPr>
          <w:rFonts w:ascii="Times New Roman" w:hAnsi="Times New Roman" w:cs="Times New Roman"/>
          <w:sz w:val="20"/>
          <w:szCs w:val="20"/>
        </w:rPr>
        <w:t xml:space="preserve"> Honors Theses. Paper 383.</w:t>
      </w:r>
    </w:p>
    <w:p w:rsidR="007D7CE0" w:rsidRDefault="007D7CE0" w:rsidP="007D7CE0">
      <w:pPr>
        <w:ind w:left="720" w:hanging="720"/>
        <w:rPr>
          <w:rFonts w:ascii="Times New Roman" w:hAnsi="Times New Roman" w:cs="Times New Roman"/>
          <w:sz w:val="20"/>
          <w:szCs w:val="20"/>
        </w:rPr>
      </w:pPr>
      <w:r>
        <w:rPr>
          <w:rFonts w:ascii="Times New Roman" w:hAnsi="Times New Roman" w:cs="Times New Roman"/>
          <w:sz w:val="20"/>
          <w:szCs w:val="20"/>
        </w:rPr>
        <w:t xml:space="preserve">Pillsbury, C., Capozzoli, L., &amp; Ciampa, A. (1989). </w:t>
      </w:r>
      <w:r w:rsidRPr="00121D1C">
        <w:rPr>
          <w:rFonts w:ascii="Times New Roman" w:hAnsi="Times New Roman" w:cs="Times New Roman"/>
          <w:i/>
          <w:sz w:val="20"/>
          <w:szCs w:val="20"/>
        </w:rPr>
        <w:t>A syn</w:t>
      </w:r>
      <w:r w:rsidR="00875649" w:rsidRPr="00121D1C">
        <w:rPr>
          <w:rFonts w:ascii="Times New Roman" w:hAnsi="Times New Roman" w:cs="Times New Roman"/>
          <w:i/>
          <w:sz w:val="20"/>
          <w:szCs w:val="20"/>
        </w:rPr>
        <w:t>thesis of research studies regarding the upward mobility of women in public accounting.</w:t>
      </w:r>
      <w:r w:rsidR="00875649">
        <w:rPr>
          <w:rFonts w:ascii="Times New Roman" w:hAnsi="Times New Roman" w:cs="Times New Roman"/>
          <w:sz w:val="20"/>
          <w:szCs w:val="20"/>
        </w:rPr>
        <w:t xml:space="preserve"> </w:t>
      </w:r>
      <w:r w:rsidR="00875649" w:rsidRPr="00875649">
        <w:rPr>
          <w:rFonts w:ascii="Times New Roman" w:hAnsi="Times New Roman" w:cs="Times New Roman"/>
          <w:i/>
          <w:sz w:val="20"/>
          <w:szCs w:val="20"/>
        </w:rPr>
        <w:t>Accounting Horizons,</w:t>
      </w:r>
      <w:r w:rsidR="00875649">
        <w:rPr>
          <w:rFonts w:ascii="Times New Roman" w:hAnsi="Times New Roman" w:cs="Times New Roman"/>
          <w:sz w:val="20"/>
          <w:szCs w:val="20"/>
        </w:rPr>
        <w:t xml:space="preserve"> 3(1), 63-70</w:t>
      </w:r>
    </w:p>
    <w:p w:rsidR="00824845" w:rsidRDefault="00875649" w:rsidP="00824845">
      <w:pPr>
        <w:jc w:val="both"/>
        <w:rPr>
          <w:rFonts w:ascii="Times New Roman" w:hAnsi="Times New Roman" w:cs="Times New Roman"/>
          <w:sz w:val="20"/>
          <w:szCs w:val="20"/>
        </w:rPr>
      </w:pPr>
      <w:proofErr w:type="spellStart"/>
      <w:r>
        <w:rPr>
          <w:rFonts w:ascii="Times New Roman" w:hAnsi="Times New Roman" w:cs="Times New Roman"/>
          <w:sz w:val="20"/>
          <w:szCs w:val="20"/>
        </w:rPr>
        <w:t>Seow</w:t>
      </w:r>
      <w:proofErr w:type="spellEnd"/>
      <w:r>
        <w:rPr>
          <w:rFonts w:ascii="Times New Roman" w:hAnsi="Times New Roman" w:cs="Times New Roman"/>
          <w:sz w:val="20"/>
          <w:szCs w:val="20"/>
        </w:rPr>
        <w:t xml:space="preserve">, P., Pan., G., &amp; Tay, J. (2014). </w:t>
      </w:r>
      <w:r w:rsidRPr="00121D1C">
        <w:rPr>
          <w:rFonts w:ascii="Times New Roman" w:hAnsi="Times New Roman" w:cs="Times New Roman"/>
          <w:i/>
          <w:sz w:val="20"/>
          <w:szCs w:val="20"/>
        </w:rPr>
        <w:t xml:space="preserve">Revising the determinants of student performance in an undergraduate accountancy degree </w:t>
      </w:r>
      <w:proofErr w:type="spellStart"/>
      <w:r w:rsidRPr="00121D1C">
        <w:rPr>
          <w:rFonts w:ascii="Times New Roman" w:hAnsi="Times New Roman" w:cs="Times New Roman"/>
          <w:i/>
          <w:sz w:val="20"/>
          <w:szCs w:val="20"/>
        </w:rPr>
        <w:t>programme</w:t>
      </w:r>
      <w:proofErr w:type="spellEnd"/>
      <w:r w:rsidRPr="00121D1C">
        <w:rPr>
          <w:rFonts w:ascii="Times New Roman" w:hAnsi="Times New Roman" w:cs="Times New Roman"/>
          <w:i/>
          <w:sz w:val="20"/>
          <w:szCs w:val="20"/>
        </w:rPr>
        <w:t xml:space="preserve"> in Singapore.</w:t>
      </w:r>
      <w:r>
        <w:rPr>
          <w:rFonts w:ascii="Times New Roman" w:hAnsi="Times New Roman" w:cs="Times New Roman"/>
          <w:sz w:val="20"/>
          <w:szCs w:val="20"/>
        </w:rPr>
        <w:t xml:space="preserve"> </w:t>
      </w:r>
      <w:r w:rsidRPr="00875649">
        <w:rPr>
          <w:rFonts w:ascii="Times New Roman" w:hAnsi="Times New Roman" w:cs="Times New Roman"/>
          <w:i/>
          <w:sz w:val="20"/>
          <w:szCs w:val="20"/>
        </w:rPr>
        <w:t>Global Perspectives on Accounting Education,</w:t>
      </w:r>
      <w:r>
        <w:rPr>
          <w:rFonts w:ascii="Times New Roman" w:hAnsi="Times New Roman" w:cs="Times New Roman"/>
          <w:sz w:val="20"/>
          <w:szCs w:val="20"/>
        </w:rPr>
        <w:t xml:space="preserve"> 11; 1-27.</w:t>
      </w:r>
    </w:p>
    <w:p w:rsidR="00154BCC" w:rsidRPr="00824845" w:rsidRDefault="00154BCC" w:rsidP="00154BCC">
      <w:pPr>
        <w:ind w:left="720" w:hanging="720"/>
        <w:jc w:val="both"/>
        <w:rPr>
          <w:rFonts w:ascii="Times New Roman" w:hAnsi="Times New Roman" w:cs="Times New Roman"/>
          <w:sz w:val="20"/>
          <w:szCs w:val="20"/>
        </w:rPr>
      </w:pPr>
      <w:r>
        <w:rPr>
          <w:rFonts w:ascii="Times New Roman" w:hAnsi="Times New Roman" w:cs="Times New Roman"/>
          <w:sz w:val="20"/>
          <w:szCs w:val="20"/>
        </w:rPr>
        <w:t xml:space="preserve">Togo, D.F., &amp; Hood, J.N. (1992). </w:t>
      </w:r>
      <w:r w:rsidRPr="00121D1C">
        <w:rPr>
          <w:rFonts w:ascii="Times New Roman" w:hAnsi="Times New Roman" w:cs="Times New Roman"/>
          <w:i/>
          <w:sz w:val="20"/>
          <w:szCs w:val="20"/>
        </w:rPr>
        <w:t>Quantitative information presentation and gender: An interaction effect. The Journal of General Psychology,</w:t>
      </w:r>
      <w:r>
        <w:rPr>
          <w:rFonts w:ascii="Times New Roman" w:hAnsi="Times New Roman" w:cs="Times New Roman"/>
          <w:sz w:val="20"/>
          <w:szCs w:val="20"/>
        </w:rPr>
        <w:t xml:space="preserve"> 119,</w:t>
      </w:r>
      <w:r w:rsidR="00121D1C">
        <w:rPr>
          <w:rFonts w:ascii="Times New Roman" w:hAnsi="Times New Roman" w:cs="Times New Roman"/>
          <w:sz w:val="20"/>
          <w:szCs w:val="20"/>
        </w:rPr>
        <w:t xml:space="preserve"> </w:t>
      </w:r>
      <w:r>
        <w:rPr>
          <w:rFonts w:ascii="Times New Roman" w:hAnsi="Times New Roman" w:cs="Times New Roman"/>
          <w:sz w:val="20"/>
          <w:szCs w:val="20"/>
        </w:rPr>
        <w:t>161-167.</w:t>
      </w:r>
    </w:p>
    <w:sectPr w:rsidR="00154BCC" w:rsidRPr="0082484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A57" w:rsidRDefault="00E25A57" w:rsidP="00A00936">
      <w:pPr>
        <w:spacing w:after="0" w:line="240" w:lineRule="auto"/>
      </w:pPr>
      <w:r>
        <w:separator/>
      </w:r>
    </w:p>
  </w:endnote>
  <w:endnote w:type="continuationSeparator" w:id="0">
    <w:p w:rsidR="00E25A57" w:rsidRDefault="00E25A57" w:rsidP="00A00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7742678"/>
      <w:docPartObj>
        <w:docPartGallery w:val="Page Numbers (Bottom of Page)"/>
        <w:docPartUnique/>
      </w:docPartObj>
    </w:sdtPr>
    <w:sdtEndPr>
      <w:rPr>
        <w:noProof/>
      </w:rPr>
    </w:sdtEndPr>
    <w:sdtContent>
      <w:p w:rsidR="005B14FE" w:rsidRDefault="005B14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00936" w:rsidRDefault="00A00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A57" w:rsidRDefault="00E25A57" w:rsidP="00A00936">
      <w:pPr>
        <w:spacing w:after="0" w:line="240" w:lineRule="auto"/>
      </w:pPr>
      <w:r>
        <w:separator/>
      </w:r>
    </w:p>
  </w:footnote>
  <w:footnote w:type="continuationSeparator" w:id="0">
    <w:p w:rsidR="00E25A57" w:rsidRDefault="00E25A57" w:rsidP="00A00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312EC"/>
    <w:multiLevelType w:val="hybridMultilevel"/>
    <w:tmpl w:val="52422406"/>
    <w:lvl w:ilvl="0" w:tplc="7EAE76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3E2"/>
    <w:rsid w:val="00005123"/>
    <w:rsid w:val="000436FB"/>
    <w:rsid w:val="0007121C"/>
    <w:rsid w:val="00091B8D"/>
    <w:rsid w:val="000936D5"/>
    <w:rsid w:val="00096B84"/>
    <w:rsid w:val="00121D1C"/>
    <w:rsid w:val="00154BCC"/>
    <w:rsid w:val="001A656F"/>
    <w:rsid w:val="001F11BE"/>
    <w:rsid w:val="00240538"/>
    <w:rsid w:val="00266EEC"/>
    <w:rsid w:val="002743E0"/>
    <w:rsid w:val="002E646A"/>
    <w:rsid w:val="003249D0"/>
    <w:rsid w:val="003744BF"/>
    <w:rsid w:val="00384EBF"/>
    <w:rsid w:val="004B147D"/>
    <w:rsid w:val="004D2E91"/>
    <w:rsid w:val="004E20EC"/>
    <w:rsid w:val="00586315"/>
    <w:rsid w:val="005B14FE"/>
    <w:rsid w:val="005D5426"/>
    <w:rsid w:val="006133E1"/>
    <w:rsid w:val="006713C4"/>
    <w:rsid w:val="0076707D"/>
    <w:rsid w:val="0078772E"/>
    <w:rsid w:val="007D13E2"/>
    <w:rsid w:val="007D7CE0"/>
    <w:rsid w:val="00824845"/>
    <w:rsid w:val="00875649"/>
    <w:rsid w:val="00890E3C"/>
    <w:rsid w:val="008A4C10"/>
    <w:rsid w:val="0091747A"/>
    <w:rsid w:val="009C59EF"/>
    <w:rsid w:val="00A00936"/>
    <w:rsid w:val="00A25E2B"/>
    <w:rsid w:val="00A538CE"/>
    <w:rsid w:val="00AE7018"/>
    <w:rsid w:val="00B17EA3"/>
    <w:rsid w:val="00B47993"/>
    <w:rsid w:val="00BD18D5"/>
    <w:rsid w:val="00C01F12"/>
    <w:rsid w:val="00C43E16"/>
    <w:rsid w:val="00D961A3"/>
    <w:rsid w:val="00DA01D0"/>
    <w:rsid w:val="00DC0A1E"/>
    <w:rsid w:val="00DD275E"/>
    <w:rsid w:val="00E05E98"/>
    <w:rsid w:val="00E25A57"/>
    <w:rsid w:val="00E559DB"/>
    <w:rsid w:val="00E77038"/>
    <w:rsid w:val="00EA17BF"/>
    <w:rsid w:val="00EE3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FD0F75C-F412-4F8E-9071-77656649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E91"/>
    <w:pPr>
      <w:ind w:left="720"/>
      <w:contextualSpacing/>
    </w:pPr>
  </w:style>
  <w:style w:type="paragraph" w:styleId="Header">
    <w:name w:val="header"/>
    <w:basedOn w:val="Normal"/>
    <w:link w:val="HeaderChar"/>
    <w:uiPriority w:val="99"/>
    <w:unhideWhenUsed/>
    <w:rsid w:val="00A00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936"/>
  </w:style>
  <w:style w:type="paragraph" w:styleId="Footer">
    <w:name w:val="footer"/>
    <w:basedOn w:val="Normal"/>
    <w:link w:val="FooterChar"/>
    <w:uiPriority w:val="99"/>
    <w:unhideWhenUsed/>
    <w:rsid w:val="00A00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936"/>
  </w:style>
  <w:style w:type="character" w:styleId="Hyperlink">
    <w:name w:val="Hyperlink"/>
    <w:basedOn w:val="DefaultParagraphFont"/>
    <w:uiPriority w:val="99"/>
    <w:unhideWhenUsed/>
    <w:rsid w:val="00096B84"/>
    <w:rPr>
      <w:color w:val="0563C1" w:themeColor="hyperlink"/>
      <w:u w:val="single"/>
    </w:rPr>
  </w:style>
  <w:style w:type="character" w:styleId="UnresolvedMention">
    <w:name w:val="Unresolved Mention"/>
    <w:basedOn w:val="DefaultParagraphFont"/>
    <w:uiPriority w:val="99"/>
    <w:semiHidden/>
    <w:unhideWhenUsed/>
    <w:rsid w:val="00096B84"/>
    <w:rPr>
      <w:color w:val="605E5C"/>
      <w:shd w:val="clear" w:color="auto" w:fill="E1DFDD"/>
    </w:rPr>
  </w:style>
  <w:style w:type="table" w:styleId="TableGrid">
    <w:name w:val="Table Grid"/>
    <w:basedOn w:val="TableNormal"/>
    <w:uiPriority w:val="39"/>
    <w:rsid w:val="00787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lloyd@lockhaven.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03F8E-B0C1-4BF3-9DF2-FE6B06856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1421</Words>
  <Characters>8101</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William H.</dc:creator>
  <cp:keywords/>
  <dc:description/>
  <cp:lastModifiedBy>Lloyd, William H.</cp:lastModifiedBy>
  <cp:revision>2</cp:revision>
  <dcterms:created xsi:type="dcterms:W3CDTF">2019-09-09T11:03:00Z</dcterms:created>
  <dcterms:modified xsi:type="dcterms:W3CDTF">2019-09-09T11:03:00Z</dcterms:modified>
</cp:coreProperties>
</file>