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E5FCF" w14:textId="2AFAE299" w:rsidR="00127C1D" w:rsidRDefault="00127C1D" w:rsidP="00127C1D">
      <w:pPr>
        <w:pStyle w:val="c1"/>
        <w:tabs>
          <w:tab w:val="left" w:pos="720"/>
        </w:tabs>
        <w:rPr>
          <w:sz w:val="20"/>
          <w:szCs w:val="20"/>
          <w:u w:val="single"/>
        </w:rPr>
      </w:pPr>
      <w:r>
        <w:rPr>
          <w:sz w:val="20"/>
          <w:szCs w:val="20"/>
          <w:u w:val="single"/>
        </w:rPr>
        <w:t>SECTION 13120</w:t>
      </w:r>
    </w:p>
    <w:p w14:paraId="75D3D4D5" w14:textId="13043CAD" w:rsidR="00FE51E8" w:rsidRDefault="00FE51E8" w:rsidP="00127C1D">
      <w:pPr>
        <w:pStyle w:val="c1"/>
        <w:tabs>
          <w:tab w:val="left" w:pos="720"/>
        </w:tabs>
        <w:rPr>
          <w:sz w:val="20"/>
          <w:szCs w:val="20"/>
          <w:u w:val="single"/>
        </w:rPr>
      </w:pPr>
      <w:r>
        <w:rPr>
          <w:sz w:val="20"/>
          <w:szCs w:val="20"/>
          <w:u w:val="single"/>
        </w:rPr>
        <w:t>PRE-CAST CONCRETE BUILDING</w:t>
      </w:r>
    </w:p>
    <w:p w14:paraId="249875D7" w14:textId="77777777" w:rsidR="00FE51E8" w:rsidRPr="00FE51E8" w:rsidRDefault="00FE51E8" w:rsidP="00127C1D">
      <w:pPr>
        <w:pStyle w:val="c1"/>
        <w:tabs>
          <w:tab w:val="left" w:pos="720"/>
        </w:tabs>
        <w:rPr>
          <w:sz w:val="20"/>
          <w:szCs w:val="20"/>
          <w:u w:val="single"/>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5A8CA933" w:rsidR="00127C1D" w:rsidRDefault="00127C1D" w:rsidP="004A6149">
      <w:pPr>
        <w:pStyle w:val="p6"/>
        <w:tabs>
          <w:tab w:val="left" w:pos="0"/>
        </w:tabs>
        <w:spacing w:line="240" w:lineRule="auto"/>
        <w:ind w:left="562" w:firstLine="0"/>
        <w:jc w:val="both"/>
        <w:rPr>
          <w:sz w:val="20"/>
          <w:szCs w:val="20"/>
        </w:rPr>
      </w:pPr>
      <w:r>
        <w:rPr>
          <w:sz w:val="20"/>
          <w:szCs w:val="20"/>
        </w:rPr>
        <w:t xml:space="preserve">Contractor to furnish pre-cast, post-tensioned concrete </w:t>
      </w:r>
      <w:r>
        <w:rPr>
          <w:i/>
          <w:iCs/>
          <w:sz w:val="20"/>
          <w:szCs w:val="20"/>
        </w:rPr>
        <w:t xml:space="preserve">transportable </w:t>
      </w:r>
      <w:r>
        <w:rPr>
          <w:sz w:val="20"/>
          <w:szCs w:val="20"/>
        </w:rPr>
        <w:t>building. Building to be delivered and placed on prepared crushed stone foundation in accordance with manufacturer’s recommendations.  Pre-cast building to be EASI-SET brand Model 8</w:t>
      </w:r>
      <w:r w:rsidR="00DB04E0">
        <w:rPr>
          <w:sz w:val="20"/>
          <w:szCs w:val="20"/>
        </w:rPr>
        <w:t>10</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lastRenderedPageBreak/>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3F8EE215"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t xml:space="preserve">8'-0” x </w:t>
      </w:r>
      <w:r w:rsidR="00DB04E0">
        <w:rPr>
          <w:sz w:val="20"/>
          <w:szCs w:val="20"/>
        </w:rPr>
        <w:t>10</w:t>
      </w:r>
      <w:r>
        <w:rPr>
          <w:sz w:val="20"/>
          <w:szCs w:val="20"/>
        </w:rPr>
        <w:t>’-0” x 9’-8”</w:t>
      </w:r>
    </w:p>
    <w:p w14:paraId="4E768423" w14:textId="77777777" w:rsidR="00127C1D" w:rsidRDefault="00127C1D" w:rsidP="004A6149">
      <w:pPr>
        <w:tabs>
          <w:tab w:val="left" w:pos="920"/>
          <w:tab w:val="left" w:pos="1960"/>
        </w:tabs>
        <w:jc w:val="both"/>
        <w:rPr>
          <w:sz w:val="20"/>
          <w:szCs w:val="20"/>
        </w:rPr>
      </w:pPr>
    </w:p>
    <w:p w14:paraId="33B81074" w14:textId="7A11F78D" w:rsidR="00127C1D" w:rsidRDefault="00127C1D" w:rsidP="004A6149">
      <w:pPr>
        <w:pStyle w:val="p9"/>
        <w:ind w:left="1872"/>
        <w:jc w:val="both"/>
        <w:rPr>
          <w:sz w:val="20"/>
          <w:szCs w:val="20"/>
        </w:rPr>
      </w:pPr>
      <w:r>
        <w:t xml:space="preserve"> </w:t>
      </w:r>
      <w:r>
        <w:rPr>
          <w:sz w:val="20"/>
          <w:szCs w:val="20"/>
        </w:rPr>
        <w:t>Interior:</w:t>
      </w:r>
      <w:r>
        <w:rPr>
          <w:sz w:val="20"/>
          <w:szCs w:val="20"/>
        </w:rPr>
        <w:tab/>
        <w:t xml:space="preserve">6'-11" x </w:t>
      </w:r>
      <w:r w:rsidR="00D01528">
        <w:rPr>
          <w:sz w:val="20"/>
          <w:szCs w:val="20"/>
        </w:rPr>
        <w:t>8</w:t>
      </w:r>
      <w:r>
        <w:rPr>
          <w:sz w:val="20"/>
          <w:szCs w:val="20"/>
        </w:rPr>
        <w:t>'-11" x 9’-1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77777777" w:rsidR="00127C1D" w:rsidRPr="0015381B" w:rsidRDefault="00127C1D" w:rsidP="004A6149">
      <w:pPr>
        <w:pStyle w:val="p19"/>
        <w:numPr>
          <w:ilvl w:val="0"/>
          <w:numId w:val="3"/>
        </w:numPr>
        <w:tabs>
          <w:tab w:val="clear" w:pos="1300"/>
        </w:tabs>
        <w:spacing w:line="240" w:lineRule="auto"/>
        <w:jc w:val="both"/>
        <w:rPr>
          <w:sz w:val="20"/>
          <w:szCs w:val="20"/>
        </w:rPr>
      </w:pPr>
      <w:r>
        <w:rPr>
          <w:sz w:val="20"/>
          <w:szCs w:val="20"/>
        </w:rPr>
        <w:t>Roof:  Roof panel shall be post-tensioned and be sloped 1” from front to back.  The roof shall extend a minimum of 3" beyond the wall panel on each side and have a turndown design which extends 1/2" below the top edge of the wall panels to prevent water migration into the building along top of wall panels. Roof shall also have an integral architectural ribbed edge.</w:t>
      </w:r>
      <w:r w:rsidRPr="009D5FC8">
        <w:rPr>
          <w:sz w:val="20"/>
          <w:szCs w:val="20"/>
        </w:rPr>
        <w:t xml:space="preserve"> </w:t>
      </w:r>
      <w:r>
        <w:rPr>
          <w:sz w:val="20"/>
          <w:szCs w:val="20"/>
        </w:rPr>
        <w:t>R</w:t>
      </w:r>
      <w:r w:rsidRPr="0015381B">
        <w:rPr>
          <w:sz w:val="20"/>
          <w:szCs w:val="20"/>
        </w:rPr>
        <w:t xml:space="preserve">oof </w:t>
      </w:r>
      <w:r>
        <w:rPr>
          <w:sz w:val="20"/>
          <w:szCs w:val="20"/>
        </w:rPr>
        <w:t>surface shall have</w:t>
      </w:r>
      <w:r w:rsidRPr="0015381B">
        <w:rPr>
          <w:sz w:val="20"/>
          <w:szCs w:val="20"/>
        </w:rPr>
        <w:t xml:space="preserve"> 14 mil coat of SuperTherm (White) R-19 coating.</w:t>
      </w:r>
    </w:p>
    <w:p w14:paraId="62DB978A" w14:textId="77777777" w:rsidR="00127C1D" w:rsidRDefault="00127C1D" w:rsidP="004A6149">
      <w:pPr>
        <w:tabs>
          <w:tab w:val="left" w:pos="540"/>
          <w:tab w:val="left" w:pos="920"/>
        </w:tabs>
        <w:jc w:val="both"/>
        <w:rPr>
          <w:sz w:val="20"/>
          <w:szCs w:val="20"/>
        </w:rPr>
      </w:pPr>
    </w:p>
    <w:p w14:paraId="1D518751" w14:textId="77777777" w:rsidR="00127C1D" w:rsidRDefault="00127C1D" w:rsidP="004A6149">
      <w:pPr>
        <w:pStyle w:val="p7"/>
        <w:numPr>
          <w:ilvl w:val="0"/>
          <w:numId w:val="3"/>
        </w:numPr>
        <w:spacing w:line="240" w:lineRule="auto"/>
        <w:jc w:val="both"/>
        <w:rPr>
          <w:sz w:val="20"/>
          <w:szCs w:val="20"/>
        </w:rPr>
      </w:pPr>
      <w:r>
        <w:rPr>
          <w:sz w:val="20"/>
          <w:szCs w:val="20"/>
        </w:rPr>
        <w:t>Floor (if required):  4” thick, steel reinforced and post-tensioned, concrete floor slab.  There shall be a 1/2” deep recess, the width of the wall panels, cast into the floor.  The 1/2” recess makes the interior floor surface 1/2” higher than the joint between the wall panel and floor slab preventing intrusion of water.</w:t>
      </w:r>
    </w:p>
    <w:p w14:paraId="5BC0DD68" w14:textId="77777777" w:rsidR="00127C1D" w:rsidRDefault="00127C1D" w:rsidP="004A6149">
      <w:pPr>
        <w:pStyle w:val="p7"/>
        <w:spacing w:line="240" w:lineRule="auto"/>
        <w:ind w:left="864"/>
        <w:jc w:val="both"/>
        <w:rPr>
          <w:sz w:val="20"/>
          <w:szCs w:val="20"/>
        </w:rPr>
      </w:pPr>
    </w:p>
    <w:p w14:paraId="10FAB45A" w14:textId="77777777" w:rsidR="00127C1D" w:rsidRPr="00826B18" w:rsidRDefault="00127C1D" w:rsidP="004A6149">
      <w:pPr>
        <w:pStyle w:val="p7"/>
        <w:numPr>
          <w:ilvl w:val="0"/>
          <w:numId w:val="3"/>
        </w:numPr>
        <w:spacing w:line="240" w:lineRule="auto"/>
        <w:jc w:val="both"/>
        <w:rPr>
          <w:sz w:val="20"/>
          <w:szCs w:val="20"/>
        </w:rPr>
      </w:pPr>
      <w:r>
        <w:rPr>
          <w:sz w:val="20"/>
          <w:szCs w:val="20"/>
        </w:rPr>
        <w:t xml:space="preserve">Roof and wall panels must each be produced as single component monolithic panels. No roof, floor, or </w:t>
      </w:r>
      <w:r w:rsidRPr="00826B18">
        <w:rPr>
          <w:sz w:val="20"/>
          <w:szCs w:val="20"/>
        </w:rPr>
        <w:t>vertical wall joints will be allowed, except at corners. Wall panels shall set on top of floor slab.</w:t>
      </w:r>
    </w:p>
    <w:p w14:paraId="7CE5A4CD" w14:textId="77777777" w:rsidR="00127C1D" w:rsidRPr="00826B18" w:rsidRDefault="00127C1D" w:rsidP="004A6149">
      <w:pPr>
        <w:pStyle w:val="ListParagrap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77777777"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47478F7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Interior of Building:  Interior wall and ceiling surfaces to be painted concrete</w:t>
      </w:r>
      <w:r w:rsidR="001030C3">
        <w:rPr>
          <w:sz w:val="20"/>
          <w:szCs w:val="20"/>
        </w:rPr>
        <w:t xml:space="preserve"> with white epoxy</w:t>
      </w:r>
      <w:r>
        <w:rPr>
          <w:sz w:val="20"/>
          <w:szCs w:val="20"/>
        </w:rPr>
        <w:t>.</w:t>
      </w:r>
    </w:p>
    <w:p w14:paraId="6E242289" w14:textId="77777777" w:rsidR="00127C1D" w:rsidRDefault="00127C1D" w:rsidP="004A6149">
      <w:pPr>
        <w:pStyle w:val="p19"/>
        <w:spacing w:line="240" w:lineRule="auto"/>
        <w:ind w:left="1296"/>
        <w:jc w:val="both"/>
        <w:rPr>
          <w:sz w:val="20"/>
          <w:szCs w:val="20"/>
        </w:rPr>
      </w:pPr>
    </w:p>
    <w:p w14:paraId="7B4DDC59" w14:textId="54C9EF9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750B48D3" w14:textId="77777777" w:rsidR="00127C1D" w:rsidRDefault="00127C1D" w:rsidP="004A6149">
      <w:pPr>
        <w:pStyle w:val="ListParagraph"/>
        <w:rPr>
          <w:sz w:val="20"/>
          <w:szCs w:val="20"/>
        </w:rPr>
      </w:pPr>
    </w:p>
    <w:p w14:paraId="4CF5C8A7" w14:textId="04F8DE70" w:rsidR="00127C1D" w:rsidRDefault="00127C1D" w:rsidP="004A6149">
      <w:pPr>
        <w:pStyle w:val="p19"/>
        <w:spacing w:line="240" w:lineRule="auto"/>
        <w:ind w:hanging="144"/>
        <w:jc w:val="both"/>
        <w:rPr>
          <w:b/>
          <w:bCs/>
          <w:sz w:val="20"/>
          <w:szCs w:val="20"/>
        </w:rPr>
      </w:pPr>
      <w:bookmarkStart w:id="0" w:name="_GoBack"/>
      <w:bookmarkEnd w:id="0"/>
      <w:r>
        <w:rPr>
          <w:b/>
          <w:bCs/>
          <w:sz w:val="20"/>
          <w:szCs w:val="20"/>
        </w:rPr>
        <w:lastRenderedPageBreak/>
        <w:t xml:space="preserve">PART 3 - EXECUTION </w:t>
      </w:r>
    </w:p>
    <w:p w14:paraId="0C1F8E34" w14:textId="77777777" w:rsidR="00127C1D" w:rsidRDefault="00127C1D" w:rsidP="004A6149">
      <w:pPr>
        <w:tabs>
          <w:tab w:val="left" w:pos="720"/>
        </w:tabs>
        <w:jc w:val="both"/>
        <w:rPr>
          <w:b/>
          <w:bCs/>
          <w:sz w:val="20"/>
          <w:szCs w:val="20"/>
        </w:rPr>
      </w:pPr>
    </w:p>
    <w:p w14:paraId="319F2B12" w14:textId="0B7E48BD"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(MANUFACTURER’S RECOMMENDATION)</w:t>
      </w:r>
    </w:p>
    <w:p w14:paraId="424424A2" w14:textId="77777777" w:rsidR="00127C1D" w:rsidRDefault="00127C1D" w:rsidP="004A6149">
      <w:pPr>
        <w:tabs>
          <w:tab w:val="left" w:pos="720"/>
        </w:tabs>
        <w:jc w:val="both"/>
        <w:rPr>
          <w:sz w:val="20"/>
          <w:szCs w:val="20"/>
        </w:rPr>
      </w:pPr>
    </w:p>
    <w:p w14:paraId="4B3E458D"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EASI-SET building shall bear fully on firm undisturbed soils with an approved fill or pad.  The turf shall be removed and a minimum 6" pad of approved fill material shall be placed.  Where unacceptable soil material occurs, a licensed professional engineer should be consulted and provide recommendations.</w:t>
      </w:r>
    </w:p>
    <w:p w14:paraId="2EFEFEE0" w14:textId="77777777" w:rsidR="00127C1D" w:rsidRDefault="00127C1D" w:rsidP="004A6149">
      <w:pPr>
        <w:pStyle w:val="p22"/>
        <w:tabs>
          <w:tab w:val="clear" w:pos="920"/>
        </w:tabs>
        <w:spacing w:line="240" w:lineRule="auto"/>
        <w:ind w:left="936" w:hanging="360"/>
        <w:jc w:val="both"/>
        <w:rPr>
          <w:sz w:val="20"/>
          <w:szCs w:val="20"/>
        </w:rPr>
      </w:pPr>
      <w:r>
        <w:rPr>
          <w:sz w:val="20"/>
          <w:szCs w:val="20"/>
        </w:rPr>
        <w:t xml:space="preserve"> </w:t>
      </w:r>
    </w:p>
    <w:p w14:paraId="0784AA4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No building shall bear directly on rock. Where rock is closer than 2 feet from the bottom of the building floor slab or foundation slab, it shall be undercut to a minimum of 2 feet below the building and replaced with an approved fill material.</w:t>
      </w:r>
    </w:p>
    <w:p w14:paraId="078408AF" w14:textId="77777777" w:rsidR="00127C1D" w:rsidRDefault="00127C1D" w:rsidP="004A6149">
      <w:pPr>
        <w:pStyle w:val="p22"/>
        <w:tabs>
          <w:tab w:val="clear" w:pos="920"/>
        </w:tabs>
        <w:spacing w:line="240" w:lineRule="auto"/>
        <w:ind w:left="936" w:hanging="360"/>
        <w:jc w:val="both"/>
        <w:rPr>
          <w:sz w:val="20"/>
          <w:szCs w:val="20"/>
        </w:rPr>
      </w:pPr>
    </w:p>
    <w:p w14:paraId="6F4DD439"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Provide positive drainage for the fill, pad, and slab, as required.</w:t>
      </w:r>
    </w:p>
    <w:p w14:paraId="17D386D2" w14:textId="77777777" w:rsidR="00127C1D" w:rsidRDefault="00127C1D" w:rsidP="004A6149">
      <w:pPr>
        <w:pStyle w:val="p22"/>
        <w:tabs>
          <w:tab w:val="clear" w:pos="920"/>
        </w:tabs>
        <w:spacing w:line="240" w:lineRule="auto"/>
        <w:ind w:left="936" w:hanging="360"/>
        <w:jc w:val="both"/>
        <w:rPr>
          <w:sz w:val="20"/>
          <w:szCs w:val="20"/>
        </w:rPr>
      </w:pPr>
    </w:p>
    <w:p w14:paraId="28E7E05C"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Approved fill or pad material shall be stone which conforms to ASTM C33. Allowable sizes are #56, #67, #6, #7, and #8.</w:t>
      </w:r>
    </w:p>
    <w:p w14:paraId="6296FA7E" w14:textId="77777777" w:rsidR="00127C1D" w:rsidRDefault="00127C1D" w:rsidP="004A6149">
      <w:pPr>
        <w:pStyle w:val="p22"/>
        <w:tabs>
          <w:tab w:val="clear" w:pos="920"/>
        </w:tabs>
        <w:spacing w:line="240" w:lineRule="auto"/>
        <w:ind w:left="936" w:hanging="360"/>
        <w:jc w:val="both"/>
        <w:rPr>
          <w:sz w:val="20"/>
          <w:szCs w:val="20"/>
        </w:rPr>
      </w:pPr>
    </w:p>
    <w:p w14:paraId="5514A224"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All fills, pads, or slabs shall he level to within a 0.042 foot (1/2 inch) differential over the entire building area.</w:t>
      </w:r>
    </w:p>
    <w:p w14:paraId="139D2E46" w14:textId="77777777" w:rsidR="00127C1D" w:rsidRDefault="00127C1D" w:rsidP="004A6149">
      <w:pPr>
        <w:tabs>
          <w:tab w:val="left" w:pos="560"/>
          <w:tab w:val="left" w:pos="920"/>
        </w:tabs>
        <w:ind w:left="936" w:hanging="360"/>
        <w:jc w:val="both"/>
        <w:rPr>
          <w:sz w:val="20"/>
          <w:szCs w:val="20"/>
        </w:rPr>
      </w:pPr>
    </w:p>
    <w:p w14:paraId="1004FC3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entire granular fill or pad shall be kept within the confines of the soil or other surrounding objects. Do not allow the fill or pad material to be undermined so that it may wash, erode or otherwise be undermined.</w:t>
      </w:r>
    </w:p>
    <w:p w14:paraId="2A4B7F3A" w14:textId="77777777" w:rsidR="00127C1D" w:rsidRDefault="00127C1D" w:rsidP="004A6149">
      <w:pPr>
        <w:pStyle w:val="p22"/>
        <w:tabs>
          <w:tab w:val="clear" w:pos="920"/>
        </w:tabs>
        <w:spacing w:line="240" w:lineRule="auto"/>
        <w:ind w:left="936" w:hanging="360"/>
        <w:jc w:val="both"/>
        <w:rPr>
          <w:sz w:val="20"/>
          <w:szCs w:val="20"/>
        </w:rPr>
      </w:pPr>
    </w:p>
    <w:p w14:paraId="2D5C99FB"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finished floor slab elevation shall be above the exterior grade. The grade shall have positive slope and drainage away from the building at all points.</w:t>
      </w:r>
    </w:p>
    <w:p w14:paraId="548BF7B7" w14:textId="77777777" w:rsidR="00127C1D" w:rsidRDefault="00127C1D" w:rsidP="004A6149">
      <w:pPr>
        <w:pStyle w:val="p22"/>
        <w:spacing w:line="240" w:lineRule="auto"/>
        <w:ind w:left="936" w:hanging="360"/>
        <w:jc w:val="both"/>
        <w:rPr>
          <w:sz w:val="20"/>
          <w:szCs w:val="20"/>
        </w:rPr>
      </w:pPr>
    </w:p>
    <w:p w14:paraId="18AB16E7"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 xml:space="preserve">Stone base or pad shall be a minimum of 2 feet larger in length and width of building.  </w:t>
      </w:r>
    </w:p>
    <w:p w14:paraId="769A5336" w14:textId="77777777" w:rsidR="00127C1D" w:rsidRDefault="00127C1D" w:rsidP="004A6149">
      <w:pPr>
        <w:pStyle w:val="p22"/>
        <w:tabs>
          <w:tab w:val="clear" w:pos="920"/>
        </w:tabs>
        <w:spacing w:line="240" w:lineRule="auto"/>
        <w:ind w:left="936" w:hanging="360"/>
        <w:jc w:val="both"/>
        <w:rPr>
          <w:sz w:val="20"/>
          <w:szCs w:val="20"/>
        </w:rPr>
      </w:pPr>
    </w:p>
    <w:p w14:paraId="197740C5" w14:textId="035C803A" w:rsidR="00127C1D" w:rsidRDefault="00127C1D" w:rsidP="004A6149">
      <w:pPr>
        <w:pStyle w:val="p26"/>
        <w:tabs>
          <w:tab w:val="left" w:pos="450"/>
          <w:tab w:val="left" w:pos="562"/>
        </w:tabs>
        <w:jc w:val="both"/>
        <w:rPr>
          <w:sz w:val="20"/>
          <w:szCs w:val="20"/>
        </w:rPr>
      </w:pPr>
      <w:r>
        <w:rPr>
          <w:sz w:val="20"/>
          <w:szCs w:val="20"/>
        </w:rPr>
        <w:t>3.02</w:t>
      </w:r>
      <w:r w:rsidR="00181ADD">
        <w:rPr>
          <w:sz w:val="20"/>
          <w:szCs w:val="20"/>
        </w:rPr>
        <w:tab/>
      </w:r>
      <w:r>
        <w:rPr>
          <w:sz w:val="20"/>
          <w:szCs w:val="20"/>
        </w:rPr>
        <w:t>SITE PREPARATION REQUIREMENTS (Poured-in-place slab)</w:t>
      </w:r>
    </w:p>
    <w:p w14:paraId="0EFC8CAD" w14:textId="77777777" w:rsidR="00127C1D" w:rsidRDefault="00127C1D" w:rsidP="004A6149">
      <w:pPr>
        <w:pStyle w:val="p22"/>
        <w:spacing w:line="240" w:lineRule="auto"/>
        <w:ind w:left="864"/>
        <w:jc w:val="both"/>
        <w:rPr>
          <w:sz w:val="20"/>
          <w:szCs w:val="20"/>
        </w:rPr>
      </w:pPr>
    </w:p>
    <w:p w14:paraId="09AD8ACA" w14:textId="77777777" w:rsidR="00127C1D" w:rsidRDefault="00127C1D" w:rsidP="004A6149">
      <w:pPr>
        <w:numPr>
          <w:ilvl w:val="0"/>
          <w:numId w:val="16"/>
        </w:numPr>
        <w:tabs>
          <w:tab w:val="left" w:pos="560"/>
          <w:tab w:val="left" w:pos="920"/>
        </w:tabs>
        <w:ind w:left="922"/>
        <w:jc w:val="both"/>
        <w:rPr>
          <w:sz w:val="20"/>
          <w:szCs w:val="20"/>
        </w:rPr>
      </w:pPr>
      <w:r>
        <w:rPr>
          <w:sz w:val="20"/>
          <w:szCs w:val="20"/>
        </w:rPr>
        <w:t>EASI-SET building shall bear fully on an engineered concrete or asphalt slab.  The slab shall be designed to support the anticipated load of the EASI-SET building and its contents.  The building shall be leveled, shimmed as required, and set in a grout bed sufficient to fill all cavities between the foundation slab and the building floor slab.</w:t>
      </w:r>
    </w:p>
    <w:p w14:paraId="61B214DD" w14:textId="77777777" w:rsidR="00127C1D" w:rsidRDefault="00127C1D" w:rsidP="004A6149">
      <w:pPr>
        <w:pStyle w:val="p11"/>
        <w:jc w:val="both"/>
        <w:rPr>
          <w:sz w:val="20"/>
          <w:szCs w:val="20"/>
        </w:rPr>
      </w:pPr>
    </w:p>
    <w:p w14:paraId="68A2F85A" w14:textId="05FBCD7C" w:rsidR="00127C1D" w:rsidRDefault="00127C1D" w:rsidP="004A6149">
      <w:pPr>
        <w:pStyle w:val="p11"/>
        <w:tabs>
          <w:tab w:val="left" w:pos="562"/>
        </w:tabs>
        <w:jc w:val="both"/>
        <w:rPr>
          <w:sz w:val="20"/>
          <w:szCs w:val="20"/>
        </w:rPr>
      </w:pPr>
      <w:r>
        <w:rPr>
          <w:sz w:val="20"/>
          <w:szCs w:val="20"/>
        </w:rPr>
        <w:t>3.03</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E1159F">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5839" w14:textId="61A6E659" w:rsidR="00812CB0" w:rsidRPr="00E1159F" w:rsidRDefault="00E1159F" w:rsidP="00E1159F">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EF12" w14:textId="17A576DD" w:rsidR="00254C3F" w:rsidRPr="00127C1D" w:rsidRDefault="00E1159F" w:rsidP="00E1159F">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2"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4"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5"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6"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7"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8"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1"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3"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4"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num w:numId="1">
    <w:abstractNumId w:val="4"/>
  </w:num>
  <w:num w:numId="2">
    <w:abstractNumId w:val="14"/>
  </w:num>
  <w:num w:numId="3">
    <w:abstractNumId w:val="13"/>
  </w:num>
  <w:num w:numId="4">
    <w:abstractNumId w:val="3"/>
  </w:num>
  <w:num w:numId="5">
    <w:abstractNumId w:val="11"/>
  </w:num>
  <w:num w:numId="6">
    <w:abstractNumId w:val="10"/>
  </w:num>
  <w:num w:numId="7">
    <w:abstractNumId w:val="8"/>
  </w:num>
  <w:num w:numId="8">
    <w:abstractNumId w:val="12"/>
  </w:num>
  <w:num w:numId="9">
    <w:abstractNumId w:val="1"/>
  </w:num>
  <w:num w:numId="10">
    <w:abstractNumId w:val="7"/>
  </w:num>
  <w:num w:numId="11">
    <w:abstractNumId w:val="15"/>
  </w:num>
  <w:num w:numId="12">
    <w:abstractNumId w:val="0"/>
  </w:num>
  <w:num w:numId="13">
    <w:abstractNumId w:val="5"/>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030C3"/>
    <w:rsid w:val="00127C1D"/>
    <w:rsid w:val="00181ADD"/>
    <w:rsid w:val="004A6149"/>
    <w:rsid w:val="005F34F3"/>
    <w:rsid w:val="00600875"/>
    <w:rsid w:val="008744EE"/>
    <w:rsid w:val="00967281"/>
    <w:rsid w:val="00A47C4D"/>
    <w:rsid w:val="00A8535D"/>
    <w:rsid w:val="00B213EE"/>
    <w:rsid w:val="00D01528"/>
    <w:rsid w:val="00DB04E0"/>
    <w:rsid w:val="00DE23D9"/>
    <w:rsid w:val="00DF3B2A"/>
    <w:rsid w:val="00E1159F"/>
    <w:rsid w:val="00EE6D21"/>
    <w:rsid w:val="00FE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E11E5-F29E-4592-9963-FC63EBA9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Pamela Bunn</cp:lastModifiedBy>
  <cp:revision>8</cp:revision>
  <cp:lastPrinted>2018-10-16T19:14:00Z</cp:lastPrinted>
  <dcterms:created xsi:type="dcterms:W3CDTF">2018-10-17T14:37:00Z</dcterms:created>
  <dcterms:modified xsi:type="dcterms:W3CDTF">2018-10-17T21:22:00Z</dcterms:modified>
</cp:coreProperties>
</file>