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5E09" w:rsidRDefault="000E5E09" w:rsidP="000E5E09">
      <w:pPr>
        <w:rPr>
          <w:rFonts w:ascii="Arial" w:hAnsi="Arial" w:cs="Arial"/>
          <w:i/>
          <w:color w:val="FF0000"/>
          <w:sz w:val="24"/>
          <w:szCs w:val="24"/>
        </w:rPr>
      </w:pPr>
      <w:r>
        <w:rPr>
          <w:rFonts w:ascii="Arial" w:hAnsi="Arial" w:cs="Arial"/>
          <w:i/>
          <w:color w:val="FF0000"/>
          <w:sz w:val="24"/>
          <w:szCs w:val="24"/>
        </w:rPr>
        <w:t>(Must be printed on approved letterhead)</w:t>
      </w:r>
    </w:p>
    <w:p w:rsidR="000E5E09" w:rsidRDefault="000E5E09" w:rsidP="000E5E09">
      <w:pPr>
        <w:rPr>
          <w:rFonts w:ascii="Arial" w:hAnsi="Arial" w:cs="Arial"/>
          <w:color w:val="FF0000"/>
          <w:sz w:val="24"/>
          <w:szCs w:val="24"/>
        </w:rPr>
      </w:pPr>
      <w:r>
        <w:rPr>
          <w:rFonts w:ascii="Arial" w:hAnsi="Arial" w:cs="Arial"/>
          <w:color w:val="FF0000"/>
          <w:sz w:val="24"/>
          <w:szCs w:val="24"/>
        </w:rPr>
        <w:fldChar w:fldCharType="begin"/>
      </w:r>
      <w:r>
        <w:rPr>
          <w:rFonts w:ascii="Arial" w:hAnsi="Arial" w:cs="Arial"/>
          <w:color w:val="FF0000"/>
          <w:sz w:val="24"/>
          <w:szCs w:val="24"/>
        </w:rPr>
        <w:instrText xml:space="preserve"> DATE  \@ "MMMM d, yyyy"  \* MERGEFORMAT </w:instrText>
      </w:r>
      <w:r>
        <w:rPr>
          <w:rFonts w:ascii="Arial" w:hAnsi="Arial" w:cs="Arial"/>
          <w:color w:val="FF0000"/>
          <w:sz w:val="24"/>
          <w:szCs w:val="24"/>
        </w:rPr>
        <w:fldChar w:fldCharType="separate"/>
      </w:r>
      <w:r>
        <w:rPr>
          <w:rFonts w:ascii="Arial" w:hAnsi="Arial" w:cs="Arial"/>
          <w:noProof/>
          <w:color w:val="FF0000"/>
          <w:sz w:val="24"/>
          <w:szCs w:val="24"/>
        </w:rPr>
        <w:t>May 13, 2020</w:t>
      </w:r>
      <w:r>
        <w:rPr>
          <w:rFonts w:ascii="Arial" w:hAnsi="Arial" w:cs="Arial"/>
          <w:color w:val="FF0000"/>
          <w:sz w:val="24"/>
          <w:szCs w:val="24"/>
        </w:rPr>
        <w:fldChar w:fldCharType="end"/>
      </w:r>
    </w:p>
    <w:p w:rsidR="000E5E09" w:rsidRDefault="000E5E09" w:rsidP="000E5E09">
      <w:pP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ADDRESSBLOCK \f "&lt;&lt;_FIRST0_&gt;&gt;&lt;&lt; _LAST0_&gt;&gt;&lt;&lt; _SUFFIX0_&gt;&gt;</w:instrText>
      </w:r>
    </w:p>
    <w:p w:rsidR="000E5E09" w:rsidRDefault="000E5E09" w:rsidP="000E5E09">
      <w:pPr>
        <w:rPr>
          <w:rFonts w:ascii="Arial" w:hAnsi="Arial" w:cs="Arial"/>
          <w:sz w:val="24"/>
          <w:szCs w:val="24"/>
        </w:rPr>
      </w:pPr>
      <w:r>
        <w:rPr>
          <w:rFonts w:ascii="Arial" w:hAnsi="Arial" w:cs="Arial"/>
          <w:sz w:val="24"/>
          <w:szCs w:val="24"/>
        </w:rPr>
        <w:instrText>&lt;&lt;_STREET1_</w:instrText>
      </w:r>
    </w:p>
    <w:p w:rsidR="000E5E09" w:rsidRDefault="000E5E09" w:rsidP="000E5E09">
      <w:pPr>
        <w:rPr>
          <w:rFonts w:ascii="Arial" w:hAnsi="Arial" w:cs="Arial"/>
          <w:sz w:val="24"/>
          <w:szCs w:val="24"/>
        </w:rPr>
      </w:pPr>
      <w:r>
        <w:rPr>
          <w:rFonts w:ascii="Arial" w:hAnsi="Arial" w:cs="Arial"/>
          <w:sz w:val="24"/>
          <w:szCs w:val="24"/>
        </w:rPr>
        <w:instrText>&gt;&gt;&lt;&lt;_STREET2_</w:instrText>
      </w:r>
    </w:p>
    <w:p w:rsidR="000E5E09" w:rsidRDefault="000E5E09" w:rsidP="000E5E09">
      <w:pPr>
        <w:rPr>
          <w:rFonts w:ascii="Arial" w:hAnsi="Arial" w:cs="Arial"/>
          <w:sz w:val="24"/>
          <w:szCs w:val="24"/>
        </w:rPr>
      </w:pPr>
      <w:r>
        <w:rPr>
          <w:rFonts w:ascii="Arial" w:hAnsi="Arial" w:cs="Arial"/>
          <w:sz w:val="24"/>
          <w:szCs w:val="24"/>
        </w:rPr>
        <w:instrText>&gt;&gt;&lt;&lt;_CITY_&gt;&gt;&lt;&lt;, _STATE_&gt;&gt;&lt;&lt; _POSTAL_&gt;&gt;&lt;&lt;</w:instrText>
      </w:r>
    </w:p>
    <w:p w:rsidR="000E5E09" w:rsidRDefault="000E5E09" w:rsidP="000E5E09">
      <w:pPr>
        <w:rPr>
          <w:rFonts w:ascii="Arial" w:hAnsi="Arial" w:cs="Arial"/>
          <w:sz w:val="24"/>
          <w:szCs w:val="24"/>
        </w:rPr>
      </w:pPr>
      <w:r>
        <w:rPr>
          <w:rFonts w:ascii="Arial" w:hAnsi="Arial" w:cs="Arial"/>
          <w:sz w:val="24"/>
          <w:szCs w:val="24"/>
        </w:rPr>
        <w:instrText xml:space="preserve">_COUNTRY_&gt;&gt;" \l 1033 \c 1 \e "United States" \d </w:instrText>
      </w:r>
      <w:r>
        <w:rPr>
          <w:rFonts w:ascii="Arial" w:hAnsi="Arial" w:cs="Arial"/>
          <w:sz w:val="24"/>
          <w:szCs w:val="24"/>
        </w:rPr>
        <w:fldChar w:fldCharType="separate"/>
      </w:r>
      <w:r>
        <w:rPr>
          <w:rFonts w:ascii="Arial" w:hAnsi="Arial" w:cs="Arial"/>
          <w:noProof/>
          <w:sz w:val="24"/>
          <w:szCs w:val="24"/>
        </w:rPr>
        <w:t>«AddressBlock»</w:t>
      </w:r>
      <w:r>
        <w:rPr>
          <w:rFonts w:ascii="Arial" w:hAnsi="Arial" w:cs="Arial"/>
          <w:sz w:val="24"/>
          <w:szCs w:val="24"/>
        </w:rPr>
        <w:fldChar w:fldCharType="end"/>
      </w:r>
    </w:p>
    <w:p w:rsidR="000E5E09" w:rsidRDefault="000E5E09" w:rsidP="000E5E09">
      <w:pPr>
        <w:autoSpaceDE w:val="0"/>
        <w:autoSpaceDN w:val="0"/>
        <w:adjustRightInd w:val="0"/>
        <w:spacing w:after="0"/>
        <w:jc w:val="center"/>
        <w:rPr>
          <w:rFonts w:ascii="Arial" w:hAnsi="Arial" w:cs="Arial"/>
          <w:b/>
          <w:bCs/>
          <w:sz w:val="24"/>
          <w:szCs w:val="24"/>
        </w:rPr>
      </w:pPr>
      <w:r>
        <w:rPr>
          <w:rFonts w:ascii="Arial" w:hAnsi="Arial" w:cs="Arial"/>
          <w:b/>
          <w:bCs/>
          <w:sz w:val="24"/>
          <w:szCs w:val="24"/>
        </w:rPr>
        <w:t>SEC Regulation Best Interest: Important Disclosure Documents</w:t>
      </w:r>
    </w:p>
    <w:p w:rsidR="000E5E09" w:rsidRDefault="000E5E09" w:rsidP="000E5E09">
      <w:pPr>
        <w:autoSpaceDE w:val="0"/>
        <w:autoSpaceDN w:val="0"/>
        <w:adjustRightInd w:val="0"/>
        <w:spacing w:after="0"/>
        <w:jc w:val="center"/>
        <w:rPr>
          <w:rFonts w:ascii="Arial" w:hAnsi="Arial" w:cs="Arial"/>
          <w:b/>
          <w:sz w:val="24"/>
          <w:szCs w:val="24"/>
        </w:rPr>
      </w:pPr>
    </w:p>
    <w:p w:rsidR="000E5E09" w:rsidRDefault="000E5E09" w:rsidP="000E5E09">
      <w:pPr>
        <w:rPr>
          <w:rFonts w:ascii="Arial" w:hAnsi="Arial" w:cs="Arial"/>
          <w:sz w:val="24"/>
          <w:szCs w:val="24"/>
        </w:rPr>
      </w:pPr>
      <w:r>
        <w:rPr>
          <w:rFonts w:ascii="Arial" w:hAnsi="Arial" w:cs="Arial"/>
          <w:sz w:val="24"/>
          <w:szCs w:val="24"/>
        </w:rPr>
        <w:t xml:space="preserve">Dear </w:t>
      </w:r>
      <w:r>
        <w:rPr>
          <w:rFonts w:ascii="Arial" w:hAnsi="Arial" w:cs="Arial"/>
          <w:sz w:val="24"/>
          <w:szCs w:val="24"/>
        </w:rPr>
        <w:fldChar w:fldCharType="begin"/>
      </w:r>
      <w:r>
        <w:rPr>
          <w:rFonts w:ascii="Arial" w:hAnsi="Arial" w:cs="Arial"/>
          <w:sz w:val="24"/>
          <w:szCs w:val="24"/>
        </w:rPr>
        <w:instrText xml:space="preserve"> MERGEFIELD "Salutation" </w:instrText>
      </w:r>
      <w:r>
        <w:rPr>
          <w:rFonts w:ascii="Arial" w:hAnsi="Arial" w:cs="Arial"/>
          <w:sz w:val="24"/>
          <w:szCs w:val="24"/>
        </w:rPr>
        <w:fldChar w:fldCharType="separate"/>
      </w:r>
      <w:r>
        <w:rPr>
          <w:rFonts w:ascii="Arial" w:hAnsi="Arial" w:cs="Arial"/>
          <w:noProof/>
          <w:sz w:val="24"/>
          <w:szCs w:val="24"/>
        </w:rPr>
        <w:t>«Informal Salutation»</w:t>
      </w: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MERGEFIELD "Salutation" </w:instrText>
      </w:r>
      <w:r>
        <w:rPr>
          <w:rFonts w:ascii="Arial" w:hAnsi="Arial" w:cs="Arial"/>
          <w:sz w:val="24"/>
          <w:szCs w:val="24"/>
        </w:rPr>
        <w:fldChar w:fldCharType="separate"/>
      </w:r>
      <w:r>
        <w:rPr>
          <w:rFonts w:ascii="Arial" w:hAnsi="Arial" w:cs="Arial"/>
          <w:noProof/>
          <w:sz w:val="24"/>
          <w:szCs w:val="24"/>
        </w:rPr>
        <w:t>«Formal Salutation»</w:t>
      </w:r>
      <w:r>
        <w:rPr>
          <w:rFonts w:ascii="Arial" w:hAnsi="Arial" w:cs="Arial"/>
          <w:sz w:val="24"/>
          <w:szCs w:val="24"/>
        </w:rPr>
        <w:fldChar w:fldCharType="end"/>
      </w:r>
      <w:r>
        <w:rPr>
          <w:rFonts w:ascii="Arial" w:hAnsi="Arial" w:cs="Arial"/>
          <w:sz w:val="24"/>
          <w:szCs w:val="24"/>
        </w:rPr>
        <w:t>:</w:t>
      </w:r>
    </w:p>
    <w:p w:rsidR="000E5E09" w:rsidRDefault="000E5E09" w:rsidP="000E5E09">
      <w:pPr>
        <w:rPr>
          <w:rFonts w:ascii="Arial" w:hAnsi="Arial" w:cs="Arial"/>
          <w:sz w:val="24"/>
          <w:szCs w:val="24"/>
        </w:rPr>
      </w:pPr>
      <w:r>
        <w:rPr>
          <w:rFonts w:ascii="Arial" w:hAnsi="Arial" w:cs="Arial"/>
          <w:sz w:val="24"/>
          <w:szCs w:val="24"/>
        </w:rPr>
        <w:t xml:space="preserve">The Securities and Exchange Commission (SEC) recently adopted new regulations, including Regulation Best Interest, </w:t>
      </w:r>
      <w:r w:rsidRPr="000E5E09">
        <w:rPr>
          <w:rFonts w:ascii="Arial" w:hAnsi="Arial" w:cs="Arial"/>
          <w:sz w:val="24"/>
          <w:szCs w:val="24"/>
        </w:rPr>
        <w:t xml:space="preserve">which </w:t>
      </w:r>
      <w:r w:rsidRPr="000E5E09">
        <w:rPr>
          <w:rFonts w:ascii="Arial" w:hAnsi="Arial" w:cs="Arial"/>
          <w:sz w:val="24"/>
          <w:szCs w:val="24"/>
        </w:rPr>
        <w:t>I</w:t>
      </w:r>
      <w:r w:rsidRPr="000E5E09">
        <w:rPr>
          <w:rFonts w:ascii="Arial" w:hAnsi="Arial" w:cs="Arial"/>
          <w:sz w:val="24"/>
          <w:szCs w:val="24"/>
        </w:rPr>
        <w:t xml:space="preserve"> believe aligns well with </w:t>
      </w:r>
      <w:r w:rsidRPr="000E5E09">
        <w:rPr>
          <w:rFonts w:ascii="Arial" w:hAnsi="Arial" w:cs="Arial"/>
          <w:sz w:val="24"/>
          <w:szCs w:val="24"/>
        </w:rPr>
        <w:t>my</w:t>
      </w:r>
      <w:r w:rsidRPr="000E5E09">
        <w:rPr>
          <w:rFonts w:ascii="Arial" w:hAnsi="Arial" w:cs="Arial"/>
          <w:sz w:val="24"/>
          <w:szCs w:val="24"/>
        </w:rPr>
        <w:t xml:space="preserve"> </w:t>
      </w:r>
      <w:r>
        <w:rPr>
          <w:rFonts w:ascii="Arial" w:hAnsi="Arial" w:cs="Arial"/>
          <w:sz w:val="24"/>
          <w:szCs w:val="24"/>
        </w:rPr>
        <w:t>longstanding core value of putting clients first.</w:t>
      </w:r>
    </w:p>
    <w:p w:rsidR="000E5E09" w:rsidRDefault="000E5E09" w:rsidP="000E5E09">
      <w:pPr>
        <w:rPr>
          <w:rFonts w:ascii="Arial" w:hAnsi="Arial" w:cs="Arial"/>
          <w:sz w:val="24"/>
          <w:szCs w:val="24"/>
        </w:rPr>
      </w:pPr>
      <w:r>
        <w:rPr>
          <w:rFonts w:ascii="Arial" w:hAnsi="Arial" w:cs="Arial"/>
          <w:sz w:val="24"/>
          <w:szCs w:val="24"/>
        </w:rPr>
        <w:t xml:space="preserve">Effective June 30, 2020, all broker-dealers and investment advisers must provide clients with important disclosures to help with their investment decisions. </w:t>
      </w:r>
    </w:p>
    <w:p w:rsidR="000E5E09" w:rsidRDefault="000E5E09" w:rsidP="000E5E09">
      <w:pPr>
        <w:rPr>
          <w:rFonts w:ascii="Arial" w:hAnsi="Arial" w:cs="Arial"/>
          <w:sz w:val="24"/>
          <w:szCs w:val="24"/>
        </w:rPr>
      </w:pPr>
      <w:r>
        <w:rPr>
          <w:rFonts w:ascii="Arial" w:hAnsi="Arial" w:cs="Arial"/>
          <w:sz w:val="24"/>
          <w:szCs w:val="24"/>
        </w:rPr>
        <w:t xml:space="preserve">In the coming </w:t>
      </w:r>
      <w:r>
        <w:rPr>
          <w:rFonts w:ascii="Arial" w:hAnsi="Arial" w:cs="Arial"/>
          <w:sz w:val="24"/>
          <w:szCs w:val="24"/>
        </w:rPr>
        <w:t>weeks</w:t>
      </w:r>
      <w:r>
        <w:rPr>
          <w:rFonts w:ascii="Arial" w:hAnsi="Arial" w:cs="Arial"/>
          <w:sz w:val="24"/>
          <w:szCs w:val="24"/>
        </w:rPr>
        <w:t xml:space="preserve">, you will receive a disclosure package from </w:t>
      </w:r>
      <w:r>
        <w:rPr>
          <w:rFonts w:ascii="Arial" w:hAnsi="Arial" w:cs="Arial"/>
          <w:sz w:val="24"/>
          <w:szCs w:val="24"/>
        </w:rPr>
        <w:t>Harbor Financial Services</w:t>
      </w:r>
      <w:r>
        <w:rPr>
          <w:rFonts w:ascii="Arial" w:hAnsi="Arial" w:cs="Arial"/>
          <w:sz w:val="24"/>
          <w:szCs w:val="24"/>
        </w:rPr>
        <w:t xml:space="preserve"> that includes two new disclosures:  </w:t>
      </w:r>
    </w:p>
    <w:p w:rsidR="000E5E09" w:rsidRDefault="000E5E09" w:rsidP="000E5E09">
      <w:pPr>
        <w:numPr>
          <w:ilvl w:val="0"/>
          <w:numId w:val="1"/>
        </w:numPr>
        <w:spacing w:before="100" w:beforeAutospacing="1" w:after="100" w:afterAutospacing="1" w:line="300" w:lineRule="atLeast"/>
        <w:rPr>
          <w:rFonts w:ascii="Arial" w:hAnsi="Arial" w:cs="Arial"/>
          <w:sz w:val="24"/>
          <w:szCs w:val="21"/>
        </w:rPr>
      </w:pPr>
      <w:r>
        <w:rPr>
          <w:rFonts w:ascii="Arial" w:hAnsi="Arial" w:cs="Arial"/>
          <w:b/>
          <w:sz w:val="24"/>
          <w:szCs w:val="21"/>
        </w:rPr>
        <w:t>Form CRS (Client Relationship Summary)</w:t>
      </w:r>
      <w:r>
        <w:rPr>
          <w:rFonts w:ascii="Arial" w:hAnsi="Arial" w:cs="Arial"/>
          <w:sz w:val="24"/>
          <w:szCs w:val="21"/>
        </w:rPr>
        <w:t xml:space="preserve"> – A four-page document that describes accounts and services available as well as fees, charges and potential conflicts of interest associated with certain account types.</w:t>
      </w:r>
    </w:p>
    <w:p w:rsidR="000E5E09" w:rsidRDefault="000E5E09" w:rsidP="000E5E09">
      <w:pPr>
        <w:numPr>
          <w:ilvl w:val="0"/>
          <w:numId w:val="1"/>
        </w:numPr>
        <w:spacing w:before="100" w:beforeAutospacing="1" w:after="100" w:afterAutospacing="1" w:line="300" w:lineRule="atLeast"/>
        <w:rPr>
          <w:rFonts w:ascii="Arial" w:hAnsi="Arial" w:cs="Arial"/>
          <w:sz w:val="24"/>
          <w:szCs w:val="21"/>
        </w:rPr>
      </w:pPr>
      <w:r>
        <w:rPr>
          <w:rFonts w:ascii="Arial" w:hAnsi="Arial" w:cs="Arial"/>
          <w:b/>
          <w:sz w:val="24"/>
          <w:szCs w:val="21"/>
        </w:rPr>
        <w:t xml:space="preserve">Important </w:t>
      </w:r>
      <w:r>
        <w:rPr>
          <w:rFonts w:ascii="Arial" w:hAnsi="Arial" w:cs="Arial"/>
          <w:b/>
          <w:sz w:val="24"/>
          <w:szCs w:val="21"/>
        </w:rPr>
        <w:t xml:space="preserve">Investor </w:t>
      </w:r>
      <w:r>
        <w:rPr>
          <w:rFonts w:ascii="Arial" w:hAnsi="Arial" w:cs="Arial"/>
          <w:b/>
          <w:sz w:val="24"/>
          <w:szCs w:val="21"/>
        </w:rPr>
        <w:t>Information</w:t>
      </w:r>
      <w:r>
        <w:rPr>
          <w:rFonts w:ascii="Arial" w:hAnsi="Arial" w:cs="Arial"/>
          <w:sz w:val="24"/>
          <w:szCs w:val="21"/>
        </w:rPr>
        <w:t xml:space="preserve"> – </w:t>
      </w:r>
      <w:r>
        <w:rPr>
          <w:rFonts w:ascii="Arial" w:hAnsi="Arial" w:cs="Arial"/>
          <w:sz w:val="24"/>
          <w:szCs w:val="21"/>
        </w:rPr>
        <w:t>A</w:t>
      </w:r>
      <w:r>
        <w:rPr>
          <w:rFonts w:ascii="Arial" w:hAnsi="Arial" w:cs="Arial"/>
          <w:sz w:val="24"/>
          <w:szCs w:val="21"/>
        </w:rPr>
        <w:t xml:space="preserve"> booklet that provides additional details about the topics addressed in Form CRS, as well as further information regarding available investment products and services.</w:t>
      </w:r>
    </w:p>
    <w:p w:rsidR="000E5E09" w:rsidRDefault="000E5E09" w:rsidP="000E5E09">
      <w:pPr>
        <w:spacing w:before="100" w:beforeAutospacing="1" w:after="100" w:afterAutospacing="1" w:line="300" w:lineRule="atLeast"/>
        <w:rPr>
          <w:rFonts w:ascii="Arial" w:hAnsi="Arial" w:cs="Arial"/>
          <w:sz w:val="24"/>
          <w:szCs w:val="21"/>
        </w:rPr>
      </w:pPr>
      <w:r>
        <w:rPr>
          <w:rFonts w:ascii="Arial" w:hAnsi="Arial" w:cs="Arial"/>
          <w:sz w:val="24"/>
          <w:szCs w:val="24"/>
        </w:rPr>
        <w:t xml:space="preserve">When you receive the package, </w:t>
      </w:r>
      <w:r w:rsidRPr="000E5E09">
        <w:rPr>
          <w:rFonts w:ascii="Arial" w:hAnsi="Arial" w:cs="Arial"/>
          <w:sz w:val="24"/>
          <w:szCs w:val="24"/>
        </w:rPr>
        <w:t xml:space="preserve">I </w:t>
      </w:r>
      <w:r>
        <w:rPr>
          <w:rFonts w:ascii="Arial" w:hAnsi="Arial" w:cs="Arial"/>
          <w:sz w:val="24"/>
          <w:szCs w:val="24"/>
        </w:rPr>
        <w:t>suggest you read the new disclosures. While no action is needed</w:t>
      </w:r>
      <w:r w:rsidRPr="000E5E09">
        <w:rPr>
          <w:rFonts w:ascii="Arial" w:hAnsi="Arial" w:cs="Arial"/>
          <w:sz w:val="24"/>
          <w:szCs w:val="24"/>
        </w:rPr>
        <w:t xml:space="preserve">, </w:t>
      </w:r>
      <w:r w:rsidRPr="000E5E09">
        <w:rPr>
          <w:rFonts w:ascii="Arial" w:hAnsi="Arial" w:cs="Arial"/>
          <w:sz w:val="24"/>
          <w:szCs w:val="24"/>
        </w:rPr>
        <w:t>I</w:t>
      </w:r>
      <w:r w:rsidRPr="000E5E09">
        <w:rPr>
          <w:rFonts w:ascii="Arial" w:hAnsi="Arial" w:cs="Arial"/>
          <w:sz w:val="24"/>
          <w:szCs w:val="24"/>
        </w:rPr>
        <w:t xml:space="preserve"> wanted </w:t>
      </w:r>
      <w:r>
        <w:rPr>
          <w:rFonts w:ascii="Arial" w:hAnsi="Arial" w:cs="Arial"/>
          <w:sz w:val="24"/>
          <w:szCs w:val="24"/>
        </w:rPr>
        <w:t>to make sure you knew what to expect.</w:t>
      </w:r>
    </w:p>
    <w:p w:rsidR="000E5E09" w:rsidRDefault="000E5E09" w:rsidP="000E5E09">
      <w:pPr>
        <w:rPr>
          <w:rFonts w:ascii="Arial" w:hAnsi="Arial" w:cs="Arial"/>
          <w:sz w:val="24"/>
          <w:szCs w:val="24"/>
        </w:rPr>
      </w:pPr>
      <w:r>
        <w:rPr>
          <w:rFonts w:ascii="Arial" w:hAnsi="Arial" w:cs="Arial"/>
          <w:sz w:val="24"/>
          <w:szCs w:val="21"/>
        </w:rPr>
        <w:t>In the future, you may receive the</w:t>
      </w:r>
      <w:r>
        <w:rPr>
          <w:rFonts w:ascii="Arial" w:hAnsi="Arial" w:cs="Arial"/>
          <w:sz w:val="24"/>
          <w:szCs w:val="24"/>
        </w:rPr>
        <w:t xml:space="preserve"> Form CRS again on some occasions based on certain investment activities such as opening another account. The SEC wants to ensure investors are aware of available account choices as they are making decisions. By June, these disclosures will also be available on </w:t>
      </w:r>
      <w:r>
        <w:rPr>
          <w:rFonts w:ascii="Arial" w:hAnsi="Arial" w:cs="Arial"/>
          <w:sz w:val="24"/>
          <w:szCs w:val="24"/>
        </w:rPr>
        <w:t>Harborfs.com/di</w:t>
      </w:r>
      <w:r>
        <w:rPr>
          <w:rFonts w:ascii="Arial" w:hAnsi="Arial" w:cs="Arial"/>
          <w:sz w:val="24"/>
          <w:szCs w:val="24"/>
        </w:rPr>
        <w:t>sclosur</w:t>
      </w:r>
      <w:r>
        <w:rPr>
          <w:rFonts w:ascii="Arial" w:hAnsi="Arial" w:cs="Arial"/>
          <w:sz w:val="24"/>
          <w:szCs w:val="24"/>
        </w:rPr>
        <w:t>e</w:t>
      </w:r>
      <w:r>
        <w:rPr>
          <w:rFonts w:ascii="Arial" w:hAnsi="Arial" w:cs="Arial"/>
          <w:sz w:val="24"/>
          <w:szCs w:val="24"/>
        </w:rPr>
        <w:t xml:space="preserve">. </w:t>
      </w:r>
    </w:p>
    <w:p w:rsidR="000E5E09" w:rsidRDefault="000E5E09" w:rsidP="000E5E09">
      <w:pPr>
        <w:spacing w:before="100" w:beforeAutospacing="1" w:after="100" w:afterAutospacing="1" w:line="300" w:lineRule="atLeast"/>
        <w:rPr>
          <w:rFonts w:ascii="Arial" w:hAnsi="Arial" w:cs="Arial"/>
          <w:sz w:val="24"/>
          <w:szCs w:val="24"/>
        </w:rPr>
      </w:pPr>
      <w:r>
        <w:rPr>
          <w:rFonts w:ascii="Arial" w:hAnsi="Arial" w:cs="Arial"/>
          <w:b/>
          <w:bCs/>
          <w:sz w:val="24"/>
          <w:szCs w:val="24"/>
        </w:rPr>
        <w:t>How will I receive the upcoming mailing?</w:t>
      </w:r>
    </w:p>
    <w:p w:rsidR="000E5E09" w:rsidRDefault="000E5E09" w:rsidP="000E5E09">
      <w:pPr>
        <w:spacing w:before="100" w:beforeAutospacing="1" w:after="100" w:afterAutospacing="1" w:line="300" w:lineRule="atLeast"/>
        <w:rPr>
          <w:rFonts w:ascii="Arial" w:hAnsi="Arial" w:cs="Arial"/>
          <w:sz w:val="24"/>
          <w:szCs w:val="24"/>
        </w:rPr>
      </w:pPr>
      <w:r>
        <w:rPr>
          <w:rFonts w:ascii="Arial" w:hAnsi="Arial" w:cs="Arial"/>
          <w:sz w:val="24"/>
          <w:szCs w:val="24"/>
        </w:rPr>
        <w:t>You will receive the disclosure package via traditional mail or electronically based on your document delivery preferences</w:t>
      </w:r>
      <w:r>
        <w:rPr>
          <w:rFonts w:ascii="Arial" w:hAnsi="Arial" w:cs="Arial"/>
          <w:sz w:val="24"/>
          <w:szCs w:val="24"/>
        </w:rPr>
        <w:t xml:space="preserve">. </w:t>
      </w:r>
    </w:p>
    <w:p w:rsidR="000E5E09" w:rsidRDefault="000E5E09" w:rsidP="000E5E09">
      <w:pPr>
        <w:spacing w:before="100" w:beforeAutospacing="1" w:after="100" w:afterAutospacing="1" w:line="300" w:lineRule="atLeast"/>
        <w:rPr>
          <w:rFonts w:ascii="Arial" w:hAnsi="Arial" w:cs="Arial"/>
          <w:b/>
          <w:sz w:val="24"/>
          <w:szCs w:val="24"/>
        </w:rPr>
      </w:pPr>
      <w:r>
        <w:rPr>
          <w:rFonts w:ascii="Arial" w:hAnsi="Arial" w:cs="Arial"/>
          <w:b/>
          <w:sz w:val="24"/>
          <w:szCs w:val="24"/>
        </w:rPr>
        <w:t xml:space="preserve">How can I update my delivery preferences for future mailings? </w:t>
      </w:r>
    </w:p>
    <w:p w:rsidR="000E5E09" w:rsidRDefault="000E5E09" w:rsidP="000E5E09">
      <w:pPr>
        <w:spacing w:before="100" w:beforeAutospacing="1" w:after="100" w:afterAutospacing="1" w:line="300" w:lineRule="atLeast"/>
        <w:rPr>
          <w:rFonts w:ascii="Arial" w:hAnsi="Arial" w:cs="Arial"/>
          <w:sz w:val="24"/>
          <w:szCs w:val="24"/>
        </w:rPr>
      </w:pPr>
    </w:p>
    <w:p w:rsidR="000E5E09" w:rsidRDefault="000E5E09" w:rsidP="000E5E09">
      <w:pPr>
        <w:spacing w:before="100" w:beforeAutospacing="1" w:after="100" w:afterAutospacing="1" w:line="300" w:lineRule="atLeast"/>
        <w:rPr>
          <w:rFonts w:ascii="Arial" w:hAnsi="Arial" w:cs="Arial"/>
          <w:sz w:val="24"/>
          <w:szCs w:val="24"/>
        </w:rPr>
      </w:pPr>
      <w:r>
        <w:rPr>
          <w:rFonts w:ascii="Arial" w:hAnsi="Arial" w:cs="Arial"/>
          <w:sz w:val="24"/>
          <w:szCs w:val="24"/>
        </w:rPr>
        <w:lastRenderedPageBreak/>
        <w:t xml:space="preserve">If you wish to receive future disclosure mailings, statements and other correspondence from </w:t>
      </w:r>
      <w:r>
        <w:rPr>
          <w:rFonts w:ascii="Arial" w:hAnsi="Arial" w:cs="Arial"/>
          <w:sz w:val="24"/>
          <w:szCs w:val="24"/>
        </w:rPr>
        <w:t>Harbor</w:t>
      </w:r>
      <w:r>
        <w:rPr>
          <w:rFonts w:ascii="Arial" w:hAnsi="Arial" w:cs="Arial"/>
          <w:sz w:val="24"/>
          <w:szCs w:val="24"/>
        </w:rPr>
        <w:t xml:space="preserve"> electronically, </w:t>
      </w:r>
      <w:r w:rsidRPr="000E5E09">
        <w:rPr>
          <w:rFonts w:ascii="Arial" w:hAnsi="Arial" w:cs="Arial"/>
          <w:sz w:val="24"/>
          <w:szCs w:val="24"/>
        </w:rPr>
        <w:t>I</w:t>
      </w:r>
      <w:r w:rsidRPr="000E5E09">
        <w:rPr>
          <w:rFonts w:ascii="Arial" w:hAnsi="Arial" w:cs="Arial"/>
          <w:sz w:val="24"/>
          <w:szCs w:val="24"/>
        </w:rPr>
        <w:t xml:space="preserve"> </w:t>
      </w:r>
      <w:r>
        <w:rPr>
          <w:rFonts w:ascii="Arial" w:hAnsi="Arial" w:cs="Arial"/>
          <w:sz w:val="24"/>
          <w:szCs w:val="24"/>
        </w:rPr>
        <w:t xml:space="preserve">encourage you to consider updating your preferences in </w:t>
      </w:r>
      <w:r>
        <w:rPr>
          <w:rFonts w:ascii="Arial" w:hAnsi="Arial" w:cs="Arial"/>
          <w:sz w:val="24"/>
          <w:szCs w:val="24"/>
          <w:u w:val="single"/>
        </w:rPr>
        <w:t>raymondjames.com/</w:t>
      </w:r>
      <w:proofErr w:type="spellStart"/>
      <w:r>
        <w:rPr>
          <w:rFonts w:ascii="Arial" w:hAnsi="Arial" w:cs="Arial"/>
          <w:sz w:val="24"/>
          <w:szCs w:val="24"/>
          <w:u w:val="single"/>
        </w:rPr>
        <w:t>ClientAccess</w:t>
      </w:r>
      <w:proofErr w:type="spellEnd"/>
      <w:r>
        <w:rPr>
          <w:rFonts w:ascii="Arial" w:hAnsi="Arial" w:cs="Arial"/>
          <w:sz w:val="24"/>
          <w:szCs w:val="24"/>
        </w:rPr>
        <w:t xml:space="preserve"> via Account Services &gt; Client Tools</w:t>
      </w:r>
      <w:r>
        <w:rPr>
          <w:rFonts w:ascii="Arial" w:hAnsi="Arial" w:cs="Arial"/>
          <w:color w:val="5B5E5A"/>
          <w:sz w:val="24"/>
          <w:szCs w:val="24"/>
        </w:rPr>
        <w:t>.</w:t>
      </w:r>
    </w:p>
    <w:p w:rsidR="000E5E09" w:rsidRDefault="000E5E09" w:rsidP="000E5E09">
      <w:pPr>
        <w:rPr>
          <w:rFonts w:ascii="Arial" w:hAnsi="Arial" w:cs="Arial"/>
          <w:sz w:val="24"/>
          <w:szCs w:val="24"/>
        </w:rPr>
      </w:pPr>
      <w:r>
        <w:rPr>
          <w:rFonts w:ascii="Arial" w:hAnsi="Arial" w:cs="Arial"/>
          <w:sz w:val="24"/>
          <w:szCs w:val="24"/>
        </w:rPr>
        <w:t xml:space="preserve">If you haven’t yet signed up for </w:t>
      </w:r>
      <w:hyperlink r:id="rId5" w:history="1">
        <w:r>
          <w:rPr>
            <w:rStyle w:val="Hyperlink"/>
            <w:rFonts w:cs="Arial"/>
            <w:sz w:val="24"/>
            <w:szCs w:val="24"/>
          </w:rPr>
          <w:t>Client Access</w:t>
        </w:r>
      </w:hyperlink>
      <w:r>
        <w:rPr>
          <w:rFonts w:ascii="Arial" w:hAnsi="Arial" w:cs="Arial"/>
          <w:sz w:val="24"/>
          <w:szCs w:val="24"/>
        </w:rPr>
        <w:t xml:space="preserve">, now is a good time to do so given the limited physical contact during these unprecedented times. This secure, convenient online account access system complements the </w:t>
      </w:r>
      <w:r w:rsidRPr="000E5E09">
        <w:rPr>
          <w:rFonts w:ascii="Arial" w:hAnsi="Arial" w:cs="Arial"/>
          <w:sz w:val="24"/>
          <w:szCs w:val="24"/>
        </w:rPr>
        <w:t xml:space="preserve">services </w:t>
      </w:r>
      <w:r w:rsidRPr="000E5E09">
        <w:rPr>
          <w:rFonts w:ascii="Arial" w:hAnsi="Arial" w:cs="Arial"/>
          <w:sz w:val="24"/>
          <w:szCs w:val="24"/>
        </w:rPr>
        <w:t>I</w:t>
      </w:r>
      <w:r w:rsidRPr="000E5E09">
        <w:rPr>
          <w:rFonts w:ascii="Arial" w:hAnsi="Arial" w:cs="Arial"/>
          <w:sz w:val="24"/>
          <w:szCs w:val="24"/>
        </w:rPr>
        <w:t xml:space="preserve"> provide, </w:t>
      </w:r>
      <w:r>
        <w:rPr>
          <w:rFonts w:ascii="Arial" w:hAnsi="Arial" w:cs="Arial"/>
          <w:sz w:val="24"/>
          <w:szCs w:val="24"/>
        </w:rPr>
        <w:t xml:space="preserve">offering instant availability of your financial information wherever you are in addition to the convenience of receiving statements and other communications electronically. </w:t>
      </w:r>
    </w:p>
    <w:p w:rsidR="000E5E09" w:rsidRDefault="000E5E09" w:rsidP="000E5E09">
      <w:pPr>
        <w:rPr>
          <w:rFonts w:ascii="Arial" w:hAnsi="Arial" w:cs="Arial"/>
          <w:sz w:val="24"/>
          <w:szCs w:val="24"/>
        </w:rPr>
      </w:pPr>
      <w:r>
        <w:rPr>
          <w:rFonts w:ascii="Arial" w:hAnsi="Arial" w:cs="Arial"/>
          <w:sz w:val="24"/>
          <w:szCs w:val="24"/>
        </w:rPr>
        <w:t xml:space="preserve">Please feel free to contact </w:t>
      </w:r>
      <w:r w:rsidRPr="000E5E09">
        <w:rPr>
          <w:rFonts w:ascii="Arial" w:hAnsi="Arial" w:cs="Arial"/>
          <w:sz w:val="24"/>
          <w:szCs w:val="24"/>
        </w:rPr>
        <w:t>me</w:t>
      </w:r>
      <w:r w:rsidRPr="000E5E09">
        <w:rPr>
          <w:rFonts w:ascii="Arial" w:hAnsi="Arial" w:cs="Arial"/>
          <w:sz w:val="24"/>
          <w:szCs w:val="24"/>
        </w:rPr>
        <w:t xml:space="preserve"> </w:t>
      </w:r>
      <w:r>
        <w:rPr>
          <w:rFonts w:ascii="Arial" w:hAnsi="Arial" w:cs="Arial"/>
          <w:sz w:val="24"/>
          <w:szCs w:val="24"/>
        </w:rPr>
        <w:t>with any questions.</w:t>
      </w:r>
    </w:p>
    <w:p w:rsidR="000E5E09" w:rsidRDefault="000E5E09" w:rsidP="000E5E09">
      <w:pPr>
        <w:rPr>
          <w:rFonts w:ascii="Arial" w:hAnsi="Arial" w:cs="Arial"/>
          <w:sz w:val="24"/>
          <w:szCs w:val="24"/>
        </w:rPr>
      </w:pPr>
    </w:p>
    <w:p w:rsidR="000E5E09" w:rsidRDefault="000E5E09" w:rsidP="000E5E09">
      <w:pPr>
        <w:rPr>
          <w:rFonts w:ascii="Arial" w:hAnsi="Arial" w:cs="Arial"/>
          <w:sz w:val="24"/>
          <w:szCs w:val="24"/>
        </w:rPr>
      </w:pPr>
      <w:r>
        <w:rPr>
          <w:rFonts w:ascii="Arial" w:hAnsi="Arial" w:cs="Arial"/>
          <w:sz w:val="24"/>
          <w:szCs w:val="24"/>
        </w:rPr>
        <w:t xml:space="preserve">Sincerely, </w:t>
      </w:r>
    </w:p>
    <w:p w:rsidR="000E5E09" w:rsidRDefault="000E5E09" w:rsidP="000E5E09">
      <w:pPr>
        <w:rPr>
          <w:rFonts w:ascii="Arial" w:hAnsi="Arial" w:cs="Arial"/>
          <w:sz w:val="24"/>
          <w:szCs w:val="24"/>
        </w:rPr>
      </w:pPr>
    </w:p>
    <w:p w:rsidR="000E5E09" w:rsidRDefault="000E5E09" w:rsidP="000E5E09">
      <w:pPr>
        <w:rPr>
          <w:rFonts w:ascii="Arial" w:hAnsi="Arial" w:cs="Arial"/>
          <w:b/>
          <w:color w:val="FF0000"/>
          <w:sz w:val="24"/>
          <w:szCs w:val="24"/>
        </w:rPr>
      </w:pPr>
      <w:r>
        <w:rPr>
          <w:rFonts w:ascii="Arial" w:hAnsi="Arial" w:cs="Arial"/>
          <w:b/>
          <w:color w:val="FF0000"/>
          <w:sz w:val="24"/>
          <w:szCs w:val="24"/>
        </w:rPr>
        <w:t xml:space="preserve">(Financial </w:t>
      </w:r>
      <w:r>
        <w:rPr>
          <w:rFonts w:ascii="Arial" w:hAnsi="Arial" w:cs="Arial"/>
          <w:b/>
          <w:color w:val="FF0000"/>
          <w:sz w:val="24"/>
          <w:szCs w:val="24"/>
        </w:rPr>
        <w:t>Professional</w:t>
      </w:r>
      <w:r>
        <w:rPr>
          <w:rFonts w:ascii="Arial" w:hAnsi="Arial" w:cs="Arial"/>
          <w:b/>
          <w:color w:val="FF0000"/>
          <w:sz w:val="24"/>
          <w:szCs w:val="24"/>
        </w:rPr>
        <w:t xml:space="preserve"> Name)</w:t>
      </w:r>
    </w:p>
    <w:p w:rsidR="003F288B" w:rsidRDefault="00CF092D"/>
    <w:sectPr w:rsidR="003F2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157A90"/>
    <w:multiLevelType w:val="multilevel"/>
    <w:tmpl w:val="847AC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09"/>
    <w:rsid w:val="00073555"/>
    <w:rsid w:val="000E5E09"/>
    <w:rsid w:val="0071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B8D8"/>
  <w15:chartTrackingRefBased/>
  <w15:docId w15:val="{5A8F7394-1040-4EBE-B1AA-A9898281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E09"/>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5E0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4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aymondjames.com/clientac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Beaman</dc:creator>
  <cp:keywords/>
  <dc:description/>
  <cp:lastModifiedBy>Terri Beaman</cp:lastModifiedBy>
  <cp:revision>2</cp:revision>
  <dcterms:created xsi:type="dcterms:W3CDTF">2020-05-14T03:19:00Z</dcterms:created>
  <dcterms:modified xsi:type="dcterms:W3CDTF">2020-05-14T03:19:00Z</dcterms:modified>
</cp:coreProperties>
</file>