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CCCCC" w:sz="8" w:space="1"/>
        </w:pBdr>
        <w:spacing w:after="40" w:before="0"/>
      </w:pPr>
      <w:r>
        <w:rPr>
          <w:rFonts w:ascii="Arial" w:cs="Arial" w:eastAsia="Arial" w:hAnsi="Arial"/>
          <w:b/>
          <w:bCs/>
          <w:sz w:val="28"/>
          <w:szCs w:val="28"/>
        </w:rPr>
        <w:t xml:space="preserve">Minnesota SBDC — AI empowered advisor roadmap</w:t>
      </w:r>
    </w:p>
    <w:p>
      <w:pPr>
        <w:spacing w:after="120" w:before="60"/>
      </w:pPr>
      <w:r>
        <w:rPr>
          <w:rFonts w:ascii="Arial" w:cs="Arial" w:eastAsia="Arial" w:hAnsi="Arial"/>
          <w:color w:val="888888"/>
          <w:sz w:val="17"/>
          <w:szCs w:val="17"/>
        </w:rPr>
        <w:t xml:space="preserve">A training and onboarding roadmap for SBDC consultants. Minnesota SBDC AI Committee.</w:t>
      </w:r>
    </w:p>
    <w:p>
      <w:pPr>
        <w:spacing w:after="60" w:before="0"/>
      </w:pPr>
      <w:r>
        <w:rPr>
          <w:rFonts w:ascii="Arial" w:cs="Arial" w:eastAsia="Arial" w:hAnsi="Arial"/>
          <w:b/>
          <w:bCs/>
          <w:sz w:val="22"/>
          <w:szCs w:val="22"/>
        </w:rPr>
        <w:t xml:space="preserve">What is an AI-empowered advisor?</w:t>
      </w:r>
    </w:p>
    <w:p>
      <w:pPr>
        <w:spacing w:after="80" w:before="0"/>
      </w:pPr>
      <w:r>
        <w:rPr>
          <w:rFonts w:ascii="Arial" w:cs="Arial" w:eastAsia="Arial" w:hAnsi="Arial"/>
          <w:sz w:val="18"/>
          <w:szCs w:val="18"/>
        </w:rPr>
        <w:t xml:space="preserve">An AI-empowered advisor is not simply someone who uses AI tools. It is an advisor who has integrated AI into how they think, prepare, and show up for clients — and who brings that same capability into the room when clients need it most.</w:t>
      </w:r>
    </w:p>
    <w:p>
      <w:pPr>
        <w:spacing w:after="80" w:before="0"/>
      </w:pPr>
      <w:r>
        <w:rPr>
          <w:rFonts w:ascii="Arial" w:cs="Arial" w:eastAsia="Arial" w:hAnsi="Arial"/>
          <w:sz w:val="18"/>
          <w:szCs w:val="18"/>
        </w:rPr>
        <w:t xml:space="preserve">At the Minnesota SBDC, we view this through two lenses. The first is internal: an AI-empowered advisor works smarter. They use AI to prepare more thoroughly, document more efficiently, and spend less time on tasks that don’t require their expertise. The second is client-facing: an AI-empowered advisor coaches. They can demonstrate, guide, and help clients build their own relationship with AI tools in a way that is practical, responsible, and grounded in their business reality.</w:t>
      </w:r>
    </w:p>
    <w:p>
      <w:pPr>
        <w:spacing w:after="160" w:before="0"/>
      </w:pPr>
      <w:r>
        <w:rPr>
          <w:rFonts w:ascii="Arial" w:cs="Arial" w:eastAsia="Arial" w:hAnsi="Arial"/>
          <w:sz w:val="18"/>
          <w:szCs w:val="18"/>
        </w:rPr>
        <w:t xml:space="preserve">These two lenses reinforce each other. An advisor who uses AI well is a more credible coach. A coach who understands their clients’ AI challenges becomes a better practitioner.</w:t>
      </w:r>
    </w:p>
    <w:p>
      <w:pPr>
        <w:spacing w:after="60" w:before="0"/>
      </w:pPr>
      <w:r>
        <w:rPr>
          <w:rFonts w:ascii="Arial" w:cs="Arial" w:eastAsia="Arial" w:hAnsi="Arial"/>
          <w:b/>
          <w:bCs/>
          <w:sz w:val="22"/>
          <w:szCs w:val="22"/>
        </w:rPr>
        <w:t xml:space="preserve">The persona worksheet</w:t>
      </w:r>
    </w:p>
    <w:p>
      <w:pPr>
        <w:spacing w:after="160" w:before="0"/>
      </w:pPr>
      <w:r>
        <w:rPr>
          <w:rFonts w:ascii="Arial" w:cs="Arial" w:eastAsia="Arial" w:hAnsi="Arial"/>
          <w:sz w:val="18"/>
          <w:szCs w:val="18"/>
        </w:rPr>
        <w:t xml:space="preserve">The AI Advisor Persona Worksheet is a functional reference for what an AI-empowered consultant can look like in practice. It describes the skills, habits, and mindset that tend to emerge as advisors grow — not as a checklist to complete, but as a picture of what’s possible. Advisors are encouraged to use it as a mirror: a way to see where they are, where they’re headed, and what new capabilities might open up as they move through their chosen path.</w:t>
      </w:r>
    </w:p>
    <w:p>
      <w:pPr>
        <w:spacing w:after="60" w:before="0"/>
      </w:pPr>
      <w:r>
        <w:rPr>
          <w:rFonts w:ascii="Arial" w:cs="Arial" w:eastAsia="Arial" w:hAnsi="Arial"/>
          <w:b/>
          <w:bCs/>
          <w:sz w:val="22"/>
          <w:szCs w:val="22"/>
        </w:rPr>
        <w:t xml:space="preserve">How this roadmap works</w:t>
      </w:r>
    </w:p>
    <w:p>
      <w:pPr>
        <w:spacing w:after="200" w:before="0"/>
      </w:pPr>
      <w:r>
        <w:rPr>
          <w:rFonts w:ascii="Arial" w:cs="Arial" w:eastAsia="Arial" w:hAnsi="Arial"/>
          <w:sz w:val="18"/>
          <w:szCs w:val="18"/>
        </w:rPr>
        <w:t xml:space="preserve">AI Foundations represents the baseline every advisor must reach before branching. These five competencies ensure a shared floor of ethical understanding, practical skill, and responsible use across the entire team. Once Foundations is complete, advisors choose one or more paths that align with their advising focus and the needs of their clients. Paths are not a ceiling — they are a starting point for deeper development.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5DCAA5" w:sz="6"/>
              <w:left w:val="single" w:color="5DCAA5" w:sz="6"/>
              <w:bottom w:val="single" w:color="5DCAA5" w:sz="6"/>
              <w:right w:val="single" w:color="5DCAA5" w:sz="6"/>
            </w:tcBorders>
            <w:shd w:fill="E1F5EE" w:val="clear"/>
            <w:tcMar>
              <w:top w:type="dxa" w:w="140"/>
              <w:left w:type="dxa" w:w="200"/>
              <w:bottom w:type="dxa" w:w="140"/>
              <w:right w:type="dxa" w:w="200"/>
            </w:tcMar>
          </w:tcPr>
          <w:p>
            <w:pPr>
              <w:spacing w:after="60" w:before="0"/>
            </w:pPr>
            <w:r>
              <w:rPr>
                <w:rFonts w:ascii="Arial" w:cs="Arial" w:eastAsia="Arial" w:hAnsi="Arial"/>
                <w:b/>
                <w:bCs/>
                <w:color w:val="E1F5EE"/>
                <w:sz w:val="16"/>
                <w:szCs w:val="16"/>
                <w:shd w:fill="0F6E56" w:val="clear"/>
              </w:rPr>
              <w:t xml:space="preserve">  Required for all advisors  </w:t>
            </w:r>
          </w:p>
          <w:p>
            <w:pPr>
              <w:spacing w:after="80" w:before="0"/>
            </w:pPr>
            <w:r>
              <w:rPr>
                <w:rFonts w:ascii="Arial" w:cs="Arial" w:eastAsia="Arial" w:hAnsi="Arial"/>
                <w:b/>
                <w:bCs/>
                <w:color w:val="085041"/>
                <w:sz w:val="21"/>
                <w:szCs w:val="21"/>
              </w:rPr>
              <w:t xml:space="preserve">AI Foundations</w:t>
            </w:r>
          </w:p>
          <w:p>
            <w:pPr>
              <w:spacing w:after="80" w:before="0"/>
            </w:pPr>
            <w:r>
              <w:rPr>
                <w:rFonts w:ascii="Arial" w:cs="Arial" w:eastAsia="Arial" w:hAnsi="Arial"/>
                <w:color w:val="0F6E56"/>
                <w:sz w:val="18"/>
                <w:szCs w:val="18"/>
              </w:rPr>
              <w:t xml:space="preserve">Every advisor must complete these five competencies before pursuing a branching path.</w:t>
            </w:r>
          </w:p>
          <w:p>
            <w:pPr>
              <w:pStyle w:val="ListParagraph"/>
              <w:numPr>
                <w:ilvl w:val="0"/>
                <w:numId w:val="2"/>
              </w:numPr>
              <w:spacing w:after="20" w:before="20"/>
            </w:pPr>
            <w:r>
              <w:rPr>
                <w:rFonts w:ascii="Arial" w:cs="Arial" w:eastAsia="Arial" w:hAnsi="Arial"/>
                <w:sz w:val="18"/>
                <w:szCs w:val="18"/>
              </w:rPr>
              <w:t xml:space="preserve">Ethical use and AI policy</w:t>
            </w:r>
          </w:p>
          <w:p>
            <w:pPr>
              <w:pStyle w:val="ListParagraph"/>
              <w:numPr>
                <w:ilvl w:val="0"/>
                <w:numId w:val="2"/>
              </w:numPr>
              <w:spacing w:after="20" w:before="20"/>
            </w:pPr>
            <w:r>
              <w:rPr>
                <w:rFonts w:ascii="Arial" w:cs="Arial" w:eastAsia="Arial" w:hAnsi="Arial"/>
                <w:sz w:val="18"/>
                <w:szCs w:val="18"/>
              </w:rPr>
              <w:t xml:space="preserve">AI certification</w:t>
            </w:r>
          </w:p>
          <w:p>
            <w:pPr>
              <w:pStyle w:val="ListParagraph"/>
              <w:numPr>
                <w:ilvl w:val="0"/>
                <w:numId w:val="2"/>
              </w:numPr>
              <w:spacing w:after="20" w:before="20"/>
            </w:pPr>
            <w:r>
              <w:rPr>
                <w:rFonts w:ascii="Arial" w:cs="Arial" w:eastAsia="Arial" w:hAnsi="Arial"/>
                <w:sz w:val="18"/>
                <w:szCs w:val="18"/>
              </w:rPr>
              <w:t xml:space="preserve">Prompting basics</w:t>
            </w:r>
          </w:p>
          <w:p>
            <w:pPr>
              <w:pStyle w:val="ListParagraph"/>
              <w:numPr>
                <w:ilvl w:val="0"/>
                <w:numId w:val="2"/>
              </w:numPr>
              <w:spacing w:after="20" w:before="20"/>
            </w:pPr>
            <w:r>
              <w:rPr>
                <w:rFonts w:ascii="Arial" w:cs="Arial" w:eastAsia="Arial" w:hAnsi="Arial"/>
                <w:sz w:val="18"/>
                <w:szCs w:val="18"/>
              </w:rPr>
              <w:t xml:space="preserve">AI for notetaking and action steps</w:t>
            </w:r>
          </w:p>
          <w:p>
            <w:pPr>
              <w:pStyle w:val="ListParagraph"/>
              <w:numPr>
                <w:ilvl w:val="0"/>
                <w:numId w:val="2"/>
              </w:numPr>
              <w:spacing w:after="20" w:before="20"/>
            </w:pPr>
            <w:r>
              <w:rPr>
                <w:rFonts w:ascii="Arial" w:cs="Arial" w:eastAsia="Arial" w:hAnsi="Arial"/>
                <w:sz w:val="18"/>
                <w:szCs w:val="18"/>
              </w:rPr>
              <w:t xml:space="preserve">AI as a research assistant</w:t>
            </w:r>
          </w:p>
        </w:tc>
      </w:tr>
    </w:tbl>
    <w:p>
      <w:pPr>
        <w:spacing w:after="0" w:before="140"/>
      </w:pPr>
    </w:p>
    <w:p>
      <w:pPr>
        <w:spacing w:after="140" w:before="0"/>
        <w:jc w:val="center"/>
      </w:pPr>
      <w:r>
        <w:rPr>
          <w:rFonts w:ascii="Arial" w:cs="Arial" w:eastAsia="Arial" w:hAnsi="Arial"/>
          <w:b/>
          <w:bCs/>
          <w:caps/>
          <w:color w:val="AAAAAA"/>
          <w:sz w:val="18"/>
          <w:szCs w:val="18"/>
        </w:rPr>
        <w:t xml:space="preserve">Choose your path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DDDDDD" w:sz="4"/>
              <w:left w:val="single" w:color="DDDDDD" w:sz="4"/>
              <w:bottom w:val="single" w:color="DDDDDD" w:sz="4"/>
              <w:right w:val="single" w:color="DDDDDD" w:sz="4"/>
            </w:tcBorders>
            <w:tcMar>
              <w:top w:type="dxa" w:w="120"/>
              <w:left w:type="dxa" w:w="160"/>
              <w:bottom w:type="dxa" w:w="120"/>
              <w:right w:type="dxa" w:w="160"/>
            </w:tcMar>
            <w:vAlign w:val="top"/>
          </w:tcPr>
          <w:p>
            <w:pPr>
              <w:pBdr>
                <w:bottom w:val="single" w:color="DDDDDD" w:sz="4" w:space="1"/>
              </w:pBdr>
              <w:spacing w:after="60" w:before="0"/>
            </w:pPr>
            <w:r>
              <w:rPr>
                <w:rFonts w:ascii="Arial" w:cs="Arial" w:eastAsia="Arial" w:hAnsi="Arial"/>
                <w:b/>
                <w:bCs/>
                <w:color w:val="534AB7"/>
                <w:sz w:val="19"/>
                <w:szCs w:val="19"/>
              </w:rPr>
              <w:t xml:space="preserve">Advanced prompting &amp; workflow building</w:t>
            </w:r>
          </w:p>
          <w:p>
            <w:pPr>
              <w:pStyle w:val="ListParagraph"/>
              <w:numPr>
                <w:ilvl w:val="0"/>
                <w:numId w:val="3"/>
              </w:numPr>
              <w:spacing w:after="18" w:before="18"/>
            </w:pPr>
            <w:r>
              <w:rPr>
                <w:rFonts w:ascii="Arial" w:cs="Arial" w:eastAsia="Arial" w:hAnsi="Arial"/>
                <w:color w:val="5F5E5A"/>
                <w:sz w:val="17"/>
                <w:szCs w:val="17"/>
              </w:rPr>
              <w:t xml:space="preserve">Prompt chaining and multi-step workflows</w:t>
            </w:r>
          </w:p>
          <w:p>
            <w:pPr>
              <w:pStyle w:val="ListParagraph"/>
              <w:numPr>
                <w:ilvl w:val="0"/>
                <w:numId w:val="3"/>
              </w:numPr>
              <w:spacing w:after="18" w:before="18"/>
            </w:pPr>
            <w:r>
              <w:rPr>
                <w:rFonts w:ascii="Arial" w:cs="Arial" w:eastAsia="Arial" w:hAnsi="Arial"/>
                <w:color w:val="5F5E5A"/>
                <w:sz w:val="17"/>
                <w:szCs w:val="17"/>
              </w:rPr>
              <w:t xml:space="preserve">Custom instructions and personas</w:t>
            </w:r>
          </w:p>
          <w:p>
            <w:pPr>
              <w:pStyle w:val="ListParagraph"/>
              <w:numPr>
                <w:ilvl w:val="0"/>
                <w:numId w:val="3"/>
              </w:numPr>
              <w:spacing w:after="18" w:before="18"/>
            </w:pPr>
            <w:r>
              <w:rPr>
                <w:rFonts w:ascii="Arial" w:cs="Arial" w:eastAsia="Arial" w:hAnsi="Arial"/>
                <w:color w:val="5F5E5A"/>
                <w:sz w:val="17"/>
                <w:szCs w:val="17"/>
              </w:rPr>
              <w:t xml:space="preserve">Automating repetitive tasks</w:t>
            </w:r>
          </w:p>
        </w:tc>
        <w:tc>
          <w:tcPr>
            <w:tcW w:type="dxa" w:w="2340"/>
            <w:tcBorders>
              <w:top w:val="single" w:color="DDDDDD" w:sz="4"/>
              <w:left w:val="single" w:color="DDDDDD" w:sz="4"/>
              <w:bottom w:val="single" w:color="DDDDDD" w:sz="4"/>
              <w:right w:val="single" w:color="DDDDDD" w:sz="4"/>
            </w:tcBorders>
            <w:tcMar>
              <w:top w:type="dxa" w:w="120"/>
              <w:left w:type="dxa" w:w="160"/>
              <w:bottom w:type="dxa" w:w="120"/>
              <w:right w:type="dxa" w:w="160"/>
            </w:tcMar>
            <w:vAlign w:val="top"/>
          </w:tcPr>
          <w:p>
            <w:pPr>
              <w:pBdr>
                <w:bottom w:val="single" w:color="DDDDDD" w:sz="4" w:space="1"/>
              </w:pBdr>
              <w:spacing w:after="60" w:before="0"/>
            </w:pPr>
            <w:r>
              <w:rPr>
                <w:rFonts w:ascii="Arial" w:cs="Arial" w:eastAsia="Arial" w:hAnsi="Arial"/>
                <w:b/>
                <w:bCs/>
                <w:color w:val="993C1D"/>
                <w:sz w:val="19"/>
                <w:szCs w:val="19"/>
              </w:rPr>
              <w:t xml:space="preserve">AI tool evaluation &amp; vetting</w:t>
            </w:r>
          </w:p>
          <w:p>
            <w:pPr>
              <w:pStyle w:val="ListParagraph"/>
              <w:numPr>
                <w:ilvl w:val="0"/>
                <w:numId w:val="4"/>
              </w:numPr>
              <w:spacing w:after="18" w:before="18"/>
            </w:pPr>
            <w:r>
              <w:rPr>
                <w:rFonts w:ascii="Arial" w:cs="Arial" w:eastAsia="Arial" w:hAnsi="Arial"/>
                <w:color w:val="5F5E5A"/>
                <w:sz w:val="17"/>
                <w:szCs w:val="17"/>
              </w:rPr>
              <w:t xml:space="preserve">Applying the tool checklist</w:t>
            </w:r>
          </w:p>
          <w:p>
            <w:pPr>
              <w:pStyle w:val="ListParagraph"/>
              <w:numPr>
                <w:ilvl w:val="0"/>
                <w:numId w:val="4"/>
              </w:numPr>
              <w:spacing w:after="18" w:before="18"/>
            </w:pPr>
            <w:r>
              <w:rPr>
                <w:rFonts w:ascii="Arial" w:cs="Arial" w:eastAsia="Arial" w:hAnsi="Arial"/>
                <w:color w:val="5F5E5A"/>
                <w:sz w:val="17"/>
                <w:szCs w:val="17"/>
              </w:rPr>
              <w:t xml:space="preserve">Piloting and comparing tools</w:t>
            </w:r>
          </w:p>
          <w:p>
            <w:pPr>
              <w:pStyle w:val="ListParagraph"/>
              <w:numPr>
                <w:ilvl w:val="0"/>
                <w:numId w:val="4"/>
              </w:numPr>
              <w:spacing w:after="18" w:before="18"/>
            </w:pPr>
            <w:r>
              <w:rPr>
                <w:rFonts w:ascii="Arial" w:cs="Arial" w:eastAsia="Arial" w:hAnsi="Arial"/>
                <w:color w:val="5F5E5A"/>
                <w:sz w:val="17"/>
                <w:szCs w:val="17"/>
              </w:rPr>
              <w:t xml:space="preserve">Security and compliance review</w:t>
            </w:r>
          </w:p>
        </w:tc>
        <w:tc>
          <w:tcPr>
            <w:tcW w:type="dxa" w:w="2340"/>
            <w:tcBorders>
              <w:top w:val="single" w:color="DDDDDD" w:sz="4"/>
              <w:left w:val="single" w:color="DDDDDD" w:sz="4"/>
              <w:bottom w:val="single" w:color="DDDDDD" w:sz="4"/>
              <w:right w:val="single" w:color="DDDDDD" w:sz="4"/>
            </w:tcBorders>
            <w:tcMar>
              <w:top w:type="dxa" w:w="120"/>
              <w:left w:type="dxa" w:w="160"/>
              <w:bottom w:type="dxa" w:w="120"/>
              <w:right w:type="dxa" w:w="160"/>
            </w:tcMar>
            <w:vAlign w:val="top"/>
          </w:tcPr>
          <w:p>
            <w:pPr>
              <w:pBdr>
                <w:bottom w:val="single" w:color="DDDDDD" w:sz="4" w:space="1"/>
              </w:pBdr>
              <w:spacing w:after="60" w:before="0"/>
            </w:pPr>
            <w:r>
              <w:rPr>
                <w:rFonts w:ascii="Arial" w:cs="Arial" w:eastAsia="Arial" w:hAnsi="Arial"/>
                <w:b/>
                <w:bCs/>
                <w:color w:val="854F0B"/>
                <w:sz w:val="19"/>
                <w:szCs w:val="19"/>
              </w:rPr>
              <w:t xml:space="preserve">Marketing &amp; content creation</w:t>
            </w:r>
          </w:p>
          <w:p>
            <w:pPr>
              <w:pStyle w:val="ListParagraph"/>
              <w:numPr>
                <w:ilvl w:val="0"/>
                <w:numId w:val="5"/>
              </w:numPr>
              <w:spacing w:after="18" w:before="18"/>
            </w:pPr>
            <w:r>
              <w:rPr>
                <w:rFonts w:ascii="Arial" w:cs="Arial" w:eastAsia="Arial" w:hAnsi="Arial"/>
                <w:color w:val="5F5E5A"/>
                <w:sz w:val="17"/>
                <w:szCs w:val="17"/>
              </w:rPr>
              <w:t xml:space="preserve">AI-assisted social media content</w:t>
            </w:r>
          </w:p>
          <w:p>
            <w:pPr>
              <w:pStyle w:val="ListParagraph"/>
              <w:numPr>
                <w:ilvl w:val="0"/>
                <w:numId w:val="5"/>
              </w:numPr>
              <w:spacing w:after="18" w:before="18"/>
            </w:pPr>
            <w:r>
              <w:rPr>
                <w:rFonts w:ascii="Arial" w:cs="Arial" w:eastAsia="Arial" w:hAnsi="Arial"/>
                <w:color w:val="5F5E5A"/>
                <w:sz w:val="17"/>
                <w:szCs w:val="17"/>
              </w:rPr>
              <w:t xml:space="preserve">Email campaign drafting</w:t>
            </w:r>
          </w:p>
          <w:p>
            <w:pPr>
              <w:pStyle w:val="ListParagraph"/>
              <w:numPr>
                <w:ilvl w:val="0"/>
                <w:numId w:val="5"/>
              </w:numPr>
              <w:spacing w:after="18" w:before="18"/>
            </w:pPr>
            <w:r>
              <w:rPr>
                <w:rFonts w:ascii="Arial" w:cs="Arial" w:eastAsia="Arial" w:hAnsi="Arial"/>
                <w:color w:val="5F5E5A"/>
                <w:sz w:val="17"/>
                <w:szCs w:val="17"/>
              </w:rPr>
              <w:t xml:space="preserve">Brand voice and content calendars</w:t>
            </w:r>
          </w:p>
        </w:tc>
        <w:tc>
          <w:tcPr>
            <w:tcW w:type="dxa" w:w="2340"/>
            <w:tcBorders>
              <w:top w:val="single" w:color="DDDDDD" w:sz="4"/>
              <w:left w:val="single" w:color="DDDDDD" w:sz="4"/>
              <w:bottom w:val="single" w:color="DDDDDD" w:sz="4"/>
              <w:right w:val="single" w:color="DDDDDD" w:sz="4"/>
            </w:tcBorders>
            <w:tcMar>
              <w:top w:type="dxa" w:w="120"/>
              <w:left w:type="dxa" w:w="160"/>
              <w:bottom w:type="dxa" w:w="120"/>
              <w:right w:type="dxa" w:w="160"/>
            </w:tcMar>
            <w:vAlign w:val="top"/>
          </w:tcPr>
          <w:p>
            <w:pPr>
              <w:pBdr>
                <w:bottom w:val="single" w:color="DDDDDD" w:sz="4" w:space="1"/>
              </w:pBdr>
              <w:spacing w:after="60" w:before="0"/>
            </w:pPr>
            <w:r>
              <w:rPr>
                <w:rFonts w:ascii="Arial" w:cs="Arial" w:eastAsia="Arial" w:hAnsi="Arial"/>
                <w:b/>
                <w:bCs/>
                <w:color w:val="185FA5"/>
                <w:sz w:val="19"/>
                <w:szCs w:val="19"/>
              </w:rPr>
              <w:t xml:space="preserve">Financial analysis &amp; planning</w:t>
            </w:r>
          </w:p>
          <w:p>
            <w:pPr>
              <w:pStyle w:val="ListParagraph"/>
              <w:numPr>
                <w:ilvl w:val="0"/>
                <w:numId w:val="6"/>
              </w:numPr>
              <w:spacing w:after="18" w:before="18"/>
            </w:pPr>
            <w:r>
              <w:rPr>
                <w:rFonts w:ascii="Arial" w:cs="Arial" w:eastAsia="Arial" w:hAnsi="Arial"/>
                <w:color w:val="5F5E5A"/>
                <w:sz w:val="17"/>
                <w:szCs w:val="17"/>
              </w:rPr>
              <w:t xml:space="preserve">QuickBooks AI</w:t>
            </w:r>
          </w:p>
          <w:p>
            <w:pPr>
              <w:pStyle w:val="ListParagraph"/>
              <w:numPr>
                <w:ilvl w:val="0"/>
                <w:numId w:val="6"/>
              </w:numPr>
              <w:spacing w:after="18" w:before="18"/>
            </w:pPr>
            <w:r>
              <w:rPr>
                <w:rFonts w:ascii="Arial" w:cs="Arial" w:eastAsia="Arial" w:hAnsi="Arial"/>
                <w:color w:val="5F5E5A"/>
                <w:sz w:val="17"/>
                <w:szCs w:val="17"/>
              </w:rPr>
              <w:t xml:space="preserve">AI-driven projections</w:t>
            </w:r>
          </w:p>
          <w:p>
            <w:pPr>
              <w:pStyle w:val="ListParagraph"/>
              <w:numPr>
                <w:ilvl w:val="0"/>
                <w:numId w:val="6"/>
              </w:numPr>
              <w:spacing w:after="18" w:before="18"/>
            </w:pPr>
            <w:r>
              <w:rPr>
                <w:rFonts w:ascii="Arial" w:cs="Arial" w:eastAsia="Arial" w:hAnsi="Arial"/>
                <w:color w:val="5F5E5A"/>
                <w:sz w:val="17"/>
                <w:szCs w:val="17"/>
              </w:rPr>
              <w:t xml:space="preserve">Financial narrative drafting</w:t>
            </w:r>
          </w:p>
        </w:tc>
      </w:tr>
    </w:tbl>
    <w:p>
      <w:pPr>
        <w:spacing w:after="0" w:before="120"/>
        <w:jc w:val="right"/>
      </w:pPr>
      <w:r>
        <w:rPr>
          <w:rFonts w:ascii="Arial" w:cs="Arial" w:eastAsia="Arial" w:hAnsi="Arial"/>
          <w:color w:val="AAAAAA"/>
          <w:sz w:val="16"/>
          <w:szCs w:val="16"/>
        </w:rPr>
        <w:t xml:space="preserve">Minnesota SBDC AI Committee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abstractNum w:abstractNumId="4" w15:restartNumberingAfterBreak="0">
    <w:multiLevelType w:val="hybridMultilevel"/>
    <w:lvl w:ilvl="0" w15:tentative="1">
      <w:start w:val="1"/>
      <w:numFmt w:val="bullet"/>
      <w:lvlText w:val="–"/>
      <w:lvlJc w:val="left"/>
      <w:pPr>
        <w:ind w:left="360" w:hanging="200"/>
      </w:pPr>
    </w:lvl>
  </w:abstractNum>
  <w:abstractNum w:abstractNumId="5" w15:restartNumberingAfterBreak="0">
    <w:multiLevelType w:val="hybridMultilevel"/>
    <w:lvl w:ilvl="0" w15:tentative="1">
      <w:start w:val="1"/>
      <w:numFmt w:val="bullet"/>
      <w:lvlText w:val="–"/>
      <w:lvlJc w:val="left"/>
      <w:pPr>
        <w:ind w:left="360" w:hanging="200"/>
      </w:pPr>
    </w:lvl>
  </w:abstractNum>
  <w:abstractNum w:abstractNumId="6"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2026-04-03T17:07:44.838Z</dcterms:created>
  <dcterms:modified xsi:type="dcterms:W3CDTF">2026-04-03T17:07:44.839Z</dcterms:modified>
</cp:coreProperties>
</file>

<file path=docProps/custom.xml><?xml version="1.0" encoding="utf-8"?>
<Properties xmlns="http://schemas.openxmlformats.org/officeDocument/2006/custom-properties" xmlns:vt="http://schemas.openxmlformats.org/officeDocument/2006/docPropsVTypes"/>
</file>