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F9F13" w14:textId="77777777" w:rsidR="00DB4AC9" w:rsidRDefault="00DB4AC9" w:rsidP="00DB4AC9">
      <w:pPr>
        <w:jc w:val="center"/>
      </w:pPr>
    </w:p>
    <w:p w14:paraId="6EC677C3" w14:textId="77777777" w:rsidR="00DB4AC9" w:rsidRDefault="00DB4AC9" w:rsidP="00DB4AC9">
      <w:pPr>
        <w:jc w:val="center"/>
      </w:pPr>
    </w:p>
    <w:p w14:paraId="4EED6834" w14:textId="77777777" w:rsidR="00DB4AC9" w:rsidRDefault="00DB4AC9" w:rsidP="00DB4AC9">
      <w:pPr>
        <w:jc w:val="center"/>
      </w:pPr>
      <w:r>
        <w:rPr>
          <w:noProof/>
        </w:rPr>
        <w:drawing>
          <wp:inline distT="0" distB="0" distL="0" distR="0" wp14:anchorId="1EB06E02" wp14:editId="71790B08">
            <wp:extent cx="3298190" cy="195707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1"/>
                    <a:srcRect/>
                    <a:stretch>
                      <a:fillRect/>
                    </a:stretch>
                  </pic:blipFill>
                  <pic:spPr>
                    <a:xfrm>
                      <a:off x="0" y="0"/>
                      <a:ext cx="3298190" cy="1957070"/>
                    </a:xfrm>
                    <a:prstGeom prst="rect">
                      <a:avLst/>
                    </a:prstGeom>
                    <a:ln/>
                  </pic:spPr>
                </pic:pic>
              </a:graphicData>
            </a:graphic>
          </wp:inline>
        </w:drawing>
      </w:r>
    </w:p>
    <w:p w14:paraId="04C3702E" w14:textId="77777777" w:rsidR="00DB4AC9" w:rsidRDefault="00DB4AC9" w:rsidP="00DB4AC9">
      <w:pPr>
        <w:jc w:val="center"/>
      </w:pPr>
    </w:p>
    <w:p w14:paraId="58B34DA8" w14:textId="77777777" w:rsidR="00DB4AC9" w:rsidRDefault="00DB4AC9" w:rsidP="00DB4AC9">
      <w:pPr>
        <w:spacing w:before="480" w:after="0"/>
        <w:jc w:val="center"/>
      </w:pPr>
      <w:r>
        <w:rPr>
          <w:rFonts w:ascii="Times New Roman" w:eastAsia="Times New Roman" w:hAnsi="Times New Roman" w:cs="Times New Roman"/>
          <w:sz w:val="72"/>
          <w:szCs w:val="72"/>
        </w:rPr>
        <w:t>Minnesota Small Business Development Center</w:t>
      </w:r>
    </w:p>
    <w:p w14:paraId="71B701AA" w14:textId="77777777" w:rsidR="00DB4AC9" w:rsidRDefault="00DB4AC9" w:rsidP="00DB4AC9">
      <w:pPr>
        <w:jc w:val="both"/>
      </w:pPr>
    </w:p>
    <w:p w14:paraId="14C7DC95" w14:textId="77777777" w:rsidR="00DB4AC9" w:rsidRDefault="00DB4AC9" w:rsidP="00DB4AC9">
      <w:pPr>
        <w:pStyle w:val="Heading1"/>
      </w:pPr>
    </w:p>
    <w:p w14:paraId="5266037D" w14:textId="77777777" w:rsidR="00DB4AC9" w:rsidRDefault="00DB4AC9" w:rsidP="00DB4AC9">
      <w:pPr>
        <w:pStyle w:val="Heading1"/>
      </w:pPr>
    </w:p>
    <w:p w14:paraId="2EA0B791" w14:textId="495FF773" w:rsidR="00DB4AC9" w:rsidRPr="00DB4AC9" w:rsidRDefault="00DB4AC9" w:rsidP="00DB4AC9">
      <w:pPr>
        <w:pStyle w:val="Heading1"/>
        <w:jc w:val="center"/>
        <w:rPr>
          <w:rFonts w:ascii="Calibri" w:hAnsi="Calibri" w:cs="Calibri"/>
          <w:b/>
          <w:bCs/>
        </w:rPr>
      </w:pPr>
      <w:bookmarkStart w:id="0" w:name="_gjdgxs" w:colFirst="0" w:colLast="0"/>
      <w:bookmarkEnd w:id="0"/>
      <w:r w:rsidRPr="00DB4AC9">
        <w:rPr>
          <w:rFonts w:ascii="Calibri" w:hAnsi="Calibri" w:cs="Calibri"/>
          <w:b/>
          <w:bCs/>
          <w:sz w:val="72"/>
          <w:szCs w:val="72"/>
        </w:rPr>
        <w:t>202</w:t>
      </w:r>
      <w:r w:rsidR="00B43428">
        <w:rPr>
          <w:rFonts w:ascii="Calibri" w:hAnsi="Calibri" w:cs="Calibri"/>
          <w:b/>
          <w:bCs/>
          <w:sz w:val="72"/>
          <w:szCs w:val="72"/>
        </w:rPr>
        <w:t>6</w:t>
      </w:r>
      <w:r w:rsidRPr="00DB4AC9">
        <w:rPr>
          <w:rFonts w:ascii="Calibri" w:hAnsi="Calibri" w:cs="Calibri"/>
          <w:b/>
          <w:bCs/>
          <w:sz w:val="72"/>
          <w:szCs w:val="72"/>
        </w:rPr>
        <w:t xml:space="preserve"> Operations Manual</w:t>
      </w:r>
    </w:p>
    <w:p w14:paraId="66AEF164" w14:textId="77777777" w:rsidR="00DB4AC9" w:rsidRDefault="00DB4AC9" w:rsidP="00DB4AC9"/>
    <w:p w14:paraId="606F809D" w14:textId="77777777" w:rsidR="00DB4AC9" w:rsidRDefault="00DB4AC9" w:rsidP="00DB4AC9"/>
    <w:p w14:paraId="30A5E778" w14:textId="77777777" w:rsidR="00DB4AC9" w:rsidRDefault="00DB4AC9" w:rsidP="00DB4AC9"/>
    <w:p w14:paraId="67ADB7AA" w14:textId="77777777" w:rsidR="00DB4AC9" w:rsidRDefault="00DB4AC9" w:rsidP="00DB4AC9"/>
    <w:p w14:paraId="0E6BE321" w14:textId="77777777" w:rsidR="00DB4AC9" w:rsidRDefault="00DB4AC9" w:rsidP="00DB4AC9"/>
    <w:p w14:paraId="5BF531D1" w14:textId="77777777" w:rsidR="00DB4AC9" w:rsidRDefault="00DB4AC9" w:rsidP="00DB4AC9"/>
    <w:p w14:paraId="68850E0B" w14:textId="77777777" w:rsidR="00DB4AC9" w:rsidRDefault="00DB4AC9" w:rsidP="00DB4AC9"/>
    <w:p w14:paraId="5378A425" w14:textId="77777777" w:rsidR="00DB4AC9" w:rsidRDefault="00DB4AC9" w:rsidP="00DB4AC9"/>
    <w:p w14:paraId="563E0BB6" w14:textId="77777777" w:rsidR="00DB4AC9" w:rsidRDefault="00DB4AC9" w:rsidP="00DB4AC9"/>
    <w:p w14:paraId="25543104" w14:textId="77777777" w:rsidR="00DB4AC9" w:rsidRDefault="00DB4AC9" w:rsidP="00DB4AC9"/>
    <w:p w14:paraId="29E92F83" w14:textId="77777777" w:rsidR="00DB4AC9" w:rsidRDefault="00DB4AC9" w:rsidP="00DB4AC9"/>
    <w:p w14:paraId="71D06BE2" w14:textId="77777777" w:rsidR="00DB4AC9" w:rsidRDefault="00DB4AC9" w:rsidP="00DB4AC9"/>
    <w:p w14:paraId="63C7BF40" w14:textId="77777777" w:rsidR="00DB4AC9" w:rsidRDefault="00DB4AC9" w:rsidP="00DB4AC9"/>
    <w:p w14:paraId="0100E7B9" w14:textId="77777777" w:rsidR="00DB4AC9" w:rsidRDefault="00DB4AC9" w:rsidP="00DB4AC9">
      <w:pPr>
        <w:jc w:val="both"/>
      </w:pPr>
    </w:p>
    <w:p w14:paraId="1AC66626" w14:textId="77777777" w:rsidR="00DB4AC9" w:rsidRDefault="00DB4AC9" w:rsidP="00DB4AC9">
      <w:pPr>
        <w:jc w:val="both"/>
      </w:pPr>
    </w:p>
    <w:p w14:paraId="48496D4A" w14:textId="77777777" w:rsidR="00DB4AC9" w:rsidRDefault="00DB4AC9" w:rsidP="00DB4AC9">
      <w:pPr>
        <w:jc w:val="both"/>
      </w:pPr>
    </w:p>
    <w:p w14:paraId="43F278AD" w14:textId="77777777" w:rsidR="00DB4AC9" w:rsidRDefault="00DB4AC9" w:rsidP="00DB4AC9">
      <w:pPr>
        <w:jc w:val="both"/>
      </w:pPr>
    </w:p>
    <w:p w14:paraId="480C5D43" w14:textId="77777777" w:rsidR="00DB4AC9" w:rsidRDefault="00DB4AC9" w:rsidP="00DB4AC9">
      <w:pPr>
        <w:jc w:val="both"/>
      </w:pPr>
    </w:p>
    <w:p w14:paraId="1D62BA12" w14:textId="77777777" w:rsidR="00DB4AC9" w:rsidRDefault="00DB4AC9" w:rsidP="00DB4AC9">
      <w:pPr>
        <w:jc w:val="both"/>
      </w:pPr>
    </w:p>
    <w:p w14:paraId="6F88F923" w14:textId="77777777" w:rsidR="00DB4AC9" w:rsidRDefault="00DB4AC9" w:rsidP="00DB4AC9">
      <w:pPr>
        <w:jc w:val="both"/>
      </w:pPr>
    </w:p>
    <w:p w14:paraId="74CAA12F" w14:textId="77777777" w:rsidR="00DB4AC9" w:rsidRDefault="00DB4AC9" w:rsidP="00DB4AC9">
      <w:pPr>
        <w:jc w:val="both"/>
      </w:pPr>
    </w:p>
    <w:p w14:paraId="1C967074" w14:textId="31DDFA1C" w:rsidR="00DB4AC9" w:rsidRDefault="00DB4AC9" w:rsidP="00DB4AC9">
      <w:pPr>
        <w:widowControl w:val="0"/>
        <w:spacing w:line="480" w:lineRule="auto"/>
        <w:jc w:val="center"/>
      </w:pPr>
      <w:r>
        <w:rPr>
          <w:b/>
          <w:i/>
          <w:sz w:val="36"/>
          <w:szCs w:val="36"/>
        </w:rPr>
        <w:t>Updated: March 2025</w:t>
      </w:r>
      <w:r w:rsidR="00B43428">
        <w:rPr>
          <w:b/>
          <w:i/>
          <w:sz w:val="36"/>
          <w:szCs w:val="36"/>
        </w:rPr>
        <w:t xml:space="preserve"> with revisions in 2026</w:t>
      </w:r>
    </w:p>
    <w:p w14:paraId="5264C6AA" w14:textId="77777777" w:rsidR="00DB4AC9" w:rsidRDefault="00DB4AC9" w:rsidP="00DB4AC9">
      <w:pPr>
        <w:widowControl w:val="0"/>
        <w:spacing w:after="300"/>
        <w:jc w:val="center"/>
      </w:pPr>
      <w:r>
        <w:rPr>
          <w:b/>
          <w:smallCaps/>
          <w:sz w:val="36"/>
          <w:szCs w:val="36"/>
        </w:rPr>
        <w:t>Table of Contents</w:t>
      </w:r>
    </w:p>
    <w:p w14:paraId="7F264E42" w14:textId="77777777" w:rsidR="00DB4AC9" w:rsidRDefault="00DB4AC9" w:rsidP="00DB4AC9">
      <w:pPr>
        <w:widowControl w:val="0"/>
        <w:tabs>
          <w:tab w:val="right" w:pos="9350"/>
        </w:tabs>
        <w:spacing w:after="300"/>
        <w:jc w:val="center"/>
      </w:pPr>
      <w:hyperlink w:anchor="_gjdgxs">
        <w:r>
          <w:rPr>
            <w:b/>
            <w:smallCaps/>
            <w:color w:val="0000FF"/>
            <w:sz w:val="32"/>
            <w:szCs w:val="32"/>
            <w:u w:val="single"/>
          </w:rPr>
          <w:t>Operations Manual</w:t>
        </w:r>
      </w:hyperlink>
      <w:hyperlink w:anchor="_gjdgxs">
        <w:r>
          <w:rPr>
            <w:b/>
            <w:smallCaps/>
            <w:sz w:val="32"/>
            <w:szCs w:val="32"/>
          </w:rPr>
          <w:tab/>
        </w:r>
      </w:hyperlink>
    </w:p>
    <w:p w14:paraId="7B952665" w14:textId="77777777" w:rsidR="00DB4AC9" w:rsidRDefault="00DB4AC9" w:rsidP="00DB4AC9">
      <w:pPr>
        <w:widowControl w:val="0"/>
        <w:tabs>
          <w:tab w:val="right" w:pos="9360"/>
        </w:tabs>
        <w:spacing w:before="100" w:after="60"/>
        <w:ind w:left="230"/>
      </w:pPr>
      <w:hyperlink w:anchor="_30j0zll">
        <w:r>
          <w:rPr>
            <w:smallCaps/>
            <w:color w:val="0000FF"/>
            <w:sz w:val="23"/>
            <w:szCs w:val="23"/>
            <w:u w:val="single"/>
          </w:rPr>
          <w:t>Preface</w:t>
        </w:r>
      </w:hyperlink>
      <w:hyperlink w:anchor="_30j0zll">
        <w:r>
          <w:rPr>
            <w:sz w:val="23"/>
            <w:szCs w:val="23"/>
          </w:rPr>
          <w:tab/>
        </w:r>
      </w:hyperlink>
    </w:p>
    <w:p w14:paraId="23EEEA9A" w14:textId="77777777" w:rsidR="00DB4AC9" w:rsidRDefault="00DB4AC9" w:rsidP="00DB4AC9">
      <w:pPr>
        <w:widowControl w:val="0"/>
        <w:tabs>
          <w:tab w:val="right" w:pos="9360"/>
        </w:tabs>
        <w:spacing w:before="100" w:after="60"/>
        <w:ind w:left="230"/>
      </w:pPr>
      <w:hyperlink w:anchor="_1fob9te">
        <w:r>
          <w:rPr>
            <w:smallCaps/>
            <w:color w:val="0000FF"/>
            <w:sz w:val="23"/>
            <w:szCs w:val="23"/>
            <w:u w:val="single"/>
          </w:rPr>
          <w:t>1.  Program Overview</w:t>
        </w:r>
      </w:hyperlink>
      <w:hyperlink w:anchor="_1fob9te">
        <w:r>
          <w:rPr>
            <w:sz w:val="23"/>
            <w:szCs w:val="23"/>
          </w:rPr>
          <w:tab/>
        </w:r>
      </w:hyperlink>
    </w:p>
    <w:p w14:paraId="1FAADDCE" w14:textId="77777777" w:rsidR="00DB4AC9" w:rsidRDefault="00DB4AC9" w:rsidP="00DB4AC9">
      <w:pPr>
        <w:widowControl w:val="0"/>
        <w:tabs>
          <w:tab w:val="right" w:pos="9360"/>
        </w:tabs>
        <w:ind w:left="461"/>
      </w:pPr>
      <w:hyperlink w:anchor="_3znysh7">
        <w:r>
          <w:rPr>
            <w:color w:val="0000FF"/>
            <w:sz w:val="23"/>
            <w:szCs w:val="23"/>
            <w:u w:val="single"/>
          </w:rPr>
          <w:t>1.1 Mission</w:t>
        </w:r>
      </w:hyperlink>
      <w:hyperlink w:anchor="_3znysh7">
        <w:r>
          <w:rPr>
            <w:sz w:val="23"/>
            <w:szCs w:val="23"/>
          </w:rPr>
          <w:tab/>
        </w:r>
      </w:hyperlink>
    </w:p>
    <w:p w14:paraId="790BE2BA" w14:textId="77777777" w:rsidR="00DB4AC9" w:rsidRDefault="00DB4AC9" w:rsidP="00DB4AC9">
      <w:pPr>
        <w:widowControl w:val="0"/>
        <w:tabs>
          <w:tab w:val="right" w:pos="9360"/>
        </w:tabs>
        <w:ind w:left="461"/>
      </w:pPr>
      <w:hyperlink w:anchor="_2et92p0">
        <w:r>
          <w:rPr>
            <w:color w:val="0000FF"/>
            <w:sz w:val="23"/>
            <w:szCs w:val="23"/>
            <w:u w:val="single"/>
          </w:rPr>
          <w:t>1.2 Vision</w:t>
        </w:r>
      </w:hyperlink>
      <w:hyperlink w:anchor="_2et92p0">
        <w:r>
          <w:rPr>
            <w:sz w:val="23"/>
            <w:szCs w:val="23"/>
          </w:rPr>
          <w:tab/>
        </w:r>
      </w:hyperlink>
    </w:p>
    <w:p w14:paraId="5805F0EE" w14:textId="77777777" w:rsidR="00DB4AC9" w:rsidRDefault="00DB4AC9" w:rsidP="00DB4AC9">
      <w:pPr>
        <w:widowControl w:val="0"/>
        <w:tabs>
          <w:tab w:val="right" w:pos="9360"/>
        </w:tabs>
        <w:ind w:left="461"/>
      </w:pPr>
      <w:hyperlink w:anchor="_tyjcwt">
        <w:r>
          <w:rPr>
            <w:color w:val="0000FF"/>
            <w:sz w:val="23"/>
            <w:szCs w:val="23"/>
            <w:u w:val="single"/>
          </w:rPr>
          <w:t>1.3 Background</w:t>
        </w:r>
      </w:hyperlink>
      <w:hyperlink w:anchor="_tyjcwt">
        <w:r>
          <w:rPr>
            <w:sz w:val="23"/>
            <w:szCs w:val="23"/>
          </w:rPr>
          <w:tab/>
        </w:r>
      </w:hyperlink>
    </w:p>
    <w:p w14:paraId="76F8C1EF" w14:textId="77777777" w:rsidR="00DB4AC9" w:rsidRDefault="00DB4AC9" w:rsidP="00DB4AC9">
      <w:pPr>
        <w:widowControl w:val="0"/>
        <w:tabs>
          <w:tab w:val="right" w:pos="9360"/>
        </w:tabs>
        <w:ind w:left="461"/>
      </w:pPr>
      <w:hyperlink w:anchor="_3dy6vkm">
        <w:r>
          <w:rPr>
            <w:color w:val="0000FF"/>
            <w:sz w:val="23"/>
            <w:szCs w:val="23"/>
            <w:u w:val="single"/>
          </w:rPr>
          <w:t>1.4 SBDC Services</w:t>
        </w:r>
      </w:hyperlink>
      <w:hyperlink w:anchor="_3dy6vkm">
        <w:r>
          <w:rPr>
            <w:sz w:val="23"/>
            <w:szCs w:val="23"/>
          </w:rPr>
          <w:tab/>
        </w:r>
      </w:hyperlink>
    </w:p>
    <w:p w14:paraId="4034E81C" w14:textId="77777777" w:rsidR="00DB4AC9" w:rsidRDefault="00DB4AC9" w:rsidP="00DB4AC9">
      <w:pPr>
        <w:widowControl w:val="0"/>
        <w:tabs>
          <w:tab w:val="right" w:pos="9360"/>
        </w:tabs>
        <w:ind w:left="461"/>
      </w:pPr>
      <w:hyperlink w:anchor="_1t3h5sf">
        <w:r>
          <w:rPr>
            <w:color w:val="0000FF"/>
            <w:sz w:val="23"/>
            <w:szCs w:val="23"/>
            <w:u w:val="single"/>
          </w:rPr>
          <w:t>1.5 Structure of the SBDC Program in Minnesota</w:t>
        </w:r>
      </w:hyperlink>
      <w:hyperlink w:anchor="_1t3h5sf">
        <w:r>
          <w:rPr>
            <w:sz w:val="23"/>
            <w:szCs w:val="23"/>
          </w:rPr>
          <w:tab/>
        </w:r>
      </w:hyperlink>
    </w:p>
    <w:p w14:paraId="48B93E6E" w14:textId="77777777" w:rsidR="00DB4AC9" w:rsidRDefault="00DB4AC9" w:rsidP="00DB4AC9">
      <w:pPr>
        <w:widowControl w:val="0"/>
        <w:tabs>
          <w:tab w:val="right" w:pos="9360"/>
        </w:tabs>
        <w:ind w:left="461"/>
      </w:pPr>
      <w:hyperlink w:anchor="_4d34og8">
        <w:r>
          <w:rPr>
            <w:color w:val="0000FF"/>
            <w:sz w:val="23"/>
            <w:szCs w:val="23"/>
            <w:u w:val="single"/>
          </w:rPr>
          <w:t>1.6 Target Market</w:t>
        </w:r>
      </w:hyperlink>
      <w:hyperlink w:anchor="_4d34og8">
        <w:r>
          <w:rPr>
            <w:sz w:val="23"/>
            <w:szCs w:val="23"/>
          </w:rPr>
          <w:tab/>
        </w:r>
      </w:hyperlink>
    </w:p>
    <w:p w14:paraId="059CEE03" w14:textId="77777777" w:rsidR="00DB4AC9" w:rsidRDefault="00DB4AC9" w:rsidP="00DB4AC9">
      <w:pPr>
        <w:widowControl w:val="0"/>
        <w:tabs>
          <w:tab w:val="right" w:pos="9360"/>
        </w:tabs>
        <w:ind w:left="461"/>
      </w:pPr>
      <w:hyperlink w:anchor="_2s8eyo1">
        <w:r>
          <w:rPr>
            <w:color w:val="0000FF"/>
            <w:sz w:val="23"/>
            <w:szCs w:val="23"/>
            <w:u w:val="single"/>
          </w:rPr>
          <w:t>1.7 Funding</w:t>
        </w:r>
      </w:hyperlink>
      <w:hyperlink w:anchor="_2s8eyo1">
        <w:r>
          <w:rPr>
            <w:sz w:val="23"/>
            <w:szCs w:val="23"/>
          </w:rPr>
          <w:tab/>
        </w:r>
      </w:hyperlink>
    </w:p>
    <w:p w14:paraId="706399B7" w14:textId="77777777" w:rsidR="00DB4AC9" w:rsidRDefault="00DB4AC9" w:rsidP="00DB4AC9">
      <w:pPr>
        <w:widowControl w:val="0"/>
        <w:tabs>
          <w:tab w:val="right" w:pos="9360"/>
        </w:tabs>
        <w:ind w:left="461"/>
      </w:pPr>
      <w:hyperlink w:anchor="_17dp8vu">
        <w:r>
          <w:rPr>
            <w:color w:val="0000FF"/>
            <w:sz w:val="23"/>
            <w:szCs w:val="23"/>
            <w:u w:val="single"/>
          </w:rPr>
          <w:t>1.8 Fees for SBDC Services</w:t>
        </w:r>
      </w:hyperlink>
      <w:hyperlink w:anchor="_17dp8vu">
        <w:r>
          <w:rPr>
            <w:sz w:val="23"/>
            <w:szCs w:val="23"/>
          </w:rPr>
          <w:tab/>
        </w:r>
      </w:hyperlink>
    </w:p>
    <w:p w14:paraId="380CFD43" w14:textId="77777777" w:rsidR="00DB4AC9" w:rsidRDefault="00DB4AC9" w:rsidP="00DB4AC9">
      <w:pPr>
        <w:widowControl w:val="0"/>
        <w:tabs>
          <w:tab w:val="right" w:pos="9360"/>
        </w:tabs>
        <w:ind w:left="461"/>
      </w:pPr>
      <w:hyperlink w:anchor="_3rdcrjn">
        <w:r>
          <w:rPr>
            <w:color w:val="0000FF"/>
            <w:sz w:val="23"/>
            <w:szCs w:val="23"/>
            <w:u w:val="single"/>
          </w:rPr>
          <w:t>1.9 SBDC Name</w:t>
        </w:r>
      </w:hyperlink>
      <w:hyperlink w:anchor="_3rdcrjn">
        <w:r>
          <w:rPr>
            <w:sz w:val="23"/>
            <w:szCs w:val="23"/>
          </w:rPr>
          <w:tab/>
        </w:r>
      </w:hyperlink>
    </w:p>
    <w:p w14:paraId="655CCFE0" w14:textId="77777777" w:rsidR="00DB4AC9" w:rsidRDefault="00DB4AC9" w:rsidP="00DB4AC9">
      <w:pPr>
        <w:widowControl w:val="0"/>
        <w:tabs>
          <w:tab w:val="right" w:pos="9360"/>
        </w:tabs>
        <w:ind w:left="461"/>
      </w:pPr>
      <w:hyperlink w:anchor="_26in1rg">
        <w:r>
          <w:rPr>
            <w:color w:val="0000FF"/>
            <w:sz w:val="23"/>
            <w:szCs w:val="23"/>
            <w:u w:val="single"/>
          </w:rPr>
          <w:t>1.10 SBDC Personnel</w:t>
        </w:r>
      </w:hyperlink>
      <w:hyperlink w:anchor="_26in1rg">
        <w:r>
          <w:rPr>
            <w:sz w:val="23"/>
            <w:szCs w:val="23"/>
          </w:rPr>
          <w:tab/>
        </w:r>
      </w:hyperlink>
    </w:p>
    <w:p w14:paraId="349FAABA" w14:textId="77777777" w:rsidR="00DB4AC9" w:rsidRDefault="00DB4AC9" w:rsidP="00DB4AC9">
      <w:pPr>
        <w:widowControl w:val="0"/>
        <w:tabs>
          <w:tab w:val="right" w:pos="9360"/>
        </w:tabs>
        <w:ind w:left="461"/>
      </w:pPr>
      <w:hyperlink w:anchor="_lnxbz9">
        <w:r>
          <w:rPr>
            <w:color w:val="0000FF"/>
            <w:sz w:val="23"/>
            <w:szCs w:val="23"/>
            <w:u w:val="single"/>
          </w:rPr>
          <w:t>1.11 SBDC Partners</w:t>
        </w:r>
      </w:hyperlink>
      <w:hyperlink w:anchor="_lnxbz9">
        <w:r>
          <w:rPr>
            <w:sz w:val="23"/>
            <w:szCs w:val="23"/>
          </w:rPr>
          <w:tab/>
        </w:r>
      </w:hyperlink>
    </w:p>
    <w:p w14:paraId="6C65800D" w14:textId="77777777" w:rsidR="00DB4AC9" w:rsidRDefault="00DB4AC9" w:rsidP="00DB4AC9">
      <w:pPr>
        <w:widowControl w:val="0"/>
        <w:tabs>
          <w:tab w:val="right" w:pos="9360"/>
        </w:tabs>
        <w:ind w:left="461"/>
      </w:pPr>
      <w:hyperlink w:anchor="_35nkun2">
        <w:r>
          <w:rPr>
            <w:color w:val="0000FF"/>
            <w:sz w:val="23"/>
            <w:szCs w:val="23"/>
            <w:u w:val="single"/>
          </w:rPr>
          <w:t>1.12 Recognition of the SBDC Partnership Program</w:t>
        </w:r>
      </w:hyperlink>
      <w:hyperlink w:anchor="_35nkun2">
        <w:r>
          <w:rPr>
            <w:sz w:val="23"/>
            <w:szCs w:val="23"/>
          </w:rPr>
          <w:tab/>
        </w:r>
      </w:hyperlink>
    </w:p>
    <w:p w14:paraId="0CEE74CD" w14:textId="77777777" w:rsidR="00DB4AC9" w:rsidRDefault="00DB4AC9" w:rsidP="00DB4AC9">
      <w:pPr>
        <w:widowControl w:val="0"/>
        <w:tabs>
          <w:tab w:val="right" w:pos="9360"/>
        </w:tabs>
        <w:ind w:left="461"/>
      </w:pPr>
      <w:hyperlink w:anchor="_1ksv4uv">
        <w:r>
          <w:rPr>
            <w:color w:val="0000FF"/>
            <w:sz w:val="23"/>
            <w:szCs w:val="23"/>
            <w:u w:val="single"/>
          </w:rPr>
          <w:t>1.13 Laws, Regulations and Policies Governing the SBDC Program</w:t>
        </w:r>
      </w:hyperlink>
      <w:hyperlink w:anchor="_1ksv4uv">
        <w:r>
          <w:rPr>
            <w:sz w:val="23"/>
            <w:szCs w:val="23"/>
          </w:rPr>
          <w:tab/>
        </w:r>
      </w:hyperlink>
    </w:p>
    <w:p w14:paraId="33039C8A" w14:textId="77777777" w:rsidR="00DB4AC9" w:rsidRDefault="00DB4AC9" w:rsidP="00DB4AC9">
      <w:pPr>
        <w:widowControl w:val="0"/>
        <w:tabs>
          <w:tab w:val="right" w:pos="9360"/>
        </w:tabs>
        <w:spacing w:before="100" w:after="60"/>
        <w:ind w:left="230"/>
      </w:pPr>
      <w:hyperlink w:anchor="_44sinio">
        <w:r>
          <w:rPr>
            <w:smallCaps/>
            <w:color w:val="0000FF"/>
            <w:sz w:val="23"/>
            <w:szCs w:val="23"/>
            <w:u w:val="single"/>
          </w:rPr>
          <w:t>2.  Service Centers</w:t>
        </w:r>
      </w:hyperlink>
      <w:hyperlink w:anchor="_44sinio">
        <w:r>
          <w:rPr>
            <w:sz w:val="23"/>
            <w:szCs w:val="23"/>
          </w:rPr>
          <w:tab/>
        </w:r>
      </w:hyperlink>
    </w:p>
    <w:p w14:paraId="2C991939" w14:textId="77777777" w:rsidR="00DB4AC9" w:rsidRDefault="00DB4AC9" w:rsidP="00DB4AC9">
      <w:pPr>
        <w:widowControl w:val="0"/>
        <w:tabs>
          <w:tab w:val="right" w:pos="9360"/>
        </w:tabs>
        <w:ind w:left="461"/>
      </w:pPr>
      <w:hyperlink w:anchor="_2jxsxqh">
        <w:r>
          <w:rPr>
            <w:color w:val="0000FF"/>
            <w:sz w:val="23"/>
            <w:szCs w:val="23"/>
            <w:u w:val="single"/>
          </w:rPr>
          <w:t>2.1 Service Delivery</w:t>
        </w:r>
      </w:hyperlink>
      <w:hyperlink w:anchor="_2jxsxqh">
        <w:r>
          <w:rPr>
            <w:sz w:val="23"/>
            <w:szCs w:val="23"/>
          </w:rPr>
          <w:tab/>
        </w:r>
      </w:hyperlink>
    </w:p>
    <w:p w14:paraId="0869774D" w14:textId="77777777" w:rsidR="00DB4AC9" w:rsidRDefault="00DB4AC9" w:rsidP="00DB4AC9">
      <w:pPr>
        <w:widowControl w:val="0"/>
        <w:tabs>
          <w:tab w:val="right" w:pos="9360"/>
        </w:tabs>
        <w:ind w:left="461"/>
      </w:pPr>
      <w:hyperlink w:anchor="_z337ya">
        <w:r>
          <w:rPr>
            <w:color w:val="0000FF"/>
            <w:sz w:val="23"/>
            <w:szCs w:val="23"/>
            <w:u w:val="single"/>
          </w:rPr>
          <w:t>2.2 Service Center Definition</w:t>
        </w:r>
      </w:hyperlink>
      <w:hyperlink w:anchor="_z337ya">
        <w:r>
          <w:rPr>
            <w:sz w:val="23"/>
            <w:szCs w:val="23"/>
          </w:rPr>
          <w:tab/>
        </w:r>
      </w:hyperlink>
    </w:p>
    <w:p w14:paraId="51128569" w14:textId="77777777" w:rsidR="00DB4AC9" w:rsidRDefault="00DB4AC9" w:rsidP="00DB4AC9">
      <w:pPr>
        <w:widowControl w:val="0"/>
        <w:tabs>
          <w:tab w:val="right" w:pos="9360"/>
        </w:tabs>
        <w:ind w:left="461"/>
      </w:pPr>
      <w:hyperlink w:anchor="_3j2qqm3">
        <w:r>
          <w:rPr>
            <w:color w:val="0000FF"/>
            <w:sz w:val="23"/>
            <w:szCs w:val="23"/>
            <w:u w:val="single"/>
          </w:rPr>
          <w:t>2.3 Selection of Regional Service Centers</w:t>
        </w:r>
      </w:hyperlink>
      <w:hyperlink w:anchor="_3j2qqm3">
        <w:r>
          <w:rPr>
            <w:sz w:val="23"/>
            <w:szCs w:val="23"/>
          </w:rPr>
          <w:tab/>
        </w:r>
      </w:hyperlink>
    </w:p>
    <w:p w14:paraId="4E94EF13" w14:textId="77777777" w:rsidR="00DB4AC9" w:rsidRDefault="00DB4AC9" w:rsidP="00DB4AC9">
      <w:pPr>
        <w:widowControl w:val="0"/>
        <w:tabs>
          <w:tab w:val="right" w:pos="9360"/>
        </w:tabs>
        <w:ind w:left="461"/>
      </w:pPr>
      <w:hyperlink w:anchor="_1y810tw">
        <w:r>
          <w:rPr>
            <w:color w:val="0000FF"/>
            <w:sz w:val="23"/>
            <w:szCs w:val="23"/>
            <w:u w:val="single"/>
          </w:rPr>
          <w:t>2.4 Service Center Relationship with DEED</w:t>
        </w:r>
      </w:hyperlink>
      <w:hyperlink w:anchor="_1y810tw">
        <w:r>
          <w:rPr>
            <w:sz w:val="23"/>
            <w:szCs w:val="23"/>
          </w:rPr>
          <w:tab/>
        </w:r>
      </w:hyperlink>
    </w:p>
    <w:p w14:paraId="42A49540" w14:textId="77777777" w:rsidR="00DB4AC9" w:rsidRDefault="00DB4AC9" w:rsidP="00DB4AC9">
      <w:pPr>
        <w:widowControl w:val="0"/>
        <w:tabs>
          <w:tab w:val="right" w:pos="9360"/>
        </w:tabs>
        <w:ind w:left="461"/>
      </w:pPr>
      <w:hyperlink w:anchor="_4i7ojhp">
        <w:r>
          <w:rPr>
            <w:color w:val="0000FF"/>
            <w:sz w:val="23"/>
            <w:szCs w:val="23"/>
            <w:u w:val="single"/>
          </w:rPr>
          <w:t>2.5 Service Center Operating Requirements</w:t>
        </w:r>
      </w:hyperlink>
      <w:hyperlink w:anchor="_4i7ojhp">
        <w:r>
          <w:rPr>
            <w:sz w:val="23"/>
            <w:szCs w:val="23"/>
          </w:rPr>
          <w:tab/>
        </w:r>
      </w:hyperlink>
    </w:p>
    <w:p w14:paraId="3EFEA0ED" w14:textId="77777777" w:rsidR="00DB4AC9" w:rsidRDefault="00DB4AC9" w:rsidP="00DB4AC9">
      <w:pPr>
        <w:widowControl w:val="0"/>
        <w:tabs>
          <w:tab w:val="right" w:pos="9360"/>
        </w:tabs>
        <w:ind w:left="461"/>
      </w:pPr>
      <w:hyperlink w:anchor="_1hmsyys">
        <w:r>
          <w:rPr>
            <w:color w:val="0000FF"/>
            <w:sz w:val="23"/>
            <w:szCs w:val="23"/>
            <w:u w:val="single"/>
          </w:rPr>
          <w:t>2.6 Reports and Record Keeping</w:t>
        </w:r>
      </w:hyperlink>
      <w:hyperlink w:anchor="_1hmsyys">
        <w:r>
          <w:rPr>
            <w:sz w:val="23"/>
            <w:szCs w:val="23"/>
          </w:rPr>
          <w:tab/>
        </w:r>
      </w:hyperlink>
    </w:p>
    <w:p w14:paraId="4970746C" w14:textId="77777777" w:rsidR="00DB4AC9" w:rsidRDefault="00DB4AC9" w:rsidP="00DB4AC9">
      <w:pPr>
        <w:widowControl w:val="0"/>
        <w:tabs>
          <w:tab w:val="right" w:pos="9360"/>
        </w:tabs>
        <w:ind w:left="461"/>
      </w:pPr>
      <w:hyperlink w:anchor="_41mghml">
        <w:r>
          <w:rPr>
            <w:color w:val="0000FF"/>
            <w:sz w:val="23"/>
            <w:szCs w:val="23"/>
            <w:u w:val="single"/>
          </w:rPr>
          <w:t>2.7 Examinations, Audits and Accreditation</w:t>
        </w:r>
      </w:hyperlink>
      <w:hyperlink w:anchor="_41mghml">
        <w:r>
          <w:rPr>
            <w:sz w:val="23"/>
            <w:szCs w:val="23"/>
          </w:rPr>
          <w:tab/>
        </w:r>
      </w:hyperlink>
    </w:p>
    <w:p w14:paraId="7A2F2248" w14:textId="77777777" w:rsidR="00DB4AC9" w:rsidRDefault="00DB4AC9" w:rsidP="00DB4AC9">
      <w:pPr>
        <w:widowControl w:val="0"/>
        <w:tabs>
          <w:tab w:val="right" w:pos="9360"/>
        </w:tabs>
        <w:ind w:left="461"/>
      </w:pPr>
      <w:hyperlink w:anchor="_2grqrue">
        <w:r>
          <w:rPr>
            <w:color w:val="0000FF"/>
            <w:sz w:val="23"/>
            <w:szCs w:val="23"/>
            <w:u w:val="single"/>
          </w:rPr>
          <w:t>2.8 Center Staff Orientation</w:t>
        </w:r>
      </w:hyperlink>
      <w:hyperlink w:anchor="_2grqrue">
        <w:r>
          <w:rPr>
            <w:sz w:val="23"/>
            <w:szCs w:val="23"/>
          </w:rPr>
          <w:tab/>
        </w:r>
      </w:hyperlink>
    </w:p>
    <w:p w14:paraId="7D431632" w14:textId="77777777" w:rsidR="00DB4AC9" w:rsidRDefault="00DB4AC9" w:rsidP="00DB4AC9">
      <w:pPr>
        <w:widowControl w:val="0"/>
        <w:tabs>
          <w:tab w:val="right" w:pos="9360"/>
        </w:tabs>
        <w:spacing w:before="100" w:after="60"/>
        <w:ind w:left="230"/>
      </w:pPr>
      <w:hyperlink w:anchor="_vx1227">
        <w:r>
          <w:rPr>
            <w:smallCaps/>
            <w:color w:val="0000FF"/>
            <w:sz w:val="23"/>
            <w:szCs w:val="23"/>
            <w:u w:val="single"/>
          </w:rPr>
          <w:t>3.0 Consultants</w:t>
        </w:r>
      </w:hyperlink>
      <w:hyperlink w:anchor="_vx1227">
        <w:r>
          <w:rPr>
            <w:sz w:val="23"/>
            <w:szCs w:val="23"/>
          </w:rPr>
          <w:tab/>
        </w:r>
      </w:hyperlink>
    </w:p>
    <w:p w14:paraId="11B767B0" w14:textId="77777777" w:rsidR="00DB4AC9" w:rsidRDefault="00DB4AC9" w:rsidP="00DB4AC9">
      <w:pPr>
        <w:widowControl w:val="0"/>
        <w:tabs>
          <w:tab w:val="right" w:pos="9360"/>
        </w:tabs>
        <w:ind w:left="461"/>
      </w:pPr>
      <w:hyperlink w:anchor="_3fwokq0">
        <w:r>
          <w:rPr>
            <w:color w:val="0000FF"/>
            <w:sz w:val="23"/>
            <w:szCs w:val="23"/>
            <w:u w:val="single"/>
          </w:rPr>
          <w:t>3.1 Definition</w:t>
        </w:r>
      </w:hyperlink>
      <w:hyperlink w:anchor="_3fwokq0">
        <w:r>
          <w:rPr>
            <w:sz w:val="23"/>
            <w:szCs w:val="23"/>
          </w:rPr>
          <w:tab/>
        </w:r>
      </w:hyperlink>
    </w:p>
    <w:p w14:paraId="44119797" w14:textId="77777777" w:rsidR="00DB4AC9" w:rsidRDefault="00DB4AC9" w:rsidP="00DB4AC9">
      <w:pPr>
        <w:widowControl w:val="0"/>
        <w:tabs>
          <w:tab w:val="right" w:pos="9360"/>
        </w:tabs>
        <w:ind w:left="461"/>
      </w:pPr>
      <w:hyperlink w:anchor="_28h4qwu">
        <w:r>
          <w:rPr>
            <w:color w:val="0000FF"/>
            <w:sz w:val="23"/>
            <w:szCs w:val="23"/>
            <w:u w:val="single"/>
          </w:rPr>
          <w:t>3.2 Selection of Consultants</w:t>
        </w:r>
      </w:hyperlink>
      <w:hyperlink w:anchor="_28h4qwu">
        <w:r>
          <w:rPr>
            <w:sz w:val="23"/>
            <w:szCs w:val="23"/>
          </w:rPr>
          <w:tab/>
        </w:r>
      </w:hyperlink>
    </w:p>
    <w:p w14:paraId="71F14EB9" w14:textId="77777777" w:rsidR="00DB4AC9" w:rsidRDefault="00DB4AC9" w:rsidP="00DB4AC9">
      <w:pPr>
        <w:widowControl w:val="0"/>
        <w:tabs>
          <w:tab w:val="right" w:pos="9360"/>
        </w:tabs>
        <w:ind w:left="461"/>
      </w:pPr>
      <w:hyperlink w:anchor="_nmf14n">
        <w:r>
          <w:rPr>
            <w:color w:val="0000FF"/>
            <w:sz w:val="23"/>
            <w:szCs w:val="23"/>
            <w:u w:val="single"/>
          </w:rPr>
          <w:t>3.3 Consultant Contracts</w:t>
        </w:r>
      </w:hyperlink>
      <w:hyperlink w:anchor="_nmf14n">
        <w:r>
          <w:rPr>
            <w:sz w:val="23"/>
            <w:szCs w:val="23"/>
          </w:rPr>
          <w:tab/>
        </w:r>
      </w:hyperlink>
    </w:p>
    <w:p w14:paraId="51660B5D" w14:textId="77777777" w:rsidR="00DB4AC9" w:rsidRDefault="00DB4AC9" w:rsidP="00DB4AC9">
      <w:pPr>
        <w:widowControl w:val="0"/>
        <w:tabs>
          <w:tab w:val="right" w:pos="9360"/>
        </w:tabs>
        <w:ind w:left="461"/>
      </w:pPr>
      <w:hyperlink w:anchor="_37m2jsg">
        <w:r>
          <w:rPr>
            <w:color w:val="0000FF"/>
            <w:sz w:val="23"/>
            <w:szCs w:val="23"/>
            <w:u w:val="single"/>
          </w:rPr>
          <w:t>3.4 Code of Ethics</w:t>
        </w:r>
      </w:hyperlink>
      <w:hyperlink w:anchor="_37m2jsg">
        <w:r>
          <w:rPr>
            <w:sz w:val="23"/>
            <w:szCs w:val="23"/>
          </w:rPr>
          <w:tab/>
        </w:r>
      </w:hyperlink>
    </w:p>
    <w:p w14:paraId="52CEC7E0" w14:textId="77777777" w:rsidR="00DB4AC9" w:rsidRDefault="00DB4AC9" w:rsidP="00DB4AC9">
      <w:pPr>
        <w:widowControl w:val="0"/>
        <w:tabs>
          <w:tab w:val="right" w:pos="9360"/>
        </w:tabs>
        <w:ind w:left="461"/>
      </w:pPr>
      <w:hyperlink w:anchor="_1mrcu09">
        <w:r>
          <w:rPr>
            <w:color w:val="0000FF"/>
            <w:sz w:val="23"/>
            <w:szCs w:val="23"/>
            <w:u w:val="single"/>
          </w:rPr>
          <w:t>3.5 Debarment Certification</w:t>
        </w:r>
      </w:hyperlink>
      <w:hyperlink w:anchor="_1mrcu09">
        <w:r>
          <w:rPr>
            <w:sz w:val="23"/>
            <w:szCs w:val="23"/>
          </w:rPr>
          <w:tab/>
        </w:r>
      </w:hyperlink>
    </w:p>
    <w:p w14:paraId="61D6B517" w14:textId="77777777" w:rsidR="00DB4AC9" w:rsidRDefault="00DB4AC9" w:rsidP="00DB4AC9">
      <w:pPr>
        <w:widowControl w:val="0"/>
        <w:tabs>
          <w:tab w:val="right" w:pos="9360"/>
        </w:tabs>
        <w:ind w:left="461"/>
      </w:pPr>
      <w:hyperlink w:anchor="_46r0co2">
        <w:r>
          <w:rPr>
            <w:color w:val="0000FF"/>
            <w:sz w:val="23"/>
            <w:szCs w:val="23"/>
            <w:u w:val="single"/>
          </w:rPr>
          <w:t>3.6 Confidentiality and Non-Disclosure Agreements</w:t>
        </w:r>
      </w:hyperlink>
      <w:hyperlink w:anchor="_46r0co2">
        <w:r>
          <w:rPr>
            <w:sz w:val="23"/>
            <w:szCs w:val="23"/>
          </w:rPr>
          <w:tab/>
        </w:r>
      </w:hyperlink>
    </w:p>
    <w:p w14:paraId="04EE0F99" w14:textId="77777777" w:rsidR="00DB4AC9" w:rsidRDefault="00DB4AC9" w:rsidP="00DB4AC9">
      <w:pPr>
        <w:widowControl w:val="0"/>
        <w:tabs>
          <w:tab w:val="right" w:pos="9360"/>
        </w:tabs>
        <w:ind w:left="461"/>
      </w:pPr>
      <w:hyperlink w:anchor="_2lwamvv">
        <w:r>
          <w:rPr>
            <w:color w:val="0000FF"/>
            <w:sz w:val="23"/>
            <w:szCs w:val="23"/>
            <w:u w:val="single"/>
          </w:rPr>
          <w:t>3.7 Service on Boards and Committees</w:t>
        </w:r>
      </w:hyperlink>
      <w:hyperlink w:anchor="_2lwamvv">
        <w:r>
          <w:rPr>
            <w:sz w:val="23"/>
            <w:szCs w:val="23"/>
          </w:rPr>
          <w:tab/>
        </w:r>
      </w:hyperlink>
    </w:p>
    <w:p w14:paraId="3BD904B3" w14:textId="77777777" w:rsidR="00DB4AC9" w:rsidRDefault="00DB4AC9" w:rsidP="00DB4AC9">
      <w:pPr>
        <w:widowControl w:val="0"/>
        <w:tabs>
          <w:tab w:val="right" w:pos="9360"/>
        </w:tabs>
        <w:ind w:left="461"/>
      </w:pPr>
      <w:hyperlink w:anchor="_111kx3o">
        <w:r>
          <w:rPr>
            <w:color w:val="0000FF"/>
            <w:sz w:val="23"/>
            <w:szCs w:val="23"/>
            <w:u w:val="single"/>
          </w:rPr>
          <w:t>3.8 Personnel Policies</w:t>
        </w:r>
      </w:hyperlink>
      <w:hyperlink w:anchor="_111kx3o">
        <w:r>
          <w:rPr>
            <w:sz w:val="23"/>
            <w:szCs w:val="23"/>
          </w:rPr>
          <w:tab/>
        </w:r>
      </w:hyperlink>
    </w:p>
    <w:p w14:paraId="0F960FA3" w14:textId="77777777" w:rsidR="00DB4AC9" w:rsidRDefault="00DB4AC9" w:rsidP="00DB4AC9">
      <w:pPr>
        <w:widowControl w:val="0"/>
        <w:tabs>
          <w:tab w:val="right" w:pos="9360"/>
        </w:tabs>
        <w:ind w:left="461"/>
      </w:pPr>
      <w:hyperlink w:anchor="_3l18frh">
        <w:r>
          <w:rPr>
            <w:color w:val="0000FF"/>
            <w:sz w:val="23"/>
            <w:szCs w:val="23"/>
            <w:u w:val="single"/>
          </w:rPr>
          <w:t>3.9 Personnel Files</w:t>
        </w:r>
      </w:hyperlink>
      <w:hyperlink w:anchor="_3l18frh">
        <w:r>
          <w:rPr>
            <w:sz w:val="23"/>
            <w:szCs w:val="23"/>
          </w:rPr>
          <w:tab/>
        </w:r>
      </w:hyperlink>
    </w:p>
    <w:p w14:paraId="0AE29412" w14:textId="77777777" w:rsidR="00DB4AC9" w:rsidRDefault="00DB4AC9" w:rsidP="00DB4AC9">
      <w:pPr>
        <w:widowControl w:val="0"/>
        <w:tabs>
          <w:tab w:val="right" w:pos="9360"/>
        </w:tabs>
        <w:ind w:left="461"/>
      </w:pPr>
      <w:hyperlink w:anchor="_206ipza">
        <w:r>
          <w:rPr>
            <w:color w:val="0000FF"/>
            <w:sz w:val="23"/>
            <w:szCs w:val="23"/>
            <w:u w:val="single"/>
          </w:rPr>
          <w:t>3.10 Consultant Orientation</w:t>
        </w:r>
      </w:hyperlink>
      <w:hyperlink w:anchor="_206ipza">
        <w:r>
          <w:rPr>
            <w:sz w:val="23"/>
            <w:szCs w:val="23"/>
          </w:rPr>
          <w:tab/>
        </w:r>
      </w:hyperlink>
    </w:p>
    <w:p w14:paraId="31571E54" w14:textId="77777777" w:rsidR="00DB4AC9" w:rsidRDefault="00DB4AC9" w:rsidP="00DB4AC9">
      <w:pPr>
        <w:widowControl w:val="0"/>
        <w:tabs>
          <w:tab w:val="right" w:pos="9360"/>
        </w:tabs>
        <w:ind w:left="461"/>
      </w:pPr>
      <w:hyperlink w:anchor="_3ygebqi">
        <w:r>
          <w:rPr>
            <w:color w:val="0000FF"/>
            <w:sz w:val="23"/>
            <w:szCs w:val="23"/>
            <w:u w:val="single"/>
          </w:rPr>
          <w:t>3.11 Resources for Consultants</w:t>
        </w:r>
      </w:hyperlink>
      <w:hyperlink w:anchor="_3ygebqi">
        <w:r>
          <w:rPr>
            <w:sz w:val="23"/>
            <w:szCs w:val="23"/>
          </w:rPr>
          <w:tab/>
        </w:r>
      </w:hyperlink>
    </w:p>
    <w:p w14:paraId="7633414C" w14:textId="77777777" w:rsidR="00DB4AC9" w:rsidRDefault="00DB4AC9" w:rsidP="00DB4AC9">
      <w:pPr>
        <w:widowControl w:val="0"/>
        <w:tabs>
          <w:tab w:val="right" w:pos="9360"/>
        </w:tabs>
        <w:spacing w:before="100" w:after="60"/>
        <w:ind w:left="230"/>
      </w:pPr>
      <w:hyperlink w:anchor="_4bvk7pj">
        <w:r>
          <w:rPr>
            <w:smallCaps/>
            <w:color w:val="0000FF"/>
            <w:sz w:val="23"/>
            <w:szCs w:val="23"/>
            <w:u w:val="single"/>
          </w:rPr>
          <w:t>4.0 Consulting</w:t>
        </w:r>
      </w:hyperlink>
      <w:hyperlink w:anchor="_4bvk7pj">
        <w:r>
          <w:rPr>
            <w:sz w:val="23"/>
            <w:szCs w:val="23"/>
          </w:rPr>
          <w:tab/>
        </w:r>
      </w:hyperlink>
    </w:p>
    <w:p w14:paraId="275CF713" w14:textId="77777777" w:rsidR="00DB4AC9" w:rsidRDefault="00DB4AC9" w:rsidP="00DB4AC9">
      <w:pPr>
        <w:widowControl w:val="0"/>
        <w:tabs>
          <w:tab w:val="right" w:pos="9360"/>
        </w:tabs>
        <w:ind w:left="461"/>
      </w:pPr>
      <w:hyperlink w:anchor="_2r0uhxc">
        <w:r>
          <w:rPr>
            <w:color w:val="0000FF"/>
            <w:sz w:val="23"/>
            <w:szCs w:val="23"/>
            <w:u w:val="single"/>
          </w:rPr>
          <w:t>4.1 Definitions</w:t>
        </w:r>
      </w:hyperlink>
      <w:hyperlink w:anchor="_2r0uhxc">
        <w:r>
          <w:rPr>
            <w:sz w:val="23"/>
            <w:szCs w:val="23"/>
          </w:rPr>
          <w:tab/>
        </w:r>
      </w:hyperlink>
    </w:p>
    <w:p w14:paraId="347F4E1F" w14:textId="77777777" w:rsidR="00DB4AC9" w:rsidRDefault="00DB4AC9" w:rsidP="00DB4AC9">
      <w:pPr>
        <w:widowControl w:val="0"/>
        <w:tabs>
          <w:tab w:val="right" w:pos="9360"/>
        </w:tabs>
        <w:ind w:left="461"/>
      </w:pPr>
      <w:hyperlink w:anchor="_34g0dwd">
        <w:r>
          <w:rPr>
            <w:color w:val="0000FF"/>
            <w:sz w:val="23"/>
            <w:szCs w:val="23"/>
            <w:u w:val="single"/>
          </w:rPr>
          <w:t>4.2 Special Client Case Exceptions</w:t>
        </w:r>
      </w:hyperlink>
      <w:hyperlink w:anchor="_34g0dwd">
        <w:r>
          <w:rPr>
            <w:sz w:val="23"/>
            <w:szCs w:val="23"/>
          </w:rPr>
          <w:tab/>
        </w:r>
      </w:hyperlink>
    </w:p>
    <w:p w14:paraId="12E4DA46" w14:textId="77777777" w:rsidR="00DB4AC9" w:rsidRDefault="00DB4AC9" w:rsidP="00DB4AC9">
      <w:pPr>
        <w:widowControl w:val="0"/>
        <w:tabs>
          <w:tab w:val="right" w:pos="9360"/>
        </w:tabs>
        <w:ind w:left="461"/>
      </w:pPr>
      <w:hyperlink w:anchor="_xvir7l">
        <w:r>
          <w:rPr>
            <w:color w:val="0000FF"/>
            <w:sz w:val="23"/>
            <w:szCs w:val="23"/>
            <w:u w:val="single"/>
          </w:rPr>
          <w:t>4.3 Electronic Consulting</w:t>
        </w:r>
      </w:hyperlink>
      <w:hyperlink w:anchor="_xvir7l">
        <w:r>
          <w:rPr>
            <w:sz w:val="23"/>
            <w:szCs w:val="23"/>
          </w:rPr>
          <w:tab/>
        </w:r>
      </w:hyperlink>
    </w:p>
    <w:p w14:paraId="70966F31" w14:textId="77777777" w:rsidR="00DB4AC9" w:rsidRDefault="00DB4AC9" w:rsidP="00DB4AC9">
      <w:pPr>
        <w:widowControl w:val="0"/>
        <w:tabs>
          <w:tab w:val="right" w:pos="9360"/>
        </w:tabs>
        <w:ind w:left="461"/>
      </w:pPr>
      <w:hyperlink w:anchor="_3hv69ve">
        <w:r>
          <w:rPr>
            <w:color w:val="0000FF"/>
            <w:sz w:val="23"/>
            <w:szCs w:val="23"/>
            <w:u w:val="single"/>
          </w:rPr>
          <w:t>4.4 Fees for Consulting</w:t>
        </w:r>
      </w:hyperlink>
      <w:hyperlink w:anchor="_3hv69ve">
        <w:r>
          <w:rPr>
            <w:sz w:val="23"/>
            <w:szCs w:val="23"/>
          </w:rPr>
          <w:tab/>
        </w:r>
      </w:hyperlink>
    </w:p>
    <w:p w14:paraId="56349ABE" w14:textId="77777777" w:rsidR="00DB4AC9" w:rsidRDefault="00DB4AC9" w:rsidP="00DB4AC9">
      <w:pPr>
        <w:widowControl w:val="0"/>
        <w:tabs>
          <w:tab w:val="right" w:pos="9360"/>
        </w:tabs>
        <w:ind w:left="461"/>
      </w:pPr>
      <w:hyperlink w:anchor="_1x0gk37">
        <w:r>
          <w:rPr>
            <w:color w:val="0000FF"/>
            <w:sz w:val="23"/>
            <w:szCs w:val="23"/>
            <w:u w:val="single"/>
          </w:rPr>
          <w:t>4.5 Client Confidentiality</w:t>
        </w:r>
      </w:hyperlink>
      <w:hyperlink w:anchor="_1x0gk37">
        <w:r>
          <w:rPr>
            <w:sz w:val="23"/>
            <w:szCs w:val="23"/>
          </w:rPr>
          <w:tab/>
        </w:r>
      </w:hyperlink>
    </w:p>
    <w:p w14:paraId="3B215340" w14:textId="77777777" w:rsidR="00DB4AC9" w:rsidRDefault="00DB4AC9" w:rsidP="00DB4AC9">
      <w:pPr>
        <w:widowControl w:val="0"/>
        <w:tabs>
          <w:tab w:val="right" w:pos="9360"/>
        </w:tabs>
        <w:ind w:left="461"/>
      </w:pPr>
      <w:hyperlink w:anchor="_4h042r0">
        <w:r>
          <w:rPr>
            <w:color w:val="0000FF"/>
            <w:sz w:val="23"/>
            <w:szCs w:val="23"/>
            <w:u w:val="single"/>
          </w:rPr>
          <w:t>4.6 Registering New Clients</w:t>
        </w:r>
      </w:hyperlink>
      <w:hyperlink w:anchor="_4h042r0">
        <w:r>
          <w:rPr>
            <w:sz w:val="23"/>
            <w:szCs w:val="23"/>
          </w:rPr>
          <w:tab/>
        </w:r>
      </w:hyperlink>
    </w:p>
    <w:p w14:paraId="08838B21" w14:textId="77777777" w:rsidR="00DB4AC9" w:rsidRDefault="00DB4AC9" w:rsidP="00DB4AC9">
      <w:pPr>
        <w:widowControl w:val="0"/>
        <w:tabs>
          <w:tab w:val="right" w:pos="9360"/>
        </w:tabs>
        <w:ind w:left="461"/>
      </w:pPr>
      <w:hyperlink w:anchor="_2w5ecyt">
        <w:r>
          <w:rPr>
            <w:color w:val="0000FF"/>
            <w:sz w:val="23"/>
            <w:szCs w:val="23"/>
            <w:u w:val="single"/>
          </w:rPr>
          <w:t>4.7 Client Files</w:t>
        </w:r>
      </w:hyperlink>
      <w:hyperlink w:anchor="_2w5ecyt">
        <w:r>
          <w:rPr>
            <w:sz w:val="23"/>
            <w:szCs w:val="23"/>
          </w:rPr>
          <w:tab/>
        </w:r>
      </w:hyperlink>
    </w:p>
    <w:p w14:paraId="397D3267" w14:textId="77777777" w:rsidR="00DB4AC9" w:rsidRDefault="00DB4AC9" w:rsidP="00DB4AC9">
      <w:pPr>
        <w:widowControl w:val="0"/>
        <w:tabs>
          <w:tab w:val="right" w:pos="9360"/>
        </w:tabs>
        <w:ind w:left="461"/>
      </w:pPr>
      <w:hyperlink w:anchor="_39kk8xu">
        <w:r>
          <w:rPr>
            <w:color w:val="0000FF"/>
            <w:sz w:val="23"/>
            <w:szCs w:val="23"/>
            <w:u w:val="single"/>
          </w:rPr>
          <w:t>4.8 Reporting Consulting Client Activity</w:t>
        </w:r>
      </w:hyperlink>
      <w:hyperlink w:anchor="_39kk8xu">
        <w:r>
          <w:rPr>
            <w:sz w:val="23"/>
            <w:szCs w:val="23"/>
          </w:rPr>
          <w:tab/>
        </w:r>
      </w:hyperlink>
    </w:p>
    <w:p w14:paraId="130362DA" w14:textId="77777777" w:rsidR="00DB4AC9" w:rsidRDefault="00DB4AC9" w:rsidP="00DB4AC9">
      <w:pPr>
        <w:widowControl w:val="0"/>
        <w:tabs>
          <w:tab w:val="right" w:pos="9360"/>
        </w:tabs>
        <w:ind w:left="461"/>
      </w:pPr>
      <w:hyperlink w:anchor="_319y80a">
        <w:r>
          <w:rPr>
            <w:color w:val="0000FF"/>
            <w:sz w:val="23"/>
            <w:szCs w:val="23"/>
            <w:u w:val="single"/>
          </w:rPr>
          <w:t>4.9 Information Transfers</w:t>
        </w:r>
      </w:hyperlink>
      <w:hyperlink w:anchor="_319y80a">
        <w:r>
          <w:rPr>
            <w:sz w:val="23"/>
            <w:szCs w:val="23"/>
          </w:rPr>
          <w:tab/>
        </w:r>
      </w:hyperlink>
    </w:p>
    <w:p w14:paraId="03F3F8FA" w14:textId="77777777" w:rsidR="00DB4AC9" w:rsidRDefault="00DB4AC9" w:rsidP="00DB4AC9">
      <w:pPr>
        <w:widowControl w:val="0"/>
        <w:tabs>
          <w:tab w:val="right" w:pos="9360"/>
        </w:tabs>
        <w:ind w:left="461"/>
      </w:pPr>
      <w:hyperlink w:anchor="_2fk6b3p">
        <w:r>
          <w:rPr>
            <w:color w:val="0000FF"/>
            <w:sz w:val="23"/>
            <w:szCs w:val="23"/>
            <w:u w:val="single"/>
          </w:rPr>
          <w:t>4.10 Constraints</w:t>
        </w:r>
      </w:hyperlink>
      <w:hyperlink w:anchor="_2fk6b3p">
        <w:r>
          <w:rPr>
            <w:sz w:val="23"/>
            <w:szCs w:val="23"/>
          </w:rPr>
          <w:tab/>
        </w:r>
      </w:hyperlink>
    </w:p>
    <w:p w14:paraId="41A32FA4" w14:textId="77777777" w:rsidR="00DB4AC9" w:rsidRDefault="00DB4AC9" w:rsidP="00DB4AC9">
      <w:pPr>
        <w:widowControl w:val="0"/>
        <w:tabs>
          <w:tab w:val="right" w:pos="9360"/>
        </w:tabs>
        <w:spacing w:before="100" w:after="60"/>
        <w:ind w:left="230"/>
      </w:pPr>
      <w:hyperlink w:anchor="_2szc72q">
        <w:r>
          <w:rPr>
            <w:smallCaps/>
            <w:color w:val="0000FF"/>
            <w:sz w:val="23"/>
            <w:szCs w:val="23"/>
            <w:u w:val="single"/>
          </w:rPr>
          <w:t>5.0 Training</w:t>
        </w:r>
      </w:hyperlink>
      <w:hyperlink w:anchor="_2szc72q">
        <w:r>
          <w:rPr>
            <w:sz w:val="23"/>
            <w:szCs w:val="23"/>
          </w:rPr>
          <w:tab/>
        </w:r>
      </w:hyperlink>
    </w:p>
    <w:p w14:paraId="2C676F7C" w14:textId="77777777" w:rsidR="00DB4AC9" w:rsidRDefault="00DB4AC9" w:rsidP="00DB4AC9">
      <w:pPr>
        <w:widowControl w:val="0"/>
        <w:tabs>
          <w:tab w:val="right" w:pos="9360"/>
        </w:tabs>
        <w:ind w:left="461"/>
      </w:pPr>
      <w:hyperlink w:anchor="_184mhaj">
        <w:r>
          <w:rPr>
            <w:color w:val="0000FF"/>
            <w:sz w:val="23"/>
            <w:szCs w:val="23"/>
            <w:u w:val="single"/>
          </w:rPr>
          <w:t>5.1 Training Defined</w:t>
        </w:r>
      </w:hyperlink>
      <w:hyperlink w:anchor="_184mhaj">
        <w:r>
          <w:rPr>
            <w:sz w:val="23"/>
            <w:szCs w:val="23"/>
          </w:rPr>
          <w:tab/>
        </w:r>
      </w:hyperlink>
    </w:p>
    <w:p w14:paraId="172CB7C6" w14:textId="77777777" w:rsidR="00DB4AC9" w:rsidRDefault="00DB4AC9" w:rsidP="00DB4AC9">
      <w:pPr>
        <w:widowControl w:val="0"/>
        <w:tabs>
          <w:tab w:val="right" w:pos="9360"/>
        </w:tabs>
        <w:ind w:left="461"/>
      </w:pPr>
      <w:hyperlink w:anchor="_3s49zyc">
        <w:r>
          <w:rPr>
            <w:color w:val="0000FF"/>
            <w:sz w:val="23"/>
            <w:szCs w:val="23"/>
            <w:u w:val="single"/>
          </w:rPr>
          <w:t>5.2 Training Offerings</w:t>
        </w:r>
      </w:hyperlink>
      <w:hyperlink w:anchor="_3s49zyc">
        <w:r>
          <w:rPr>
            <w:sz w:val="23"/>
            <w:szCs w:val="23"/>
          </w:rPr>
          <w:tab/>
        </w:r>
      </w:hyperlink>
    </w:p>
    <w:p w14:paraId="2992E499" w14:textId="77777777" w:rsidR="00DB4AC9" w:rsidRDefault="00DB4AC9" w:rsidP="00DB4AC9">
      <w:pPr>
        <w:widowControl w:val="0"/>
        <w:tabs>
          <w:tab w:val="right" w:pos="9360"/>
        </w:tabs>
        <w:ind w:left="461"/>
      </w:pPr>
      <w:hyperlink w:anchor="_279ka65">
        <w:r>
          <w:rPr>
            <w:color w:val="0000FF"/>
            <w:sz w:val="23"/>
            <w:szCs w:val="23"/>
            <w:u w:val="single"/>
          </w:rPr>
          <w:t>5.3 Training Formats</w:t>
        </w:r>
      </w:hyperlink>
      <w:hyperlink w:anchor="_279ka65">
        <w:r>
          <w:rPr>
            <w:sz w:val="23"/>
            <w:szCs w:val="23"/>
          </w:rPr>
          <w:tab/>
        </w:r>
      </w:hyperlink>
    </w:p>
    <w:p w14:paraId="035887DE" w14:textId="77777777" w:rsidR="00DB4AC9" w:rsidRDefault="00DB4AC9" w:rsidP="00DB4AC9">
      <w:pPr>
        <w:widowControl w:val="0"/>
        <w:tabs>
          <w:tab w:val="right" w:pos="9360"/>
        </w:tabs>
        <w:ind w:left="461"/>
      </w:pPr>
      <w:hyperlink w:anchor="_meukdy">
        <w:r>
          <w:rPr>
            <w:color w:val="0000FF"/>
            <w:sz w:val="23"/>
            <w:szCs w:val="23"/>
            <w:u w:val="single"/>
          </w:rPr>
          <w:t>5.4 Fees for Training</w:t>
        </w:r>
      </w:hyperlink>
      <w:hyperlink w:anchor="_meukdy">
        <w:r>
          <w:rPr>
            <w:sz w:val="23"/>
            <w:szCs w:val="23"/>
          </w:rPr>
          <w:tab/>
        </w:r>
      </w:hyperlink>
    </w:p>
    <w:p w14:paraId="766111A8" w14:textId="77777777" w:rsidR="00DB4AC9" w:rsidRDefault="00DB4AC9" w:rsidP="00DB4AC9">
      <w:pPr>
        <w:widowControl w:val="0"/>
        <w:tabs>
          <w:tab w:val="right" w:pos="9360"/>
        </w:tabs>
        <w:ind w:left="461"/>
      </w:pPr>
      <w:hyperlink w:anchor="_36ei31r">
        <w:r>
          <w:rPr>
            <w:color w:val="0000FF"/>
            <w:sz w:val="23"/>
            <w:szCs w:val="23"/>
            <w:u w:val="single"/>
          </w:rPr>
          <w:t>5.5 No-Shows</w:t>
        </w:r>
      </w:hyperlink>
      <w:hyperlink w:anchor="_36ei31r">
        <w:r>
          <w:rPr>
            <w:sz w:val="23"/>
            <w:szCs w:val="23"/>
          </w:rPr>
          <w:tab/>
        </w:r>
      </w:hyperlink>
    </w:p>
    <w:p w14:paraId="04EF5B36" w14:textId="77777777" w:rsidR="00DB4AC9" w:rsidRDefault="00DB4AC9" w:rsidP="00DB4AC9">
      <w:pPr>
        <w:widowControl w:val="0"/>
        <w:tabs>
          <w:tab w:val="right" w:pos="9360"/>
        </w:tabs>
        <w:ind w:left="461"/>
      </w:pPr>
      <w:hyperlink w:anchor="_1ljsd9k">
        <w:r>
          <w:rPr>
            <w:color w:val="0000FF"/>
            <w:sz w:val="23"/>
            <w:szCs w:val="23"/>
            <w:u w:val="single"/>
          </w:rPr>
          <w:t>5.6 Co-Sponsorships</w:t>
        </w:r>
      </w:hyperlink>
      <w:hyperlink w:anchor="_1ljsd9k">
        <w:r>
          <w:rPr>
            <w:sz w:val="23"/>
            <w:szCs w:val="23"/>
          </w:rPr>
          <w:tab/>
        </w:r>
      </w:hyperlink>
    </w:p>
    <w:p w14:paraId="6D8ADFC9" w14:textId="77777777" w:rsidR="00DB4AC9" w:rsidRDefault="00DB4AC9" w:rsidP="00DB4AC9">
      <w:pPr>
        <w:widowControl w:val="0"/>
        <w:tabs>
          <w:tab w:val="right" w:pos="9360"/>
        </w:tabs>
        <w:ind w:left="461"/>
      </w:pPr>
      <w:hyperlink w:anchor="_3jtnz0s">
        <w:r>
          <w:rPr>
            <w:color w:val="0000FF"/>
            <w:sz w:val="23"/>
            <w:szCs w:val="23"/>
            <w:u w:val="single"/>
          </w:rPr>
          <w:t>5.7 Constraints</w:t>
        </w:r>
      </w:hyperlink>
      <w:hyperlink w:anchor="_3jtnz0s">
        <w:r>
          <w:rPr>
            <w:sz w:val="23"/>
            <w:szCs w:val="23"/>
          </w:rPr>
          <w:tab/>
        </w:r>
      </w:hyperlink>
    </w:p>
    <w:p w14:paraId="03B81291" w14:textId="77777777" w:rsidR="00DB4AC9" w:rsidRDefault="00DB4AC9" w:rsidP="00DB4AC9">
      <w:pPr>
        <w:widowControl w:val="0"/>
        <w:tabs>
          <w:tab w:val="right" w:pos="9360"/>
        </w:tabs>
        <w:ind w:left="461"/>
      </w:pPr>
      <w:hyperlink w:anchor="_3x8tuzt">
        <w:r>
          <w:rPr>
            <w:color w:val="0000FF"/>
            <w:sz w:val="23"/>
            <w:szCs w:val="23"/>
            <w:u w:val="single"/>
          </w:rPr>
          <w:t>5.8 Marketing and Training Materials</w:t>
        </w:r>
      </w:hyperlink>
      <w:hyperlink w:anchor="_3x8tuzt">
        <w:r>
          <w:rPr>
            <w:sz w:val="23"/>
            <w:szCs w:val="23"/>
          </w:rPr>
          <w:tab/>
        </w:r>
      </w:hyperlink>
    </w:p>
    <w:p w14:paraId="47ACF18F" w14:textId="77777777" w:rsidR="00DB4AC9" w:rsidRDefault="00DB4AC9" w:rsidP="00DB4AC9">
      <w:pPr>
        <w:widowControl w:val="0"/>
        <w:tabs>
          <w:tab w:val="right" w:pos="9360"/>
        </w:tabs>
        <w:ind w:left="461"/>
      </w:pPr>
      <w:hyperlink w:anchor="_3bj1y38">
        <w:r>
          <w:rPr>
            <w:color w:val="0000FF"/>
            <w:sz w:val="23"/>
            <w:szCs w:val="23"/>
            <w:u w:val="single"/>
          </w:rPr>
          <w:t>5.9 Training Packets</w:t>
        </w:r>
      </w:hyperlink>
      <w:hyperlink w:anchor="_3bj1y38">
        <w:r>
          <w:rPr>
            <w:sz w:val="23"/>
            <w:szCs w:val="23"/>
          </w:rPr>
          <w:tab/>
        </w:r>
      </w:hyperlink>
    </w:p>
    <w:p w14:paraId="50BBCD38" w14:textId="77777777" w:rsidR="00DB4AC9" w:rsidRDefault="00DB4AC9" w:rsidP="00DB4AC9">
      <w:pPr>
        <w:widowControl w:val="0"/>
        <w:tabs>
          <w:tab w:val="right" w:pos="9360"/>
        </w:tabs>
        <w:ind w:left="461"/>
      </w:pPr>
      <w:hyperlink w:anchor="_243i4a2">
        <w:r>
          <w:rPr>
            <w:color w:val="0000FF"/>
            <w:sz w:val="23"/>
            <w:szCs w:val="23"/>
            <w:u w:val="single"/>
          </w:rPr>
          <w:t>5.10 Review of Training Packets by Lead Center During Site Review</w:t>
        </w:r>
      </w:hyperlink>
      <w:hyperlink w:anchor="_243i4a2">
        <w:r>
          <w:rPr>
            <w:sz w:val="23"/>
            <w:szCs w:val="23"/>
          </w:rPr>
          <w:tab/>
        </w:r>
      </w:hyperlink>
    </w:p>
    <w:p w14:paraId="4FBCC81E" w14:textId="77777777" w:rsidR="00DB4AC9" w:rsidRDefault="00DB4AC9" w:rsidP="00DB4AC9">
      <w:pPr>
        <w:widowControl w:val="0"/>
        <w:tabs>
          <w:tab w:val="right" w:pos="9360"/>
        </w:tabs>
        <w:ind w:left="461"/>
      </w:pPr>
      <w:hyperlink w:anchor="_j8sehv">
        <w:r>
          <w:rPr>
            <w:color w:val="0000FF"/>
            <w:sz w:val="23"/>
            <w:szCs w:val="23"/>
            <w:u w:val="single"/>
          </w:rPr>
          <w:t>5.11 Entering Training Activity in Neoserra</w:t>
        </w:r>
      </w:hyperlink>
      <w:hyperlink w:anchor="_j8sehv">
        <w:r>
          <w:rPr>
            <w:sz w:val="23"/>
            <w:szCs w:val="23"/>
          </w:rPr>
          <w:tab/>
        </w:r>
      </w:hyperlink>
    </w:p>
    <w:p w14:paraId="1855FA85" w14:textId="77777777" w:rsidR="00DB4AC9" w:rsidRDefault="00DB4AC9" w:rsidP="00DB4AC9">
      <w:pPr>
        <w:widowControl w:val="0"/>
        <w:tabs>
          <w:tab w:val="right" w:pos="9360"/>
        </w:tabs>
        <w:ind w:left="461"/>
      </w:pPr>
      <w:hyperlink w:anchor="_1idq7dh">
        <w:r>
          <w:rPr>
            <w:color w:val="0000FF"/>
            <w:sz w:val="23"/>
            <w:szCs w:val="23"/>
            <w:u w:val="single"/>
          </w:rPr>
          <w:t>5.12 Training Files</w:t>
        </w:r>
      </w:hyperlink>
      <w:hyperlink w:anchor="_1idq7dh">
        <w:r>
          <w:rPr>
            <w:sz w:val="23"/>
            <w:szCs w:val="23"/>
          </w:rPr>
          <w:tab/>
        </w:r>
      </w:hyperlink>
    </w:p>
    <w:p w14:paraId="35788F11" w14:textId="77777777" w:rsidR="00DB4AC9" w:rsidRDefault="00DB4AC9" w:rsidP="00DB4AC9">
      <w:pPr>
        <w:widowControl w:val="0"/>
        <w:tabs>
          <w:tab w:val="right" w:pos="9360"/>
        </w:tabs>
        <w:ind w:left="461"/>
      </w:pPr>
      <w:hyperlink w:anchor="_42ddq1a">
        <w:r>
          <w:rPr>
            <w:color w:val="0000FF"/>
            <w:sz w:val="23"/>
            <w:szCs w:val="23"/>
            <w:u w:val="single"/>
          </w:rPr>
          <w:t>5.13 Statewide Training Schedule</w:t>
        </w:r>
      </w:hyperlink>
      <w:hyperlink w:anchor="_42ddq1a">
        <w:r>
          <w:rPr>
            <w:sz w:val="23"/>
            <w:szCs w:val="23"/>
          </w:rPr>
          <w:tab/>
        </w:r>
      </w:hyperlink>
    </w:p>
    <w:p w14:paraId="6D155557" w14:textId="77777777" w:rsidR="00DB4AC9" w:rsidRDefault="00DB4AC9" w:rsidP="00DB4AC9">
      <w:pPr>
        <w:widowControl w:val="0"/>
        <w:tabs>
          <w:tab w:val="right" w:pos="9360"/>
        </w:tabs>
        <w:spacing w:before="100" w:after="60"/>
        <w:ind w:left="230"/>
      </w:pPr>
      <w:hyperlink w:anchor="_2hio093">
        <w:r>
          <w:rPr>
            <w:smallCaps/>
            <w:color w:val="0000FF"/>
            <w:sz w:val="23"/>
            <w:szCs w:val="23"/>
            <w:u w:val="single"/>
          </w:rPr>
          <w:t>6.0 Program Evaluation</w:t>
        </w:r>
      </w:hyperlink>
      <w:hyperlink w:anchor="_2hio093">
        <w:r>
          <w:rPr>
            <w:sz w:val="23"/>
            <w:szCs w:val="23"/>
          </w:rPr>
          <w:tab/>
        </w:r>
      </w:hyperlink>
    </w:p>
    <w:p w14:paraId="6677E676" w14:textId="77777777" w:rsidR="00DB4AC9" w:rsidRDefault="00DB4AC9" w:rsidP="00DB4AC9">
      <w:pPr>
        <w:widowControl w:val="0"/>
        <w:tabs>
          <w:tab w:val="right" w:pos="9360"/>
        </w:tabs>
        <w:ind w:left="461"/>
      </w:pPr>
      <w:hyperlink w:anchor="_wnyagw">
        <w:r>
          <w:rPr>
            <w:color w:val="0000FF"/>
            <w:sz w:val="23"/>
            <w:szCs w:val="23"/>
            <w:u w:val="single"/>
          </w:rPr>
          <w:t>6.1 Evaluation of Consulting Services</w:t>
        </w:r>
      </w:hyperlink>
      <w:hyperlink w:anchor="_wnyagw">
        <w:r>
          <w:rPr>
            <w:sz w:val="23"/>
            <w:szCs w:val="23"/>
          </w:rPr>
          <w:tab/>
        </w:r>
      </w:hyperlink>
    </w:p>
    <w:p w14:paraId="20D12073" w14:textId="77777777" w:rsidR="00DB4AC9" w:rsidRDefault="00DB4AC9" w:rsidP="00DB4AC9">
      <w:pPr>
        <w:widowControl w:val="0"/>
        <w:tabs>
          <w:tab w:val="right" w:pos="9360"/>
        </w:tabs>
        <w:ind w:left="461"/>
      </w:pPr>
      <w:hyperlink w:anchor="_1vsw3ci">
        <w:r>
          <w:rPr>
            <w:color w:val="0000FF"/>
            <w:sz w:val="23"/>
            <w:szCs w:val="23"/>
            <w:u w:val="single"/>
          </w:rPr>
          <w:t>6.2 Evaluation of Training Services</w:t>
        </w:r>
      </w:hyperlink>
      <w:hyperlink w:anchor="_1vsw3ci">
        <w:r>
          <w:rPr>
            <w:sz w:val="23"/>
            <w:szCs w:val="23"/>
          </w:rPr>
          <w:tab/>
        </w:r>
      </w:hyperlink>
    </w:p>
    <w:p w14:paraId="11D69E9E" w14:textId="77777777" w:rsidR="00DB4AC9" w:rsidRDefault="00DB4AC9" w:rsidP="00DB4AC9">
      <w:pPr>
        <w:widowControl w:val="0"/>
        <w:tabs>
          <w:tab w:val="right" w:pos="9360"/>
        </w:tabs>
        <w:ind w:left="461"/>
      </w:pPr>
      <w:hyperlink w:anchor="_4fsjm0b">
        <w:r>
          <w:rPr>
            <w:color w:val="0000FF"/>
            <w:sz w:val="23"/>
            <w:szCs w:val="23"/>
            <w:u w:val="single"/>
          </w:rPr>
          <w:t>6.3 Needs Assessments</w:t>
        </w:r>
      </w:hyperlink>
      <w:hyperlink w:anchor="_4fsjm0b">
        <w:r>
          <w:rPr>
            <w:sz w:val="23"/>
            <w:szCs w:val="23"/>
          </w:rPr>
          <w:tab/>
        </w:r>
      </w:hyperlink>
    </w:p>
    <w:p w14:paraId="718FC7C5" w14:textId="77777777" w:rsidR="00DB4AC9" w:rsidRDefault="00DB4AC9" w:rsidP="00DB4AC9">
      <w:pPr>
        <w:widowControl w:val="0"/>
        <w:tabs>
          <w:tab w:val="right" w:pos="9360"/>
        </w:tabs>
        <w:spacing w:before="100" w:after="60"/>
        <w:ind w:left="230"/>
      </w:pPr>
      <w:hyperlink w:anchor="_3u2rp3q">
        <w:r>
          <w:rPr>
            <w:smallCaps/>
            <w:color w:val="0000FF"/>
            <w:sz w:val="23"/>
            <w:szCs w:val="23"/>
            <w:u w:val="single"/>
          </w:rPr>
          <w:t>7.0 Financial Issues</w:t>
        </w:r>
      </w:hyperlink>
      <w:hyperlink w:anchor="_3u2rp3q">
        <w:r>
          <w:rPr>
            <w:sz w:val="23"/>
            <w:szCs w:val="23"/>
          </w:rPr>
          <w:tab/>
        </w:r>
      </w:hyperlink>
    </w:p>
    <w:p w14:paraId="33EFCF7F" w14:textId="77777777" w:rsidR="00DB4AC9" w:rsidRDefault="00DB4AC9" w:rsidP="00DB4AC9">
      <w:pPr>
        <w:widowControl w:val="0"/>
        <w:tabs>
          <w:tab w:val="right" w:pos="9360"/>
        </w:tabs>
        <w:ind w:left="461"/>
      </w:pPr>
      <w:hyperlink w:anchor="_2981zbj">
        <w:r>
          <w:rPr>
            <w:color w:val="0000FF"/>
            <w:sz w:val="23"/>
            <w:szCs w:val="23"/>
            <w:u w:val="single"/>
          </w:rPr>
          <w:t>7.1 Funding</w:t>
        </w:r>
      </w:hyperlink>
      <w:hyperlink w:anchor="_2981zbj">
        <w:r>
          <w:rPr>
            <w:sz w:val="23"/>
            <w:szCs w:val="23"/>
          </w:rPr>
          <w:tab/>
        </w:r>
      </w:hyperlink>
    </w:p>
    <w:p w14:paraId="11F80997" w14:textId="77777777" w:rsidR="00DB4AC9" w:rsidRDefault="00DB4AC9" w:rsidP="00DB4AC9">
      <w:pPr>
        <w:widowControl w:val="0"/>
        <w:tabs>
          <w:tab w:val="right" w:pos="9360"/>
        </w:tabs>
        <w:ind w:left="461"/>
      </w:pPr>
      <w:hyperlink w:anchor="_odc9jc">
        <w:r>
          <w:rPr>
            <w:color w:val="0000FF"/>
            <w:sz w:val="23"/>
            <w:szCs w:val="23"/>
            <w:u w:val="single"/>
          </w:rPr>
          <w:t>7.2 Match Requirements</w:t>
        </w:r>
      </w:hyperlink>
      <w:hyperlink w:anchor="_odc9jc">
        <w:r>
          <w:rPr>
            <w:sz w:val="23"/>
            <w:szCs w:val="23"/>
          </w:rPr>
          <w:tab/>
        </w:r>
      </w:hyperlink>
    </w:p>
    <w:p w14:paraId="7394A026" w14:textId="77777777" w:rsidR="00DB4AC9" w:rsidRDefault="00DB4AC9" w:rsidP="00DB4AC9">
      <w:pPr>
        <w:widowControl w:val="0"/>
        <w:tabs>
          <w:tab w:val="right" w:pos="9360"/>
        </w:tabs>
        <w:ind w:left="461"/>
      </w:pPr>
      <w:hyperlink w:anchor="_38czs75">
        <w:r>
          <w:rPr>
            <w:color w:val="0000FF"/>
            <w:sz w:val="23"/>
            <w:szCs w:val="23"/>
            <w:u w:val="single"/>
          </w:rPr>
          <w:t>7.3 Certification of Cash Match</w:t>
        </w:r>
      </w:hyperlink>
      <w:hyperlink w:anchor="_38czs75">
        <w:r>
          <w:rPr>
            <w:sz w:val="23"/>
            <w:szCs w:val="23"/>
          </w:rPr>
          <w:tab/>
        </w:r>
      </w:hyperlink>
    </w:p>
    <w:p w14:paraId="27D0B7C9" w14:textId="77777777" w:rsidR="00DB4AC9" w:rsidRDefault="00DB4AC9" w:rsidP="00DB4AC9">
      <w:pPr>
        <w:widowControl w:val="0"/>
        <w:tabs>
          <w:tab w:val="right" w:pos="9360"/>
        </w:tabs>
        <w:ind w:left="461"/>
      </w:pPr>
      <w:hyperlink w:anchor="_1nia2ey">
        <w:r>
          <w:rPr>
            <w:color w:val="0000FF"/>
            <w:sz w:val="23"/>
            <w:szCs w:val="23"/>
            <w:u w:val="single"/>
          </w:rPr>
          <w:t>7.4 Overmatch</w:t>
        </w:r>
      </w:hyperlink>
      <w:hyperlink w:anchor="_1nia2ey">
        <w:r>
          <w:rPr>
            <w:sz w:val="23"/>
            <w:szCs w:val="23"/>
          </w:rPr>
          <w:tab/>
        </w:r>
      </w:hyperlink>
    </w:p>
    <w:p w14:paraId="0D2755BE" w14:textId="77777777" w:rsidR="00DB4AC9" w:rsidRDefault="00DB4AC9" w:rsidP="00DB4AC9">
      <w:pPr>
        <w:widowControl w:val="0"/>
        <w:tabs>
          <w:tab w:val="right" w:pos="9360"/>
        </w:tabs>
        <w:ind w:left="461"/>
      </w:pPr>
      <w:hyperlink w:anchor="_47hxl2r">
        <w:r>
          <w:rPr>
            <w:color w:val="0000FF"/>
            <w:sz w:val="23"/>
            <w:szCs w:val="23"/>
            <w:u w:val="single"/>
          </w:rPr>
          <w:t>7.5 Program Income</w:t>
        </w:r>
      </w:hyperlink>
      <w:hyperlink w:anchor="_47hxl2r">
        <w:r>
          <w:rPr>
            <w:sz w:val="23"/>
            <w:szCs w:val="23"/>
          </w:rPr>
          <w:tab/>
        </w:r>
      </w:hyperlink>
    </w:p>
    <w:p w14:paraId="39110495" w14:textId="77777777" w:rsidR="00DB4AC9" w:rsidRDefault="00DB4AC9" w:rsidP="00DB4AC9">
      <w:pPr>
        <w:widowControl w:val="0"/>
        <w:tabs>
          <w:tab w:val="right" w:pos="9360"/>
        </w:tabs>
        <w:ind w:left="461"/>
      </w:pPr>
      <w:hyperlink w:anchor="_2mn7vak">
        <w:r>
          <w:rPr>
            <w:color w:val="0000FF"/>
            <w:sz w:val="23"/>
            <w:szCs w:val="23"/>
            <w:u w:val="single"/>
          </w:rPr>
          <w:t>7.6 Budget</w:t>
        </w:r>
      </w:hyperlink>
      <w:hyperlink w:anchor="_2mn7vak">
        <w:r>
          <w:rPr>
            <w:sz w:val="23"/>
            <w:szCs w:val="23"/>
          </w:rPr>
          <w:tab/>
        </w:r>
      </w:hyperlink>
    </w:p>
    <w:p w14:paraId="5CE9A88F" w14:textId="77777777" w:rsidR="00DB4AC9" w:rsidRDefault="00DB4AC9" w:rsidP="00DB4AC9">
      <w:pPr>
        <w:widowControl w:val="0"/>
        <w:tabs>
          <w:tab w:val="right" w:pos="9360"/>
        </w:tabs>
        <w:ind w:left="461"/>
      </w:pPr>
      <w:hyperlink w:anchor="_11si5id">
        <w:r>
          <w:rPr>
            <w:color w:val="0000FF"/>
            <w:sz w:val="23"/>
            <w:szCs w:val="23"/>
            <w:u w:val="single"/>
          </w:rPr>
          <w:t>7.7 Budget Changes</w:t>
        </w:r>
      </w:hyperlink>
      <w:hyperlink w:anchor="_11si5id">
        <w:r>
          <w:rPr>
            <w:sz w:val="23"/>
            <w:szCs w:val="23"/>
          </w:rPr>
          <w:tab/>
        </w:r>
      </w:hyperlink>
    </w:p>
    <w:p w14:paraId="0AF46D63" w14:textId="77777777" w:rsidR="00DB4AC9" w:rsidRDefault="00DB4AC9" w:rsidP="00DB4AC9">
      <w:pPr>
        <w:widowControl w:val="0"/>
        <w:tabs>
          <w:tab w:val="right" w:pos="9360"/>
        </w:tabs>
        <w:ind w:left="461"/>
      </w:pPr>
      <w:hyperlink w:anchor="_3ls5o66">
        <w:r>
          <w:rPr>
            <w:color w:val="0000FF"/>
            <w:sz w:val="23"/>
            <w:szCs w:val="23"/>
            <w:u w:val="single"/>
          </w:rPr>
          <w:t>7.8 Time and Effort Records</w:t>
        </w:r>
      </w:hyperlink>
      <w:hyperlink w:anchor="_3ls5o66">
        <w:r>
          <w:rPr>
            <w:sz w:val="23"/>
            <w:szCs w:val="23"/>
          </w:rPr>
          <w:tab/>
        </w:r>
      </w:hyperlink>
    </w:p>
    <w:p w14:paraId="5E1536F8" w14:textId="77777777" w:rsidR="00DB4AC9" w:rsidRDefault="00DB4AC9" w:rsidP="00DB4AC9">
      <w:pPr>
        <w:widowControl w:val="0"/>
        <w:tabs>
          <w:tab w:val="right" w:pos="9360"/>
        </w:tabs>
        <w:ind w:left="461"/>
      </w:pPr>
      <w:hyperlink w:anchor="_20xfydz">
        <w:r>
          <w:rPr>
            <w:color w:val="0000FF"/>
            <w:sz w:val="23"/>
            <w:szCs w:val="23"/>
            <w:u w:val="single"/>
          </w:rPr>
          <w:t>7.9 Prior Approval</w:t>
        </w:r>
      </w:hyperlink>
      <w:hyperlink w:anchor="_20xfydz">
        <w:r>
          <w:rPr>
            <w:sz w:val="23"/>
            <w:szCs w:val="23"/>
          </w:rPr>
          <w:tab/>
        </w:r>
      </w:hyperlink>
    </w:p>
    <w:p w14:paraId="6EEAB749" w14:textId="77777777" w:rsidR="00DB4AC9" w:rsidRDefault="00DB4AC9" w:rsidP="00DB4AC9">
      <w:pPr>
        <w:widowControl w:val="0"/>
        <w:tabs>
          <w:tab w:val="right" w:pos="9360"/>
        </w:tabs>
        <w:ind w:left="461"/>
      </w:pPr>
      <w:hyperlink w:anchor="_2eclud0">
        <w:r>
          <w:rPr>
            <w:color w:val="0000FF"/>
            <w:sz w:val="23"/>
            <w:szCs w:val="23"/>
            <w:u w:val="single"/>
          </w:rPr>
          <w:t>7.10 Limitations on Specific Items of Direct Cost</w:t>
        </w:r>
      </w:hyperlink>
      <w:hyperlink w:anchor="_2eclud0">
        <w:r>
          <w:rPr>
            <w:sz w:val="23"/>
            <w:szCs w:val="23"/>
          </w:rPr>
          <w:tab/>
        </w:r>
      </w:hyperlink>
    </w:p>
    <w:p w14:paraId="3D865AA3" w14:textId="77777777" w:rsidR="00DB4AC9" w:rsidRDefault="00DB4AC9" w:rsidP="00DB4AC9">
      <w:pPr>
        <w:widowControl w:val="0"/>
        <w:tabs>
          <w:tab w:val="right" w:pos="9360"/>
        </w:tabs>
        <w:ind w:left="461"/>
      </w:pPr>
      <w:hyperlink w:anchor="_thw4kt">
        <w:r>
          <w:rPr>
            <w:color w:val="0000FF"/>
            <w:sz w:val="23"/>
            <w:szCs w:val="23"/>
            <w:u w:val="single"/>
          </w:rPr>
          <w:t>7.11 Indirect Costs</w:t>
        </w:r>
      </w:hyperlink>
      <w:hyperlink w:anchor="_thw4kt">
        <w:r>
          <w:rPr>
            <w:sz w:val="23"/>
            <w:szCs w:val="23"/>
          </w:rPr>
          <w:tab/>
        </w:r>
      </w:hyperlink>
    </w:p>
    <w:p w14:paraId="66500770" w14:textId="77777777" w:rsidR="00DB4AC9" w:rsidRDefault="00DB4AC9" w:rsidP="00DB4AC9">
      <w:pPr>
        <w:widowControl w:val="0"/>
        <w:tabs>
          <w:tab w:val="right" w:pos="9360"/>
        </w:tabs>
        <w:ind w:left="461"/>
      </w:pPr>
      <w:hyperlink w:anchor="_3dhjn8m">
        <w:r>
          <w:rPr>
            <w:color w:val="0000FF"/>
            <w:sz w:val="23"/>
            <w:szCs w:val="23"/>
            <w:u w:val="single"/>
          </w:rPr>
          <w:t>7.12 Grant Process</w:t>
        </w:r>
      </w:hyperlink>
      <w:hyperlink w:anchor="_3dhjn8m">
        <w:r>
          <w:rPr>
            <w:sz w:val="23"/>
            <w:szCs w:val="23"/>
          </w:rPr>
          <w:tab/>
        </w:r>
      </w:hyperlink>
    </w:p>
    <w:p w14:paraId="273A46EE" w14:textId="77777777" w:rsidR="00DB4AC9" w:rsidRDefault="00DB4AC9" w:rsidP="00DB4AC9">
      <w:pPr>
        <w:widowControl w:val="0"/>
        <w:tabs>
          <w:tab w:val="right" w:pos="9360"/>
        </w:tabs>
        <w:ind w:left="461"/>
      </w:pPr>
      <w:hyperlink w:anchor="_1smtxgf">
        <w:r>
          <w:rPr>
            <w:color w:val="0000FF"/>
            <w:sz w:val="23"/>
            <w:szCs w:val="23"/>
            <w:u w:val="single"/>
          </w:rPr>
          <w:t>7.13 Invoices</w:t>
        </w:r>
      </w:hyperlink>
      <w:hyperlink w:anchor="_1smtxgf">
        <w:r>
          <w:rPr>
            <w:sz w:val="23"/>
            <w:szCs w:val="23"/>
          </w:rPr>
          <w:tab/>
        </w:r>
      </w:hyperlink>
    </w:p>
    <w:p w14:paraId="01BFD9E1" w14:textId="77777777" w:rsidR="00DB4AC9" w:rsidRDefault="00DB4AC9" w:rsidP="00DB4AC9">
      <w:pPr>
        <w:widowControl w:val="0"/>
        <w:tabs>
          <w:tab w:val="right" w:pos="9360"/>
        </w:tabs>
        <w:ind w:left="461"/>
      </w:pPr>
      <w:hyperlink w:anchor="_3qwpj7n">
        <w:r>
          <w:rPr>
            <w:color w:val="0000FF"/>
            <w:sz w:val="23"/>
            <w:szCs w:val="23"/>
            <w:u w:val="single"/>
          </w:rPr>
          <w:t>7.14 Equipment Management</w:t>
        </w:r>
      </w:hyperlink>
      <w:hyperlink w:anchor="_3qwpj7n">
        <w:r>
          <w:rPr>
            <w:sz w:val="23"/>
            <w:szCs w:val="23"/>
          </w:rPr>
          <w:tab/>
        </w:r>
      </w:hyperlink>
    </w:p>
    <w:p w14:paraId="38162FCE" w14:textId="77777777" w:rsidR="00DB4AC9" w:rsidRDefault="00DB4AC9" w:rsidP="00DB4AC9">
      <w:pPr>
        <w:widowControl w:val="0"/>
        <w:tabs>
          <w:tab w:val="right" w:pos="9360"/>
        </w:tabs>
        <w:ind w:left="461"/>
      </w:pPr>
      <w:hyperlink w:anchor="_1kc7wiv">
        <w:r>
          <w:rPr>
            <w:color w:val="0000FF"/>
            <w:sz w:val="23"/>
            <w:szCs w:val="23"/>
            <w:u w:val="single"/>
          </w:rPr>
          <w:t>7.15 Record Keeping and Record Retention</w:t>
        </w:r>
      </w:hyperlink>
      <w:hyperlink w:anchor="_1kc7wiv">
        <w:r>
          <w:rPr>
            <w:sz w:val="23"/>
            <w:szCs w:val="23"/>
          </w:rPr>
          <w:tab/>
        </w:r>
      </w:hyperlink>
    </w:p>
    <w:p w14:paraId="4634CBFA" w14:textId="77777777" w:rsidR="00DB4AC9" w:rsidRDefault="00DB4AC9" w:rsidP="00DB4AC9">
      <w:pPr>
        <w:widowControl w:val="0"/>
        <w:tabs>
          <w:tab w:val="right" w:pos="9360"/>
        </w:tabs>
        <w:ind w:left="461"/>
      </w:pPr>
      <w:hyperlink w:anchor="_44bvf6o">
        <w:r>
          <w:rPr>
            <w:color w:val="0000FF"/>
            <w:sz w:val="23"/>
            <w:szCs w:val="23"/>
            <w:u w:val="single"/>
          </w:rPr>
          <w:t>7.16 Audits, Examinations and Reviews</w:t>
        </w:r>
      </w:hyperlink>
      <w:hyperlink w:anchor="_44bvf6o">
        <w:r>
          <w:rPr>
            <w:sz w:val="23"/>
            <w:szCs w:val="23"/>
          </w:rPr>
          <w:tab/>
        </w:r>
      </w:hyperlink>
    </w:p>
    <w:p w14:paraId="72821401" w14:textId="77777777" w:rsidR="00DB4AC9" w:rsidRDefault="00DB4AC9" w:rsidP="00DB4AC9">
      <w:pPr>
        <w:widowControl w:val="0"/>
        <w:tabs>
          <w:tab w:val="right" w:pos="9360"/>
        </w:tabs>
        <w:ind w:left="461"/>
      </w:pPr>
      <w:hyperlink w:anchor="_2jh5peh">
        <w:r>
          <w:rPr>
            <w:color w:val="0000FF"/>
            <w:sz w:val="23"/>
            <w:szCs w:val="23"/>
            <w:u w:val="single"/>
          </w:rPr>
          <w:t>7.17 OMB Circulars</w:t>
        </w:r>
      </w:hyperlink>
      <w:hyperlink w:anchor="_2jh5peh">
        <w:r>
          <w:rPr>
            <w:sz w:val="23"/>
            <w:szCs w:val="23"/>
          </w:rPr>
          <w:tab/>
        </w:r>
      </w:hyperlink>
    </w:p>
    <w:p w14:paraId="03465092" w14:textId="77777777" w:rsidR="00DB4AC9" w:rsidRDefault="00DB4AC9" w:rsidP="00DB4AC9">
      <w:pPr>
        <w:widowControl w:val="0"/>
        <w:tabs>
          <w:tab w:val="right" w:pos="9360"/>
        </w:tabs>
        <w:ind w:left="461"/>
      </w:pPr>
      <w:hyperlink w:anchor="_ymfzma">
        <w:r>
          <w:rPr>
            <w:color w:val="0000FF"/>
            <w:sz w:val="23"/>
            <w:szCs w:val="23"/>
            <w:u w:val="single"/>
          </w:rPr>
          <w:t>7.18 Drawdown of Federal Funds (Lead Center)</w:t>
        </w:r>
      </w:hyperlink>
      <w:hyperlink w:anchor="_ymfzma">
        <w:r>
          <w:rPr>
            <w:sz w:val="23"/>
            <w:szCs w:val="23"/>
          </w:rPr>
          <w:tab/>
        </w:r>
      </w:hyperlink>
    </w:p>
    <w:p w14:paraId="3B8D9B39" w14:textId="77777777" w:rsidR="00DB4AC9" w:rsidRDefault="00DB4AC9" w:rsidP="00DB4AC9">
      <w:pPr>
        <w:widowControl w:val="0"/>
        <w:tabs>
          <w:tab w:val="right" w:pos="9360"/>
        </w:tabs>
        <w:ind w:left="461"/>
      </w:pPr>
      <w:hyperlink w:anchor="_3im3ia3">
        <w:r>
          <w:rPr>
            <w:color w:val="0000FF"/>
            <w:sz w:val="23"/>
            <w:szCs w:val="23"/>
            <w:u w:val="single"/>
          </w:rPr>
          <w:t>7.19 Mileage Reimbursement for Professional Business Consultants</w:t>
        </w:r>
      </w:hyperlink>
      <w:hyperlink w:anchor="_3im3ia3">
        <w:r>
          <w:rPr>
            <w:sz w:val="23"/>
            <w:szCs w:val="23"/>
          </w:rPr>
          <w:tab/>
        </w:r>
      </w:hyperlink>
    </w:p>
    <w:p w14:paraId="4288BDAA" w14:textId="77777777" w:rsidR="00DB4AC9" w:rsidRDefault="00DB4AC9" w:rsidP="00DB4AC9">
      <w:pPr>
        <w:widowControl w:val="0"/>
        <w:tabs>
          <w:tab w:val="right" w:pos="9360"/>
        </w:tabs>
        <w:spacing w:before="100" w:after="60"/>
        <w:ind w:left="230"/>
      </w:pPr>
      <w:hyperlink w:anchor="_1xrdshw">
        <w:r>
          <w:rPr>
            <w:smallCaps/>
            <w:color w:val="0000FF"/>
            <w:sz w:val="23"/>
            <w:szCs w:val="23"/>
            <w:u w:val="single"/>
          </w:rPr>
          <w:t>8.0 Reports</w:t>
        </w:r>
      </w:hyperlink>
      <w:hyperlink w:anchor="_1xrdshw">
        <w:r>
          <w:rPr>
            <w:sz w:val="23"/>
            <w:szCs w:val="23"/>
          </w:rPr>
          <w:tab/>
        </w:r>
      </w:hyperlink>
    </w:p>
    <w:p w14:paraId="12E0F914" w14:textId="77777777" w:rsidR="00DB4AC9" w:rsidRDefault="00DB4AC9" w:rsidP="00DB4AC9">
      <w:pPr>
        <w:widowControl w:val="0"/>
        <w:tabs>
          <w:tab w:val="right" w:pos="9360"/>
        </w:tabs>
        <w:ind w:left="461"/>
      </w:pPr>
      <w:hyperlink w:anchor="_4hr1b5p">
        <w:r>
          <w:rPr>
            <w:color w:val="0000FF"/>
            <w:sz w:val="23"/>
            <w:szCs w:val="23"/>
            <w:u w:val="single"/>
          </w:rPr>
          <w:t>8.1 Consulting and Training Reports</w:t>
        </w:r>
      </w:hyperlink>
      <w:hyperlink w:anchor="_4hr1b5p">
        <w:r>
          <w:rPr>
            <w:sz w:val="23"/>
            <w:szCs w:val="23"/>
          </w:rPr>
          <w:tab/>
        </w:r>
      </w:hyperlink>
    </w:p>
    <w:p w14:paraId="5BC03155" w14:textId="77777777" w:rsidR="00DB4AC9" w:rsidRDefault="00DB4AC9" w:rsidP="00DB4AC9">
      <w:pPr>
        <w:widowControl w:val="0"/>
        <w:tabs>
          <w:tab w:val="right" w:pos="9360"/>
        </w:tabs>
        <w:ind w:left="461"/>
      </w:pPr>
      <w:hyperlink w:anchor="_2wwbldi">
        <w:r>
          <w:rPr>
            <w:color w:val="0000FF"/>
            <w:sz w:val="23"/>
            <w:szCs w:val="23"/>
            <w:u w:val="single"/>
          </w:rPr>
          <w:t>8.2 Performance Reports</w:t>
        </w:r>
      </w:hyperlink>
      <w:hyperlink w:anchor="_2wwbldi">
        <w:r>
          <w:rPr>
            <w:sz w:val="23"/>
            <w:szCs w:val="23"/>
          </w:rPr>
          <w:tab/>
        </w:r>
      </w:hyperlink>
    </w:p>
    <w:p w14:paraId="77316523" w14:textId="77777777" w:rsidR="00DB4AC9" w:rsidRDefault="00DB4AC9" w:rsidP="00DB4AC9">
      <w:pPr>
        <w:widowControl w:val="0"/>
        <w:tabs>
          <w:tab w:val="right" w:pos="9360"/>
        </w:tabs>
        <w:ind w:left="461"/>
      </w:pPr>
      <w:hyperlink w:anchor="_1c1lvlb">
        <w:r>
          <w:rPr>
            <w:color w:val="0000FF"/>
            <w:sz w:val="23"/>
            <w:szCs w:val="23"/>
            <w:u w:val="single"/>
          </w:rPr>
          <w:t>8.3 Financial Reports</w:t>
        </w:r>
      </w:hyperlink>
      <w:hyperlink w:anchor="_1c1lvlb">
        <w:r>
          <w:rPr>
            <w:sz w:val="23"/>
            <w:szCs w:val="23"/>
          </w:rPr>
          <w:tab/>
        </w:r>
      </w:hyperlink>
    </w:p>
    <w:p w14:paraId="3D01F90F" w14:textId="77777777" w:rsidR="00DB4AC9" w:rsidRDefault="00DB4AC9" w:rsidP="00DB4AC9">
      <w:pPr>
        <w:widowControl w:val="0"/>
        <w:tabs>
          <w:tab w:val="right" w:pos="9360"/>
        </w:tabs>
        <w:ind w:left="461"/>
      </w:pPr>
      <w:hyperlink w:anchor="_3w19e94">
        <w:r>
          <w:rPr>
            <w:color w:val="0000FF"/>
            <w:sz w:val="23"/>
            <w:szCs w:val="23"/>
            <w:u w:val="single"/>
          </w:rPr>
          <w:t>8.4 Network Scorecard Reports</w:t>
        </w:r>
      </w:hyperlink>
      <w:hyperlink w:anchor="_3w19e94">
        <w:r>
          <w:rPr>
            <w:sz w:val="23"/>
            <w:szCs w:val="23"/>
          </w:rPr>
          <w:tab/>
        </w:r>
      </w:hyperlink>
    </w:p>
    <w:p w14:paraId="0FBC8C58" w14:textId="77777777" w:rsidR="00DB4AC9" w:rsidRDefault="00DB4AC9" w:rsidP="00DB4AC9">
      <w:pPr>
        <w:widowControl w:val="0"/>
        <w:tabs>
          <w:tab w:val="right" w:pos="9360"/>
        </w:tabs>
        <w:spacing w:before="100" w:after="60"/>
        <w:ind w:left="230"/>
      </w:pPr>
      <w:hyperlink w:anchor="_2b6jogx">
        <w:r>
          <w:rPr>
            <w:smallCaps/>
            <w:color w:val="0000FF"/>
            <w:sz w:val="23"/>
            <w:szCs w:val="23"/>
            <w:u w:val="single"/>
          </w:rPr>
          <w:t>9.0 Proposal Process</w:t>
        </w:r>
      </w:hyperlink>
      <w:hyperlink w:anchor="_2b6jogx">
        <w:r>
          <w:rPr>
            <w:sz w:val="23"/>
            <w:szCs w:val="23"/>
          </w:rPr>
          <w:tab/>
        </w:r>
      </w:hyperlink>
    </w:p>
    <w:p w14:paraId="4F60C1EB" w14:textId="77777777" w:rsidR="00DB4AC9" w:rsidRDefault="00DB4AC9" w:rsidP="00DB4AC9">
      <w:pPr>
        <w:widowControl w:val="0"/>
        <w:tabs>
          <w:tab w:val="right" w:pos="9360"/>
        </w:tabs>
        <w:ind w:left="461"/>
      </w:pPr>
      <w:hyperlink w:anchor="_qbtyoq">
        <w:r>
          <w:rPr>
            <w:color w:val="0000FF"/>
            <w:sz w:val="23"/>
            <w:szCs w:val="23"/>
            <w:u w:val="single"/>
          </w:rPr>
          <w:t>9.1 Multi-Year Programmatic Proposal</w:t>
        </w:r>
      </w:hyperlink>
      <w:hyperlink w:anchor="_qbtyoq">
        <w:r>
          <w:rPr>
            <w:sz w:val="23"/>
            <w:szCs w:val="23"/>
          </w:rPr>
          <w:tab/>
        </w:r>
      </w:hyperlink>
    </w:p>
    <w:p w14:paraId="4DFC25D1" w14:textId="77777777" w:rsidR="00DB4AC9" w:rsidRDefault="00DB4AC9" w:rsidP="00DB4AC9">
      <w:pPr>
        <w:widowControl w:val="0"/>
        <w:tabs>
          <w:tab w:val="right" w:pos="9360"/>
        </w:tabs>
        <w:ind w:left="461"/>
      </w:pPr>
      <w:hyperlink w:anchor="_3abhhcj">
        <w:r>
          <w:rPr>
            <w:color w:val="0000FF"/>
            <w:sz w:val="23"/>
            <w:szCs w:val="23"/>
            <w:u w:val="single"/>
          </w:rPr>
          <w:t>9.2 Annual Funding Proposal</w:t>
        </w:r>
      </w:hyperlink>
      <w:hyperlink w:anchor="_3abhhcj">
        <w:r>
          <w:rPr>
            <w:sz w:val="23"/>
            <w:szCs w:val="23"/>
          </w:rPr>
          <w:tab/>
        </w:r>
      </w:hyperlink>
    </w:p>
    <w:p w14:paraId="5D43ADC6" w14:textId="77777777" w:rsidR="00DB4AC9" w:rsidRDefault="00DB4AC9" w:rsidP="00DB4AC9">
      <w:pPr>
        <w:widowControl w:val="0"/>
        <w:tabs>
          <w:tab w:val="right" w:pos="9360"/>
        </w:tabs>
        <w:ind w:left="461"/>
      </w:pPr>
      <w:hyperlink w:anchor="_1pgrrkc">
        <w:r>
          <w:rPr>
            <w:color w:val="0000FF"/>
            <w:sz w:val="23"/>
            <w:szCs w:val="23"/>
            <w:u w:val="single"/>
          </w:rPr>
          <w:t>9.3 Proposal Review</w:t>
        </w:r>
      </w:hyperlink>
      <w:hyperlink w:anchor="_1pgrrkc">
        <w:r>
          <w:rPr>
            <w:sz w:val="23"/>
            <w:szCs w:val="23"/>
          </w:rPr>
          <w:tab/>
        </w:r>
      </w:hyperlink>
    </w:p>
    <w:p w14:paraId="086E5F86" w14:textId="77777777" w:rsidR="00DB4AC9" w:rsidRDefault="00DB4AC9" w:rsidP="00DB4AC9">
      <w:pPr>
        <w:widowControl w:val="0"/>
        <w:tabs>
          <w:tab w:val="right" w:pos="9360"/>
        </w:tabs>
        <w:ind w:left="461"/>
      </w:pPr>
    </w:p>
    <w:p w14:paraId="0D533BF3" w14:textId="77777777" w:rsidR="00DB4AC9" w:rsidRDefault="00DB4AC9" w:rsidP="00DB4AC9">
      <w:pPr>
        <w:widowControl w:val="0"/>
        <w:tabs>
          <w:tab w:val="right" w:pos="9360"/>
        </w:tabs>
        <w:spacing w:before="100" w:after="60"/>
        <w:ind w:left="230"/>
      </w:pPr>
      <w:hyperlink w:anchor="_49gfa85">
        <w:r>
          <w:rPr>
            <w:smallCaps/>
            <w:color w:val="0000FF"/>
            <w:sz w:val="23"/>
            <w:szCs w:val="23"/>
            <w:u w:val="single"/>
          </w:rPr>
          <w:t>10.0 Database Management</w:t>
        </w:r>
      </w:hyperlink>
      <w:hyperlink w:anchor="_49gfa85">
        <w:r>
          <w:rPr>
            <w:sz w:val="23"/>
            <w:szCs w:val="23"/>
          </w:rPr>
          <w:tab/>
        </w:r>
      </w:hyperlink>
    </w:p>
    <w:p w14:paraId="4D2F8975" w14:textId="77777777" w:rsidR="00DB4AC9" w:rsidRDefault="00DB4AC9" w:rsidP="00DB4AC9">
      <w:pPr>
        <w:widowControl w:val="0"/>
        <w:tabs>
          <w:tab w:val="right" w:pos="9360"/>
        </w:tabs>
        <w:ind w:left="461"/>
      </w:pPr>
      <w:hyperlink w:anchor="_2olpkfy">
        <w:r>
          <w:rPr>
            <w:color w:val="0000FF"/>
            <w:sz w:val="23"/>
            <w:szCs w:val="23"/>
            <w:u w:val="single"/>
          </w:rPr>
          <w:t>10.1 Quarterly Data Entry Deadlines</w:t>
        </w:r>
      </w:hyperlink>
      <w:hyperlink w:anchor="_2olpkfy">
        <w:r>
          <w:rPr>
            <w:sz w:val="23"/>
            <w:szCs w:val="23"/>
          </w:rPr>
          <w:tab/>
        </w:r>
      </w:hyperlink>
    </w:p>
    <w:p w14:paraId="33B91F7A" w14:textId="77777777" w:rsidR="00DB4AC9" w:rsidRDefault="00DB4AC9" w:rsidP="00DB4AC9">
      <w:pPr>
        <w:widowControl w:val="0"/>
        <w:tabs>
          <w:tab w:val="right" w:pos="9360"/>
        </w:tabs>
        <w:ind w:left="461"/>
      </w:pPr>
      <w:hyperlink w:anchor="_13qzunr">
        <w:r>
          <w:rPr>
            <w:color w:val="0000FF"/>
            <w:sz w:val="23"/>
            <w:szCs w:val="23"/>
            <w:u w:val="single"/>
          </w:rPr>
          <w:t>10.2 Entry of New Clients</w:t>
        </w:r>
      </w:hyperlink>
      <w:hyperlink w:anchor="_13qzunr">
        <w:r>
          <w:rPr>
            <w:sz w:val="23"/>
            <w:szCs w:val="23"/>
          </w:rPr>
          <w:tab/>
        </w:r>
      </w:hyperlink>
    </w:p>
    <w:p w14:paraId="5FF95A38" w14:textId="77777777" w:rsidR="00DB4AC9" w:rsidRDefault="00DB4AC9" w:rsidP="00DB4AC9">
      <w:pPr>
        <w:widowControl w:val="0"/>
        <w:tabs>
          <w:tab w:val="right" w:pos="9360"/>
        </w:tabs>
        <w:ind w:left="461"/>
      </w:pPr>
      <w:hyperlink w:anchor="_4ekz59m">
        <w:r>
          <w:rPr>
            <w:color w:val="0000FF"/>
            <w:sz w:val="23"/>
            <w:szCs w:val="23"/>
            <w:u w:val="single"/>
          </w:rPr>
          <w:t>10.3 Consulting Session Entry</w:t>
        </w:r>
      </w:hyperlink>
      <w:hyperlink w:anchor="_4ekz59m">
        <w:r>
          <w:rPr>
            <w:sz w:val="23"/>
            <w:szCs w:val="23"/>
          </w:rPr>
          <w:tab/>
        </w:r>
      </w:hyperlink>
    </w:p>
    <w:p w14:paraId="7C06FA72" w14:textId="77777777" w:rsidR="00DB4AC9" w:rsidRDefault="00DB4AC9" w:rsidP="00DB4AC9">
      <w:pPr>
        <w:widowControl w:val="0"/>
        <w:tabs>
          <w:tab w:val="right" w:pos="9360"/>
        </w:tabs>
        <w:ind w:left="461"/>
      </w:pPr>
      <w:hyperlink w:anchor="_n5rssn">
        <w:r>
          <w:rPr>
            <w:color w:val="0000FF"/>
            <w:sz w:val="23"/>
            <w:szCs w:val="23"/>
            <w:u w:val="single"/>
          </w:rPr>
          <w:t>10.4 Entry of Investments</w:t>
        </w:r>
      </w:hyperlink>
      <w:hyperlink w:anchor="_n5rssn">
        <w:r>
          <w:rPr>
            <w:sz w:val="23"/>
            <w:szCs w:val="23"/>
          </w:rPr>
          <w:tab/>
        </w:r>
      </w:hyperlink>
    </w:p>
    <w:p w14:paraId="32C2DB08" w14:textId="77777777" w:rsidR="00DB4AC9" w:rsidRDefault="00DB4AC9" w:rsidP="00DB4AC9">
      <w:pPr>
        <w:widowControl w:val="0"/>
        <w:tabs>
          <w:tab w:val="right" w:pos="9360"/>
        </w:tabs>
        <w:ind w:left="461"/>
      </w:pPr>
      <w:hyperlink w:anchor="_1maplo9">
        <w:r>
          <w:rPr>
            <w:color w:val="0000FF"/>
            <w:sz w:val="23"/>
            <w:szCs w:val="23"/>
            <w:u w:val="single"/>
          </w:rPr>
          <w:t>10.5 Entry of Conferences</w:t>
        </w:r>
      </w:hyperlink>
      <w:hyperlink w:anchor="_1maplo9">
        <w:r>
          <w:rPr>
            <w:sz w:val="23"/>
            <w:szCs w:val="23"/>
          </w:rPr>
          <w:tab/>
        </w:r>
      </w:hyperlink>
    </w:p>
    <w:p w14:paraId="78597FDE" w14:textId="77777777" w:rsidR="00DB4AC9" w:rsidRDefault="00DB4AC9" w:rsidP="00DB4AC9">
      <w:pPr>
        <w:widowControl w:val="0"/>
        <w:tabs>
          <w:tab w:val="right" w:pos="9360"/>
        </w:tabs>
        <w:ind w:left="461"/>
      </w:pPr>
      <w:hyperlink w:anchor="_sabnu4">
        <w:r>
          <w:rPr>
            <w:color w:val="0000FF"/>
            <w:sz w:val="23"/>
            <w:szCs w:val="23"/>
            <w:u w:val="single"/>
          </w:rPr>
          <w:t>10.6 eCenter Consulting Request</w:t>
        </w:r>
      </w:hyperlink>
      <w:hyperlink w:anchor="_sabnu4">
        <w:r>
          <w:rPr>
            <w:sz w:val="23"/>
            <w:szCs w:val="23"/>
          </w:rPr>
          <w:tab/>
        </w:r>
      </w:hyperlink>
    </w:p>
    <w:p w14:paraId="2C5AF9AA" w14:textId="59F20F9B" w:rsidR="00DB4AC9" w:rsidRDefault="00DB4AC9" w:rsidP="00DB4AC9">
      <w:pPr>
        <w:widowControl w:val="0"/>
        <w:tabs>
          <w:tab w:val="right" w:pos="9360"/>
        </w:tabs>
        <w:ind w:left="461"/>
      </w:pPr>
      <w:hyperlink w:anchor="_1rf9gpq">
        <w:r>
          <w:rPr>
            <w:color w:val="0000FF"/>
            <w:sz w:val="23"/>
            <w:szCs w:val="23"/>
            <w:u w:val="single"/>
          </w:rPr>
          <w:t>10.</w:t>
        </w:r>
        <w:r w:rsidR="001D169E">
          <w:rPr>
            <w:color w:val="0000FF"/>
            <w:sz w:val="23"/>
            <w:szCs w:val="23"/>
            <w:u w:val="single"/>
          </w:rPr>
          <w:t>7</w:t>
        </w:r>
        <w:r>
          <w:rPr>
            <w:color w:val="0000FF"/>
            <w:sz w:val="23"/>
            <w:szCs w:val="23"/>
            <w:u w:val="single"/>
          </w:rPr>
          <w:t xml:space="preserve"> Database Clean-Up</w:t>
        </w:r>
      </w:hyperlink>
      <w:hyperlink w:anchor="_1rf9gpq">
        <w:r>
          <w:rPr>
            <w:sz w:val="23"/>
            <w:szCs w:val="23"/>
          </w:rPr>
          <w:tab/>
        </w:r>
      </w:hyperlink>
    </w:p>
    <w:p w14:paraId="3928B2A5" w14:textId="77777777" w:rsidR="00DB4AC9" w:rsidRDefault="00DB4AC9" w:rsidP="00DB4AC9">
      <w:pPr>
        <w:widowControl w:val="0"/>
        <w:tabs>
          <w:tab w:val="right" w:pos="9350"/>
        </w:tabs>
        <w:spacing w:after="300"/>
        <w:jc w:val="center"/>
      </w:pPr>
      <w:hyperlink w:anchor="_15phjt5">
        <w:r>
          <w:rPr>
            <w:b/>
            <w:smallCaps/>
            <w:color w:val="0000FF"/>
            <w:sz w:val="32"/>
            <w:szCs w:val="32"/>
            <w:u w:val="single"/>
          </w:rPr>
          <w:t>Appendix 1 – Core Competency</w:t>
        </w:r>
      </w:hyperlink>
      <w:hyperlink w:anchor="_15phjt5">
        <w:r>
          <w:rPr>
            <w:b/>
            <w:smallCaps/>
            <w:sz w:val="32"/>
            <w:szCs w:val="32"/>
          </w:rPr>
          <w:tab/>
        </w:r>
      </w:hyperlink>
    </w:p>
    <w:p w14:paraId="695A2D25" w14:textId="5B315406" w:rsidR="00DB4AC9" w:rsidRDefault="00DB4AC9" w:rsidP="00DB4AC9">
      <w:pPr>
        <w:widowControl w:val="0"/>
        <w:tabs>
          <w:tab w:val="right" w:pos="9350"/>
        </w:tabs>
        <w:spacing w:after="300"/>
        <w:jc w:val="center"/>
      </w:pPr>
      <w:hyperlink w:anchor="_3pp52gy">
        <w:r>
          <w:rPr>
            <w:b/>
            <w:smallCaps/>
            <w:color w:val="0000FF"/>
            <w:sz w:val="32"/>
            <w:szCs w:val="32"/>
            <w:u w:val="single"/>
          </w:rPr>
          <w:t>Appendix 2 – Neoserra Manual</w:t>
        </w:r>
      </w:hyperlink>
      <w:r w:rsidR="0039047C">
        <w:rPr>
          <w:b/>
          <w:smallCaps/>
          <w:color w:val="0000FF"/>
          <w:sz w:val="32"/>
          <w:szCs w:val="32"/>
          <w:u w:val="single"/>
        </w:rPr>
        <w:t xml:space="preserve"> </w:t>
      </w:r>
      <w:r w:rsidR="0039047C" w:rsidRPr="0039047C">
        <w:rPr>
          <w:bCs/>
          <w:i/>
          <w:iCs/>
          <w:smallCaps/>
          <w:color w:val="00B050"/>
          <w:sz w:val="32"/>
          <w:szCs w:val="32"/>
        </w:rPr>
        <w:t>– Under Revision</w:t>
      </w:r>
      <w:hyperlink w:anchor="_3pp52gy">
        <w:r>
          <w:rPr>
            <w:b/>
            <w:smallCaps/>
            <w:sz w:val="32"/>
            <w:szCs w:val="32"/>
          </w:rPr>
          <w:tab/>
        </w:r>
      </w:hyperlink>
    </w:p>
    <w:p w14:paraId="4382D00A" w14:textId="5C494EE9" w:rsidR="00DB4AC9" w:rsidRDefault="00DB4AC9" w:rsidP="00DB4AC9">
      <w:pPr>
        <w:widowControl w:val="0"/>
        <w:tabs>
          <w:tab w:val="right" w:pos="9350"/>
        </w:tabs>
        <w:spacing w:after="300"/>
        <w:jc w:val="center"/>
      </w:pPr>
      <w:hyperlink w:anchor="_24ufcor">
        <w:r>
          <w:rPr>
            <w:b/>
            <w:smallCaps/>
            <w:color w:val="0000FF"/>
            <w:sz w:val="32"/>
            <w:szCs w:val="32"/>
            <w:u w:val="single"/>
          </w:rPr>
          <w:t>Neoserra Basics</w:t>
        </w:r>
      </w:hyperlink>
      <w:r w:rsidR="0039047C">
        <w:rPr>
          <w:b/>
          <w:smallCaps/>
          <w:color w:val="0000FF"/>
          <w:sz w:val="32"/>
          <w:szCs w:val="32"/>
          <w:u w:val="single"/>
        </w:rPr>
        <w:t xml:space="preserve"> </w:t>
      </w:r>
      <w:r w:rsidR="0039047C" w:rsidRPr="0039047C">
        <w:rPr>
          <w:bCs/>
          <w:i/>
          <w:iCs/>
          <w:smallCaps/>
          <w:color w:val="00B050"/>
          <w:sz w:val="32"/>
          <w:szCs w:val="32"/>
        </w:rPr>
        <w:t>– Under Revision</w:t>
      </w:r>
      <w:hyperlink w:anchor="_24ufcor">
        <w:r>
          <w:rPr>
            <w:b/>
            <w:smallCaps/>
            <w:sz w:val="32"/>
            <w:szCs w:val="32"/>
          </w:rPr>
          <w:tab/>
        </w:r>
      </w:hyperlink>
    </w:p>
    <w:p w14:paraId="0C73E32E" w14:textId="77777777" w:rsidR="00DB4AC9" w:rsidRDefault="00DB4AC9" w:rsidP="00DB4AC9">
      <w:pPr>
        <w:widowControl w:val="0"/>
        <w:tabs>
          <w:tab w:val="right" w:pos="9360"/>
        </w:tabs>
        <w:spacing w:before="100" w:after="60"/>
        <w:ind w:left="230"/>
      </w:pPr>
      <w:hyperlink w:anchor="_jzpmwk">
        <w:r>
          <w:rPr>
            <w:b/>
            <w:color w:val="0000FF"/>
            <w:sz w:val="23"/>
            <w:szCs w:val="23"/>
            <w:u w:val="single"/>
          </w:rPr>
          <w:t>About Neoserra</w:t>
        </w:r>
      </w:hyperlink>
      <w:hyperlink w:anchor="_jzpmwk">
        <w:r>
          <w:rPr>
            <w:sz w:val="23"/>
            <w:szCs w:val="23"/>
          </w:rPr>
          <w:tab/>
        </w:r>
      </w:hyperlink>
    </w:p>
    <w:p w14:paraId="54DF237E" w14:textId="77777777" w:rsidR="00DB4AC9" w:rsidRDefault="00DB4AC9" w:rsidP="00DB4AC9">
      <w:pPr>
        <w:widowControl w:val="0"/>
        <w:tabs>
          <w:tab w:val="right" w:pos="9360"/>
        </w:tabs>
        <w:spacing w:before="100" w:after="60"/>
        <w:ind w:left="230"/>
      </w:pPr>
      <w:hyperlink w:anchor="_33zd5kd">
        <w:r>
          <w:rPr>
            <w:b/>
            <w:color w:val="0000FF"/>
            <w:sz w:val="23"/>
            <w:szCs w:val="23"/>
            <w:u w:val="single"/>
          </w:rPr>
          <w:t xml:space="preserve">Obtaining </w:t>
        </w:r>
        <w:proofErr w:type="gramStart"/>
        <w:r>
          <w:rPr>
            <w:b/>
            <w:color w:val="0000FF"/>
            <w:sz w:val="23"/>
            <w:szCs w:val="23"/>
            <w:u w:val="single"/>
          </w:rPr>
          <w:t>User-name</w:t>
        </w:r>
        <w:proofErr w:type="gramEnd"/>
        <w:r>
          <w:rPr>
            <w:b/>
            <w:color w:val="0000FF"/>
            <w:sz w:val="23"/>
            <w:szCs w:val="23"/>
            <w:u w:val="single"/>
          </w:rPr>
          <w:t xml:space="preserve"> and Password</w:t>
        </w:r>
      </w:hyperlink>
      <w:hyperlink w:anchor="_33zd5kd">
        <w:r>
          <w:rPr>
            <w:sz w:val="23"/>
            <w:szCs w:val="23"/>
          </w:rPr>
          <w:tab/>
        </w:r>
      </w:hyperlink>
    </w:p>
    <w:p w14:paraId="0F617311" w14:textId="77777777" w:rsidR="00DB4AC9" w:rsidRDefault="00DB4AC9" w:rsidP="00DB4AC9">
      <w:pPr>
        <w:widowControl w:val="0"/>
        <w:tabs>
          <w:tab w:val="right" w:pos="9360"/>
        </w:tabs>
        <w:spacing w:before="100" w:after="60"/>
        <w:ind w:left="230"/>
      </w:pPr>
      <w:hyperlink w:anchor="_1j4nfs6">
        <w:r>
          <w:rPr>
            <w:b/>
            <w:color w:val="0000FF"/>
            <w:sz w:val="23"/>
            <w:szCs w:val="23"/>
            <w:u w:val="single"/>
          </w:rPr>
          <w:t>User Permissions</w:t>
        </w:r>
      </w:hyperlink>
      <w:hyperlink w:anchor="_1j4nfs6">
        <w:r>
          <w:rPr>
            <w:sz w:val="23"/>
            <w:szCs w:val="23"/>
          </w:rPr>
          <w:tab/>
        </w:r>
      </w:hyperlink>
    </w:p>
    <w:p w14:paraId="288801EF" w14:textId="77777777" w:rsidR="00DB4AC9" w:rsidRDefault="00DB4AC9" w:rsidP="00DB4AC9">
      <w:pPr>
        <w:widowControl w:val="0"/>
        <w:tabs>
          <w:tab w:val="right" w:pos="9360"/>
        </w:tabs>
        <w:spacing w:before="100" w:after="60"/>
        <w:ind w:left="230"/>
      </w:pPr>
      <w:hyperlink w:anchor="_434ayfz">
        <w:r>
          <w:rPr>
            <w:b/>
            <w:color w:val="0000FF"/>
            <w:sz w:val="23"/>
            <w:szCs w:val="23"/>
            <w:u w:val="single"/>
          </w:rPr>
          <w:t>Changing Your Password and Account Preferences</w:t>
        </w:r>
      </w:hyperlink>
      <w:hyperlink w:anchor="_434ayfz">
        <w:r>
          <w:rPr>
            <w:sz w:val="23"/>
            <w:szCs w:val="23"/>
          </w:rPr>
          <w:tab/>
        </w:r>
      </w:hyperlink>
    </w:p>
    <w:p w14:paraId="04BEEE7E" w14:textId="77777777" w:rsidR="00DB4AC9" w:rsidRDefault="00DB4AC9" w:rsidP="00DB4AC9">
      <w:pPr>
        <w:widowControl w:val="0"/>
        <w:tabs>
          <w:tab w:val="right" w:pos="9360"/>
        </w:tabs>
        <w:spacing w:before="100" w:after="60"/>
        <w:ind w:left="230"/>
      </w:pPr>
      <w:hyperlink w:anchor="_2i9l8ns">
        <w:r>
          <w:rPr>
            <w:b/>
            <w:color w:val="0000FF"/>
            <w:sz w:val="23"/>
            <w:szCs w:val="23"/>
            <w:u w:val="single"/>
          </w:rPr>
          <w:t>Resetting Your Password</w:t>
        </w:r>
      </w:hyperlink>
      <w:hyperlink w:anchor="_2i9l8ns">
        <w:r>
          <w:rPr>
            <w:sz w:val="23"/>
            <w:szCs w:val="23"/>
          </w:rPr>
          <w:tab/>
        </w:r>
      </w:hyperlink>
    </w:p>
    <w:p w14:paraId="2BD001E2" w14:textId="77777777" w:rsidR="00DB4AC9" w:rsidRDefault="00DB4AC9" w:rsidP="00DB4AC9">
      <w:pPr>
        <w:widowControl w:val="0"/>
        <w:tabs>
          <w:tab w:val="right" w:pos="9360"/>
        </w:tabs>
        <w:spacing w:before="100" w:after="60"/>
        <w:ind w:left="230"/>
      </w:pPr>
      <w:hyperlink w:anchor="_xevivl">
        <w:r>
          <w:rPr>
            <w:b/>
            <w:color w:val="0000FF"/>
            <w:sz w:val="23"/>
            <w:szCs w:val="23"/>
            <w:u w:val="single"/>
          </w:rPr>
          <w:t>Logging Off</w:t>
        </w:r>
      </w:hyperlink>
      <w:hyperlink w:anchor="_xevivl">
        <w:r>
          <w:rPr>
            <w:sz w:val="23"/>
            <w:szCs w:val="23"/>
          </w:rPr>
          <w:tab/>
        </w:r>
      </w:hyperlink>
    </w:p>
    <w:p w14:paraId="65E51816" w14:textId="77777777" w:rsidR="00DB4AC9" w:rsidRDefault="00DB4AC9" w:rsidP="00DB4AC9">
      <w:pPr>
        <w:widowControl w:val="0"/>
        <w:tabs>
          <w:tab w:val="right" w:pos="9350"/>
        </w:tabs>
        <w:spacing w:after="300"/>
        <w:jc w:val="center"/>
      </w:pPr>
      <w:hyperlink w:anchor="_3hej1je">
        <w:r>
          <w:rPr>
            <w:b/>
            <w:smallCaps/>
            <w:color w:val="0000FF"/>
            <w:sz w:val="32"/>
            <w:szCs w:val="32"/>
            <w:u w:val="single"/>
          </w:rPr>
          <w:t>eCenter</w:t>
        </w:r>
      </w:hyperlink>
      <w:hyperlink w:anchor="_3hej1je">
        <w:r>
          <w:rPr>
            <w:b/>
            <w:smallCaps/>
            <w:sz w:val="32"/>
            <w:szCs w:val="32"/>
          </w:rPr>
          <w:tab/>
        </w:r>
      </w:hyperlink>
    </w:p>
    <w:p w14:paraId="20D9EDCB" w14:textId="77777777" w:rsidR="00DB4AC9" w:rsidRDefault="00DB4AC9" w:rsidP="00DB4AC9">
      <w:pPr>
        <w:widowControl w:val="0"/>
        <w:tabs>
          <w:tab w:val="right" w:pos="9360"/>
        </w:tabs>
        <w:spacing w:before="100" w:after="60"/>
        <w:ind w:left="230"/>
      </w:pPr>
      <w:hyperlink w:anchor="_1wjtbr7">
        <w:r>
          <w:rPr>
            <w:b/>
            <w:color w:val="0000FF"/>
            <w:sz w:val="23"/>
            <w:szCs w:val="23"/>
            <w:u w:val="single"/>
          </w:rPr>
          <w:t>eCenter New Client Sign-up</w:t>
        </w:r>
      </w:hyperlink>
      <w:hyperlink w:anchor="_1wjtbr7">
        <w:r>
          <w:rPr>
            <w:sz w:val="23"/>
            <w:szCs w:val="23"/>
          </w:rPr>
          <w:tab/>
        </w:r>
      </w:hyperlink>
    </w:p>
    <w:p w14:paraId="63844A81" w14:textId="77777777" w:rsidR="00DB4AC9" w:rsidRDefault="00DB4AC9" w:rsidP="00DB4AC9">
      <w:pPr>
        <w:widowControl w:val="0"/>
        <w:tabs>
          <w:tab w:val="right" w:pos="9360"/>
        </w:tabs>
        <w:spacing w:before="100" w:after="60"/>
        <w:ind w:left="230"/>
      </w:pPr>
      <w:hyperlink w:anchor="_4gjguf0">
        <w:r>
          <w:rPr>
            <w:b/>
            <w:color w:val="0000FF"/>
            <w:sz w:val="23"/>
            <w:szCs w:val="23"/>
            <w:u w:val="single"/>
          </w:rPr>
          <w:t>Processing an eCenter Request</w:t>
        </w:r>
      </w:hyperlink>
      <w:hyperlink w:anchor="_4gjguf0">
        <w:r>
          <w:rPr>
            <w:sz w:val="23"/>
            <w:szCs w:val="23"/>
          </w:rPr>
          <w:tab/>
        </w:r>
      </w:hyperlink>
    </w:p>
    <w:p w14:paraId="652B14D2" w14:textId="77777777" w:rsidR="00DB4AC9" w:rsidRDefault="00DB4AC9" w:rsidP="00DB4AC9">
      <w:pPr>
        <w:widowControl w:val="0"/>
        <w:tabs>
          <w:tab w:val="right" w:pos="9350"/>
        </w:tabs>
        <w:spacing w:after="300"/>
        <w:jc w:val="center"/>
      </w:pPr>
      <w:hyperlink w:anchor="_2vor4mt">
        <w:r>
          <w:rPr>
            <w:b/>
            <w:smallCaps/>
            <w:color w:val="0000FF"/>
            <w:sz w:val="32"/>
            <w:szCs w:val="32"/>
            <w:u w:val="single"/>
          </w:rPr>
          <w:t>Searching for a Client Record</w:t>
        </w:r>
      </w:hyperlink>
      <w:hyperlink w:anchor="_2vor4mt">
        <w:r>
          <w:rPr>
            <w:b/>
            <w:smallCaps/>
            <w:sz w:val="32"/>
            <w:szCs w:val="32"/>
          </w:rPr>
          <w:tab/>
        </w:r>
      </w:hyperlink>
    </w:p>
    <w:p w14:paraId="40CAB3F3" w14:textId="77777777" w:rsidR="00DB4AC9" w:rsidRDefault="00DB4AC9" w:rsidP="00DB4AC9">
      <w:pPr>
        <w:widowControl w:val="0"/>
        <w:tabs>
          <w:tab w:val="right" w:pos="9360"/>
        </w:tabs>
        <w:spacing w:before="100" w:after="60"/>
        <w:ind w:left="230"/>
      </w:pPr>
      <w:hyperlink w:anchor="_1au1eum">
        <w:r>
          <w:rPr>
            <w:b/>
            <w:color w:val="0000FF"/>
            <w:sz w:val="23"/>
            <w:szCs w:val="23"/>
            <w:u w:val="single"/>
          </w:rPr>
          <w:t>Client Search</w:t>
        </w:r>
      </w:hyperlink>
      <w:hyperlink w:anchor="_1au1eum">
        <w:r>
          <w:rPr>
            <w:sz w:val="23"/>
            <w:szCs w:val="23"/>
          </w:rPr>
          <w:tab/>
        </w:r>
      </w:hyperlink>
    </w:p>
    <w:p w14:paraId="3B664E30" w14:textId="77777777" w:rsidR="00DB4AC9" w:rsidRDefault="00DB4AC9" w:rsidP="00DB4AC9">
      <w:pPr>
        <w:widowControl w:val="0"/>
        <w:tabs>
          <w:tab w:val="right" w:pos="9360"/>
        </w:tabs>
        <w:spacing w:before="100" w:after="60"/>
        <w:ind w:left="230"/>
      </w:pPr>
      <w:hyperlink w:anchor="_3utoxif">
        <w:r>
          <w:rPr>
            <w:b/>
            <w:color w:val="0000FF"/>
            <w:sz w:val="23"/>
            <w:szCs w:val="23"/>
            <w:u w:val="single"/>
          </w:rPr>
          <w:t>Client/Pre-client List</w:t>
        </w:r>
      </w:hyperlink>
      <w:hyperlink w:anchor="_3utoxif">
        <w:r>
          <w:rPr>
            <w:sz w:val="23"/>
            <w:szCs w:val="23"/>
          </w:rPr>
          <w:tab/>
        </w:r>
      </w:hyperlink>
    </w:p>
    <w:p w14:paraId="5ED26A44" w14:textId="77777777" w:rsidR="00DB4AC9" w:rsidRDefault="00DB4AC9" w:rsidP="00DB4AC9">
      <w:pPr>
        <w:widowControl w:val="0"/>
        <w:tabs>
          <w:tab w:val="right" w:pos="9350"/>
        </w:tabs>
        <w:spacing w:after="300"/>
        <w:jc w:val="center"/>
      </w:pPr>
      <w:hyperlink w:anchor="_29yz7q8">
        <w:r>
          <w:rPr>
            <w:b/>
            <w:smallCaps/>
            <w:color w:val="0000FF"/>
            <w:sz w:val="32"/>
            <w:szCs w:val="32"/>
            <w:u w:val="single"/>
          </w:rPr>
          <w:t>Client Details</w:t>
        </w:r>
      </w:hyperlink>
      <w:hyperlink w:anchor="_29yz7q8">
        <w:r>
          <w:rPr>
            <w:b/>
            <w:smallCaps/>
            <w:sz w:val="32"/>
            <w:szCs w:val="32"/>
          </w:rPr>
          <w:tab/>
        </w:r>
      </w:hyperlink>
    </w:p>
    <w:p w14:paraId="4943A2F2" w14:textId="77777777" w:rsidR="00DB4AC9" w:rsidRDefault="00DB4AC9" w:rsidP="00DB4AC9">
      <w:pPr>
        <w:widowControl w:val="0"/>
        <w:tabs>
          <w:tab w:val="right" w:pos="9350"/>
        </w:tabs>
        <w:spacing w:after="300"/>
        <w:jc w:val="center"/>
      </w:pPr>
      <w:hyperlink w:anchor="_p49hy1">
        <w:r>
          <w:rPr>
            <w:b/>
            <w:smallCaps/>
            <w:color w:val="0000FF"/>
            <w:sz w:val="32"/>
            <w:szCs w:val="32"/>
            <w:u w:val="single"/>
          </w:rPr>
          <w:t>Activity Records</w:t>
        </w:r>
      </w:hyperlink>
      <w:hyperlink w:anchor="_p49hy1">
        <w:r>
          <w:rPr>
            <w:b/>
            <w:smallCaps/>
            <w:sz w:val="32"/>
            <w:szCs w:val="32"/>
          </w:rPr>
          <w:tab/>
        </w:r>
      </w:hyperlink>
    </w:p>
    <w:p w14:paraId="42CEFB80" w14:textId="77777777" w:rsidR="00DB4AC9" w:rsidRDefault="00DB4AC9" w:rsidP="00DB4AC9">
      <w:pPr>
        <w:widowControl w:val="0"/>
        <w:tabs>
          <w:tab w:val="right" w:pos="9360"/>
        </w:tabs>
        <w:spacing w:before="100" w:after="60"/>
        <w:ind w:left="230"/>
      </w:pPr>
      <w:hyperlink w:anchor="_393x0lu">
        <w:r>
          <w:rPr>
            <w:b/>
            <w:color w:val="0000FF"/>
            <w:sz w:val="23"/>
            <w:szCs w:val="23"/>
            <w:u w:val="single"/>
          </w:rPr>
          <w:t>Adding an Activity (Consulting Sessions, Milestones, Capital Funding, and Awards)</w:t>
        </w:r>
      </w:hyperlink>
      <w:hyperlink w:anchor="_393x0lu">
        <w:r>
          <w:rPr>
            <w:sz w:val="23"/>
            <w:szCs w:val="23"/>
          </w:rPr>
          <w:tab/>
        </w:r>
      </w:hyperlink>
    </w:p>
    <w:p w14:paraId="19933252" w14:textId="77777777" w:rsidR="00DB4AC9" w:rsidRDefault="00DB4AC9" w:rsidP="00DB4AC9">
      <w:pPr>
        <w:widowControl w:val="0"/>
        <w:tabs>
          <w:tab w:val="right" w:pos="9360"/>
        </w:tabs>
        <w:spacing w:before="100" w:after="60"/>
        <w:ind w:left="230"/>
      </w:pPr>
      <w:hyperlink w:anchor="_1o97atn">
        <w:r>
          <w:rPr>
            <w:b/>
            <w:color w:val="0000FF"/>
            <w:sz w:val="23"/>
            <w:szCs w:val="23"/>
            <w:u w:val="single"/>
          </w:rPr>
          <w:t>Counseling/Consulting</w:t>
        </w:r>
      </w:hyperlink>
      <w:hyperlink w:anchor="_1o97atn">
        <w:r>
          <w:rPr>
            <w:sz w:val="23"/>
            <w:szCs w:val="23"/>
          </w:rPr>
          <w:tab/>
        </w:r>
      </w:hyperlink>
    </w:p>
    <w:p w14:paraId="3EFE3EF1" w14:textId="77777777" w:rsidR="00DB4AC9" w:rsidRDefault="00DB4AC9" w:rsidP="00DB4AC9">
      <w:pPr>
        <w:widowControl w:val="0"/>
        <w:tabs>
          <w:tab w:val="right" w:pos="9360"/>
        </w:tabs>
        <w:spacing w:before="100" w:after="60"/>
        <w:ind w:left="230"/>
      </w:pPr>
      <w:hyperlink w:anchor="_488uthg">
        <w:r>
          <w:rPr>
            <w:b/>
            <w:color w:val="0000FF"/>
            <w:sz w:val="23"/>
            <w:szCs w:val="23"/>
            <w:u w:val="single"/>
          </w:rPr>
          <w:t>Capital Funding (Investments)</w:t>
        </w:r>
      </w:hyperlink>
      <w:hyperlink w:anchor="_488uthg">
        <w:r>
          <w:rPr>
            <w:sz w:val="23"/>
            <w:szCs w:val="23"/>
          </w:rPr>
          <w:tab/>
        </w:r>
      </w:hyperlink>
    </w:p>
    <w:p w14:paraId="3AC18482" w14:textId="77777777" w:rsidR="00DB4AC9" w:rsidRDefault="00DB4AC9" w:rsidP="00DB4AC9">
      <w:pPr>
        <w:widowControl w:val="0"/>
        <w:tabs>
          <w:tab w:val="right" w:pos="9360"/>
        </w:tabs>
        <w:spacing w:before="100" w:after="60"/>
        <w:ind w:left="230"/>
      </w:pPr>
      <w:hyperlink w:anchor="_2ne53p9">
        <w:r>
          <w:rPr>
            <w:b/>
            <w:color w:val="0000FF"/>
            <w:sz w:val="23"/>
            <w:szCs w:val="23"/>
            <w:u w:val="single"/>
          </w:rPr>
          <w:t>Awards</w:t>
        </w:r>
      </w:hyperlink>
      <w:hyperlink w:anchor="_2ne53p9">
        <w:r>
          <w:rPr>
            <w:sz w:val="23"/>
            <w:szCs w:val="23"/>
          </w:rPr>
          <w:tab/>
        </w:r>
      </w:hyperlink>
    </w:p>
    <w:p w14:paraId="2D054AB7" w14:textId="77777777" w:rsidR="00DB4AC9" w:rsidRDefault="00DB4AC9" w:rsidP="00DB4AC9">
      <w:pPr>
        <w:widowControl w:val="0"/>
        <w:tabs>
          <w:tab w:val="right" w:pos="9360"/>
        </w:tabs>
        <w:spacing w:before="100" w:after="60"/>
        <w:ind w:left="230"/>
      </w:pPr>
      <w:hyperlink w:anchor="_12jfdx2">
        <w:r>
          <w:rPr>
            <w:b/>
            <w:color w:val="0000FF"/>
            <w:sz w:val="23"/>
            <w:szCs w:val="23"/>
            <w:u w:val="single"/>
          </w:rPr>
          <w:t>Milestones</w:t>
        </w:r>
      </w:hyperlink>
      <w:hyperlink w:anchor="_12jfdx2">
        <w:r>
          <w:rPr>
            <w:sz w:val="23"/>
            <w:szCs w:val="23"/>
          </w:rPr>
          <w:tab/>
        </w:r>
      </w:hyperlink>
    </w:p>
    <w:p w14:paraId="3F102001" w14:textId="77777777" w:rsidR="00DB4AC9" w:rsidRDefault="00DB4AC9" w:rsidP="00DB4AC9">
      <w:pPr>
        <w:widowControl w:val="0"/>
        <w:tabs>
          <w:tab w:val="right" w:pos="9350"/>
        </w:tabs>
        <w:spacing w:after="300"/>
        <w:jc w:val="center"/>
      </w:pPr>
      <w:hyperlink w:anchor="_3mj2wkv">
        <w:r>
          <w:rPr>
            <w:b/>
            <w:smallCaps/>
            <w:color w:val="0000FF"/>
            <w:sz w:val="32"/>
            <w:szCs w:val="32"/>
            <w:u w:val="single"/>
          </w:rPr>
          <w:t>Consultant Reports</w:t>
        </w:r>
      </w:hyperlink>
      <w:hyperlink w:anchor="_3mj2wkv">
        <w:r>
          <w:rPr>
            <w:b/>
            <w:smallCaps/>
            <w:sz w:val="32"/>
            <w:szCs w:val="32"/>
          </w:rPr>
          <w:tab/>
        </w:r>
      </w:hyperlink>
    </w:p>
    <w:p w14:paraId="68A891D0" w14:textId="77777777" w:rsidR="00DB4AC9" w:rsidRDefault="00DB4AC9" w:rsidP="00DB4AC9">
      <w:pPr>
        <w:widowControl w:val="0"/>
        <w:tabs>
          <w:tab w:val="right" w:pos="9350"/>
        </w:tabs>
        <w:spacing w:after="300"/>
        <w:jc w:val="center"/>
      </w:pPr>
      <w:hyperlink w:anchor="_21od6so">
        <w:r>
          <w:rPr>
            <w:b/>
            <w:smallCaps/>
            <w:color w:val="0000FF"/>
            <w:sz w:val="32"/>
            <w:szCs w:val="32"/>
            <w:u w:val="single"/>
          </w:rPr>
          <w:t>Field Charts</w:t>
        </w:r>
      </w:hyperlink>
      <w:hyperlink w:anchor="_21od6so">
        <w:r>
          <w:rPr>
            <w:b/>
            <w:smallCaps/>
            <w:sz w:val="32"/>
            <w:szCs w:val="32"/>
          </w:rPr>
          <w:tab/>
        </w:r>
      </w:hyperlink>
    </w:p>
    <w:p w14:paraId="25EED565" w14:textId="77777777" w:rsidR="00DB4AC9" w:rsidRDefault="00DB4AC9" w:rsidP="00DB4AC9">
      <w:pPr>
        <w:widowControl w:val="0"/>
        <w:tabs>
          <w:tab w:val="right" w:pos="9360"/>
        </w:tabs>
        <w:spacing w:before="100" w:after="60"/>
        <w:ind w:left="230"/>
      </w:pPr>
      <w:hyperlink w:anchor="_gtnh0h">
        <w:r>
          <w:rPr>
            <w:b/>
            <w:color w:val="0000FF"/>
            <w:sz w:val="23"/>
            <w:szCs w:val="23"/>
            <w:u w:val="single"/>
          </w:rPr>
          <w:t>Client Field Definitions</w:t>
        </w:r>
      </w:hyperlink>
      <w:hyperlink w:anchor="_gtnh0h">
        <w:r>
          <w:rPr>
            <w:sz w:val="23"/>
            <w:szCs w:val="23"/>
          </w:rPr>
          <w:tab/>
        </w:r>
      </w:hyperlink>
    </w:p>
    <w:p w14:paraId="567D4EB2" w14:textId="77777777" w:rsidR="00DB4AC9" w:rsidRDefault="00DB4AC9" w:rsidP="00DB4AC9">
      <w:pPr>
        <w:widowControl w:val="0"/>
        <w:tabs>
          <w:tab w:val="right" w:pos="9360"/>
        </w:tabs>
        <w:spacing w:before="100" w:after="60"/>
        <w:ind w:left="230"/>
      </w:pPr>
      <w:hyperlink w:anchor="_30tazoa">
        <w:r>
          <w:rPr>
            <w:b/>
            <w:color w:val="0000FF"/>
            <w:sz w:val="23"/>
            <w:szCs w:val="23"/>
            <w:u w:val="single"/>
          </w:rPr>
          <w:t>Counseling Session Field Definitions</w:t>
        </w:r>
      </w:hyperlink>
      <w:hyperlink w:anchor="_30tazoa">
        <w:r>
          <w:rPr>
            <w:sz w:val="23"/>
            <w:szCs w:val="23"/>
          </w:rPr>
          <w:tab/>
        </w:r>
      </w:hyperlink>
    </w:p>
    <w:p w14:paraId="2040D5B0" w14:textId="77777777" w:rsidR="00DB4AC9" w:rsidRDefault="00DB4AC9" w:rsidP="00DB4AC9">
      <w:pPr>
        <w:widowControl w:val="0"/>
        <w:tabs>
          <w:tab w:val="right" w:pos="9360"/>
        </w:tabs>
        <w:spacing w:before="100" w:after="60"/>
        <w:ind w:left="230"/>
      </w:pPr>
      <w:hyperlink w:anchor="_1fyl9w3">
        <w:r>
          <w:rPr>
            <w:b/>
            <w:color w:val="0000FF"/>
            <w:sz w:val="23"/>
            <w:szCs w:val="23"/>
            <w:u w:val="single"/>
          </w:rPr>
          <w:t>SBA Counseling Area Definitions</w:t>
        </w:r>
      </w:hyperlink>
      <w:hyperlink w:anchor="_1fyl9w3">
        <w:r>
          <w:rPr>
            <w:sz w:val="23"/>
            <w:szCs w:val="23"/>
          </w:rPr>
          <w:tab/>
        </w:r>
      </w:hyperlink>
    </w:p>
    <w:p w14:paraId="72527E4D" w14:textId="77777777" w:rsidR="00DB4AC9" w:rsidRDefault="00DB4AC9" w:rsidP="00DB4AC9">
      <w:pPr>
        <w:widowControl w:val="0"/>
        <w:tabs>
          <w:tab w:val="right" w:pos="9360"/>
        </w:tabs>
        <w:spacing w:before="100" w:after="60"/>
        <w:ind w:left="230"/>
      </w:pPr>
      <w:hyperlink w:anchor="_3zy8sjw">
        <w:r>
          <w:rPr>
            <w:b/>
            <w:color w:val="0000FF"/>
            <w:sz w:val="23"/>
            <w:szCs w:val="23"/>
            <w:u w:val="single"/>
          </w:rPr>
          <w:t>Capital Funding (Investment) Field Definitions</w:t>
        </w:r>
      </w:hyperlink>
      <w:hyperlink w:anchor="_3zy8sjw">
        <w:r>
          <w:rPr>
            <w:sz w:val="23"/>
            <w:szCs w:val="23"/>
          </w:rPr>
          <w:tab/>
        </w:r>
      </w:hyperlink>
    </w:p>
    <w:p w14:paraId="61C4471B" w14:textId="77777777" w:rsidR="00DB4AC9" w:rsidRDefault="00DB4AC9" w:rsidP="00DB4AC9">
      <w:pPr>
        <w:widowControl w:val="0"/>
        <w:tabs>
          <w:tab w:val="right" w:pos="9350"/>
        </w:tabs>
        <w:spacing w:after="300"/>
        <w:jc w:val="center"/>
      </w:pPr>
      <w:hyperlink w:anchor="_2f3j2rp">
        <w:r>
          <w:rPr>
            <w:b/>
            <w:smallCaps/>
            <w:color w:val="0000FF"/>
            <w:sz w:val="32"/>
            <w:szCs w:val="32"/>
            <w:u w:val="single"/>
          </w:rPr>
          <w:t>Examples of Client Narrative Write Ups</w:t>
        </w:r>
      </w:hyperlink>
      <w:hyperlink w:anchor="_2f3j2rp">
        <w:r>
          <w:rPr>
            <w:b/>
            <w:smallCaps/>
            <w:sz w:val="32"/>
            <w:szCs w:val="32"/>
          </w:rPr>
          <w:tab/>
        </w:r>
      </w:hyperlink>
    </w:p>
    <w:p w14:paraId="41E8CFD1" w14:textId="77777777" w:rsidR="00DB4AC9" w:rsidRDefault="00DB4AC9" w:rsidP="00DB4AC9">
      <w:pPr>
        <w:widowControl w:val="0"/>
        <w:tabs>
          <w:tab w:val="right" w:pos="9360"/>
        </w:tabs>
        <w:spacing w:before="100" w:after="60"/>
        <w:ind w:left="230"/>
      </w:pPr>
      <w:hyperlink w:anchor="_u8tczi">
        <w:r>
          <w:rPr>
            <w:b/>
            <w:color w:val="0000FF"/>
            <w:sz w:val="23"/>
            <w:szCs w:val="23"/>
            <w:u w:val="single"/>
          </w:rPr>
          <w:t>Example of Financial Assistance Counseling</w:t>
        </w:r>
      </w:hyperlink>
      <w:hyperlink w:anchor="_u8tczi">
        <w:r>
          <w:rPr>
            <w:sz w:val="23"/>
            <w:szCs w:val="23"/>
          </w:rPr>
          <w:tab/>
        </w:r>
      </w:hyperlink>
    </w:p>
    <w:p w14:paraId="1B796C2E" w14:textId="77777777" w:rsidR="00DB4AC9" w:rsidRDefault="00DB4AC9" w:rsidP="00DB4AC9">
      <w:pPr>
        <w:widowControl w:val="0"/>
        <w:tabs>
          <w:tab w:val="right" w:pos="9360"/>
        </w:tabs>
        <w:spacing w:before="100" w:after="60"/>
        <w:ind w:left="230"/>
      </w:pPr>
      <w:hyperlink w:anchor="_3e8gvnb">
        <w:r>
          <w:rPr>
            <w:b/>
            <w:color w:val="0000FF"/>
            <w:sz w:val="23"/>
            <w:szCs w:val="23"/>
            <w:u w:val="single"/>
          </w:rPr>
          <w:t>Example of Marketing Assistance Counseling</w:t>
        </w:r>
      </w:hyperlink>
      <w:hyperlink w:anchor="_3e8gvnb">
        <w:r>
          <w:rPr>
            <w:sz w:val="23"/>
            <w:szCs w:val="23"/>
          </w:rPr>
          <w:tab/>
        </w:r>
      </w:hyperlink>
    </w:p>
    <w:p w14:paraId="1C37DFBA" w14:textId="77777777" w:rsidR="00DB4AC9" w:rsidRDefault="00DB4AC9" w:rsidP="00DB4AC9">
      <w:pPr>
        <w:widowControl w:val="0"/>
        <w:tabs>
          <w:tab w:val="right" w:pos="9360"/>
        </w:tabs>
        <w:spacing w:before="100" w:after="60"/>
        <w:ind w:left="230"/>
      </w:pPr>
      <w:hyperlink w:anchor="_1tdr5v4">
        <w:r>
          <w:rPr>
            <w:b/>
            <w:color w:val="0000FF"/>
            <w:sz w:val="23"/>
            <w:szCs w:val="23"/>
            <w:u w:val="single"/>
          </w:rPr>
          <w:t>Example of Business Start-Up Assistance Counseling</w:t>
        </w:r>
      </w:hyperlink>
      <w:hyperlink w:anchor="_1tdr5v4">
        <w:r>
          <w:rPr>
            <w:sz w:val="23"/>
            <w:szCs w:val="23"/>
          </w:rPr>
          <w:tab/>
        </w:r>
      </w:hyperlink>
    </w:p>
    <w:p w14:paraId="268EB332" w14:textId="39A45EC0" w:rsidR="00DB4AC9" w:rsidRDefault="00DB4AC9" w:rsidP="00DB4AC9">
      <w:pPr>
        <w:widowControl w:val="0"/>
        <w:tabs>
          <w:tab w:val="right" w:pos="9350"/>
        </w:tabs>
        <w:spacing w:after="300"/>
        <w:jc w:val="center"/>
      </w:pPr>
      <w:hyperlink w:anchor="_4ddeoix">
        <w:r>
          <w:rPr>
            <w:b/>
            <w:smallCaps/>
            <w:color w:val="0000FF"/>
            <w:sz w:val="32"/>
            <w:szCs w:val="32"/>
            <w:u w:val="single"/>
          </w:rPr>
          <w:t>Appendix 3 – Database Cleanup Manual</w:t>
        </w:r>
      </w:hyperlink>
      <w:r w:rsidR="0006707E">
        <w:rPr>
          <w:b/>
          <w:smallCaps/>
          <w:color w:val="0000FF"/>
          <w:sz w:val="32"/>
          <w:szCs w:val="32"/>
          <w:u w:val="single"/>
        </w:rPr>
        <w:t xml:space="preserve"> </w:t>
      </w:r>
      <w:r w:rsidR="0006707E" w:rsidRPr="0006707E">
        <w:rPr>
          <w:bCs/>
          <w:i/>
          <w:iCs/>
          <w:smallCaps/>
          <w:color w:val="00B050"/>
          <w:sz w:val="32"/>
          <w:szCs w:val="32"/>
        </w:rPr>
        <w:t>– Under Revision</w:t>
      </w:r>
      <w:hyperlink w:anchor="_4ddeoix">
        <w:r>
          <w:rPr>
            <w:b/>
            <w:smallCaps/>
            <w:sz w:val="32"/>
            <w:szCs w:val="32"/>
          </w:rPr>
          <w:tab/>
        </w:r>
      </w:hyperlink>
    </w:p>
    <w:p w14:paraId="4B7D49B9" w14:textId="77777777" w:rsidR="00DB4AC9" w:rsidRDefault="00DB4AC9" w:rsidP="00DB4AC9">
      <w:pPr>
        <w:widowControl w:val="0"/>
        <w:tabs>
          <w:tab w:val="right" w:pos="9350"/>
        </w:tabs>
        <w:spacing w:after="300"/>
        <w:jc w:val="center"/>
      </w:pPr>
      <w:hyperlink w:anchor="_2sioyqq">
        <w:r>
          <w:rPr>
            <w:rFonts w:ascii="Arial" w:eastAsia="Arial" w:hAnsi="Arial" w:cs="Arial"/>
            <w:b/>
            <w:smallCaps/>
            <w:color w:val="0000FF"/>
            <w:sz w:val="32"/>
            <w:szCs w:val="32"/>
            <w:u w:val="single"/>
          </w:rPr>
          <w:t>YEAR-END REVIEW AND DATABASE CLEAN-UP</w:t>
        </w:r>
      </w:hyperlink>
      <w:hyperlink w:anchor="_2sioyqq">
        <w:r>
          <w:rPr>
            <w:b/>
            <w:smallCaps/>
            <w:sz w:val="32"/>
            <w:szCs w:val="32"/>
          </w:rPr>
          <w:tab/>
        </w:r>
      </w:hyperlink>
    </w:p>
    <w:p w14:paraId="20821FC4" w14:textId="77777777" w:rsidR="00DB4AC9" w:rsidRDefault="00DB4AC9" w:rsidP="00DB4AC9">
      <w:pPr>
        <w:widowControl w:val="0"/>
        <w:tabs>
          <w:tab w:val="right" w:pos="9350"/>
        </w:tabs>
        <w:spacing w:after="300"/>
        <w:jc w:val="center"/>
      </w:pPr>
      <w:hyperlink w:anchor="_17nz8yj">
        <w:r>
          <w:rPr>
            <w:rFonts w:ascii="Arial" w:eastAsia="Arial" w:hAnsi="Arial" w:cs="Arial"/>
            <w:b/>
            <w:smallCaps/>
            <w:color w:val="0000FF"/>
            <w:sz w:val="32"/>
            <w:szCs w:val="32"/>
            <w:u w:val="single"/>
          </w:rPr>
          <w:t>HOW TO USE THIS MANUAL</w:t>
        </w:r>
      </w:hyperlink>
      <w:hyperlink w:anchor="_17nz8yj">
        <w:r>
          <w:rPr>
            <w:b/>
            <w:smallCaps/>
            <w:sz w:val="32"/>
            <w:szCs w:val="32"/>
          </w:rPr>
          <w:tab/>
        </w:r>
      </w:hyperlink>
    </w:p>
    <w:p w14:paraId="3B0968B6" w14:textId="77777777" w:rsidR="00DB4AC9" w:rsidRDefault="00DB4AC9" w:rsidP="00DB4AC9">
      <w:pPr>
        <w:widowControl w:val="0"/>
        <w:tabs>
          <w:tab w:val="right" w:pos="9350"/>
        </w:tabs>
        <w:spacing w:after="300"/>
        <w:jc w:val="center"/>
      </w:pPr>
      <w:hyperlink w:anchor="_3rnmrmc">
        <w:r>
          <w:rPr>
            <w:rFonts w:ascii="Arial" w:eastAsia="Arial" w:hAnsi="Arial" w:cs="Arial"/>
            <w:b/>
            <w:smallCaps/>
            <w:color w:val="0000FF"/>
            <w:sz w:val="32"/>
            <w:szCs w:val="32"/>
            <w:u w:val="single"/>
          </w:rPr>
          <w:t>NOTE TO LEAD OFFICE</w:t>
        </w:r>
      </w:hyperlink>
      <w:hyperlink w:anchor="_3rnmrmc">
        <w:r>
          <w:rPr>
            <w:b/>
            <w:smallCaps/>
            <w:sz w:val="32"/>
            <w:szCs w:val="32"/>
          </w:rPr>
          <w:tab/>
        </w:r>
      </w:hyperlink>
    </w:p>
    <w:p w14:paraId="7302E508" w14:textId="77777777" w:rsidR="00DB4AC9" w:rsidRDefault="00DB4AC9" w:rsidP="00DB4AC9">
      <w:pPr>
        <w:widowControl w:val="0"/>
        <w:tabs>
          <w:tab w:val="right" w:pos="9350"/>
        </w:tabs>
        <w:spacing w:after="300"/>
        <w:jc w:val="center"/>
      </w:pPr>
      <w:hyperlink w:anchor="_26sx1u5">
        <w:r>
          <w:rPr>
            <w:rFonts w:ascii="Arial" w:eastAsia="Arial" w:hAnsi="Arial" w:cs="Arial"/>
            <w:b/>
            <w:smallCaps/>
            <w:color w:val="0000FF"/>
            <w:sz w:val="32"/>
            <w:szCs w:val="32"/>
            <w:u w:val="single"/>
          </w:rPr>
          <w:t>KEY CLIENT DETAIL DATA REVIEW</w:t>
        </w:r>
      </w:hyperlink>
      <w:hyperlink w:anchor="_26sx1u5">
        <w:r>
          <w:rPr>
            <w:b/>
            <w:smallCaps/>
            <w:sz w:val="32"/>
            <w:szCs w:val="32"/>
          </w:rPr>
          <w:tab/>
        </w:r>
      </w:hyperlink>
    </w:p>
    <w:p w14:paraId="511958B8" w14:textId="77777777" w:rsidR="00DB4AC9" w:rsidRDefault="00DB4AC9" w:rsidP="00DB4AC9">
      <w:pPr>
        <w:widowControl w:val="0"/>
        <w:tabs>
          <w:tab w:val="right" w:pos="9360"/>
        </w:tabs>
        <w:spacing w:before="100" w:after="60"/>
        <w:ind w:left="230"/>
      </w:pPr>
      <w:hyperlink w:anchor="_ly7c1y">
        <w:r>
          <w:rPr>
            <w:rFonts w:ascii="Arial" w:eastAsia="Arial" w:hAnsi="Arial" w:cs="Arial"/>
            <w:b/>
            <w:i/>
            <w:color w:val="0000FF"/>
            <w:sz w:val="23"/>
            <w:szCs w:val="23"/>
            <w:u w:val="single"/>
          </w:rPr>
          <w:t>1. Company Status</w:t>
        </w:r>
      </w:hyperlink>
      <w:hyperlink w:anchor="_ly7c1y">
        <w:r>
          <w:rPr>
            <w:sz w:val="23"/>
            <w:szCs w:val="23"/>
          </w:rPr>
          <w:tab/>
        </w:r>
      </w:hyperlink>
    </w:p>
    <w:p w14:paraId="546D6B93" w14:textId="77777777" w:rsidR="00DB4AC9" w:rsidRDefault="00DB4AC9" w:rsidP="00DB4AC9">
      <w:pPr>
        <w:widowControl w:val="0"/>
        <w:tabs>
          <w:tab w:val="right" w:pos="9360"/>
        </w:tabs>
        <w:spacing w:before="100" w:after="60"/>
        <w:ind w:left="230"/>
      </w:pPr>
      <w:hyperlink w:anchor="_35xuupr">
        <w:r>
          <w:rPr>
            <w:rFonts w:ascii="Arial" w:eastAsia="Arial" w:hAnsi="Arial" w:cs="Arial"/>
            <w:b/>
            <w:i/>
            <w:color w:val="0000FF"/>
            <w:sz w:val="23"/>
            <w:szCs w:val="23"/>
            <w:u w:val="single"/>
          </w:rPr>
          <w:t>2. Business Type</w:t>
        </w:r>
      </w:hyperlink>
      <w:hyperlink w:anchor="_35xuupr">
        <w:r>
          <w:rPr>
            <w:sz w:val="23"/>
            <w:szCs w:val="23"/>
          </w:rPr>
          <w:tab/>
        </w:r>
      </w:hyperlink>
    </w:p>
    <w:p w14:paraId="04C4D35A" w14:textId="77777777" w:rsidR="00DB4AC9" w:rsidRDefault="00DB4AC9" w:rsidP="00DB4AC9">
      <w:pPr>
        <w:widowControl w:val="0"/>
        <w:tabs>
          <w:tab w:val="right" w:pos="9360"/>
        </w:tabs>
        <w:spacing w:before="100" w:after="60"/>
        <w:ind w:left="230"/>
      </w:pPr>
      <w:hyperlink w:anchor="_1l354xk">
        <w:r>
          <w:rPr>
            <w:rFonts w:ascii="Arial" w:eastAsia="Arial" w:hAnsi="Arial" w:cs="Arial"/>
            <w:b/>
            <w:i/>
            <w:color w:val="0000FF"/>
            <w:sz w:val="23"/>
            <w:szCs w:val="23"/>
            <w:u w:val="single"/>
          </w:rPr>
          <w:t>3. Organization Type</w:t>
        </w:r>
      </w:hyperlink>
      <w:hyperlink w:anchor="_1l354xk">
        <w:r>
          <w:rPr>
            <w:sz w:val="23"/>
            <w:szCs w:val="23"/>
          </w:rPr>
          <w:tab/>
        </w:r>
      </w:hyperlink>
    </w:p>
    <w:p w14:paraId="0DECDB38" w14:textId="77777777" w:rsidR="00DB4AC9" w:rsidRDefault="00DB4AC9" w:rsidP="00DB4AC9">
      <w:pPr>
        <w:widowControl w:val="0"/>
        <w:tabs>
          <w:tab w:val="right" w:pos="9360"/>
        </w:tabs>
        <w:spacing w:before="100" w:after="60"/>
        <w:ind w:left="230"/>
      </w:pPr>
      <w:hyperlink w:anchor="_452snld">
        <w:r>
          <w:rPr>
            <w:rFonts w:ascii="Arial" w:eastAsia="Arial" w:hAnsi="Arial" w:cs="Arial"/>
            <w:b/>
            <w:i/>
            <w:color w:val="0000FF"/>
            <w:sz w:val="23"/>
            <w:szCs w:val="23"/>
            <w:u w:val="single"/>
          </w:rPr>
          <w:t>4. Company Gender</w:t>
        </w:r>
      </w:hyperlink>
      <w:hyperlink w:anchor="_452snld">
        <w:r>
          <w:rPr>
            <w:sz w:val="23"/>
            <w:szCs w:val="23"/>
          </w:rPr>
          <w:tab/>
        </w:r>
      </w:hyperlink>
    </w:p>
    <w:p w14:paraId="52A2BDAC" w14:textId="77777777" w:rsidR="00DB4AC9" w:rsidRDefault="00DB4AC9" w:rsidP="00DB4AC9">
      <w:pPr>
        <w:widowControl w:val="0"/>
        <w:tabs>
          <w:tab w:val="right" w:pos="9360"/>
        </w:tabs>
        <w:spacing w:before="100" w:after="60"/>
        <w:ind w:left="230"/>
      </w:pPr>
      <w:hyperlink w:anchor="_2k82xt6">
        <w:r>
          <w:rPr>
            <w:rFonts w:ascii="Arial" w:eastAsia="Arial" w:hAnsi="Arial" w:cs="Arial"/>
            <w:b/>
            <w:i/>
            <w:color w:val="0000FF"/>
            <w:sz w:val="23"/>
            <w:szCs w:val="23"/>
            <w:u w:val="single"/>
          </w:rPr>
          <w:t>5. Company Veteran Status</w:t>
        </w:r>
      </w:hyperlink>
      <w:hyperlink w:anchor="_2k82xt6">
        <w:r>
          <w:rPr>
            <w:sz w:val="23"/>
            <w:szCs w:val="23"/>
          </w:rPr>
          <w:tab/>
        </w:r>
      </w:hyperlink>
    </w:p>
    <w:p w14:paraId="48535084" w14:textId="77777777" w:rsidR="00DB4AC9" w:rsidRDefault="00DB4AC9" w:rsidP="00DB4AC9">
      <w:pPr>
        <w:widowControl w:val="0"/>
        <w:tabs>
          <w:tab w:val="right" w:pos="9360"/>
        </w:tabs>
        <w:spacing w:before="100" w:after="60"/>
        <w:ind w:left="230"/>
      </w:pPr>
      <w:hyperlink w:anchor="_zdd80z">
        <w:r>
          <w:rPr>
            <w:rFonts w:ascii="Arial" w:eastAsia="Arial" w:hAnsi="Arial" w:cs="Arial"/>
            <w:b/>
            <w:i/>
            <w:color w:val="0000FF"/>
            <w:sz w:val="23"/>
            <w:szCs w:val="23"/>
            <w:u w:val="single"/>
          </w:rPr>
          <w:t>6. Disability Status</w:t>
        </w:r>
      </w:hyperlink>
      <w:hyperlink w:anchor="_zdd80z">
        <w:r>
          <w:rPr>
            <w:sz w:val="23"/>
            <w:szCs w:val="23"/>
          </w:rPr>
          <w:tab/>
        </w:r>
      </w:hyperlink>
    </w:p>
    <w:p w14:paraId="3F44BA69" w14:textId="77777777" w:rsidR="00DB4AC9" w:rsidRDefault="00DB4AC9" w:rsidP="00DB4AC9">
      <w:pPr>
        <w:widowControl w:val="0"/>
        <w:tabs>
          <w:tab w:val="right" w:pos="9360"/>
        </w:tabs>
        <w:spacing w:before="100" w:after="60"/>
        <w:ind w:left="230"/>
      </w:pPr>
      <w:hyperlink w:anchor="_3jd0qos">
        <w:r>
          <w:rPr>
            <w:rFonts w:ascii="Arial" w:eastAsia="Arial" w:hAnsi="Arial" w:cs="Arial"/>
            <w:b/>
            <w:i/>
            <w:color w:val="0000FF"/>
            <w:sz w:val="23"/>
            <w:szCs w:val="23"/>
            <w:u w:val="single"/>
          </w:rPr>
          <w:t>7. Company Race</w:t>
        </w:r>
      </w:hyperlink>
      <w:hyperlink w:anchor="_3jd0qos">
        <w:r>
          <w:rPr>
            <w:sz w:val="23"/>
            <w:szCs w:val="23"/>
          </w:rPr>
          <w:tab/>
        </w:r>
      </w:hyperlink>
    </w:p>
    <w:p w14:paraId="4AB01B8C" w14:textId="77777777" w:rsidR="00DB4AC9" w:rsidRDefault="00DB4AC9" w:rsidP="00DB4AC9">
      <w:pPr>
        <w:widowControl w:val="0"/>
        <w:tabs>
          <w:tab w:val="right" w:pos="9360"/>
        </w:tabs>
        <w:spacing w:before="100" w:after="60"/>
        <w:ind w:left="230"/>
      </w:pPr>
      <w:hyperlink w:anchor="_1yib0wl">
        <w:r>
          <w:rPr>
            <w:rFonts w:ascii="Arial" w:eastAsia="Arial" w:hAnsi="Arial" w:cs="Arial"/>
            <w:b/>
            <w:i/>
            <w:color w:val="0000FF"/>
            <w:sz w:val="23"/>
            <w:szCs w:val="23"/>
            <w:u w:val="single"/>
          </w:rPr>
          <w:t>8. Miscellaneous</w:t>
        </w:r>
      </w:hyperlink>
      <w:hyperlink w:anchor="_1yib0wl">
        <w:r>
          <w:rPr>
            <w:sz w:val="23"/>
            <w:szCs w:val="23"/>
          </w:rPr>
          <w:tab/>
        </w:r>
      </w:hyperlink>
    </w:p>
    <w:p w14:paraId="611D95AF" w14:textId="77777777" w:rsidR="00DB4AC9" w:rsidRDefault="00DB4AC9" w:rsidP="00DB4AC9">
      <w:pPr>
        <w:widowControl w:val="0"/>
        <w:tabs>
          <w:tab w:val="right" w:pos="9360"/>
        </w:tabs>
        <w:spacing w:before="100" w:after="60"/>
        <w:ind w:left="230"/>
      </w:pPr>
      <w:hyperlink w:anchor="_4ihyjke">
        <w:r>
          <w:rPr>
            <w:rFonts w:ascii="Arial" w:eastAsia="Arial" w:hAnsi="Arial" w:cs="Arial"/>
            <w:b/>
            <w:i/>
            <w:color w:val="0000FF"/>
            <w:sz w:val="23"/>
            <w:szCs w:val="23"/>
            <w:u w:val="single"/>
          </w:rPr>
          <w:t>9. Company Federal and State Representative Districts</w:t>
        </w:r>
      </w:hyperlink>
      <w:hyperlink w:anchor="_4ihyjke">
        <w:r>
          <w:rPr>
            <w:sz w:val="23"/>
            <w:szCs w:val="23"/>
          </w:rPr>
          <w:tab/>
        </w:r>
      </w:hyperlink>
    </w:p>
    <w:p w14:paraId="470453E2" w14:textId="77777777" w:rsidR="00DB4AC9" w:rsidRDefault="00DB4AC9" w:rsidP="00DB4AC9">
      <w:pPr>
        <w:widowControl w:val="0"/>
        <w:tabs>
          <w:tab w:val="right" w:pos="9350"/>
        </w:tabs>
        <w:spacing w:after="300"/>
        <w:jc w:val="center"/>
      </w:pPr>
      <w:hyperlink w:anchor="_2xn8ts7">
        <w:r>
          <w:rPr>
            <w:rFonts w:ascii="Arial" w:eastAsia="Arial" w:hAnsi="Arial" w:cs="Arial"/>
            <w:b/>
            <w:smallCaps/>
            <w:color w:val="0000FF"/>
            <w:sz w:val="32"/>
            <w:szCs w:val="32"/>
            <w:u w:val="single"/>
          </w:rPr>
          <w:t>KEY COUNSELING SESSION FIELD REVIEW</w:t>
        </w:r>
      </w:hyperlink>
      <w:hyperlink w:anchor="_2xn8ts7">
        <w:r>
          <w:rPr>
            <w:b/>
            <w:smallCaps/>
            <w:sz w:val="32"/>
            <w:szCs w:val="32"/>
          </w:rPr>
          <w:tab/>
        </w:r>
      </w:hyperlink>
    </w:p>
    <w:p w14:paraId="0C12E1DE" w14:textId="77777777" w:rsidR="00DB4AC9" w:rsidRDefault="00DB4AC9" w:rsidP="00DB4AC9">
      <w:pPr>
        <w:widowControl w:val="0"/>
        <w:tabs>
          <w:tab w:val="right" w:pos="9360"/>
        </w:tabs>
        <w:spacing w:before="100" w:after="60"/>
        <w:ind w:left="230"/>
      </w:pPr>
      <w:hyperlink w:anchor="_1csj400">
        <w:r>
          <w:rPr>
            <w:rFonts w:ascii="Arial" w:eastAsia="Arial" w:hAnsi="Arial" w:cs="Arial"/>
            <w:b/>
            <w:i/>
            <w:color w:val="0000FF"/>
            <w:sz w:val="23"/>
            <w:szCs w:val="23"/>
            <w:u w:val="single"/>
          </w:rPr>
          <w:t>1. Funding Source</w:t>
        </w:r>
      </w:hyperlink>
      <w:hyperlink w:anchor="_1csj400">
        <w:r>
          <w:rPr>
            <w:sz w:val="23"/>
            <w:szCs w:val="23"/>
          </w:rPr>
          <w:tab/>
        </w:r>
      </w:hyperlink>
    </w:p>
    <w:p w14:paraId="4B6FB02E" w14:textId="77777777" w:rsidR="00DB4AC9" w:rsidRDefault="00DB4AC9" w:rsidP="00DB4AC9">
      <w:pPr>
        <w:widowControl w:val="0"/>
        <w:tabs>
          <w:tab w:val="right" w:pos="9360"/>
        </w:tabs>
        <w:spacing w:before="100" w:after="60"/>
        <w:ind w:left="230"/>
      </w:pPr>
      <w:hyperlink w:anchor="_3ws6mnt">
        <w:r>
          <w:rPr>
            <w:rFonts w:ascii="Arial" w:eastAsia="Arial" w:hAnsi="Arial" w:cs="Arial"/>
            <w:b/>
            <w:i/>
            <w:color w:val="0000FF"/>
            <w:sz w:val="23"/>
            <w:szCs w:val="23"/>
            <w:u w:val="single"/>
          </w:rPr>
          <w:t>2. Session Type</w:t>
        </w:r>
      </w:hyperlink>
      <w:hyperlink w:anchor="_3ws6mnt">
        <w:r>
          <w:rPr>
            <w:sz w:val="23"/>
            <w:szCs w:val="23"/>
          </w:rPr>
          <w:tab/>
        </w:r>
      </w:hyperlink>
    </w:p>
    <w:p w14:paraId="16C6A6D6" w14:textId="77777777" w:rsidR="00DB4AC9" w:rsidRDefault="00DB4AC9" w:rsidP="00DB4AC9">
      <w:pPr>
        <w:widowControl w:val="0"/>
        <w:tabs>
          <w:tab w:val="right" w:pos="9360"/>
        </w:tabs>
        <w:spacing w:before="100" w:after="60"/>
        <w:ind w:left="230"/>
      </w:pPr>
      <w:hyperlink w:anchor="_2bxgwvm">
        <w:r>
          <w:rPr>
            <w:rFonts w:ascii="Arial" w:eastAsia="Arial" w:hAnsi="Arial" w:cs="Arial"/>
            <w:b/>
            <w:i/>
            <w:color w:val="0000FF"/>
            <w:sz w:val="23"/>
            <w:szCs w:val="23"/>
            <w:u w:val="single"/>
          </w:rPr>
          <w:t>3. Reportable Status</w:t>
        </w:r>
      </w:hyperlink>
      <w:hyperlink w:anchor="_2bxgwvm">
        <w:r>
          <w:rPr>
            <w:sz w:val="23"/>
            <w:szCs w:val="23"/>
          </w:rPr>
          <w:tab/>
        </w:r>
      </w:hyperlink>
    </w:p>
    <w:p w14:paraId="5DFB1637" w14:textId="77777777" w:rsidR="00DB4AC9" w:rsidRDefault="00DB4AC9" w:rsidP="00DB4AC9">
      <w:pPr>
        <w:widowControl w:val="0"/>
        <w:tabs>
          <w:tab w:val="right" w:pos="9360"/>
        </w:tabs>
        <w:spacing w:before="100" w:after="60"/>
        <w:ind w:left="230"/>
      </w:pPr>
      <w:hyperlink w:anchor="_r2r73f">
        <w:r>
          <w:rPr>
            <w:rFonts w:ascii="Arial" w:eastAsia="Arial" w:hAnsi="Arial" w:cs="Arial"/>
            <w:b/>
            <w:i/>
            <w:color w:val="0000FF"/>
            <w:sz w:val="23"/>
            <w:szCs w:val="23"/>
            <w:u w:val="single"/>
          </w:rPr>
          <w:t>4. SBA Counseling Area</w:t>
        </w:r>
      </w:hyperlink>
      <w:hyperlink w:anchor="_r2r73f">
        <w:r>
          <w:rPr>
            <w:sz w:val="23"/>
            <w:szCs w:val="23"/>
          </w:rPr>
          <w:tab/>
        </w:r>
      </w:hyperlink>
    </w:p>
    <w:p w14:paraId="049017D9" w14:textId="77777777" w:rsidR="00DB4AC9" w:rsidRDefault="00DB4AC9" w:rsidP="00DB4AC9">
      <w:pPr>
        <w:widowControl w:val="0"/>
        <w:tabs>
          <w:tab w:val="right" w:pos="9350"/>
        </w:tabs>
        <w:spacing w:after="300"/>
        <w:jc w:val="center"/>
      </w:pPr>
      <w:hyperlink w:anchor="_3b2epr8">
        <w:r>
          <w:rPr>
            <w:rFonts w:ascii="Arial" w:eastAsia="Arial" w:hAnsi="Arial" w:cs="Arial"/>
            <w:b/>
            <w:smallCaps/>
            <w:color w:val="0000FF"/>
            <w:sz w:val="32"/>
            <w:szCs w:val="32"/>
            <w:u w:val="single"/>
          </w:rPr>
          <w:t>KEY CONFERENCE FIELD REVIEW</w:t>
        </w:r>
      </w:hyperlink>
      <w:hyperlink w:anchor="_3b2epr8">
        <w:r>
          <w:rPr>
            <w:b/>
            <w:smallCaps/>
            <w:sz w:val="32"/>
            <w:szCs w:val="32"/>
          </w:rPr>
          <w:tab/>
        </w:r>
      </w:hyperlink>
    </w:p>
    <w:p w14:paraId="26EF8779" w14:textId="77777777" w:rsidR="00DB4AC9" w:rsidRDefault="00DB4AC9" w:rsidP="00DB4AC9">
      <w:pPr>
        <w:widowControl w:val="0"/>
        <w:tabs>
          <w:tab w:val="right" w:pos="9360"/>
        </w:tabs>
        <w:spacing w:before="100" w:after="60"/>
        <w:ind w:left="230"/>
      </w:pPr>
      <w:hyperlink w:anchor="_1q7ozz1">
        <w:r>
          <w:rPr>
            <w:rFonts w:ascii="Arial" w:eastAsia="Arial" w:hAnsi="Arial" w:cs="Arial"/>
            <w:b/>
            <w:i/>
            <w:color w:val="0000FF"/>
            <w:sz w:val="23"/>
            <w:szCs w:val="23"/>
            <w:u w:val="single"/>
          </w:rPr>
          <w:t>1. Conference Reportable Status</w:t>
        </w:r>
      </w:hyperlink>
      <w:hyperlink w:anchor="_1q7ozz1">
        <w:r>
          <w:rPr>
            <w:sz w:val="23"/>
            <w:szCs w:val="23"/>
          </w:rPr>
          <w:tab/>
        </w:r>
      </w:hyperlink>
    </w:p>
    <w:p w14:paraId="4E2CE3CE" w14:textId="77777777" w:rsidR="00DB4AC9" w:rsidRDefault="00DB4AC9" w:rsidP="00DB4AC9">
      <w:pPr>
        <w:widowControl w:val="0"/>
        <w:tabs>
          <w:tab w:val="right" w:pos="9360"/>
        </w:tabs>
        <w:spacing w:before="100" w:after="60"/>
        <w:ind w:left="230"/>
      </w:pPr>
      <w:hyperlink w:anchor="_4a7cimu">
        <w:r>
          <w:rPr>
            <w:rFonts w:ascii="Arial" w:eastAsia="Arial" w:hAnsi="Arial" w:cs="Arial"/>
            <w:b/>
            <w:i/>
            <w:color w:val="0000FF"/>
            <w:sz w:val="23"/>
            <w:szCs w:val="23"/>
            <w:u w:val="single"/>
          </w:rPr>
          <w:t>2. Conference Status and Format</w:t>
        </w:r>
      </w:hyperlink>
      <w:hyperlink w:anchor="_4a7cimu">
        <w:r>
          <w:rPr>
            <w:sz w:val="23"/>
            <w:szCs w:val="23"/>
          </w:rPr>
          <w:tab/>
        </w:r>
      </w:hyperlink>
    </w:p>
    <w:p w14:paraId="2B2C2E2E" w14:textId="77777777" w:rsidR="00DB4AC9" w:rsidRDefault="00DB4AC9" w:rsidP="00DB4AC9">
      <w:pPr>
        <w:widowControl w:val="0"/>
        <w:tabs>
          <w:tab w:val="right" w:pos="9360"/>
        </w:tabs>
        <w:spacing w:before="100" w:after="60"/>
        <w:ind w:left="230"/>
      </w:pPr>
      <w:hyperlink w:anchor="_2pcmsun">
        <w:r>
          <w:rPr>
            <w:rFonts w:ascii="Arial" w:eastAsia="Arial" w:hAnsi="Arial" w:cs="Arial"/>
            <w:b/>
            <w:i/>
            <w:color w:val="0000FF"/>
            <w:sz w:val="23"/>
            <w:szCs w:val="23"/>
            <w:u w:val="single"/>
          </w:rPr>
          <w:t>KEY INVESTMENT SESSION FIELD REVIEW</w:t>
        </w:r>
      </w:hyperlink>
      <w:hyperlink w:anchor="_2pcmsun">
        <w:r>
          <w:rPr>
            <w:sz w:val="23"/>
            <w:szCs w:val="23"/>
          </w:rPr>
          <w:tab/>
        </w:r>
      </w:hyperlink>
    </w:p>
    <w:p w14:paraId="58F4541B" w14:textId="77777777" w:rsidR="00DB4AC9" w:rsidRDefault="00DB4AC9" w:rsidP="00DB4AC9">
      <w:pPr>
        <w:widowControl w:val="0"/>
        <w:tabs>
          <w:tab w:val="right" w:pos="9360"/>
        </w:tabs>
        <w:spacing w:before="100" w:after="60"/>
        <w:ind w:left="230"/>
      </w:pPr>
      <w:hyperlink w:anchor="_14hx32g">
        <w:r>
          <w:rPr>
            <w:rFonts w:ascii="Arial" w:eastAsia="Arial" w:hAnsi="Arial" w:cs="Arial"/>
            <w:b/>
            <w:i/>
            <w:color w:val="0000FF"/>
            <w:sz w:val="23"/>
            <w:szCs w:val="23"/>
            <w:u w:val="single"/>
          </w:rPr>
          <w:t>1. Investment Funding Source</w:t>
        </w:r>
      </w:hyperlink>
      <w:hyperlink w:anchor="_14hx32g">
        <w:r>
          <w:rPr>
            <w:sz w:val="23"/>
            <w:szCs w:val="23"/>
          </w:rPr>
          <w:tab/>
        </w:r>
      </w:hyperlink>
    </w:p>
    <w:p w14:paraId="304B6EE5" w14:textId="77777777" w:rsidR="00DB4AC9" w:rsidRDefault="00DB4AC9" w:rsidP="00DB4AC9">
      <w:pPr>
        <w:widowControl w:val="0"/>
        <w:tabs>
          <w:tab w:val="right" w:pos="9360"/>
        </w:tabs>
        <w:spacing w:before="100" w:after="60"/>
        <w:ind w:left="230"/>
      </w:pPr>
      <w:hyperlink w:anchor="_3ohklq9">
        <w:r>
          <w:rPr>
            <w:rFonts w:ascii="Arial" w:eastAsia="Arial" w:hAnsi="Arial" w:cs="Arial"/>
            <w:b/>
            <w:i/>
            <w:color w:val="0000FF"/>
            <w:sz w:val="23"/>
            <w:szCs w:val="23"/>
            <w:u w:val="single"/>
          </w:rPr>
          <w:t>2. Reportable Status</w:t>
        </w:r>
      </w:hyperlink>
      <w:hyperlink w:anchor="_3ohklq9">
        <w:r>
          <w:rPr>
            <w:sz w:val="23"/>
            <w:szCs w:val="23"/>
          </w:rPr>
          <w:tab/>
        </w:r>
      </w:hyperlink>
    </w:p>
    <w:p w14:paraId="58EA0DEC" w14:textId="77777777" w:rsidR="00DB4AC9" w:rsidRDefault="00DB4AC9" w:rsidP="00DB4AC9">
      <w:pPr>
        <w:widowControl w:val="0"/>
        <w:tabs>
          <w:tab w:val="right" w:pos="9360"/>
        </w:tabs>
        <w:spacing w:before="100" w:after="60"/>
        <w:ind w:left="230"/>
      </w:pPr>
      <w:hyperlink w:anchor="_23muvy2">
        <w:r>
          <w:rPr>
            <w:rFonts w:ascii="Arial" w:eastAsia="Arial" w:hAnsi="Arial" w:cs="Arial"/>
            <w:b/>
            <w:i/>
            <w:color w:val="0000FF"/>
            <w:sz w:val="23"/>
            <w:szCs w:val="23"/>
            <w:u w:val="single"/>
          </w:rPr>
          <w:t>3. Completion Status</w:t>
        </w:r>
      </w:hyperlink>
      <w:hyperlink w:anchor="_23muvy2">
        <w:r>
          <w:rPr>
            <w:sz w:val="23"/>
            <w:szCs w:val="23"/>
          </w:rPr>
          <w:tab/>
        </w:r>
      </w:hyperlink>
    </w:p>
    <w:p w14:paraId="2625028F" w14:textId="77777777" w:rsidR="00DB4AC9" w:rsidRDefault="00DB4AC9" w:rsidP="00DB4AC9">
      <w:pPr>
        <w:widowControl w:val="0"/>
        <w:tabs>
          <w:tab w:val="right" w:pos="9360"/>
        </w:tabs>
        <w:spacing w:before="100" w:after="60"/>
        <w:ind w:left="230"/>
      </w:pPr>
      <w:hyperlink w:anchor="_is565v">
        <w:r>
          <w:rPr>
            <w:rFonts w:ascii="Arial" w:eastAsia="Arial" w:hAnsi="Arial" w:cs="Arial"/>
            <w:b/>
            <w:i/>
            <w:color w:val="0000FF"/>
            <w:sz w:val="23"/>
            <w:szCs w:val="23"/>
            <w:u w:val="single"/>
          </w:rPr>
          <w:t>4. Investment Type</w:t>
        </w:r>
      </w:hyperlink>
      <w:hyperlink w:anchor="_is565v">
        <w:r>
          <w:rPr>
            <w:sz w:val="23"/>
            <w:szCs w:val="23"/>
          </w:rPr>
          <w:tab/>
        </w:r>
      </w:hyperlink>
    </w:p>
    <w:p w14:paraId="74DFEA08" w14:textId="77777777" w:rsidR="00DB4AC9" w:rsidRDefault="00DB4AC9" w:rsidP="00DB4AC9">
      <w:pPr>
        <w:widowControl w:val="0"/>
        <w:tabs>
          <w:tab w:val="right" w:pos="9350"/>
        </w:tabs>
        <w:spacing w:after="300"/>
        <w:jc w:val="center"/>
      </w:pPr>
      <w:hyperlink w:anchor="_32rsoto">
        <w:r>
          <w:rPr>
            <w:b/>
            <w:smallCaps/>
            <w:color w:val="0000FF"/>
            <w:sz w:val="32"/>
            <w:szCs w:val="32"/>
            <w:u w:val="single"/>
          </w:rPr>
          <w:t>Electronic Bibliography</w:t>
        </w:r>
      </w:hyperlink>
      <w:hyperlink w:anchor="_32rsoto">
        <w:r>
          <w:rPr>
            <w:b/>
            <w:smallCaps/>
            <w:sz w:val="32"/>
            <w:szCs w:val="32"/>
          </w:rPr>
          <w:tab/>
        </w:r>
      </w:hyperlink>
    </w:p>
    <w:p w14:paraId="4D223D0D" w14:textId="77777777" w:rsidR="00DB4AC9" w:rsidRDefault="00DB4AC9" w:rsidP="00DB4AC9">
      <w:pPr>
        <w:widowControl w:val="0"/>
        <w:tabs>
          <w:tab w:val="right" w:pos="9350"/>
        </w:tabs>
        <w:spacing w:after="300"/>
        <w:jc w:val="center"/>
      </w:pPr>
      <w:hyperlink w:anchor="_w7b24w">
        <w:r>
          <w:rPr>
            <w:b/>
            <w:smallCaps/>
            <w:color w:val="0000FF"/>
            <w:sz w:val="32"/>
            <w:szCs w:val="32"/>
            <w:u w:val="single"/>
          </w:rPr>
          <w:t>List of Changes:</w:t>
        </w:r>
      </w:hyperlink>
      <w:hyperlink w:anchor="_w7b24w">
        <w:r>
          <w:rPr>
            <w:b/>
            <w:smallCaps/>
            <w:sz w:val="32"/>
            <w:szCs w:val="32"/>
          </w:rPr>
          <w:tab/>
        </w:r>
      </w:hyperlink>
    </w:p>
    <w:p w14:paraId="358CF736" w14:textId="77777777" w:rsidR="00DB4AC9" w:rsidRDefault="00DB4AC9" w:rsidP="00DB4AC9"/>
    <w:p w14:paraId="7BF4A423" w14:textId="77777777" w:rsidR="00DB4AC9" w:rsidRDefault="00DB4AC9" w:rsidP="00DB4AC9">
      <w:r>
        <w:br w:type="page"/>
      </w:r>
    </w:p>
    <w:p w14:paraId="7349C487" w14:textId="77777777" w:rsidR="00DB4AC9" w:rsidRPr="008365A9" w:rsidRDefault="00DB4AC9" w:rsidP="008365A9">
      <w:pPr>
        <w:pStyle w:val="Heading2"/>
        <w:spacing w:before="0" w:after="240"/>
        <w:jc w:val="center"/>
        <w:rPr>
          <w:rFonts w:ascii="Calibri" w:eastAsia="Calibri" w:hAnsi="Calibri" w:cs="Calibri"/>
          <w:b/>
          <w:smallCaps/>
          <w:color w:val="000000"/>
          <w:sz w:val="36"/>
          <w:szCs w:val="36"/>
        </w:rPr>
      </w:pPr>
      <w:bookmarkStart w:id="1" w:name="_30j0zll" w:colFirst="0" w:colLast="0"/>
      <w:bookmarkEnd w:id="1"/>
      <w:r w:rsidRPr="008365A9">
        <w:rPr>
          <w:rFonts w:ascii="Calibri" w:eastAsia="Calibri" w:hAnsi="Calibri" w:cs="Calibri"/>
          <w:b/>
          <w:smallCaps/>
          <w:color w:val="000000"/>
          <w:sz w:val="36"/>
          <w:szCs w:val="36"/>
        </w:rPr>
        <w:lastRenderedPageBreak/>
        <w:t>Preface</w:t>
      </w:r>
    </w:p>
    <w:p w14:paraId="70056BF2" w14:textId="77777777" w:rsidR="00DB4AC9" w:rsidRDefault="00DB4AC9" w:rsidP="00DB4AC9">
      <w:r>
        <w:t>This Operations Manual is intended to help Minnesota Small Business Development Center (SBDC) members understand the SBDC and its operating environment and requirements of the program. The goal of this document is to provide a consistently and uniformly high level of client service throughout the SBDC network and to assure full compliance with the legal requirements that apply.</w:t>
      </w:r>
    </w:p>
    <w:p w14:paraId="1B0B1B54" w14:textId="7817E440" w:rsidR="00DB4AC9" w:rsidRDefault="00DB4AC9" w:rsidP="00DB4AC9">
      <w:r>
        <w:t xml:space="preserve">This manual is organized into two sections. The first section provides an overview of key elements of the SBDC program and documents state policy. The purpose of this section is to give users of this manual a basic understanding of each of those elements. The second section contains guides, manuals and reports that will aid the user in applying the operations manual concepts. Throughout the manual, legal and regulatory circulars are </w:t>
      </w:r>
      <w:r w:rsidR="00A93C9C">
        <w:t>referenced,</w:t>
      </w:r>
      <w:r>
        <w:t xml:space="preserve"> and they typically have hyperlinks to the documents located on the Internet. It is intended to serve as a reference for further study of </w:t>
      </w:r>
      <w:r w:rsidR="0048463A">
        <w:t>policies</w:t>
      </w:r>
      <w:r>
        <w:t xml:space="preserve"> or practices. While every effort is made to ensure all the hyperlinks are current and useful, the rapid pace of change on the Internet means hyperlinks change and are broken. Please inform the Lead Center when you find this situation so corrective action can be taken.</w:t>
      </w:r>
    </w:p>
    <w:p w14:paraId="14241519" w14:textId="77777777" w:rsidR="00DB4AC9" w:rsidRDefault="00DB4AC9" w:rsidP="00DB4AC9">
      <w:r>
        <w:t xml:space="preserve">The Minnesota SBDC program places high value on positive relationships among its partners. To that end, the Lead Center relies on Regional Directors, in collaboration with the Lead Center, to </w:t>
      </w:r>
      <w:proofErr w:type="gramStart"/>
      <w:r>
        <w:t>assure</w:t>
      </w:r>
      <w:proofErr w:type="gramEnd"/>
      <w:r>
        <w:t xml:space="preserve"> that their Professional Business Consultants, staff and host institution support personnel understand program requirements. This manual is intended to assist Regional Directors in carrying out that responsibility.</w:t>
      </w:r>
    </w:p>
    <w:p w14:paraId="474A20AC" w14:textId="77777777" w:rsidR="00DB4AC9" w:rsidRDefault="00DB4AC9" w:rsidP="00DB4AC9">
      <w:r>
        <w:t>This manual will only be available in electronic format on the MnSBDC shared drive, updated as necessary, and changes will be noted electronically to all regional centers. Regional Directors are responsible for assuring that their understanding of the manual is current and that all Professional Business Consultants and staff are made aware of any changes. Suggestions on improving this manual are welcome and should be directed to the Lead Center.</w:t>
      </w:r>
    </w:p>
    <w:p w14:paraId="01D42FFE" w14:textId="77777777" w:rsidR="00DB4AC9" w:rsidRDefault="00DB4AC9" w:rsidP="00DB4AC9">
      <w:r>
        <w:br w:type="page"/>
      </w:r>
    </w:p>
    <w:p w14:paraId="4441DE04" w14:textId="77777777" w:rsidR="00DB4AC9" w:rsidRDefault="00DB4AC9" w:rsidP="00DB4AC9">
      <w:pPr>
        <w:widowControl w:val="0"/>
        <w:spacing w:after="0" w:line="276" w:lineRule="auto"/>
      </w:pPr>
    </w:p>
    <w:p w14:paraId="2DEF28E2" w14:textId="77777777" w:rsidR="00DB4AC9" w:rsidRDefault="00DB4AC9" w:rsidP="00DB4AC9">
      <w:r>
        <w:br w:type="page"/>
      </w:r>
    </w:p>
    <w:p w14:paraId="4B002005" w14:textId="77777777" w:rsidR="00DB4AC9" w:rsidRPr="003D7204" w:rsidRDefault="00DB4AC9" w:rsidP="003D7204">
      <w:pPr>
        <w:pStyle w:val="Heading2"/>
        <w:spacing w:before="0" w:after="240"/>
        <w:jc w:val="center"/>
        <w:rPr>
          <w:rFonts w:ascii="Calibri" w:eastAsia="Calibri" w:hAnsi="Calibri" w:cs="Calibri"/>
          <w:b/>
          <w:smallCaps/>
          <w:color w:val="000000"/>
          <w:sz w:val="36"/>
          <w:szCs w:val="36"/>
        </w:rPr>
      </w:pPr>
      <w:bookmarkStart w:id="2" w:name="_1fob9te" w:colFirst="0" w:colLast="0"/>
      <w:bookmarkEnd w:id="2"/>
      <w:r w:rsidRPr="003D7204">
        <w:rPr>
          <w:rFonts w:ascii="Calibri" w:eastAsia="Calibri" w:hAnsi="Calibri" w:cs="Calibri"/>
          <w:b/>
          <w:smallCaps/>
          <w:color w:val="000000"/>
          <w:sz w:val="36"/>
          <w:szCs w:val="36"/>
        </w:rPr>
        <w:lastRenderedPageBreak/>
        <w:t>1.  Program Overview</w:t>
      </w:r>
    </w:p>
    <w:p w14:paraId="5ED94950" w14:textId="77777777" w:rsidR="00DB4AC9" w:rsidRPr="00A46DFD" w:rsidRDefault="00DB4AC9" w:rsidP="00A46DFD">
      <w:pPr>
        <w:pStyle w:val="Heading2"/>
        <w:spacing w:before="0" w:after="240"/>
        <w:rPr>
          <w:rFonts w:ascii="Calibri" w:eastAsia="Calibri" w:hAnsi="Calibri" w:cs="Calibri"/>
          <w:b/>
          <w:smallCaps/>
          <w:color w:val="000000"/>
          <w:sz w:val="28"/>
          <w:szCs w:val="28"/>
        </w:rPr>
      </w:pPr>
      <w:bookmarkStart w:id="3" w:name="_3znysh7" w:colFirst="0" w:colLast="0"/>
      <w:bookmarkEnd w:id="3"/>
      <w:r w:rsidRPr="00A46DFD">
        <w:rPr>
          <w:rFonts w:ascii="Calibri" w:eastAsia="Calibri" w:hAnsi="Calibri" w:cs="Calibri"/>
          <w:b/>
          <w:smallCaps/>
          <w:color w:val="000000"/>
          <w:sz w:val="28"/>
          <w:szCs w:val="28"/>
        </w:rPr>
        <w:t>1.1 Mission</w:t>
      </w:r>
    </w:p>
    <w:p w14:paraId="50DE78AC" w14:textId="0D58DEAC" w:rsidR="00DB4AC9" w:rsidRDefault="00DB4AC9" w:rsidP="00DB4AC9">
      <w:r>
        <w:t>Helping Businesses Start, Grow and Succeed.</w:t>
      </w:r>
      <w:r>
        <w:rPr>
          <w:vertAlign w:val="superscript"/>
        </w:rPr>
        <w:footnoteReference w:id="2"/>
      </w:r>
    </w:p>
    <w:p w14:paraId="01C84CEF"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 w:name="_2et92p0" w:colFirst="0" w:colLast="0"/>
      <w:bookmarkEnd w:id="4"/>
      <w:r w:rsidRPr="00D15C78">
        <w:rPr>
          <w:rFonts w:ascii="Calibri" w:eastAsia="Calibri" w:hAnsi="Calibri" w:cs="Calibri"/>
          <w:b/>
          <w:smallCaps/>
          <w:color w:val="000000"/>
          <w:sz w:val="28"/>
          <w:szCs w:val="28"/>
        </w:rPr>
        <w:t>1.2 Vision</w:t>
      </w:r>
    </w:p>
    <w:p w14:paraId="7C3C1642" w14:textId="77777777" w:rsidR="00DB4AC9" w:rsidRDefault="00DB4AC9" w:rsidP="00DB4AC9">
      <w:r>
        <w:t>We will be recognized as the best technical assistance program in Minnesota, contributing to the success of the state's small businesses.</w:t>
      </w:r>
      <w:r>
        <w:rPr>
          <w:vertAlign w:val="superscript"/>
        </w:rPr>
        <w:footnoteReference w:id="3"/>
      </w:r>
    </w:p>
    <w:p w14:paraId="282ECCFA"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 w:name="_tyjcwt" w:colFirst="0" w:colLast="0"/>
      <w:bookmarkEnd w:id="5"/>
      <w:r w:rsidRPr="00D15C78">
        <w:rPr>
          <w:rFonts w:ascii="Calibri" w:eastAsia="Calibri" w:hAnsi="Calibri" w:cs="Calibri"/>
          <w:b/>
          <w:smallCaps/>
          <w:color w:val="000000"/>
          <w:sz w:val="28"/>
          <w:szCs w:val="28"/>
        </w:rPr>
        <w:t>1.3 Background</w:t>
      </w:r>
    </w:p>
    <w:p w14:paraId="267A6C10" w14:textId="581DA417" w:rsidR="00DB4AC9" w:rsidRDefault="00DB4AC9" w:rsidP="00DB4AC9">
      <w:r>
        <w:t xml:space="preserve">Congress established the Small Business Development Center (SBDC) program in </w:t>
      </w:r>
      <w:r w:rsidR="0071507A">
        <w:t>1980 as</w:t>
      </w:r>
      <w:r>
        <w:t xml:space="preserve"> Chapter 21 of</w:t>
      </w:r>
      <w:r w:rsidR="0071507A">
        <w:t xml:space="preserve"> </w:t>
      </w:r>
      <w:r>
        <w:t>the Small Business Act legislation.</w:t>
      </w:r>
      <w:r>
        <w:rPr>
          <w:vertAlign w:val="superscript"/>
        </w:rPr>
        <w:footnoteReference w:id="4"/>
      </w:r>
      <w:r>
        <w:rPr>
          <w:vertAlign w:val="superscript"/>
        </w:rPr>
        <w:t xml:space="preserve"> </w:t>
      </w:r>
      <w:r>
        <w:t xml:space="preserve">The SBDC program was intended to help strengthen existing and prospective small businesses by linking them with the knowledge and resources of the federal, state and local governments and the academic community through services delivered by the SBDC network. Congress envisioned that </w:t>
      </w:r>
      <w:r w:rsidR="0048463A">
        <w:t>because of</w:t>
      </w:r>
      <w:r>
        <w:t xml:space="preserve"> this assistance, small businesses would start up, have access to capital and other resources, improve their competitiveness, and contribute to the improvement of state and local economies.</w:t>
      </w:r>
    </w:p>
    <w:p w14:paraId="4190621A" w14:textId="55C57547" w:rsidR="00DB4AC9" w:rsidRDefault="00DB4AC9" w:rsidP="00DB4AC9">
      <w:r>
        <w:t>The SBDC program is under the general management and oversight of the U.S. Small Business Administration (SBA)</w:t>
      </w:r>
      <w:r>
        <w:rPr>
          <w:vertAlign w:val="superscript"/>
        </w:rPr>
        <w:footnoteReference w:id="5"/>
      </w:r>
      <w:r>
        <w:t>. Small Business Development Center programs exist in every state and in the District of Columbia, Puerto Rico, the Virgin Islands, Guam, the Commonwealth of the Northern Marianas islands</w:t>
      </w:r>
      <w:r w:rsidR="002E5130">
        <w:t xml:space="preserve"> </w:t>
      </w:r>
      <w:r>
        <w:t>and American Samoa.</w:t>
      </w:r>
    </w:p>
    <w:p w14:paraId="5B105370" w14:textId="77777777" w:rsidR="00DB4AC9" w:rsidRDefault="00DB4AC9" w:rsidP="00DB4AC9">
      <w:r>
        <w:t xml:space="preserve">The SBDC program has </w:t>
      </w:r>
      <w:proofErr w:type="gramStart"/>
      <w:r>
        <w:t>a number of</w:t>
      </w:r>
      <w:proofErr w:type="gramEnd"/>
      <w:r>
        <w:t xml:space="preserve"> characteristics, defined in the law and program regulations, which shape the way services are delivered:</w:t>
      </w:r>
    </w:p>
    <w:p w14:paraId="1C5DE148" w14:textId="77777777" w:rsidR="00DB4AC9" w:rsidRDefault="00DB4AC9" w:rsidP="00DB4AC9">
      <w:pPr>
        <w:numPr>
          <w:ilvl w:val="0"/>
          <w:numId w:val="17"/>
        </w:numPr>
        <w:ind w:hanging="360"/>
      </w:pPr>
      <w:r>
        <w:t>A partnership exists between the U.S. Small Business Administration (SBA) and participating SBDCs in delivering services.</w:t>
      </w:r>
      <w:r>
        <w:rPr>
          <w:vertAlign w:val="superscript"/>
        </w:rPr>
        <w:footnoteReference w:id="6"/>
      </w:r>
      <w:r>
        <w:rPr>
          <w:vertAlign w:val="superscript"/>
        </w:rPr>
        <w:t xml:space="preserve"> </w:t>
      </w:r>
      <w:r>
        <w:t>The partnership concept stresses the equal participation of the parties in the operation of the SBDC. Financial partnering is specifically included as an SBDC characteristic.</w:t>
      </w:r>
      <w:r>
        <w:rPr>
          <w:vertAlign w:val="superscript"/>
        </w:rPr>
        <w:footnoteReference w:id="7"/>
      </w:r>
      <w:r>
        <w:t xml:space="preserve"> [Note that the term “partnership” does not mean the creation of a legal entity partnership.]</w:t>
      </w:r>
    </w:p>
    <w:p w14:paraId="589848B8" w14:textId="77777777" w:rsidR="00DB4AC9" w:rsidRDefault="00DB4AC9" w:rsidP="00DB4AC9">
      <w:pPr>
        <w:numPr>
          <w:ilvl w:val="0"/>
          <w:numId w:val="17"/>
        </w:numPr>
        <w:ind w:hanging="360"/>
      </w:pPr>
      <w:r>
        <w:lastRenderedPageBreak/>
        <w:t>Services are delivered primarily through institutions of higher education. For any SBDC changing host institutions after December 31, 1990, the new host institution must be an institution of higher education.</w:t>
      </w:r>
      <w:r>
        <w:rPr>
          <w:vertAlign w:val="superscript"/>
        </w:rPr>
        <w:footnoteReference w:id="8"/>
      </w:r>
    </w:p>
    <w:p w14:paraId="652A9235" w14:textId="77777777" w:rsidR="00DB4AC9" w:rsidRDefault="00DB4AC9" w:rsidP="00DB4AC9">
      <w:pPr>
        <w:numPr>
          <w:ilvl w:val="0"/>
          <w:numId w:val="17"/>
        </w:numPr>
        <w:ind w:hanging="360"/>
      </w:pPr>
      <w:r>
        <w:t>Services are delivered as close as possible to clients and must meet local needs.</w:t>
      </w:r>
      <w:r>
        <w:rPr>
          <w:vertAlign w:val="superscript"/>
        </w:rPr>
        <w:footnoteReference w:id="9"/>
      </w:r>
    </w:p>
    <w:p w14:paraId="2D37F384" w14:textId="77777777" w:rsidR="00DB4AC9" w:rsidRDefault="00DB4AC9" w:rsidP="00DB4AC9">
      <w:pPr>
        <w:numPr>
          <w:ilvl w:val="0"/>
          <w:numId w:val="17"/>
        </w:numPr>
        <w:ind w:hanging="360"/>
      </w:pPr>
      <w:r>
        <w:t xml:space="preserve">SBDCs deliver both general and specialized services, and services targeted </w:t>
      </w:r>
      <w:proofErr w:type="gramStart"/>
      <w:r>
        <w:t>to</w:t>
      </w:r>
      <w:proofErr w:type="gramEnd"/>
      <w:r>
        <w:t xml:space="preserve"> special emphasis initiatives established by SBA.</w:t>
      </w:r>
      <w:r>
        <w:rPr>
          <w:vertAlign w:val="superscript"/>
        </w:rPr>
        <w:footnoteReference w:id="10"/>
      </w:r>
    </w:p>
    <w:p w14:paraId="5685D6E2" w14:textId="489ECFF7" w:rsidR="00DB4AC9" w:rsidRDefault="00DB4AC9" w:rsidP="00DB4AC9">
      <w:pPr>
        <w:numPr>
          <w:ilvl w:val="0"/>
          <w:numId w:val="17"/>
        </w:numPr>
        <w:ind w:hanging="360"/>
      </w:pPr>
      <w:r>
        <w:t xml:space="preserve">A nationwide accreditation process exists to </w:t>
      </w:r>
      <w:proofErr w:type="gramStart"/>
      <w:r>
        <w:t>assure</w:t>
      </w:r>
      <w:proofErr w:type="gramEnd"/>
      <w:r>
        <w:t xml:space="preserve"> quality in service delivery. This accreditation is conducted on behalf of the SBA by the Association of Small Business Development Centers (ASBDC). Effective September 30, 2000, a state SBDC must be accredited or obtain a waiver of accreditation from SBA </w:t>
      </w:r>
      <w:r w:rsidR="0048463A">
        <w:t>to</w:t>
      </w:r>
      <w:r>
        <w:t xml:space="preserve"> remain in the SBDC program.</w:t>
      </w:r>
      <w:r>
        <w:rPr>
          <w:vertAlign w:val="superscript"/>
        </w:rPr>
        <w:footnoteReference w:id="11"/>
      </w:r>
      <w:r>
        <w:t xml:space="preserve"> </w:t>
      </w:r>
    </w:p>
    <w:p w14:paraId="67918453"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6" w:name="_3dy6vkm" w:colFirst="0" w:colLast="0"/>
      <w:bookmarkEnd w:id="6"/>
      <w:r w:rsidRPr="00D15C78">
        <w:rPr>
          <w:rFonts w:ascii="Calibri" w:eastAsia="Calibri" w:hAnsi="Calibri" w:cs="Calibri"/>
          <w:b/>
          <w:smallCaps/>
          <w:color w:val="000000"/>
          <w:sz w:val="28"/>
          <w:szCs w:val="28"/>
        </w:rPr>
        <w:t>1.4 SBDC Services</w:t>
      </w:r>
    </w:p>
    <w:p w14:paraId="548E5764" w14:textId="77777777" w:rsidR="00DB4AC9" w:rsidRDefault="00DB4AC9" w:rsidP="00DB4AC9">
      <w:r>
        <w:t xml:space="preserve">SBDCs offer one-on-one business management consulting, training on business management topics, loan packaging services, and access to business information to existing and prospective business owners and managers. Some centers offer additional, more specialized assistance such as technology assessments, assessments of management practices, strategic and succession planning and others as determined by client need. Legislation establishing the SBDC program outlines </w:t>
      </w:r>
      <w:proofErr w:type="gramStart"/>
      <w:r>
        <w:t>a number of</w:t>
      </w:r>
      <w:proofErr w:type="gramEnd"/>
      <w:r>
        <w:t xml:space="preserve"> services provided by SBDCs.</w:t>
      </w:r>
      <w:r>
        <w:rPr>
          <w:vertAlign w:val="superscript"/>
        </w:rPr>
        <w:footnoteReference w:id="12"/>
      </w:r>
      <w:r>
        <w:t xml:space="preserve"> The list of services that can be provided is supplemented by SBA in the annual Program Announcement.</w:t>
      </w:r>
      <w:r>
        <w:rPr>
          <w:vertAlign w:val="superscript"/>
        </w:rPr>
        <w:footnoteReference w:id="13"/>
      </w:r>
    </w:p>
    <w:p w14:paraId="73BB7F1A"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7" w:name="_1t3h5sf" w:colFirst="0" w:colLast="0"/>
      <w:bookmarkEnd w:id="7"/>
      <w:r w:rsidRPr="00D15C78">
        <w:rPr>
          <w:rFonts w:ascii="Calibri" w:eastAsia="Calibri" w:hAnsi="Calibri" w:cs="Calibri"/>
          <w:b/>
          <w:smallCaps/>
          <w:color w:val="000000"/>
          <w:sz w:val="28"/>
          <w:szCs w:val="28"/>
        </w:rPr>
        <w:t>1.5 Structure of the SBDC Program in Minnesota</w:t>
      </w:r>
    </w:p>
    <w:p w14:paraId="7B07F83C" w14:textId="77777777" w:rsidR="00DB4AC9" w:rsidRDefault="00DB4AC9" w:rsidP="00DB4AC9">
      <w:r>
        <w:t>In Minnesota, the State Department of Employment and Economic Development (DEED) has been designated by Minnesota statutes as the lead center for the SBDC program; and as such, DEED, through its authorized representative (i.e. State Director), has primary responsibility for administering SBDC program and providing administrative services and coordination for the SBDC network pursuant to a Cooperative Agreement with SBA.</w:t>
      </w:r>
      <w:r>
        <w:rPr>
          <w:vertAlign w:val="superscript"/>
        </w:rPr>
        <w:footnoteReference w:id="14"/>
      </w:r>
      <w:r>
        <w:t xml:space="preserve"> State office services include program development, program management, financial management, reports management, promotion and public relations, program assessment and evaluation, and internal quality control.</w:t>
      </w:r>
      <w:r>
        <w:rPr>
          <w:vertAlign w:val="superscript"/>
        </w:rPr>
        <w:footnoteReference w:id="15"/>
      </w:r>
      <w:r>
        <w:t xml:space="preserve"> Specific deliverables are established in the Cooperative Agreement, or contract, with the SBA. The Cooperative Agreement is negotiated annually with SBA based on a proposal submitted by DEED on behalf of the SBDC network.</w:t>
      </w:r>
      <w:r>
        <w:rPr>
          <w:vertAlign w:val="superscript"/>
        </w:rPr>
        <w:footnoteReference w:id="16"/>
      </w:r>
    </w:p>
    <w:p w14:paraId="7BCB164C" w14:textId="181E5C60" w:rsidR="00DB4AC9" w:rsidRDefault="00DB4AC9" w:rsidP="00DB4AC9">
      <w:r>
        <w:lastRenderedPageBreak/>
        <w:t xml:space="preserve">Direct client services are delivered through a network of regional service centers. Regional centers are solicited by DEED for a three-year cycle. DEED contracts with </w:t>
      </w:r>
      <w:proofErr w:type="gramStart"/>
      <w:r>
        <w:t>regional center</w:t>
      </w:r>
      <w:proofErr w:type="gramEnd"/>
      <w:r>
        <w:t xml:space="preserve"> host partners on an annual basis to deliver services in their respective service areas consistent with the Cooperative Agreement. The contracts specify </w:t>
      </w:r>
      <w:r w:rsidR="0048463A">
        <w:t>several</w:t>
      </w:r>
      <w:r>
        <w:t xml:space="preserve"> deliverables related to the current goals of the program.</w:t>
      </w:r>
    </w:p>
    <w:p w14:paraId="39234F3B" w14:textId="77777777" w:rsidR="00DB4AC9" w:rsidRDefault="00DB4AC9" w:rsidP="00DB4AC9">
      <w:r>
        <w:t xml:space="preserve">Regional center host partners designated an authorized representative (i.e. Regional Director) to provide regional program management, oversight and reporting. It is the responsibility of the Regional Director to determine how best to deliver services within their service areas, consistent with the statutory requirements of delivering services as close as possible to the small business community and meeting local business needs. Consulting services typically are delivered through a combination of sub-regional consulting centers, outreach locations, and circuit-riding </w:t>
      </w:r>
      <w:proofErr w:type="gramStart"/>
      <w:r>
        <w:t>consultant s</w:t>
      </w:r>
      <w:proofErr w:type="gramEnd"/>
      <w:r>
        <w:t xml:space="preserve"> who visit clients at their place of business or third-party location. Electronic consulting (telephone, e-mail, and consulting using video conferencing) may also be used. Training is delivered from physical locations and by distance learning options such as video conferencing and on-line offerings.</w:t>
      </w:r>
    </w:p>
    <w:p w14:paraId="1AA35A62"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8" w:name="_4d34og8" w:colFirst="0" w:colLast="0"/>
      <w:bookmarkEnd w:id="8"/>
      <w:r w:rsidRPr="00D15C78">
        <w:rPr>
          <w:rFonts w:ascii="Calibri" w:eastAsia="Calibri" w:hAnsi="Calibri" w:cs="Calibri"/>
          <w:b/>
          <w:smallCaps/>
          <w:color w:val="000000"/>
          <w:sz w:val="28"/>
          <w:szCs w:val="28"/>
        </w:rPr>
        <w:t>1.6 Target Market</w:t>
      </w:r>
    </w:p>
    <w:p w14:paraId="07CF342D" w14:textId="77777777" w:rsidR="00DB4AC9" w:rsidRDefault="00DB4AC9" w:rsidP="00DB4AC9">
      <w:r>
        <w:t>Because existing businesses offer the greatest potential for economic growth, MnSBDCs target their services to second-stage businesses (i.e. businesses already in-business), that point toward the greatest potential for high growth in revenue and employment. These second-stage businesses are beyond the start-up, survival stage in their business life cycle and are positioned for high growth within their respective industries.</w:t>
      </w:r>
      <w:r>
        <w:rPr>
          <w:vertAlign w:val="superscript"/>
        </w:rPr>
        <w:footnoteReference w:id="17"/>
      </w:r>
    </w:p>
    <w:p w14:paraId="33115C45" w14:textId="7F7FC4F1" w:rsidR="00DB4AC9" w:rsidRDefault="00DB4AC9" w:rsidP="00DB4AC9">
      <w:r>
        <w:t xml:space="preserve">With respect to regional differences, the network has established overall strategic goals in serving this </w:t>
      </w:r>
      <w:r w:rsidRPr="00DD43BE">
        <w:t>market at a mix of 75% existing business clients</w:t>
      </w:r>
      <w:r w:rsidRPr="00AD6AC8">
        <w:t>,</w:t>
      </w:r>
      <w:r w:rsidR="006F23E2">
        <w:t xml:space="preserve"> </w:t>
      </w:r>
      <w:r w:rsidRPr="00AD6AC8">
        <w:t>20% Pre-Venture individuals and 5% Organizations.</w:t>
      </w:r>
      <w:r>
        <w:t xml:space="preserve"> It is not the intention of the Minnesota SBDC network to discontinue or eliminate providing services to entrepreneurs or start-up </w:t>
      </w:r>
      <w:proofErr w:type="gramStart"/>
      <w:r>
        <w:t>businesses, but</w:t>
      </w:r>
      <w:proofErr w:type="gramEnd"/>
      <w:r>
        <w:t xml:space="preserve"> rather identify efficiencies in service delivery and work through its strategic partnerships to provide the greatest scope of services available to these groups for success.</w:t>
      </w:r>
      <w:r>
        <w:rPr>
          <w:vertAlign w:val="superscript"/>
        </w:rPr>
        <w:footnoteReference w:id="18"/>
      </w:r>
      <w:r>
        <w:t xml:space="preserve"> </w:t>
      </w:r>
    </w:p>
    <w:p w14:paraId="3C0D8634"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9" w:name="_2s8eyo1" w:colFirst="0" w:colLast="0"/>
      <w:bookmarkEnd w:id="9"/>
      <w:r w:rsidRPr="00D15C78">
        <w:rPr>
          <w:rFonts w:ascii="Calibri" w:eastAsia="Calibri" w:hAnsi="Calibri" w:cs="Calibri"/>
          <w:b/>
          <w:smallCaps/>
          <w:color w:val="000000"/>
          <w:sz w:val="28"/>
          <w:szCs w:val="28"/>
        </w:rPr>
        <w:t>1.7 Funding</w:t>
      </w:r>
    </w:p>
    <w:p w14:paraId="6DE24923" w14:textId="77777777" w:rsidR="00DB4AC9" w:rsidRDefault="00DB4AC9" w:rsidP="00DB4AC9">
      <w:r>
        <w:t>Financial support of the SBDC program is provided by the SBA, DEED, participating SBDC regional service center host partners, and public and private network investors.</w:t>
      </w:r>
    </w:p>
    <w:p w14:paraId="1D1CB229" w14:textId="77777777" w:rsidR="00DB4AC9" w:rsidRDefault="00DB4AC9" w:rsidP="00DB4AC9">
      <w:r>
        <w:t>Federal funds are allocated through SBA according to a statutory formula based on population.</w:t>
      </w:r>
      <w:r>
        <w:rPr>
          <w:vertAlign w:val="superscript"/>
        </w:rPr>
        <w:footnoteReference w:id="19"/>
      </w:r>
      <w:r>
        <w:t xml:space="preserve"> By law, federal funds must be matched 100 percent, half of which must be cash and the balance being any combination of cash or in-kind (including indirect) contributions.</w:t>
      </w:r>
      <w:r>
        <w:rPr>
          <w:vertAlign w:val="superscript"/>
        </w:rPr>
        <w:footnoteReference w:id="20"/>
      </w:r>
      <w:r>
        <w:t xml:space="preserve"> </w:t>
      </w:r>
    </w:p>
    <w:p w14:paraId="70EB9ED7" w14:textId="77777777" w:rsidR="00DB4AC9" w:rsidRDefault="00DB4AC9" w:rsidP="00DB4AC9">
      <w:r>
        <w:t xml:space="preserve">Regional service center host partners are required to provide cash match </w:t>
      </w:r>
      <w:proofErr w:type="gramStart"/>
      <w:r>
        <w:t>funding at least</w:t>
      </w:r>
      <w:proofErr w:type="gramEnd"/>
      <w:r>
        <w:t xml:space="preserve"> equal to fifty percent of contract funding. The balance of additional </w:t>
      </w:r>
      <w:proofErr w:type="gramStart"/>
      <w:r>
        <w:t>match</w:t>
      </w:r>
      <w:proofErr w:type="gramEnd"/>
      <w:r>
        <w:t xml:space="preserve"> is comprised of indirect derived from approved and current indirect rate agreements or in-kind match that meets the requirements of the </w:t>
      </w:r>
      <w:r>
        <w:lastRenderedPageBreak/>
        <w:t xml:space="preserve">SBA. While host partners are expected to provide the full amount of indirect and required to provide for fifty-percent cash match funding, they are expected to raise cash match from other public and private organizations sharing the SBDC mission. Host partners are expected, however, to contribute or raise a significant proportion of the centers cash match requirement, e.g. 25 to 75 percent of the cash match total, and are solely responsible for seeking and acquiring the remaining proportion of funding. Regional directors are responsible for maintaining stakeholder relationships once established. The amount of </w:t>
      </w:r>
      <w:proofErr w:type="gramStart"/>
      <w:r>
        <w:t>cash match</w:t>
      </w:r>
      <w:proofErr w:type="gramEnd"/>
      <w:r>
        <w:t xml:space="preserve"> required from service centers is specified during the proposal process. Program income, uncompensated student labor, volunteer contributions from other SBA resource partners (e.g. SCORE), and other federal funds do not qualify as match.</w:t>
      </w:r>
      <w:r>
        <w:rPr>
          <w:vertAlign w:val="superscript"/>
        </w:rPr>
        <w:footnoteReference w:id="21"/>
      </w:r>
    </w:p>
    <w:p w14:paraId="1A39970B"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0" w:name="_17dp8vu" w:colFirst="0" w:colLast="0"/>
      <w:bookmarkEnd w:id="10"/>
      <w:r w:rsidRPr="00D15C78">
        <w:rPr>
          <w:rFonts w:ascii="Calibri" w:eastAsia="Calibri" w:hAnsi="Calibri" w:cs="Calibri"/>
          <w:b/>
          <w:smallCaps/>
          <w:color w:val="000000"/>
          <w:sz w:val="28"/>
          <w:szCs w:val="28"/>
        </w:rPr>
        <w:t>1.8 Fees for SBDC Services</w:t>
      </w:r>
    </w:p>
    <w:p w14:paraId="2E643B11" w14:textId="77777777" w:rsidR="00DB4AC9" w:rsidRDefault="00DB4AC9" w:rsidP="00DB4AC9">
      <w:r>
        <w:t>By law, SBDCs may not charge fees for consulting. Reasonable fees to cover costs may be charged for training and for services.</w:t>
      </w:r>
      <w:r>
        <w:rPr>
          <w:vertAlign w:val="superscript"/>
        </w:rPr>
        <w:footnoteReference w:id="22"/>
      </w:r>
    </w:p>
    <w:p w14:paraId="563ACC3F"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1" w:name="_3rdcrjn" w:colFirst="0" w:colLast="0"/>
      <w:bookmarkEnd w:id="11"/>
      <w:r w:rsidRPr="00D15C78">
        <w:rPr>
          <w:rFonts w:ascii="Calibri" w:eastAsia="Calibri" w:hAnsi="Calibri" w:cs="Calibri"/>
          <w:b/>
          <w:smallCaps/>
          <w:color w:val="000000"/>
          <w:sz w:val="28"/>
          <w:szCs w:val="28"/>
        </w:rPr>
        <w:t>1.9 SBDC Name</w:t>
      </w:r>
    </w:p>
    <w:p w14:paraId="28BA7B42" w14:textId="77777777" w:rsidR="00DB4AC9" w:rsidRDefault="00DB4AC9" w:rsidP="00DB4AC9">
      <w:r>
        <w:t>The designation “Minnesota Small Business Development Center” must be part of the name of every SBDC organization within the SBDC network.</w:t>
      </w:r>
      <w:r>
        <w:rPr>
          <w:vertAlign w:val="superscript"/>
        </w:rPr>
        <w:footnoteReference w:id="23"/>
      </w:r>
      <w:r>
        <w:t xml:space="preserve"> Regional SBDC networks must use their regional designation (e.g. Northeast, Southwest, etc.) preceding “Minnesota Small Business Development Center”.</w:t>
      </w:r>
      <w:r>
        <w:rPr>
          <w:vertAlign w:val="superscript"/>
        </w:rPr>
        <w:footnoteReference w:id="24"/>
      </w:r>
      <w:r>
        <w:t xml:space="preserve"> </w:t>
      </w:r>
    </w:p>
    <w:p w14:paraId="15175BCF"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2" w:name="_26in1rg" w:colFirst="0" w:colLast="0"/>
      <w:bookmarkEnd w:id="12"/>
      <w:r w:rsidRPr="00D15C78">
        <w:rPr>
          <w:rFonts w:ascii="Calibri" w:eastAsia="Calibri" w:hAnsi="Calibri" w:cs="Calibri"/>
          <w:b/>
          <w:smallCaps/>
          <w:color w:val="000000"/>
          <w:sz w:val="28"/>
          <w:szCs w:val="28"/>
        </w:rPr>
        <w:t>1.10 SBDC Personnel</w:t>
      </w:r>
    </w:p>
    <w:p w14:paraId="3C29DCF5" w14:textId="77777777" w:rsidR="00DB4AC9" w:rsidRDefault="00DB4AC9" w:rsidP="00DB4AC9">
      <w:r>
        <w:t>The proposal on which the Cooperative Agreement is based describes personnel that will be used to deliver SBDC services.</w:t>
      </w:r>
    </w:p>
    <w:p w14:paraId="2D0E64CB" w14:textId="77777777" w:rsidR="00DB4AC9" w:rsidRDefault="00DB4AC9" w:rsidP="00DB4AC9">
      <w:r>
        <w:t>By federal law the lead center must have a full-time director.</w:t>
      </w:r>
      <w:r>
        <w:rPr>
          <w:vertAlign w:val="superscript"/>
        </w:rPr>
        <w:footnoteReference w:id="25"/>
      </w:r>
      <w:r>
        <w:t xml:space="preserve"> Responsibilities of the state director are established in the law, regulations governing the SBDC program, the Program Announcement and the Accreditation Standards. The regulations are explicit that “the SBDC Director has authority to control expenditures under the Lead Center’s budget”.</w:t>
      </w:r>
      <w:r>
        <w:rPr>
          <w:vertAlign w:val="superscript"/>
        </w:rPr>
        <w:footnoteReference w:id="26"/>
      </w:r>
      <w:r>
        <w:t xml:space="preserve"> </w:t>
      </w:r>
    </w:p>
    <w:p w14:paraId="1C3D85A8" w14:textId="77777777" w:rsidR="00DB4AC9" w:rsidRDefault="00DB4AC9" w:rsidP="00DB4AC9">
      <w:r w:rsidRPr="00D53F1C">
        <w:t>State policy requires that regional SBDC directors be full-time employees of their respective host institutions.</w:t>
      </w:r>
      <w:r w:rsidRPr="00D53F1C">
        <w:rPr>
          <w:vertAlign w:val="superscript"/>
        </w:rPr>
        <w:footnoteReference w:id="27"/>
      </w:r>
      <w:r>
        <w:t xml:space="preserve"> Selection of the state director requires a precursor review of candidate credentials by the SBA district office.</w:t>
      </w:r>
      <w:r>
        <w:rPr>
          <w:vertAlign w:val="superscript"/>
        </w:rPr>
        <w:footnoteReference w:id="28"/>
      </w:r>
      <w:r>
        <w:t xml:space="preserve"> All other personnel needs are determined by the director of the respective SBDC </w:t>
      </w:r>
      <w:r>
        <w:lastRenderedPageBreak/>
        <w:t>and are described in the center’s annual funding proposal.</w:t>
      </w:r>
      <w:r>
        <w:rPr>
          <w:vertAlign w:val="superscript"/>
        </w:rPr>
        <w:footnoteReference w:id="29"/>
      </w:r>
      <w:r>
        <w:t xml:space="preserve"> Regional directors determine personnel needs to meet the business needs of the region.</w:t>
      </w:r>
    </w:p>
    <w:p w14:paraId="7F3D4390" w14:textId="77777777" w:rsidR="00DB4AC9" w:rsidRDefault="00DB4AC9" w:rsidP="00DB4AC9">
      <w:r>
        <w:t xml:space="preserve">Lead center staffing needs are determined by the state director. Lead center positions currently include the state director, an associate state director and an executive assistant. All are in the classified service of the State of Minnesota and are selected by following the State of Minnesota hiring process. </w:t>
      </w:r>
    </w:p>
    <w:p w14:paraId="6C55DABA" w14:textId="77777777" w:rsidR="00DB4AC9" w:rsidRDefault="00DB4AC9" w:rsidP="00DB4AC9">
      <w:r>
        <w:t>Most regional centers have a staffing configuration that includes a full-time regional director and full-time program coordinator or associate regional director. Depending on the needs and budget of the region, consulting services within a regional office may be provided by staff consultants who are employees of the host partner institution, private sector Professional Business Consultants (PBC), students and volunteers. Regional centers follow their host institution’s policy with respect to recruiting, selecting and retaining personnel.</w:t>
      </w:r>
      <w:r>
        <w:rPr>
          <w:vertAlign w:val="superscript"/>
        </w:rPr>
        <w:footnoteReference w:id="30"/>
      </w:r>
      <w:r>
        <w:t xml:space="preserve"> All outside consultants must be selected following a competitive bidding process</w:t>
      </w:r>
      <w:r>
        <w:rPr>
          <w:vertAlign w:val="superscript"/>
        </w:rPr>
        <w:footnoteReference w:id="31"/>
      </w:r>
    </w:p>
    <w:p w14:paraId="34B515AB" w14:textId="77777777" w:rsidR="00DB4AC9" w:rsidRDefault="00DB4AC9" w:rsidP="00DB4AC9">
      <w:r>
        <w:t>SBDC regional directors are responsible for ensuring consultants and other staff members are qualified to perform the job. Written position descriptions for staff positions and outside consultants are strongly recommended.</w:t>
      </w:r>
      <w:r>
        <w:rPr>
          <w:sz w:val="23"/>
          <w:szCs w:val="23"/>
        </w:rPr>
        <w:t xml:space="preserve"> </w:t>
      </w:r>
    </w:p>
    <w:p w14:paraId="220D23F4"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3" w:name="_lnxbz9" w:colFirst="0" w:colLast="0"/>
      <w:bookmarkEnd w:id="13"/>
      <w:r w:rsidRPr="00D15C78">
        <w:rPr>
          <w:rFonts w:ascii="Calibri" w:eastAsia="Calibri" w:hAnsi="Calibri" w:cs="Calibri"/>
          <w:b/>
          <w:smallCaps/>
          <w:color w:val="000000"/>
          <w:sz w:val="28"/>
          <w:szCs w:val="28"/>
        </w:rPr>
        <w:t>1.11 SBDC Partners</w:t>
      </w:r>
    </w:p>
    <w:p w14:paraId="6D291184" w14:textId="2A00B143" w:rsidR="00DB4AC9" w:rsidRDefault="00DB4AC9" w:rsidP="00DB4AC9">
      <w:r>
        <w:t>The SBDC strategic plan places great value on partnerships as a way of strengthening and expanding SBDC services. Partnerships with the US SBA, state and local agencies, and the local small business community are encouraged by law.</w:t>
      </w:r>
      <w:r>
        <w:rPr>
          <w:vertAlign w:val="superscript"/>
        </w:rPr>
        <w:footnoteReference w:id="32"/>
      </w:r>
      <w:r>
        <w:t xml:space="preserve"> The role of many SBDC partners is outlined in law and regulations and is summarized in the annual</w:t>
      </w:r>
      <w:r w:rsidR="00934DB0">
        <w:t xml:space="preserve"> </w:t>
      </w:r>
      <w:r>
        <w:t>Notice of Funding Opportunity. In general, the roles and responsibilities are:</w:t>
      </w:r>
    </w:p>
    <w:p w14:paraId="5B91F8E7" w14:textId="77777777" w:rsidR="00DB4AC9" w:rsidRDefault="00DB4AC9" w:rsidP="00DB4AC9">
      <w:r>
        <w:t xml:space="preserve">The </w:t>
      </w:r>
      <w:r>
        <w:rPr>
          <w:i/>
          <w:u w:val="single"/>
        </w:rPr>
        <w:t>U.S. Small Business Administration</w:t>
      </w:r>
      <w:r>
        <w:t>, through the Associate Administrator for Small Business Development Centers, has primary oversight responsibility for the SBDC program.</w:t>
      </w:r>
      <w:r>
        <w:rPr>
          <w:vertAlign w:val="superscript"/>
        </w:rPr>
        <w:footnoteReference w:id="33"/>
      </w:r>
      <w:r>
        <w:t xml:space="preserve"> Located in Washington, D.C., the Office of Small Business Development Centers (OSBCD) issues the annual Notice of Funding Opportunity, determines the acceptability of annual proposals, issues the annual Cooperative Agreement, conducts biennial programmatic and financial examinations to assure federal funds are spent appropriately and in conformity with the law, makes and interprets policy; resolves disputes, and engages in other activities relevant to its mission and position within SBA. The Office of Small Business Development Centers consults with the Association of Small Business Development Centers over issues affecting the operation of the program, such as program regulations and definitions and the annual Notice of Funding Opportunity.</w:t>
      </w:r>
      <w:r>
        <w:rPr>
          <w:vertAlign w:val="superscript"/>
        </w:rPr>
        <w:footnoteReference w:id="34"/>
      </w:r>
    </w:p>
    <w:p w14:paraId="0A068AD1" w14:textId="77777777" w:rsidR="00DB4AC9" w:rsidRDefault="00DB4AC9" w:rsidP="00DB4AC9">
      <w:r>
        <w:t xml:space="preserve">The </w:t>
      </w:r>
      <w:r>
        <w:rPr>
          <w:i/>
        </w:rPr>
        <w:t xml:space="preserve">U.S. </w:t>
      </w:r>
      <w:r>
        <w:rPr>
          <w:i/>
          <w:u w:val="single"/>
        </w:rPr>
        <w:t>SBA district office</w:t>
      </w:r>
      <w:r>
        <w:t xml:space="preserve">, located in Minneapolis, is the primary local point of contact for the US SBA for the SBDC program. The District Director and SBDC Project Officer negotiate the annual Cooperative </w:t>
      </w:r>
      <w:r>
        <w:lastRenderedPageBreak/>
        <w:t>Agreement with the state director and monitor and oversee ongoing operations of the SBDC network.</w:t>
      </w:r>
      <w:r>
        <w:rPr>
          <w:vertAlign w:val="superscript"/>
        </w:rPr>
        <w:footnoteReference w:id="35"/>
      </w:r>
      <w:r>
        <w:t xml:space="preserve"> The state director and the project officer communicate frequently to assure that program funds are used effectively and in accordance with program regulations.</w:t>
      </w:r>
    </w:p>
    <w:p w14:paraId="38081FAF" w14:textId="77777777" w:rsidR="00DB4AC9" w:rsidRDefault="00DB4AC9" w:rsidP="00DB4AC9">
      <w:r>
        <w:t xml:space="preserve">The </w:t>
      </w:r>
      <w:r>
        <w:rPr>
          <w:i/>
          <w:u w:val="single"/>
        </w:rPr>
        <w:t>lead center</w:t>
      </w:r>
      <w:r>
        <w:t>, located in the Minnesota Department of Employment and Economic Development (DEED), administers the SBDC program in the state. Activities include program development, program management, promotion and public relations, financial accounting and reports management, and internal quality control.</w:t>
      </w:r>
      <w:r>
        <w:rPr>
          <w:vertAlign w:val="superscript"/>
        </w:rPr>
        <w:footnoteReference w:id="36"/>
      </w:r>
      <w:r>
        <w:t xml:space="preserve"> The lead center negotiates the annual proposal with the US SBA district office before it is submitted to the US SBA Office of Small Business Development Centers.</w:t>
      </w:r>
      <w:r>
        <w:rPr>
          <w:vertAlign w:val="superscript"/>
        </w:rPr>
        <w:footnoteReference w:id="37"/>
      </w:r>
    </w:p>
    <w:p w14:paraId="2AB45969" w14:textId="77777777" w:rsidR="00DB4AC9" w:rsidRDefault="00DB4AC9" w:rsidP="00DB4AC9">
      <w:r>
        <w:rPr>
          <w:i/>
          <w:u w:val="single"/>
        </w:rPr>
        <w:t>SBDC service centers</w:t>
      </w:r>
      <w:r>
        <w:t xml:space="preserve"> include regional centers, which contract with the Department of Employment and Economic Development to deliver services in their respective geographic areas. SBDC service centers also include any sub-regional centers such as satellite locations and outreach sites designated by the regional center and accepted by the US SBA in the Cooperative Agreement</w:t>
      </w:r>
      <w:r w:rsidRPr="00392534">
        <w:t>. Service centers are responsible for operating the SBDC program in their service areas, promotion of the program, engaging in fund raising efforts to match the contract funds, maintenance of regional database information and participation in lead center organized strategic initiatives and meetings.</w:t>
      </w:r>
      <w:r w:rsidRPr="00392534">
        <w:rPr>
          <w:vertAlign w:val="superscript"/>
        </w:rPr>
        <w:footnoteReference w:id="38"/>
      </w:r>
    </w:p>
    <w:p w14:paraId="63D6ED01" w14:textId="563BF1D9" w:rsidR="00DB4AC9" w:rsidRDefault="00DB4AC9" w:rsidP="00DB4AC9">
      <w:r>
        <w:t xml:space="preserve">The </w:t>
      </w:r>
      <w:r>
        <w:rPr>
          <w:i/>
          <w:u w:val="single"/>
        </w:rPr>
        <w:t>SBDC advisory board</w:t>
      </w:r>
      <w:r>
        <w:t xml:space="preserve"> provides advice and counsel to the state director on matters pertaining to the operation of </w:t>
      </w:r>
      <w:proofErr w:type="gramStart"/>
      <w:r>
        <w:t>the SBDC</w:t>
      </w:r>
      <w:proofErr w:type="gramEnd"/>
      <w:r>
        <w:t>. Each state SBDC network is required by law to have an advisory board.</w:t>
      </w:r>
      <w:r>
        <w:rPr>
          <w:vertAlign w:val="superscript"/>
        </w:rPr>
        <w:footnoteReference w:id="39"/>
      </w:r>
      <w:r>
        <w:t xml:space="preserve"> Service centers may, but are not required to, have an advisory board. At least half of the advisory board membership must be small business owners. </w:t>
      </w:r>
      <w:proofErr w:type="gramStart"/>
      <w:r>
        <w:t>In order to</w:t>
      </w:r>
      <w:proofErr w:type="gramEnd"/>
      <w:r>
        <w:t xml:space="preserve"> be representative of the entire state, the Minnesota SBDC advisory board strives to be comprised of</w:t>
      </w:r>
      <w:r w:rsidR="002F709C">
        <w:t xml:space="preserve"> </w:t>
      </w:r>
      <w:r>
        <w:t xml:space="preserve">one representative from each region. </w:t>
      </w:r>
    </w:p>
    <w:p w14:paraId="474F33BA" w14:textId="77777777" w:rsidR="00DB4AC9" w:rsidRDefault="00DB4AC9" w:rsidP="00DB4AC9">
      <w:r>
        <w:rPr>
          <w:i/>
          <w:u w:val="single"/>
        </w:rPr>
        <w:t>Regional strategic partners</w:t>
      </w:r>
      <w:r>
        <w:t xml:space="preserve"> are organizations with which the regional office interacts to expand the availability of SBDC services. Regional strategic partners include the host partner institution in which the regional center or service center is located. Other regional partners are determined by the state and regional centers and may include economic development organizations, other colleges and universities, cities and counties, school districts, and other groups.</w:t>
      </w:r>
    </w:p>
    <w:p w14:paraId="448043C8" w14:textId="72C36591" w:rsidR="00DB4AC9" w:rsidRDefault="00DB4AC9" w:rsidP="00DB4AC9">
      <w:r>
        <w:rPr>
          <w:i/>
          <w:u w:val="single"/>
        </w:rPr>
        <w:t>SBA partners</w:t>
      </w:r>
      <w:r>
        <w:t xml:space="preserve"> are other organizations supported by the US SBA to assist the US SBA in its work. Examples include SCORE Association, Women’s Business Centers, Veterans Business Outreach Center (VBOC), and the U.S. Export Assistance Centers. SBDCs are expected to utilize the resources and expertise available through these SBA resource partners, and other federal and state government programs that are concerned with aiding small businesses, </w:t>
      </w:r>
      <w:r w:rsidR="005612AD">
        <w:t>to</w:t>
      </w:r>
      <w:r>
        <w:t xml:space="preserve"> enhance client service and minimize duplication.</w:t>
      </w:r>
      <w:r>
        <w:rPr>
          <w:vertAlign w:val="superscript"/>
        </w:rPr>
        <w:footnoteReference w:id="40"/>
      </w:r>
    </w:p>
    <w:p w14:paraId="07B52800" w14:textId="6F7C1911" w:rsidR="00DB4AC9" w:rsidRDefault="00DB4AC9" w:rsidP="00DB4AC9">
      <w:r>
        <w:t xml:space="preserve">In addition to the Small Business Development Center Network, the </w:t>
      </w:r>
      <w:r>
        <w:rPr>
          <w:i/>
          <w:u w:val="single"/>
        </w:rPr>
        <w:t>Minnesota Department of Employment and Economic Development</w:t>
      </w:r>
      <w:r>
        <w:t xml:space="preserve"> (DEED) is also host for </w:t>
      </w:r>
      <w:r w:rsidR="005612AD">
        <w:t>a few</w:t>
      </w:r>
      <w:r>
        <w:t xml:space="preserve"> other business development service programs in the ‘Office of Small Business and Innovation’. For example, the Small Business Assistance Office (SBAO) serves as a point of contact, primarily by telephone, for </w:t>
      </w:r>
      <w:proofErr w:type="gramStart"/>
      <w:r>
        <w:t>persons</w:t>
      </w:r>
      <w:proofErr w:type="gramEnd"/>
      <w:r>
        <w:t xml:space="preserve"> with inquiries on state licensing, permit and regulatory questions. The SBAO also produces </w:t>
      </w:r>
      <w:r w:rsidR="005612AD">
        <w:t>several</w:t>
      </w:r>
      <w:r>
        <w:t xml:space="preserve"> business-related publications of which their flagship publication is the </w:t>
      </w:r>
      <w:r>
        <w:rPr>
          <w:i/>
        </w:rPr>
        <w:t>Guide to Starting a Business in Minnesota</w:t>
      </w:r>
      <w:r>
        <w:t xml:space="preserve">. In </w:t>
      </w:r>
      <w:r>
        <w:lastRenderedPageBreak/>
        <w:t xml:space="preserve">addition, the Minnesota Trade Office </w:t>
      </w:r>
      <w:proofErr w:type="gramStart"/>
      <w:r>
        <w:t>provides assistance to</w:t>
      </w:r>
      <w:proofErr w:type="gramEnd"/>
      <w:r>
        <w:t xml:space="preserve"> businesses looking to start or expand their global marketplace while the Minnesota WorkForce Centers offer services to link businesses with potential employees. </w:t>
      </w:r>
    </w:p>
    <w:p w14:paraId="4BCC4165" w14:textId="77777777" w:rsidR="00DB4AC9" w:rsidRDefault="00DB4AC9" w:rsidP="00DB4AC9">
      <w:r>
        <w:t xml:space="preserve">The </w:t>
      </w:r>
      <w:r>
        <w:rPr>
          <w:i/>
          <w:u w:val="single"/>
        </w:rPr>
        <w:t>Association of Small Business Development Centers</w:t>
      </w:r>
      <w:r>
        <w:t xml:space="preserve"> (ASBDC) is a national association to which all state SBDC programs belong. The ASBDC is authorized and recognized by law</w:t>
      </w:r>
      <w:r>
        <w:rPr>
          <w:vertAlign w:val="superscript"/>
        </w:rPr>
        <w:footnoteReference w:id="41"/>
      </w:r>
      <w:r>
        <w:t xml:space="preserve"> to pursue matters of common concern to SBDCs. SBA is directed to consult with the ASBDC concerning the development of the annual Notice of Funding Opportunity and regulations, and general operations and administration of the SBDC program. ASBDC also conducts the Accreditation program on behalf of SBA.</w:t>
      </w:r>
      <w:r>
        <w:rPr>
          <w:vertAlign w:val="superscript"/>
        </w:rPr>
        <w:footnoteReference w:id="42"/>
      </w:r>
    </w:p>
    <w:p w14:paraId="75F59EC6"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4" w:name="_35nkun2" w:colFirst="0" w:colLast="0"/>
      <w:bookmarkEnd w:id="14"/>
      <w:r w:rsidRPr="00D15C78">
        <w:rPr>
          <w:rFonts w:ascii="Calibri" w:eastAsia="Calibri" w:hAnsi="Calibri" w:cs="Calibri"/>
          <w:b/>
          <w:smallCaps/>
          <w:color w:val="000000"/>
          <w:sz w:val="28"/>
          <w:szCs w:val="28"/>
        </w:rPr>
        <w:t>1.12 Recognition of the SBDC Partnership Program</w:t>
      </w:r>
    </w:p>
    <w:p w14:paraId="6AD8FF06" w14:textId="77777777" w:rsidR="00DB4AC9" w:rsidRPr="00AD6AC8" w:rsidRDefault="00DB4AC9" w:rsidP="00DB4AC9">
      <w:pPr>
        <w:pStyle w:val="pf0"/>
        <w:rPr>
          <w:rFonts w:ascii="Calibri" w:eastAsia="Calibri" w:hAnsi="Calibri" w:cs="Calibri"/>
          <w:color w:val="000000"/>
          <w:sz w:val="22"/>
          <w:szCs w:val="22"/>
        </w:rPr>
      </w:pPr>
      <w:r w:rsidRPr="00AD6AC8">
        <w:rPr>
          <w:rFonts w:ascii="Calibri" w:eastAsia="Calibri" w:hAnsi="Calibri" w:cs="Calibri"/>
          <w:color w:val="000000"/>
          <w:sz w:val="22"/>
          <w:szCs w:val="22"/>
        </w:rPr>
        <w:t>The MnSBDC program currently resides in the Office of Small Business and Innovation</w:t>
      </w:r>
      <w:r>
        <w:rPr>
          <w:rFonts w:ascii="Calibri" w:eastAsia="Calibri" w:hAnsi="Calibri" w:cs="Calibri"/>
          <w:color w:val="000000"/>
          <w:sz w:val="22"/>
          <w:szCs w:val="22"/>
        </w:rPr>
        <w:t>, together with other programs focused on serving small businesses.</w:t>
      </w:r>
    </w:p>
    <w:p w14:paraId="21BC7501" w14:textId="77777777" w:rsidR="00DB4AC9" w:rsidRDefault="00DB4AC9" w:rsidP="00DB4AC9">
      <w:r>
        <w:t>MnSBDCs must recognize the partnership that exists between SBA and the SBDCs. Requirements include assurances that the SBA logo and the following acknowledgment of support statement are featured at the front of each SBDC office.</w:t>
      </w:r>
      <w:r>
        <w:rPr>
          <w:vertAlign w:val="superscript"/>
        </w:rPr>
        <w:footnoteReference w:id="43"/>
      </w:r>
      <w:r>
        <w:t xml:space="preserve"> </w:t>
      </w:r>
    </w:p>
    <w:p w14:paraId="55E16986" w14:textId="77777777" w:rsidR="00DB4AC9" w:rsidRDefault="00DB4AC9" w:rsidP="00DB4AC9">
      <w:r>
        <w:t xml:space="preserve">Funded in part through a Cooperative Agreement with the U.S. Small Business Administration, the Minnesota Department of Employment and Economic Development, and regional support partners. </w:t>
      </w:r>
    </w:p>
    <w:p w14:paraId="439A226E" w14:textId="77777777" w:rsidR="00DB4AC9" w:rsidRDefault="00DB4AC9" w:rsidP="00DB4AC9">
      <w:r>
        <w:t>MnSBDCs must also assure that the SBA’s “Powered by SBA” logo and the following disclaimer statement appears prominently on SBDC websites. The SBA logo must be linked to www.sba.gov.</w:t>
      </w:r>
      <w:r>
        <w:rPr>
          <w:vertAlign w:val="superscript"/>
        </w:rPr>
        <w:footnoteReference w:id="44"/>
      </w:r>
    </w:p>
    <w:p w14:paraId="0B27AD42" w14:textId="77777777" w:rsidR="00DB4AC9" w:rsidRDefault="00DB4AC9" w:rsidP="00DB4AC9">
      <w:r>
        <w:t xml:space="preserve">“Funded (in part) through a Cooperative Agreement with the U.S. Small Business Administration. All opinions, conclusions and/or recommendations expressed are those of the author(s) and do not necessarily reflect the views of the SBA.” </w:t>
      </w:r>
    </w:p>
    <w:p w14:paraId="0C2E618C" w14:textId="77777777" w:rsidR="00DB4AC9" w:rsidRDefault="00DB4AC9" w:rsidP="00DB4AC9">
      <w:r>
        <w:t xml:space="preserve">The MnSBDC logo and the above disclaimer statement must appear </w:t>
      </w:r>
      <w:proofErr w:type="gramStart"/>
      <w:r>
        <w:t>on</w:t>
      </w:r>
      <w:proofErr w:type="gramEnd"/>
      <w:r>
        <w:t xml:space="preserve"> all marketing materials and reports.</w:t>
      </w:r>
      <w:r>
        <w:rPr>
          <w:vertAlign w:val="superscript"/>
        </w:rPr>
        <w:footnoteReference w:id="45"/>
      </w:r>
      <w:r>
        <w:t xml:space="preserve"> Examples of placement in such materials are outlined in the MnSBDC Graphic Standards Manual. </w:t>
      </w:r>
    </w:p>
    <w:p w14:paraId="6A60DD8C" w14:textId="77777777" w:rsidR="00DB4AC9" w:rsidRDefault="00DB4AC9" w:rsidP="00DB4AC9">
      <w:r>
        <w:t xml:space="preserve">The following financial disclaimer statement must appear </w:t>
      </w:r>
      <w:proofErr w:type="gramStart"/>
      <w:r>
        <w:t>on</w:t>
      </w:r>
      <w:proofErr w:type="gramEnd"/>
      <w:r>
        <w:t xml:space="preserve"> financial reports and pro forma statements.</w:t>
      </w:r>
      <w:r>
        <w:rPr>
          <w:vertAlign w:val="superscript"/>
        </w:rPr>
        <w:footnoteReference w:id="46"/>
      </w:r>
    </w:p>
    <w:p w14:paraId="21202BB6" w14:textId="77777777" w:rsidR="00DB4AC9" w:rsidRDefault="00DB4AC9" w:rsidP="00DB4AC9">
      <w:r>
        <w:t xml:space="preserve">“The MnSBDC has prepared the accompanying financial statement based on the information and assumptions provided by the management. Neither the SBDC nor its personnel are licensed by the State </w:t>
      </w:r>
      <w:r>
        <w:lastRenderedPageBreak/>
        <w:t>of Minnesota to practice public accounting and therefore express no opinion or any other form of assurance on the statements or underlying assumptions.”</w:t>
      </w:r>
    </w:p>
    <w:p w14:paraId="6A39B583" w14:textId="77777777" w:rsidR="00DB4AC9" w:rsidRDefault="00DB4AC9" w:rsidP="00DB4AC9">
      <w:r>
        <w:t>The following disclaimer must appear on public-circulated marketing material such as flyers, brochures and reports.</w:t>
      </w:r>
      <w:r>
        <w:rPr>
          <w:vertAlign w:val="superscript"/>
        </w:rPr>
        <w:t xml:space="preserve"> </w:t>
      </w:r>
      <w:r>
        <w:rPr>
          <w:vertAlign w:val="superscript"/>
        </w:rPr>
        <w:footnoteReference w:id="47"/>
      </w:r>
    </w:p>
    <w:p w14:paraId="42F55EF9" w14:textId="77777777" w:rsidR="00DB4AC9" w:rsidRDefault="00DB4AC9" w:rsidP="00DB4AC9">
      <w:r>
        <w:t xml:space="preserve">“Funded (in part) through a Cooperative Agreement with the U.S. Small Business Administration. All opinions, conclusions and/or recommendations expressed are those of the author(s) and do not necessarily reflect the views of the SBA. </w:t>
      </w:r>
    </w:p>
    <w:p w14:paraId="5A493E03" w14:textId="77777777" w:rsidR="00DB4AC9" w:rsidRDefault="00DB4AC9" w:rsidP="00DB4AC9">
      <w:r>
        <w:t xml:space="preserve">The grant contract with DEED requires that any publicity given to the SBDC program and any publications or services resulting from the grant contract </w:t>
      </w:r>
      <w:proofErr w:type="gramStart"/>
      <w:r>
        <w:t>identify</w:t>
      </w:r>
      <w:proofErr w:type="gramEnd"/>
      <w:r>
        <w:t xml:space="preserve"> DEED as a sponsoring agency.</w:t>
      </w:r>
      <w:r>
        <w:rPr>
          <w:vertAlign w:val="superscript"/>
        </w:rPr>
        <w:footnoteReference w:id="48"/>
      </w:r>
      <w:r>
        <w:t xml:space="preserve"> The grant contract also requires all SBDCs to comply with policies and guidelines of the SBA and the STATE regarding use of the SBDC brand. This includes but is not limited to prominent display of the SBA and Minnesota SBDC logos at the front of the regional office and any sub-regional service center offices. For sub-regional service center sites, where the facility is shared with other organizations, a sign indicating that it is a MnSBDC site is still required. Since sub-regional service center sites can serve multiple purposes and at multiple times, the Regional Director may at their discretion, and with the approval of the State Director, elect to display the sign only when MnSBDC Professional Business Consultants are engaged in consulting with clients at the sub-regional service center site. ; placement of the SBA and Minnesota SBDC logos and appropriate disclaimers on all SBDC web sites, publications, promotional pieces, informational brochures, training materials, reports and similar items.</w:t>
      </w:r>
      <w:r>
        <w:rPr>
          <w:vertAlign w:val="superscript"/>
        </w:rPr>
        <w:footnoteReference w:id="49"/>
      </w:r>
    </w:p>
    <w:p w14:paraId="46DCE4D6"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5" w:name="_1ksv4uv" w:colFirst="0" w:colLast="0"/>
      <w:bookmarkEnd w:id="15"/>
      <w:r w:rsidRPr="00D15C78">
        <w:rPr>
          <w:rFonts w:ascii="Calibri" w:eastAsia="Calibri" w:hAnsi="Calibri" w:cs="Calibri"/>
          <w:b/>
          <w:smallCaps/>
          <w:color w:val="000000"/>
          <w:sz w:val="28"/>
          <w:szCs w:val="28"/>
        </w:rPr>
        <w:t>1.13 Laws, Regulations and Policies Governing the SBDC Program</w:t>
      </w:r>
    </w:p>
    <w:p w14:paraId="2343C73A" w14:textId="77777777" w:rsidR="00DB4AC9" w:rsidRDefault="00DB4AC9" w:rsidP="00DB4AC9">
      <w:r>
        <w:t>The SBDC program is subject to a hierarchy of laws, regulations, contractual obligations and policies. The most applicable are listed below. Unless otherwise noted, the most current version of each document is posted on the MnSBDC Intranet.</w:t>
      </w:r>
    </w:p>
    <w:p w14:paraId="7A3EBB9B" w14:textId="77777777" w:rsidR="00DB4AC9" w:rsidRDefault="00DB4AC9" w:rsidP="00DB4AC9">
      <w:r>
        <w:rPr>
          <w:i/>
          <w:u w:val="single"/>
        </w:rPr>
        <w:t>Federal Legislation</w:t>
      </w:r>
      <w:r>
        <w:t xml:space="preserve"> establishing the SBDC program (Chapter 21 of the Small Business Act, 15 United States Code §648).</w:t>
      </w:r>
    </w:p>
    <w:p w14:paraId="53B02AB5" w14:textId="77777777" w:rsidR="00DB4AC9" w:rsidRDefault="00DB4AC9" w:rsidP="00DB4AC9">
      <w:r>
        <w:rPr>
          <w:i/>
          <w:u w:val="single"/>
        </w:rPr>
        <w:t>SBA Regulations</w:t>
      </w:r>
      <w:r>
        <w:t xml:space="preserve"> governing the SBDC program (13 Code of Federal Regulations §130). These regulations address issues of program eligibility, operating requirements, program responsibilities, matching requirements, budget justification, and other information relating to program operations.</w:t>
      </w:r>
    </w:p>
    <w:p w14:paraId="28635645" w14:textId="77777777" w:rsidR="00DB4AC9" w:rsidRDefault="00DB4AC9" w:rsidP="00DB4AC9">
      <w:r>
        <w:rPr>
          <w:i/>
          <w:u w:val="single"/>
        </w:rPr>
        <w:t>U.S. Office of Management and Budget Circulars</w:t>
      </w:r>
      <w:r>
        <w:t>. The federal government’s Office of Management and Budget (OMB) issues circulars that apply to all organizations that receive federal funds. These documents establish basic financial management principles for determining allowable cost and administrative requirements for recipients of federal funds. These are all listed in Code of Federal Regulations, Title 2 Grants and Agreements, Subtitle A – Office of Management and Budget Guidance for Grants and Agreements, Chapter II – OFFICE OF MANAGEMENT AND BUDGET GUDANCE (Parts 200-299).</w:t>
      </w:r>
    </w:p>
    <w:p w14:paraId="05F159DB" w14:textId="77777777" w:rsidR="00DB4AC9" w:rsidRDefault="00DB4AC9" w:rsidP="00DB4AC9">
      <w:r>
        <w:lastRenderedPageBreak/>
        <w:t xml:space="preserve">The </w:t>
      </w:r>
      <w:r>
        <w:rPr>
          <w:i/>
          <w:u w:val="single"/>
        </w:rPr>
        <w:t>Cooperative Agreement</w:t>
      </w:r>
      <w:r>
        <w:t xml:space="preserve"> between the US Small Business Administration and the Department of Employment and Economic Development. The Cooperative Agreement is negotiated annually, based on a proposal submitted by the lead center.</w:t>
      </w:r>
    </w:p>
    <w:p w14:paraId="1710D04C" w14:textId="77777777" w:rsidR="00DB4AC9" w:rsidRDefault="00DB4AC9" w:rsidP="00DB4AC9">
      <w:r>
        <w:t xml:space="preserve">The annual </w:t>
      </w:r>
      <w:r>
        <w:rPr>
          <w:i/>
          <w:u w:val="single"/>
        </w:rPr>
        <w:t>Notice of Funding Opportunity</w:t>
      </w:r>
      <w:r>
        <w:t xml:space="preserve"> issued by US SBA. The Notice of Funding Opportunity solicits proposals to operate the SBDC program, establishes minimum standards that must be met by recipients, and provides the forms and other materials for submitting a proposal.</w:t>
      </w:r>
    </w:p>
    <w:p w14:paraId="7B13ADC0" w14:textId="77777777" w:rsidR="00DB4AC9" w:rsidRDefault="00DB4AC9" w:rsidP="00DB4AC9">
      <w:r>
        <w:t xml:space="preserve">The annual </w:t>
      </w:r>
      <w:r>
        <w:rPr>
          <w:i/>
          <w:u w:val="single"/>
        </w:rPr>
        <w:t>Funding Proposa</w:t>
      </w:r>
      <w:r>
        <w:t>l is submitted by DEED to US SBA. The proposal is incorporated by reference into the Cooperative Agreement. Accordingly, the milestones and other planned deliverables contained in the proposal are binding on the SBDC network.</w:t>
      </w:r>
    </w:p>
    <w:p w14:paraId="3CFD9D28" w14:textId="77777777" w:rsidR="00DB4AC9" w:rsidRDefault="00DB4AC9" w:rsidP="00DB4AC9">
      <w:r>
        <w:t xml:space="preserve">The annual </w:t>
      </w:r>
      <w:r>
        <w:rPr>
          <w:i/>
          <w:u w:val="single"/>
        </w:rPr>
        <w:t>Grant Contract</w:t>
      </w:r>
      <w:r>
        <w:t xml:space="preserve"> between DEED and the regional center. The grant contract specifies deliverables for the program year. It incorporates by reference the Cooperative Agreement and </w:t>
      </w:r>
      <w:proofErr w:type="gramStart"/>
      <w:r>
        <w:t>all of</w:t>
      </w:r>
      <w:proofErr w:type="gramEnd"/>
      <w:r>
        <w:t xml:space="preserve"> the laws, regulations and policies applicable to the SBDC program.</w:t>
      </w:r>
    </w:p>
    <w:p w14:paraId="6882CB7D" w14:textId="77777777" w:rsidR="00DB4AC9" w:rsidRDefault="00DB4AC9" w:rsidP="00DB4AC9">
      <w:r>
        <w:rPr>
          <w:i/>
          <w:u w:val="single"/>
        </w:rPr>
        <w:t>US SBA Policies</w:t>
      </w:r>
      <w:r>
        <w:t xml:space="preserve"> adopted from time to time (Pertinent policies are posted on the MnSBDC Intranet).</w:t>
      </w:r>
    </w:p>
    <w:p w14:paraId="7CC570F1" w14:textId="77777777" w:rsidR="00DB4AC9" w:rsidRDefault="00DB4AC9" w:rsidP="00DB4AC9">
      <w:r>
        <w:t xml:space="preserve">Applicable </w:t>
      </w:r>
      <w:r>
        <w:rPr>
          <w:i/>
          <w:u w:val="single"/>
        </w:rPr>
        <w:t>Minnesota Law</w:t>
      </w:r>
      <w:r>
        <w:t xml:space="preserve"> (Pertinent laws are posted on the MnSBDC Intranet or by consulting the appropriate statute books).</w:t>
      </w:r>
    </w:p>
    <w:p w14:paraId="3D8ADB64" w14:textId="77777777" w:rsidR="00DB4AC9" w:rsidRDefault="00DB4AC9" w:rsidP="00DB4AC9">
      <w:r>
        <w:rPr>
          <w:i/>
          <w:u w:val="single"/>
        </w:rPr>
        <w:t xml:space="preserve">Minnesota SBDC Policies </w:t>
      </w:r>
      <w:r>
        <w:t>adopted from time to time by the network.</w:t>
      </w:r>
    </w:p>
    <w:p w14:paraId="130F5F53" w14:textId="77777777" w:rsidR="00DB4AC9" w:rsidRDefault="00DB4AC9" w:rsidP="00DB4AC9">
      <w:r>
        <w:br w:type="page"/>
      </w:r>
    </w:p>
    <w:p w14:paraId="4FC8BE61" w14:textId="77777777" w:rsidR="00DB4AC9" w:rsidRDefault="00DB4AC9" w:rsidP="00DB4AC9">
      <w:pPr>
        <w:pStyle w:val="Heading2"/>
      </w:pPr>
      <w:bookmarkStart w:id="16" w:name="_44sinio" w:colFirst="0" w:colLast="0"/>
      <w:bookmarkEnd w:id="16"/>
      <w:r>
        <w:rPr>
          <w:sz w:val="36"/>
          <w:szCs w:val="36"/>
        </w:rPr>
        <w:lastRenderedPageBreak/>
        <w:t>2.  Service Centers</w:t>
      </w:r>
    </w:p>
    <w:p w14:paraId="633C7729"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7" w:name="_2jxsxqh" w:colFirst="0" w:colLast="0"/>
      <w:bookmarkEnd w:id="17"/>
      <w:r w:rsidRPr="00D15C78">
        <w:rPr>
          <w:rFonts w:ascii="Calibri" w:eastAsia="Calibri" w:hAnsi="Calibri" w:cs="Calibri"/>
          <w:b/>
          <w:smallCaps/>
          <w:color w:val="000000"/>
          <w:sz w:val="28"/>
          <w:szCs w:val="28"/>
        </w:rPr>
        <w:t>2.1 Service Delivery</w:t>
      </w:r>
    </w:p>
    <w:p w14:paraId="21B45DA0" w14:textId="77777777" w:rsidR="00DB4AC9" w:rsidRDefault="00DB4AC9" w:rsidP="00DB4AC9">
      <w:r>
        <w:t xml:space="preserve">SBDC services are delivered through a network of service centers. The </w:t>
      </w:r>
      <w:r>
        <w:rPr>
          <w:i/>
          <w:u w:val="single"/>
        </w:rPr>
        <w:t>lead center</w:t>
      </w:r>
      <w:r>
        <w:t xml:space="preserve">, located in the Department of Employment and Economic Development, administers the SBDC program. </w:t>
      </w:r>
      <w:r>
        <w:rPr>
          <w:i/>
          <w:u w:val="single"/>
        </w:rPr>
        <w:t>Service centers</w:t>
      </w:r>
      <w:r>
        <w:t xml:space="preserve">, located throughout the state, provide direct service to clients. Service centers include </w:t>
      </w:r>
      <w:r>
        <w:rPr>
          <w:i/>
          <w:u w:val="single"/>
        </w:rPr>
        <w:t>regional centers</w:t>
      </w:r>
      <w:r>
        <w:t xml:space="preserve"> and </w:t>
      </w:r>
      <w:r>
        <w:rPr>
          <w:i/>
          <w:u w:val="single"/>
        </w:rPr>
        <w:t>sub-regional centers</w:t>
      </w:r>
      <w:r>
        <w:t>. Regional centers contract with DEED to deliver services in their respective geographic areas. Sub-regional centers, also called outreach sites, consulting centers, sub-centers, or satellites, contract with regional centers to deliver services. Congress has directed that SBDC services be provided as close as possible and is readily accessible to small businesses.</w:t>
      </w:r>
      <w:r>
        <w:rPr>
          <w:vertAlign w:val="superscript"/>
        </w:rPr>
        <w:footnoteReference w:id="50"/>
      </w:r>
      <w:r>
        <w:t xml:space="preserve"> Regional centers take this direction into consideration when determining where to locate sub-regional centers.</w:t>
      </w:r>
    </w:p>
    <w:p w14:paraId="1F789506" w14:textId="77777777" w:rsidR="00DB4AC9" w:rsidRDefault="00DB4AC9" w:rsidP="00DB4AC9">
      <w:r>
        <w:t>The state has considerable flexibility in determining the best organizational structure to meet local needs. The state’s organizational structure is proposed to SBA through the annual proposal process. If acceptable, the proposed structure is approved by SBA in the Cooperative Agreement.</w:t>
      </w:r>
      <w:r>
        <w:rPr>
          <w:vertAlign w:val="superscript"/>
        </w:rPr>
        <w:footnoteReference w:id="51"/>
      </w:r>
    </w:p>
    <w:p w14:paraId="6FF9CF1C" w14:textId="77777777" w:rsidR="00DB4AC9" w:rsidRDefault="00DB4AC9" w:rsidP="00DB4AC9">
      <w:r>
        <w:t xml:space="preserve">It is recognized that each regional center has a unique combination of resources, sponsors and clients, and therefore is unique in its delivery of SBDC services. The Minnesota SBDC network values and respects regional differences and offers flexibility in organizational structure and service offerings to regional centers to the extent possible within regulatory constraints and the networks strategic plan. To maintain a consistent level of service quality, however, all regional centers must meet certain minimum standards. These standards are summarized in this section. Detailed information is available in the source documents cited and posted on the internet. </w:t>
      </w:r>
      <w:r>
        <w:rPr>
          <w:vertAlign w:val="superscript"/>
        </w:rPr>
        <w:footnoteReference w:id="52"/>
      </w:r>
    </w:p>
    <w:p w14:paraId="5D8B4D65"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8" w:name="_z337ya" w:colFirst="0" w:colLast="0"/>
      <w:bookmarkEnd w:id="18"/>
      <w:r w:rsidRPr="00D15C78">
        <w:rPr>
          <w:rFonts w:ascii="Calibri" w:eastAsia="Calibri" w:hAnsi="Calibri" w:cs="Calibri"/>
          <w:b/>
          <w:smallCaps/>
          <w:color w:val="000000"/>
          <w:sz w:val="28"/>
          <w:szCs w:val="28"/>
        </w:rPr>
        <w:t>2.2 Service Center Definition</w:t>
      </w:r>
    </w:p>
    <w:p w14:paraId="44250F02" w14:textId="77777777" w:rsidR="00DB4AC9" w:rsidRDefault="00DB4AC9" w:rsidP="00DB4AC9">
      <w:r>
        <w:t>SBDC service providers are SBDC network participants, including the lead center, regional centers, sub-regional centers, and any other entity authorized by the lead center to perform SBDC services.</w:t>
      </w:r>
      <w:r>
        <w:rPr>
          <w:vertAlign w:val="superscript"/>
        </w:rPr>
        <w:footnoteReference w:id="53"/>
      </w:r>
      <w:r>
        <w:t xml:space="preserve"> Entities are authorized by the lead center to perform SBDC services when SBA, in the Cooperative Agreement, accepts the proposal identifying those entities. New service centers may be established during the year. Requests for approval should be sent by the regional center to the lead center.</w:t>
      </w:r>
    </w:p>
    <w:p w14:paraId="5CBD881B"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19" w:name="_3j2qqm3" w:colFirst="0" w:colLast="0"/>
      <w:bookmarkEnd w:id="19"/>
      <w:r w:rsidRPr="00D15C78">
        <w:rPr>
          <w:rFonts w:ascii="Calibri" w:eastAsia="Calibri" w:hAnsi="Calibri" w:cs="Calibri"/>
          <w:b/>
          <w:smallCaps/>
          <w:color w:val="000000"/>
          <w:sz w:val="28"/>
          <w:szCs w:val="28"/>
        </w:rPr>
        <w:t>2.3 Selection of Regional Service Centers</w:t>
      </w:r>
    </w:p>
    <w:p w14:paraId="6E1B5F7A" w14:textId="386F0D01" w:rsidR="00DB4AC9" w:rsidRDefault="00DB4AC9" w:rsidP="00DB4AC9">
      <w:r>
        <w:t xml:space="preserve">Regional service centers are selected on a competitive basis once every three years which may be extended to five years in the future The lead center publishes a Request for Proposals (RFP) in the State Register and distributes the RFP to qualified organizations. Regional centers are selected </w:t>
      </w:r>
      <w:r w:rsidR="0057066A">
        <w:t>based on</w:t>
      </w:r>
      <w:r>
        <w:t xml:space="preserve"> the proposing organization’s ability to deliver a regional business development assistance program and </w:t>
      </w:r>
      <w:r>
        <w:lastRenderedPageBreak/>
        <w:t>responsiveness to the RFP. Existing regional centers are eligible to submit proposals, but the selection of existing entities is not guaranteed.</w:t>
      </w:r>
    </w:p>
    <w:p w14:paraId="2B2ACC33"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20" w:name="_1y810tw" w:colFirst="0" w:colLast="0"/>
      <w:bookmarkEnd w:id="20"/>
      <w:r w:rsidRPr="00D15C78">
        <w:rPr>
          <w:rFonts w:ascii="Calibri" w:eastAsia="Calibri" w:hAnsi="Calibri" w:cs="Calibri"/>
          <w:b/>
          <w:smallCaps/>
          <w:color w:val="000000"/>
          <w:sz w:val="28"/>
          <w:szCs w:val="28"/>
        </w:rPr>
        <w:t>2.4 Service Center Relationship with DEED</w:t>
      </w:r>
    </w:p>
    <w:p w14:paraId="23E88431" w14:textId="77777777" w:rsidR="00DB4AC9" w:rsidRDefault="00DB4AC9" w:rsidP="00DB4AC9">
      <w:r>
        <w:t xml:space="preserve">Regional service centers </w:t>
      </w:r>
      <w:proofErr w:type="gramStart"/>
      <w:r>
        <w:t>enter into</w:t>
      </w:r>
      <w:proofErr w:type="gramEnd"/>
      <w:r>
        <w:t xml:space="preserve"> an annual contract with DEED to deliver services in their respective geographic area. Sub-regional service centers enter into an agreement with regional centers to deliver SBDC services. Such agreements should be in writing, specify deliverables, and be executed annually. </w:t>
      </w:r>
    </w:p>
    <w:p w14:paraId="2A24001A"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21" w:name="_4i7ojhp" w:colFirst="0" w:colLast="0"/>
      <w:bookmarkEnd w:id="21"/>
      <w:r w:rsidRPr="00D15C78">
        <w:rPr>
          <w:rFonts w:ascii="Calibri" w:eastAsia="Calibri" w:hAnsi="Calibri" w:cs="Calibri"/>
          <w:b/>
          <w:smallCaps/>
          <w:color w:val="000000"/>
          <w:sz w:val="28"/>
          <w:szCs w:val="28"/>
        </w:rPr>
        <w:t>2.5 Service Center Operating Requirements</w:t>
      </w:r>
    </w:p>
    <w:p w14:paraId="4224B70B" w14:textId="77777777" w:rsidR="00DB4AC9" w:rsidRDefault="00DB4AC9" w:rsidP="00DB4AC9">
      <w:r>
        <w:t xml:space="preserve">Service center operating requirements are defined by federal regulation, the Notice of Funding Opportunity, the Cooperative Agreement, Terms and Conditions and Minnesota SBDC policy. Some of the key operating requirements are listed below. Details are provided in the applicable </w:t>
      </w:r>
      <w:proofErr w:type="gramStart"/>
      <w:r>
        <w:t>documents, which</w:t>
      </w:r>
      <w:proofErr w:type="gramEnd"/>
      <w:r>
        <w:t xml:space="preserve"> are posted on the MnSBDC Intranet.</w:t>
      </w:r>
    </w:p>
    <w:p w14:paraId="158EF36C" w14:textId="77777777" w:rsidR="00DB4AC9" w:rsidRPr="00742B43" w:rsidRDefault="00DB4AC9" w:rsidP="00DB4AC9">
      <w:pPr>
        <w:pStyle w:val="Heading4"/>
        <w:ind w:left="360"/>
        <w:rPr>
          <w:b/>
          <w:bCs/>
          <w:color w:val="000000" w:themeColor="text1"/>
        </w:rPr>
      </w:pPr>
      <w:bookmarkStart w:id="22" w:name="_2xcytpi" w:colFirst="0" w:colLast="0"/>
      <w:bookmarkEnd w:id="22"/>
      <w:r w:rsidRPr="00742B43">
        <w:rPr>
          <w:b/>
          <w:bCs/>
          <w:color w:val="000000" w:themeColor="text1"/>
        </w:rPr>
        <w:t>2.5.1 Separate Entity</w:t>
      </w:r>
    </w:p>
    <w:p w14:paraId="281D2238" w14:textId="77777777" w:rsidR="00DB4AC9" w:rsidRDefault="00DB4AC9" w:rsidP="00DB4AC9">
      <w:r>
        <w:t>An SBDC service center should be recognizable as a separate entity from its host institution. This can be accomplished by clear signage, using the Minnesota SBDC name when answering the telephone, and encouraging Professional Business Consultants to make it clear to clients that services are being provided by the Minnesota SBDC.</w:t>
      </w:r>
    </w:p>
    <w:p w14:paraId="00B689BA" w14:textId="77777777" w:rsidR="00DB4AC9" w:rsidRDefault="00DB4AC9" w:rsidP="00DB4AC9">
      <w:r>
        <w:t>SBA requires that the designation “Small Business Development Center” be part of the name of every SBDC organization within the SBDC network.</w:t>
      </w:r>
      <w:r>
        <w:rPr>
          <w:vertAlign w:val="superscript"/>
        </w:rPr>
        <w:footnoteReference w:id="54"/>
      </w:r>
    </w:p>
    <w:p w14:paraId="75CE4DB4" w14:textId="77777777" w:rsidR="00DB4AC9" w:rsidRPr="008C2217" w:rsidRDefault="00DB4AC9" w:rsidP="00DB4AC9">
      <w:pPr>
        <w:pStyle w:val="Heading4"/>
        <w:ind w:left="360"/>
        <w:rPr>
          <w:b/>
          <w:bCs/>
          <w:color w:val="000000" w:themeColor="text1"/>
        </w:rPr>
      </w:pPr>
      <w:bookmarkStart w:id="23" w:name="_1ci93xb" w:colFirst="0" w:colLast="0"/>
      <w:bookmarkEnd w:id="23"/>
      <w:r w:rsidRPr="008C2217">
        <w:rPr>
          <w:b/>
          <w:bCs/>
          <w:color w:val="000000" w:themeColor="text1"/>
        </w:rPr>
        <w:t>2.5.2 Staffing</w:t>
      </w:r>
    </w:p>
    <w:p w14:paraId="0687E7E2" w14:textId="77777777" w:rsidR="00DB4AC9" w:rsidRDefault="00DB4AC9" w:rsidP="00DB4AC9">
      <w:r w:rsidRPr="00B350AE">
        <w:t>Regional service centers must have a full-time director.</w:t>
      </w:r>
      <w:r w:rsidRPr="00B350AE">
        <w:rPr>
          <w:vertAlign w:val="superscript"/>
        </w:rPr>
        <w:footnoteReference w:id="55"/>
      </w:r>
      <w:r>
        <w:t xml:space="preserve"> Additionally, the regional center must provide adequate support staff to meet all administrative and record keeping requirements. The regional director determines the staffing (personnel and consultants) needs to operate the SBDC program and deliver services in a timely manner in the region.</w:t>
      </w:r>
    </w:p>
    <w:p w14:paraId="26D780ED" w14:textId="77777777" w:rsidR="00DB4AC9" w:rsidRDefault="00DB4AC9" w:rsidP="00DB4AC9">
      <w:r>
        <w:t xml:space="preserve">Selection of the regional director must be approved by the State Director. </w:t>
      </w:r>
    </w:p>
    <w:p w14:paraId="3479C3F0" w14:textId="77777777" w:rsidR="00DB4AC9" w:rsidRDefault="00DB4AC9" w:rsidP="00DB4AC9">
      <w:r>
        <w:t>Staff personnel should be recruited and selected following the host institution’s established process. Compensation should be based on the level of responsibility and should be comparable to salaries for similar positions in the area served by the SBDC. Recruitment and salary should conform to the policy of the host institution.</w:t>
      </w:r>
      <w:r>
        <w:rPr>
          <w:vertAlign w:val="superscript"/>
        </w:rPr>
        <w:footnoteReference w:id="56"/>
      </w:r>
    </w:p>
    <w:p w14:paraId="3E5E9EBC" w14:textId="77777777" w:rsidR="00DB4AC9" w:rsidRDefault="00DB4AC9" w:rsidP="00DB4AC9">
      <w:r>
        <w:t>Outside consultants should be recruited and selected through a competitive process, using the host institution’s process if there is one. If the host institution does not have an established competitive process for selecting consultants, the SBDC may use a reasonable process that results in full and open competition. A competitive process should be used regardless of the dollar amount of the consultant contract.</w:t>
      </w:r>
    </w:p>
    <w:p w14:paraId="4EFC7640" w14:textId="77777777" w:rsidR="00DB4AC9" w:rsidRDefault="00DB4AC9" w:rsidP="00DB4AC9">
      <w:r>
        <w:lastRenderedPageBreak/>
        <w:t>SBDCs are directed by law to utilize small business vendors in providing services.</w:t>
      </w:r>
      <w:r>
        <w:rPr>
          <w:vertAlign w:val="superscript"/>
        </w:rPr>
        <w:footnoteReference w:id="57"/>
      </w:r>
    </w:p>
    <w:p w14:paraId="46515AED" w14:textId="77777777" w:rsidR="00DB4AC9" w:rsidRPr="008C2217" w:rsidRDefault="00DB4AC9" w:rsidP="00DB4AC9">
      <w:pPr>
        <w:pStyle w:val="Heading4"/>
        <w:ind w:left="360"/>
        <w:rPr>
          <w:b/>
          <w:bCs/>
          <w:color w:val="000000" w:themeColor="text1"/>
        </w:rPr>
      </w:pPr>
      <w:bookmarkStart w:id="24" w:name="_3whwml4" w:colFirst="0" w:colLast="0"/>
      <w:bookmarkEnd w:id="24"/>
      <w:r w:rsidRPr="008C2217">
        <w:rPr>
          <w:b/>
          <w:bCs/>
          <w:color w:val="000000" w:themeColor="text1"/>
        </w:rPr>
        <w:t>2.5.3 Services and Deliverables</w:t>
      </w:r>
    </w:p>
    <w:p w14:paraId="3A1A2298" w14:textId="77777777" w:rsidR="00DB4AC9" w:rsidRDefault="00DB4AC9" w:rsidP="00DB4AC9">
      <w:r>
        <w:t>SBDC services are outlined in the federal law establishing the SBDC program.</w:t>
      </w:r>
      <w:r>
        <w:rPr>
          <w:vertAlign w:val="superscript"/>
        </w:rPr>
        <w:footnoteReference w:id="58"/>
      </w:r>
      <w:r>
        <w:t xml:space="preserve"> In Minnesota, SBDC core services are consulting, training, and access to information. The primary consulting areas historically requested by clients are business planning, financial analysis and loan packaging, and marketing.</w:t>
      </w:r>
    </w:p>
    <w:p w14:paraId="17ADFBA9" w14:textId="77777777" w:rsidR="00DB4AC9" w:rsidRDefault="00DB4AC9" w:rsidP="00DB4AC9">
      <w:r>
        <w:t>By law SBDCs are prohibited from charging fees for consulting.</w:t>
      </w:r>
      <w:r>
        <w:rPr>
          <w:vertAlign w:val="superscript"/>
        </w:rPr>
        <w:footnoteReference w:id="59"/>
      </w:r>
      <w:r>
        <w:t xml:space="preserve"> Loan packaging is considered core consulting. SBDCs may, and are encouraged to, charge fees for training and specialized services, to cover direct costs of providing those services.</w:t>
      </w:r>
      <w:r>
        <w:rPr>
          <w:vertAlign w:val="superscript"/>
        </w:rPr>
        <w:footnoteReference w:id="60"/>
      </w:r>
    </w:p>
    <w:p w14:paraId="089C3F17" w14:textId="77777777" w:rsidR="00DB4AC9" w:rsidRDefault="00DB4AC9" w:rsidP="00DB4AC9">
      <w:r>
        <w:t xml:space="preserve">SBDCs are expected to tailor their services to the needs of small businesses in their service area. To assist in determining those needs, the lead center conducts periodic needs assessments. The results of the </w:t>
      </w:r>
      <w:proofErr w:type="gramStart"/>
      <w:r>
        <w:t>needs assessments should</w:t>
      </w:r>
      <w:proofErr w:type="gramEnd"/>
      <w:r>
        <w:t xml:space="preserve"> be considered in designing program offerings. Regional centers are expected to establish supportive methods of monitoring the development needs of the regional business community. </w:t>
      </w:r>
    </w:p>
    <w:p w14:paraId="6D2D0DC6" w14:textId="18150336" w:rsidR="00DB4AC9" w:rsidRDefault="00DB4AC9" w:rsidP="00DB4AC9">
      <w:r>
        <w:t xml:space="preserve">Regional service contracts specify </w:t>
      </w:r>
      <w:r w:rsidR="00EC721D">
        <w:t>several</w:t>
      </w:r>
      <w:r>
        <w:t xml:space="preserve"> deliverables related to the current goals of the program. </w:t>
      </w:r>
      <w:r w:rsidRPr="00EC721D">
        <w:t>The contract imposes monetary sanctions for failure to meet deliverables.</w:t>
      </w:r>
      <w:r w:rsidRPr="00EC721D">
        <w:rPr>
          <w:vertAlign w:val="superscript"/>
        </w:rPr>
        <w:footnoteReference w:id="61"/>
      </w:r>
    </w:p>
    <w:p w14:paraId="74765C83" w14:textId="77777777" w:rsidR="00DB4AC9" w:rsidRDefault="00DB4AC9" w:rsidP="00DB4AC9">
      <w:r>
        <w:t>Regional centers are expected to market the SBDC program in the service area; work to advance the goals and priorities of the SBDC strategic plan; build local collaborations and secure local support to meet matching contribution requirements and address local needs that cannot be met with federal and state resources; secure qualified program personnel and consultants; participate in the strategic planning process; adequately train program personnel; participate in lead center organized professional development opportunities; monitor regional center database information; follow standardized operational and procedural requirements established by SBA and DEED for the SBDC network, and otherwise respond to reasonable requests by SBA and the state to further the goals of the Minnesota SBDC program.</w:t>
      </w:r>
      <w:r>
        <w:rPr>
          <w:vertAlign w:val="superscript"/>
        </w:rPr>
        <w:footnoteReference w:id="62"/>
      </w:r>
    </w:p>
    <w:p w14:paraId="7BC809E4" w14:textId="77777777" w:rsidR="00DB4AC9" w:rsidRPr="008C2217" w:rsidRDefault="00DB4AC9" w:rsidP="00DB4AC9">
      <w:pPr>
        <w:pStyle w:val="Heading4"/>
        <w:ind w:left="360"/>
        <w:rPr>
          <w:b/>
          <w:bCs/>
          <w:color w:val="000000" w:themeColor="text1"/>
        </w:rPr>
      </w:pPr>
      <w:bookmarkStart w:id="25" w:name="_2bn6wsx" w:colFirst="0" w:colLast="0"/>
      <w:bookmarkEnd w:id="25"/>
      <w:r w:rsidRPr="008C2217">
        <w:rPr>
          <w:b/>
          <w:bCs/>
          <w:color w:val="000000" w:themeColor="text1"/>
        </w:rPr>
        <w:t>2.5.4 Disaster Plans</w:t>
      </w:r>
    </w:p>
    <w:p w14:paraId="44307D38" w14:textId="77777777" w:rsidR="00DB4AC9" w:rsidRDefault="00DB4AC9" w:rsidP="00DB4AC9">
      <w:r>
        <w:t xml:space="preserve">All SBDCs must have disaster operations plans to assure delivery of services to small businesses in their area of </w:t>
      </w:r>
      <w:proofErr w:type="gramStart"/>
      <w:r>
        <w:t>operations</w:t>
      </w:r>
      <w:proofErr w:type="gramEnd"/>
      <w:r>
        <w:t xml:space="preserve"> should a disaster occur. Disaster plans must be coordinated with host institution disaster plans and must be included in the institutional disaster strategy. Disaster plans must be kept </w:t>
      </w:r>
      <w:proofErr w:type="gramStart"/>
      <w:r>
        <w:t>on</w:t>
      </w:r>
      <w:proofErr w:type="gramEnd"/>
      <w:r>
        <w:t xml:space="preserve"> file and available for review by SBA officials. Plans should be reviewed annually by the center directors and updated as needed. SBDCs individually, and in cooperation with SBA and other federal agencies and state and local entities are encouraged to provide disaster recovery assistance to support impacted small businesses in their service area.</w:t>
      </w:r>
      <w:r>
        <w:rPr>
          <w:vertAlign w:val="superscript"/>
        </w:rPr>
        <w:footnoteReference w:id="63"/>
      </w:r>
      <w:r>
        <w:t xml:space="preserve"> The disaster operations plan is posted on the MnSBDC Shared Drive.</w:t>
      </w:r>
    </w:p>
    <w:p w14:paraId="13409DE5" w14:textId="77777777" w:rsidR="00DB4AC9" w:rsidRDefault="00DB4AC9" w:rsidP="00DB4AC9"/>
    <w:p w14:paraId="30F617C9" w14:textId="69A44D47" w:rsidR="00DB4AC9" w:rsidRDefault="00DB4AC9" w:rsidP="00DB4AC9">
      <w:r>
        <w:t xml:space="preserve">Recognizing the importance of timely funding for disaster assistance, the Minnesota SBDC program has reserved up to 2% of Lead Center operating funds </w:t>
      </w:r>
      <w:r w:rsidR="00953CD9">
        <w:t xml:space="preserve">(if sufficient funds are available) </w:t>
      </w:r>
      <w:r>
        <w:t xml:space="preserve">for the provision of disaster assistance during the program year. These funds are flexible, in that they automatically may be deployed for disaster assistance in the event of a disaster with the approval of the State Director at the recommendation of the Regional Director. </w:t>
      </w:r>
      <w:r>
        <w:rPr>
          <w:vertAlign w:val="superscript"/>
        </w:rPr>
        <w:footnoteReference w:id="64"/>
      </w:r>
    </w:p>
    <w:p w14:paraId="6BFB3955" w14:textId="77777777" w:rsidR="00DB4AC9" w:rsidRPr="008C2217" w:rsidRDefault="00DB4AC9" w:rsidP="00DB4AC9">
      <w:pPr>
        <w:pStyle w:val="Heading4"/>
        <w:ind w:left="360"/>
        <w:rPr>
          <w:b/>
          <w:bCs/>
          <w:color w:val="000000" w:themeColor="text1"/>
        </w:rPr>
      </w:pPr>
      <w:bookmarkStart w:id="26" w:name="_qsh70q" w:colFirst="0" w:colLast="0"/>
      <w:bookmarkEnd w:id="26"/>
      <w:r w:rsidRPr="008C2217">
        <w:rPr>
          <w:b/>
          <w:bCs/>
          <w:color w:val="000000" w:themeColor="text1"/>
        </w:rPr>
        <w:t>2.5.5 Facilities</w:t>
      </w:r>
    </w:p>
    <w:p w14:paraId="1FD35E61" w14:textId="70B4956B" w:rsidR="00DB4AC9" w:rsidRDefault="00DB4AC9" w:rsidP="00DB4AC9">
      <w:r>
        <w:t>SBDCs must provide all facilities and materials necessary to operate an SBDC program.</w:t>
      </w:r>
      <w:r>
        <w:rPr>
          <w:vertAlign w:val="superscript"/>
        </w:rPr>
        <w:footnoteReference w:id="65"/>
      </w:r>
      <w:r>
        <w:t xml:space="preserve"> All members of the SBDC network must prominently display the SBA logo, the MnSBDC logo and acknowledgement of support statement at the front of each office as outlined in the MnSBDC Graphic Standards Manual.</w:t>
      </w:r>
      <w:r>
        <w:rPr>
          <w:vertAlign w:val="superscript"/>
        </w:rPr>
        <w:footnoteReference w:id="66"/>
      </w:r>
      <w:r>
        <w:t xml:space="preserve"> Office space should be sufficient to perform SBDC responsibilities. Adequate space for offices, files, library resources, and computer and photocopy equipment should be available. Areas used for client consulting should be adequate to protect client confidentiality. All digital devices accessing client data must be password protected and appropriately protected with anti-virus software.  </w:t>
      </w:r>
      <w:r w:rsidR="00144F8D">
        <w:t xml:space="preserve">Only center personnel and network members </w:t>
      </w:r>
      <w:r w:rsidR="00327E8E">
        <w:t xml:space="preserve">who have </w:t>
      </w:r>
      <w:r w:rsidR="00F25535">
        <w:t xml:space="preserve">received training and </w:t>
      </w:r>
      <w:r w:rsidR="00327E8E">
        <w:t xml:space="preserve">signed the </w:t>
      </w:r>
      <w:r w:rsidR="00F25535">
        <w:t xml:space="preserve">code of conduct form may </w:t>
      </w:r>
      <w:r w:rsidR="00144F8D">
        <w:t>have access to client files.</w:t>
      </w:r>
    </w:p>
    <w:p w14:paraId="0AD86351" w14:textId="77777777" w:rsidR="00DB4AC9" w:rsidRPr="008C2217" w:rsidRDefault="00DB4AC9" w:rsidP="00DB4AC9">
      <w:pPr>
        <w:pStyle w:val="Heading4"/>
        <w:ind w:left="360"/>
        <w:rPr>
          <w:b/>
          <w:bCs/>
          <w:color w:val="000000" w:themeColor="text1"/>
        </w:rPr>
      </w:pPr>
      <w:bookmarkStart w:id="27" w:name="_3as4poj" w:colFirst="0" w:colLast="0"/>
      <w:bookmarkEnd w:id="27"/>
      <w:r w:rsidRPr="008C2217">
        <w:rPr>
          <w:b/>
          <w:bCs/>
          <w:color w:val="000000" w:themeColor="text1"/>
        </w:rPr>
        <w:t>2.5.6 Accessibility</w:t>
      </w:r>
    </w:p>
    <w:p w14:paraId="2A66D71F" w14:textId="77777777" w:rsidR="00DB4AC9" w:rsidRDefault="00DB4AC9" w:rsidP="00DB4AC9">
      <w:r>
        <w:t>SBDC services must be provided as close as possible and accessible to small businesses in the service area.</w:t>
      </w:r>
      <w:r>
        <w:rPr>
          <w:vertAlign w:val="superscript"/>
        </w:rPr>
        <w:footnoteReference w:id="67"/>
      </w:r>
      <w:r>
        <w:t xml:space="preserve"> As a matter of practice, SBDCs should strive to </w:t>
      </w:r>
      <w:proofErr w:type="gramStart"/>
      <w:r>
        <w:t>assure</w:t>
      </w:r>
      <w:proofErr w:type="gramEnd"/>
      <w:r>
        <w:t xml:space="preserve"> that clients do not have to travel more than an hour to receive services. Centers can meet this standard by placing consulting centers or outreach locations in population centers within the region, meeting with clients at their place of business, and using electronic media.</w:t>
      </w:r>
    </w:p>
    <w:p w14:paraId="465778AF" w14:textId="77777777" w:rsidR="00DB4AC9" w:rsidRDefault="00DB4AC9" w:rsidP="00DB4AC9">
      <w:r>
        <w:t>Adequate signage and convenient parking should be provided to facilitate access for all clients. As a practical consideration, a minimum of two dedicated parking spaces should be available at each consulting site unless the costs to maintain spaces that are not in regular use outweigh the benefits.</w:t>
      </w:r>
    </w:p>
    <w:p w14:paraId="24BDA2CC" w14:textId="77777777" w:rsidR="00DB4AC9" w:rsidRDefault="00DB4AC9" w:rsidP="00DB4AC9">
      <w:r>
        <w:t>In compliance with federal and state civil and human rights laws,</w:t>
      </w:r>
      <w:r>
        <w:rPr>
          <w:vertAlign w:val="superscript"/>
        </w:rPr>
        <w:footnoteReference w:id="68"/>
      </w:r>
      <w:r>
        <w:t xml:space="preserve"> SBDC services are available to existing and prospective small business owners without discrimination as to race, gender, color, creed, religion, </w:t>
      </w:r>
      <w:r>
        <w:lastRenderedPageBreak/>
        <w:t xml:space="preserve">disability, national origin, marital status or sexual orientation. Upon request, service centers must </w:t>
      </w:r>
      <w:proofErr w:type="gramStart"/>
      <w:r>
        <w:t>make arrangements</w:t>
      </w:r>
      <w:proofErr w:type="gramEnd"/>
      <w:r>
        <w:t xml:space="preserve"> to reasonably accommodate persons with disabilities.</w:t>
      </w:r>
      <w:r>
        <w:rPr>
          <w:vertAlign w:val="superscript"/>
        </w:rPr>
        <w:footnoteReference w:id="69"/>
      </w:r>
    </w:p>
    <w:p w14:paraId="1A1B420E" w14:textId="77777777" w:rsidR="00DB4AC9" w:rsidRPr="008C2217" w:rsidRDefault="00DB4AC9" w:rsidP="00DB4AC9">
      <w:pPr>
        <w:pStyle w:val="Heading4"/>
        <w:ind w:left="360"/>
        <w:rPr>
          <w:b/>
          <w:bCs/>
          <w:color w:val="000000" w:themeColor="text1"/>
        </w:rPr>
      </w:pPr>
      <w:bookmarkStart w:id="28" w:name="_1pxezwc" w:colFirst="0" w:colLast="0"/>
      <w:bookmarkEnd w:id="28"/>
      <w:r w:rsidRPr="008C2217">
        <w:rPr>
          <w:b/>
          <w:bCs/>
          <w:color w:val="000000" w:themeColor="text1"/>
        </w:rPr>
        <w:t>2.5.7 Hours of Operation</w:t>
      </w:r>
    </w:p>
    <w:p w14:paraId="22C1D3AD" w14:textId="77777777" w:rsidR="00DB4AC9" w:rsidRDefault="00DB4AC9" w:rsidP="00DB4AC9">
      <w:r>
        <w:t>The lead center and all service centers must operate on at least a 40-hour a week basis and must be open when and where possible to meet the needs of their clients.</w:t>
      </w:r>
      <w:r>
        <w:rPr>
          <w:vertAlign w:val="superscript"/>
        </w:rPr>
        <w:footnoteReference w:id="70"/>
      </w:r>
      <w:r>
        <w:t xml:space="preserve"> SBDCs should be open during the normal business hours of their host institution. Emergency closures must be reported to the lead center as soon as feasible, and no later than 10 days after the closure.</w:t>
      </w:r>
    </w:p>
    <w:p w14:paraId="00E25D5B" w14:textId="77777777" w:rsidR="00DB4AC9" w:rsidRDefault="00DB4AC9" w:rsidP="00DB4AC9"/>
    <w:p w14:paraId="072426CE" w14:textId="77777777" w:rsidR="00DB4AC9" w:rsidRDefault="00DB4AC9" w:rsidP="00DB4AC9">
      <w:r>
        <w:t>When a client cannot meet during normal working hours, an appointment should be scheduled to accommodate the client, including at night or on a weekend. The use of electronic consulting and distance learning to expand the availability of SBDC services is encouraged.</w:t>
      </w:r>
    </w:p>
    <w:p w14:paraId="10F16FE7" w14:textId="6C3AEB1F" w:rsidR="00DB4AC9" w:rsidRPr="008C2217" w:rsidRDefault="00DB4AC9" w:rsidP="00DB4AC9">
      <w:pPr>
        <w:pStyle w:val="Heading4"/>
        <w:ind w:left="360"/>
        <w:rPr>
          <w:b/>
          <w:bCs/>
          <w:color w:val="000000" w:themeColor="text1"/>
        </w:rPr>
      </w:pPr>
      <w:bookmarkStart w:id="29" w:name="_49x2ik5" w:colFirst="0" w:colLast="0"/>
      <w:bookmarkEnd w:id="29"/>
      <w:r w:rsidRPr="008C2217">
        <w:rPr>
          <w:b/>
          <w:bCs/>
          <w:color w:val="000000" w:themeColor="text1"/>
        </w:rPr>
        <w:t xml:space="preserve">2.5.8 </w:t>
      </w:r>
      <w:r w:rsidR="008C2217">
        <w:rPr>
          <w:b/>
          <w:bCs/>
          <w:color w:val="000000" w:themeColor="text1"/>
        </w:rPr>
        <w:t>CRM</w:t>
      </w:r>
      <w:r w:rsidRPr="008C2217">
        <w:rPr>
          <w:b/>
          <w:bCs/>
          <w:color w:val="000000" w:themeColor="text1"/>
        </w:rPr>
        <w:t xml:space="preserve"> System (Neoserra)</w:t>
      </w:r>
    </w:p>
    <w:p w14:paraId="195E9F57" w14:textId="7F91E7B6" w:rsidR="00DB4AC9" w:rsidRDefault="00DB4AC9" w:rsidP="00DB4AC9">
      <w:r>
        <w:t xml:space="preserve">The SBDC network uses Neoserra as its customer relationship management (CRM) system (a product of Outreach Systems). Neoserra is </w:t>
      </w:r>
      <w:proofErr w:type="gramStart"/>
      <w:r>
        <w:t>the</w:t>
      </w:r>
      <w:proofErr w:type="gramEnd"/>
      <w:r>
        <w:t xml:space="preserve"> Internet-based secure site application. Regional centers enter all clients, consulting, and training seminar information into Neoserra. Because Neoserra is Internet-based, the lead center has real-time access to the database for program monitoring, preparation of statewide reports and other program management purposes. Through permissions arranged by the database administrator in the lead center, regional center directors and program personnel likewise have access to Neoserra for data entry and local program management.</w:t>
      </w:r>
    </w:p>
    <w:p w14:paraId="5E138117" w14:textId="77777777" w:rsidR="00DB4AC9" w:rsidRDefault="00DB4AC9" w:rsidP="00DB4AC9">
      <w:r>
        <w:t>The cost of Neoserra licensing is paid by the lead center. Online support is available on the Neoserra site under the ‘Help’</w:t>
      </w:r>
      <w:proofErr w:type="gramStart"/>
      <w:r>
        <w:t xml:space="preserve"> selection</w:t>
      </w:r>
      <w:proofErr w:type="gramEnd"/>
      <w:r>
        <w:t xml:space="preserve"> in the form of pre-recorded webinars and on-going live webinars. In addition, helpful ‘Frequently Asked Questions’ (FAQ) help to get a new user up to speed quickly, also under the ‘Help’ section in Neoserra. Supportive training on use of the system is available as needed through the lead center. </w:t>
      </w:r>
    </w:p>
    <w:p w14:paraId="2D4C458E" w14:textId="77777777" w:rsidR="00DB4AC9" w:rsidRDefault="00DB4AC9" w:rsidP="00DB4AC9">
      <w:r>
        <w:t xml:space="preserve">Regional centers are expected to make timely entries in Neoserra and ensure accuracy of regional data. All regional center activity including consulting sessions, investment sessions and milestones must be recorded in Neoserra </w:t>
      </w:r>
      <w:r w:rsidRPr="00AD6AC8">
        <w:rPr>
          <w:u w:val="single"/>
        </w:rPr>
        <w:t>by the 14</w:t>
      </w:r>
      <w:r w:rsidRPr="00AD6AC8">
        <w:rPr>
          <w:u w:val="single"/>
          <w:vertAlign w:val="superscript"/>
        </w:rPr>
        <w:t>th</w:t>
      </w:r>
      <w:r w:rsidRPr="00AD6AC8">
        <w:rPr>
          <w:u w:val="single"/>
        </w:rPr>
        <w:t xml:space="preserve"> of the month following the close of the preceding month</w:t>
      </w:r>
      <w:r>
        <w:t>, e.g. all January activity must be added by February 14th. Consulting session entries should not be grouped, rather, distinctive sessions should be entered for consulting or preparation activity that occurred on different days. All regional centers must monitor the entry and accuracy of the activity information and data entered by their center network members. At a minimum, regional centers must review and perform database cleanup operations by the 15th</w:t>
      </w:r>
      <w:r>
        <w:rPr>
          <w:vertAlign w:val="superscript"/>
        </w:rPr>
        <w:t xml:space="preserve"> </w:t>
      </w:r>
      <w:r>
        <w:t xml:space="preserve">of the month that </w:t>
      </w:r>
      <w:proofErr w:type="gramStart"/>
      <w:r>
        <w:t>contains</w:t>
      </w:r>
      <w:proofErr w:type="gramEnd"/>
      <w:r>
        <w:t xml:space="preserve"> quarter-end reports: April 15, July 15, October 15 and January 15.</w:t>
      </w:r>
    </w:p>
    <w:p w14:paraId="621533D9" w14:textId="77777777" w:rsidR="00DB4AC9" w:rsidRDefault="00DB4AC9" w:rsidP="00DB4AC9">
      <w:r>
        <w:t>Further information on MnSBDC Neoserra entry policy is provided in the MnSBDC Network User Neoserra User Guide and the MnSBDC Database Review and Cleanup Procedure Guide that can be found on the MnSBDC Shared Drive</w:t>
      </w:r>
    </w:p>
    <w:p w14:paraId="6272EECF" w14:textId="77777777" w:rsidR="00DB4AC9" w:rsidRPr="00472E95" w:rsidRDefault="00DB4AC9" w:rsidP="00DB4AC9">
      <w:pPr>
        <w:pStyle w:val="Heading4"/>
        <w:ind w:left="360"/>
        <w:rPr>
          <w:b/>
          <w:bCs/>
          <w:color w:val="000000" w:themeColor="text1"/>
        </w:rPr>
      </w:pPr>
      <w:bookmarkStart w:id="30" w:name="_2p2csry" w:colFirst="0" w:colLast="0"/>
      <w:bookmarkEnd w:id="30"/>
      <w:r w:rsidRPr="00472E95">
        <w:rPr>
          <w:b/>
          <w:bCs/>
          <w:color w:val="000000" w:themeColor="text1"/>
        </w:rPr>
        <w:lastRenderedPageBreak/>
        <w:t>2.5.9 Code of Conduct</w:t>
      </w:r>
    </w:p>
    <w:p w14:paraId="6E407960" w14:textId="77777777" w:rsidR="00DB4AC9" w:rsidRDefault="00DB4AC9" w:rsidP="00DB4AC9">
      <w:r>
        <w:t>All SBDC personnel are required to comply with the SBDC Code of Conduct (e.g. Conflict of Interest) policy.</w:t>
      </w:r>
      <w:r>
        <w:rPr>
          <w:vertAlign w:val="superscript"/>
        </w:rPr>
        <w:footnoteReference w:id="71"/>
      </w:r>
      <w:r>
        <w:t xml:space="preserve"> Regional directors are responsible for obtaining </w:t>
      </w:r>
      <w:proofErr w:type="gramStart"/>
      <w:r>
        <w:t>a signed</w:t>
      </w:r>
      <w:proofErr w:type="gramEnd"/>
      <w:r>
        <w:t xml:space="preserve"> COI forms from all SBDC employees, instructors, students, volunteers, host agency and outreach center staff and professional business consultants who provide consultation services (direct or indirect) or have access to client information or files. The COI must be signed prior to having access to client data or engaging in client consulting. A COI form must be signed by all personnel once per program year and the regional center director must provide a copy of the signature page to the lead center within ten days of being executed.</w:t>
      </w:r>
    </w:p>
    <w:p w14:paraId="3A7D5395" w14:textId="77777777" w:rsidR="00DB4AC9" w:rsidRPr="00472E95" w:rsidRDefault="00DB4AC9" w:rsidP="00DB4AC9">
      <w:pPr>
        <w:pStyle w:val="Heading4"/>
        <w:ind w:left="360"/>
        <w:rPr>
          <w:b/>
          <w:bCs/>
          <w:color w:val="000000" w:themeColor="text1"/>
        </w:rPr>
      </w:pPr>
      <w:bookmarkStart w:id="31" w:name="_147n2zr" w:colFirst="0" w:colLast="0"/>
      <w:bookmarkEnd w:id="31"/>
      <w:r w:rsidRPr="00472E95">
        <w:rPr>
          <w:b/>
          <w:bCs/>
          <w:color w:val="000000" w:themeColor="text1"/>
        </w:rPr>
        <w:t>2.5.10 Debarment Certification</w:t>
      </w:r>
    </w:p>
    <w:p w14:paraId="74FC50C5" w14:textId="77777777" w:rsidR="00DB4AC9" w:rsidRDefault="00DB4AC9" w:rsidP="00DB4AC9">
      <w:r>
        <w:t>All SBDC personnel are required to be certified that either they, or the undersigned organization, are not presently debarred, suspended, proposed for debarment, declared ineligible, or voluntarily excluded from participation in the SBDC program by any federal department or agency. Regional directors are responsible for obtaining a signed Debarment Certification</w:t>
      </w:r>
      <w:r>
        <w:rPr>
          <w:vertAlign w:val="superscript"/>
        </w:rPr>
        <w:footnoteReference w:id="72"/>
      </w:r>
      <w:r>
        <w:t xml:space="preserve"> form from all private consultants and volunteer consultants prior to engaging in client consulting. A Debarment Certification form must be signed by all professional business consultants and volunteer consultants once per program year and the regional center must provide a copy of all signed forms to the lead center within ten days of signature by posting on the MnSBDC Shared Drive. A Debarment Certification form must be signed by the signature authority of the regional center and submitted to the lead center within ten days of signature, once per program year. The signed form is inclusive of regional center personnel of the host institution, (e.g., regional directors, regional coordinators, employees, consultants and student workers).</w:t>
      </w:r>
    </w:p>
    <w:p w14:paraId="0EB38703" w14:textId="77777777" w:rsidR="00DB4AC9" w:rsidRPr="00472E95" w:rsidRDefault="00DB4AC9" w:rsidP="00DB4AC9">
      <w:pPr>
        <w:pStyle w:val="Heading4"/>
        <w:ind w:left="360"/>
        <w:rPr>
          <w:b/>
          <w:bCs/>
          <w:color w:val="000000" w:themeColor="text1"/>
        </w:rPr>
      </w:pPr>
      <w:bookmarkStart w:id="32" w:name="_3o7alnk" w:colFirst="0" w:colLast="0"/>
      <w:bookmarkEnd w:id="32"/>
      <w:r w:rsidRPr="00472E95">
        <w:rPr>
          <w:b/>
          <w:bCs/>
          <w:color w:val="000000" w:themeColor="text1"/>
        </w:rPr>
        <w:t>2.5.11 Data Practices</w:t>
      </w:r>
    </w:p>
    <w:p w14:paraId="184F31DE" w14:textId="77777777" w:rsidR="00DB4AC9" w:rsidRDefault="00DB4AC9" w:rsidP="00DB4AC9">
      <w:r>
        <w:t>SBDCs are expected to comply with the Code of Federal Regulations, Minnesota Data Practices Act and with the terms of the Cooperative Agreement concerning the collection, retention, use and release of data on individuals and individual businesses.</w:t>
      </w:r>
      <w:r>
        <w:rPr>
          <w:vertAlign w:val="superscript"/>
        </w:rPr>
        <w:footnoteReference w:id="73"/>
      </w:r>
      <w:r>
        <w:t xml:space="preserve"> In general, the Code of Federal Regulations states that SBDCs may not disclose the name address or telephone number of any small business receiving assistance from the SBDC.</w:t>
      </w:r>
      <w:r>
        <w:rPr>
          <w:vertAlign w:val="superscript"/>
        </w:rPr>
        <w:footnoteReference w:id="74"/>
      </w:r>
      <w:r>
        <w:t xml:space="preserve"> The Data Practices Act states that all data collected by a public agency (and contractors of public agencies) is public unless classified otherwise by law. These regulations are very complex, and legal questions concerning the relationship of the Data Practices Act and SBA requirements have not been fully resolved. Accordingly, when an SBDC receives a request for information under the Minnesota Data Practices Act or the federal Freedom of Information Act, the regional director should contact the state director for advice on how to proceed. In many cases, legal </w:t>
      </w:r>
      <w:proofErr w:type="gramStart"/>
      <w:r>
        <w:t>consult</w:t>
      </w:r>
      <w:proofErr w:type="gramEnd"/>
      <w:r>
        <w:t xml:space="preserve"> for the host institution also will be involved in the discussion and decision.</w:t>
      </w:r>
    </w:p>
    <w:p w14:paraId="3138D8D5" w14:textId="654AA5F2" w:rsidR="00DB4AC9" w:rsidRDefault="00DB4AC9" w:rsidP="00DB4AC9">
      <w:r>
        <w:t>Note that while client</w:t>
      </w:r>
      <w:r w:rsidR="006A1A12">
        <w:t>s</w:t>
      </w:r>
      <w:r>
        <w:t xml:space="preserve"> may have access to their file notes on Neoserra when this information is requested by the client, the State Director should immediately be contacted since requesting this information is highly unusual and usually revolves around other issues such as legal matters. A careful plan for release of this information must be agreed upon with State Director once all context in the matter is fully understood.</w:t>
      </w:r>
    </w:p>
    <w:p w14:paraId="6CE32C48" w14:textId="77777777" w:rsidR="00DB4AC9" w:rsidRPr="00472E95" w:rsidRDefault="00DB4AC9" w:rsidP="00DB4AC9">
      <w:pPr>
        <w:pStyle w:val="Heading4"/>
        <w:ind w:left="360"/>
        <w:rPr>
          <w:b/>
          <w:bCs/>
          <w:color w:val="000000" w:themeColor="text1"/>
        </w:rPr>
      </w:pPr>
      <w:bookmarkStart w:id="33" w:name="_23ckvvd" w:colFirst="0" w:colLast="0"/>
      <w:bookmarkEnd w:id="33"/>
      <w:r w:rsidRPr="00472E95">
        <w:rPr>
          <w:b/>
          <w:bCs/>
          <w:color w:val="000000" w:themeColor="text1"/>
        </w:rPr>
        <w:lastRenderedPageBreak/>
        <w:t>2.5.12 Library Resources</w:t>
      </w:r>
    </w:p>
    <w:p w14:paraId="6226BC3E" w14:textId="77777777" w:rsidR="00DB4AC9" w:rsidRDefault="00DB4AC9" w:rsidP="00DB4AC9">
      <w:r>
        <w:t>Legislation establishing the SBDC program requires SBDCs to provide and maintain access to information through a variety of mediums that contains current information and statistical data needed by small businesses.</w:t>
      </w:r>
      <w:r>
        <w:rPr>
          <w:vertAlign w:val="superscript"/>
        </w:rPr>
        <w:footnoteReference w:id="75"/>
      </w:r>
      <w:r>
        <w:t xml:space="preserve"> The SBDC also must maintain current information concerning federal, state and local regulations that affect small businesses.</w:t>
      </w:r>
      <w:r>
        <w:rPr>
          <w:vertAlign w:val="superscript"/>
        </w:rPr>
        <w:footnoteReference w:id="76"/>
      </w:r>
      <w:r>
        <w:t xml:space="preserve"> The Lead Center currently maintains access to two paid database sources, Bizminer and Vertical IQ, that provides useful information for consultants to use with clients. In addition, the public library maintains data sources that can be tapped for additional information.</w:t>
      </w:r>
    </w:p>
    <w:p w14:paraId="03107A8F" w14:textId="77777777" w:rsidR="00DB4AC9" w:rsidRPr="00472E95" w:rsidRDefault="00DB4AC9" w:rsidP="00DB4AC9">
      <w:pPr>
        <w:pStyle w:val="Heading4"/>
        <w:ind w:left="360"/>
        <w:rPr>
          <w:b/>
          <w:bCs/>
          <w:color w:val="000000" w:themeColor="text1"/>
        </w:rPr>
      </w:pPr>
      <w:bookmarkStart w:id="34" w:name="_ihv636" w:colFirst="0" w:colLast="0"/>
      <w:bookmarkEnd w:id="34"/>
      <w:r w:rsidRPr="00472E95">
        <w:rPr>
          <w:b/>
          <w:bCs/>
          <w:color w:val="000000" w:themeColor="text1"/>
        </w:rPr>
        <w:t>2.5.13 Resource Development</w:t>
      </w:r>
    </w:p>
    <w:p w14:paraId="2A3A5FDF" w14:textId="77777777" w:rsidR="00DB4AC9" w:rsidRDefault="00DB4AC9" w:rsidP="00DB4AC9">
      <w:r>
        <w:t xml:space="preserve">SBDCs are expected to form local partnerships and collaborations and engage in fundraising to develop resources to meet client needs that cannot be met with SBDC program funds. SBA must approve all contracts, grants and cooperative agreements lead centers </w:t>
      </w:r>
      <w:proofErr w:type="gramStart"/>
      <w:r>
        <w:t>enter into</w:t>
      </w:r>
      <w:proofErr w:type="gramEnd"/>
      <w:r>
        <w:t xml:space="preserve"> with other federal agencies, either individually or as part of a joint effort with other entities.</w:t>
      </w:r>
      <w:r>
        <w:rPr>
          <w:vertAlign w:val="superscript"/>
        </w:rPr>
        <w:footnoteReference w:id="77"/>
      </w:r>
      <w:r>
        <w:t xml:space="preserve"> The lead center must obtain this approval before applying for the federal funds. The lead center must demonstrate that performance of the agreement will assist small business concerns without hindering the ability of the lead center to operate the SBDC program as set forth in the Cooperative Agreement.</w:t>
      </w:r>
      <w:r>
        <w:rPr>
          <w:vertAlign w:val="superscript"/>
        </w:rPr>
        <w:footnoteReference w:id="78"/>
      </w:r>
    </w:p>
    <w:p w14:paraId="1C7CB007" w14:textId="77777777" w:rsidR="00DB4AC9" w:rsidRPr="00472E95" w:rsidRDefault="00DB4AC9" w:rsidP="00DB4AC9">
      <w:pPr>
        <w:pStyle w:val="Heading4"/>
        <w:ind w:left="360"/>
        <w:rPr>
          <w:b/>
          <w:bCs/>
          <w:color w:val="000000" w:themeColor="text1"/>
        </w:rPr>
      </w:pPr>
      <w:bookmarkStart w:id="35" w:name="_32hioqz" w:colFirst="0" w:colLast="0"/>
      <w:bookmarkEnd w:id="35"/>
      <w:r w:rsidRPr="00472E95">
        <w:rPr>
          <w:b/>
          <w:bCs/>
          <w:color w:val="000000" w:themeColor="text1"/>
        </w:rPr>
        <w:t>2.5.14 Lobbying Restrictions</w:t>
      </w:r>
    </w:p>
    <w:p w14:paraId="7679C7FE" w14:textId="77777777" w:rsidR="00DB4AC9" w:rsidRDefault="00DB4AC9" w:rsidP="00DB4AC9">
      <w:r>
        <w:t>SBDCs are prohibited by law</w:t>
      </w:r>
      <w:r>
        <w:rPr>
          <w:vertAlign w:val="superscript"/>
        </w:rPr>
        <w:footnoteReference w:id="79"/>
      </w:r>
      <w:r>
        <w:t xml:space="preserve"> and, for regional centers the grant contract</w:t>
      </w:r>
      <w:r>
        <w:rPr>
          <w:vertAlign w:val="superscript"/>
        </w:rPr>
        <w:footnoteReference w:id="80"/>
      </w:r>
      <w:r>
        <w:t xml:space="preserve">, from using federal funds to pay any person to influence or attempt to influence </w:t>
      </w:r>
      <w:proofErr w:type="gramStart"/>
      <w:r>
        <w:t>persons</w:t>
      </w:r>
      <w:proofErr w:type="gramEnd"/>
      <w:r>
        <w:t xml:space="preserve"> in the federal executive or legislative branches in connection with a specific contract, grant, or other covered federal transaction. SBDCs must disclose to SBA the use of non-federal funds to pay any person to influence or attempt to influence the federal government in connection with the cooperative agreement. Further guidance is available from the lead center.</w:t>
      </w:r>
    </w:p>
    <w:p w14:paraId="38FA581B"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36" w:name="_1hmsyys" w:colFirst="0" w:colLast="0"/>
      <w:bookmarkEnd w:id="36"/>
      <w:r w:rsidRPr="00D15C78">
        <w:rPr>
          <w:rFonts w:ascii="Calibri" w:eastAsia="Calibri" w:hAnsi="Calibri" w:cs="Calibri"/>
          <w:b/>
          <w:smallCaps/>
          <w:color w:val="000000"/>
          <w:sz w:val="28"/>
          <w:szCs w:val="28"/>
        </w:rPr>
        <w:t>2.6 Reports and Record Keeping</w:t>
      </w:r>
    </w:p>
    <w:p w14:paraId="7712CEF5" w14:textId="62ABC26D" w:rsidR="00DB4AC9" w:rsidRDefault="00DB4AC9" w:rsidP="00DB4AC9">
      <w:r>
        <w:t xml:space="preserve">Reporting schedules and forms to comply with SBA requirements are developed by the lead center and communicated to regional centers through the MnSBDC Shared Drive. Reports </w:t>
      </w:r>
      <w:proofErr w:type="gramStart"/>
      <w:r>
        <w:t>of</w:t>
      </w:r>
      <w:proofErr w:type="gramEnd"/>
      <w:r>
        <w:t xml:space="preserve"> consulting, training and investment session activities are submitted by DEED to SBA </w:t>
      </w:r>
      <w:r w:rsidR="008B6674">
        <w:t>quarterly and</w:t>
      </w:r>
      <w:r>
        <w:t xml:space="preserve"> are prepared from entries in the Neoserra database. Other periodic reports submitted by DEED include </w:t>
      </w:r>
      <w:proofErr w:type="gramStart"/>
      <w:r>
        <w:t>a semi</w:t>
      </w:r>
      <w:proofErr w:type="gramEnd"/>
      <w:r>
        <w:t>-annual and annual narrative performance reports, semi-annual and annual financial reports, and programmatic and financial review reports.</w:t>
      </w:r>
    </w:p>
    <w:p w14:paraId="279A9454" w14:textId="77777777" w:rsidR="00DB4AC9" w:rsidRDefault="00DB4AC9" w:rsidP="00DB4AC9">
      <w:r>
        <w:t>SBDCs are expected to maintain complete and accurate records and supporting documentation to facilitate thorough financial and program audits.</w:t>
      </w:r>
      <w:r>
        <w:rPr>
          <w:vertAlign w:val="superscript"/>
        </w:rPr>
        <w:footnoteReference w:id="81"/>
      </w:r>
      <w:r>
        <w:t xml:space="preserve"> These include consulting records, training records, client evaluations, and financial records sufficient to support a financial audit.</w:t>
      </w:r>
    </w:p>
    <w:p w14:paraId="70390FC9" w14:textId="77777777" w:rsidR="00DB4AC9" w:rsidRDefault="00DB4AC9" w:rsidP="00DB4AC9">
      <w:r>
        <w:lastRenderedPageBreak/>
        <w:t xml:space="preserve">Records must be </w:t>
      </w:r>
      <w:proofErr w:type="gramStart"/>
      <w:r>
        <w:t>kept</w:t>
      </w:r>
      <w:proofErr w:type="gramEnd"/>
      <w:r>
        <w:t xml:space="preserve"> a minimum of three years following the date the final expenditure report is submitted, or three years following the conclusion of an audit, whichever is longer.</w:t>
      </w:r>
      <w:r>
        <w:rPr>
          <w:vertAlign w:val="superscript"/>
        </w:rPr>
        <w:footnoteReference w:id="82"/>
      </w:r>
      <w:r>
        <w:t xml:space="preserve"> If the host institution has a longer record retention policy, the host institution policy should be followed.</w:t>
      </w:r>
    </w:p>
    <w:p w14:paraId="581F97D7"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37" w:name="_41mghml" w:colFirst="0" w:colLast="0"/>
      <w:bookmarkEnd w:id="37"/>
      <w:r w:rsidRPr="00D15C78">
        <w:rPr>
          <w:rFonts w:ascii="Calibri" w:eastAsia="Calibri" w:hAnsi="Calibri" w:cs="Calibri"/>
          <w:b/>
          <w:smallCaps/>
          <w:color w:val="000000"/>
          <w:sz w:val="28"/>
          <w:szCs w:val="28"/>
        </w:rPr>
        <w:t>2.7 Examinations, Audits and Accreditation</w:t>
      </w:r>
    </w:p>
    <w:p w14:paraId="4F10FCD4" w14:textId="77777777" w:rsidR="00DB4AC9" w:rsidRDefault="00DB4AC9" w:rsidP="00DB4AC9">
      <w:r>
        <w:t>SBA may make programmatic and financial review visits to any SBDC service provider to inspect records and client files, and to analyze and assess SBDC activities.</w:t>
      </w:r>
      <w:r>
        <w:rPr>
          <w:vertAlign w:val="superscript"/>
        </w:rPr>
        <w:footnoteReference w:id="83"/>
      </w:r>
      <w:r>
        <w:t xml:space="preserve"> SBA is required by law to conduct a biennial programmatic and a financial examination of each SBDC.</w:t>
      </w:r>
      <w:r>
        <w:rPr>
          <w:vertAlign w:val="superscript"/>
        </w:rPr>
        <w:footnoteReference w:id="84"/>
      </w:r>
      <w:r>
        <w:t xml:space="preserve"> All SBDCs must participate in this examination.</w:t>
      </w:r>
      <w:r>
        <w:rPr>
          <w:vertAlign w:val="superscript"/>
        </w:rPr>
        <w:footnoteReference w:id="85"/>
      </w:r>
      <w:r>
        <w:t xml:space="preserve"> The examination is coordinated through the lead center. Service centers are subject to audit by SBA, DEED, the Minnesota Legislative Auditor, and any independent auditor designated by DEED.</w:t>
      </w:r>
      <w:r>
        <w:rPr>
          <w:vertAlign w:val="superscript"/>
        </w:rPr>
        <w:footnoteReference w:id="86"/>
      </w:r>
      <w:r>
        <w:t xml:space="preserve"> The Lead Center conducts an annual programmatic and financial review of all Service Centers. Centers also are expected to participate in the Accreditation review conducted on behalf of SBA by the Association of Small Business Development Centers every four to five years.</w:t>
      </w:r>
      <w:r>
        <w:rPr>
          <w:vertAlign w:val="superscript"/>
        </w:rPr>
        <w:footnoteReference w:id="87"/>
      </w:r>
      <w:r>
        <w:t xml:space="preserve"> Further information on examinations, audits and accreditation is posted on the MnSBDC Shared Drive.</w:t>
      </w:r>
    </w:p>
    <w:p w14:paraId="59C0362B"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38" w:name="_2grqrue" w:colFirst="0" w:colLast="0"/>
      <w:bookmarkEnd w:id="38"/>
      <w:r w:rsidRPr="00D15C78">
        <w:rPr>
          <w:rFonts w:ascii="Calibri" w:eastAsia="Calibri" w:hAnsi="Calibri" w:cs="Calibri"/>
          <w:b/>
          <w:smallCaps/>
          <w:color w:val="000000"/>
          <w:sz w:val="28"/>
          <w:szCs w:val="28"/>
        </w:rPr>
        <w:t>2.8 Center Staff Orientation</w:t>
      </w:r>
    </w:p>
    <w:p w14:paraId="3DEAF1B4" w14:textId="57C991BA" w:rsidR="00DB4AC9" w:rsidRDefault="00DB4AC9" w:rsidP="00DB4AC9">
      <w:r>
        <w:t>To orient new center staff members and contracted consultants with the Minnesota SBDC network, the following reading resources are mandatory</w:t>
      </w:r>
      <w:r w:rsidR="00E2620E">
        <w:t xml:space="preserve"> for review</w:t>
      </w:r>
      <w:r>
        <w:t>: Minnesota SBDC Operation Manual, Minnesota SBDC Strategic Plan and MnSBDC Network Member Neoserra User Guide. Upon completing the required reading, a review is scheduled within 1 week to review each document and ensure comprehension of key elements. Discussion should also include a review of network member resources</w:t>
      </w:r>
      <w:r>
        <w:rPr>
          <w:vertAlign w:val="superscript"/>
        </w:rPr>
        <w:footnoteReference w:id="88"/>
      </w:r>
      <w:r>
        <w:t>; regional, state and national resource partners</w:t>
      </w:r>
      <w:r>
        <w:rPr>
          <w:vertAlign w:val="superscript"/>
        </w:rPr>
        <w:footnoteReference w:id="89"/>
      </w:r>
      <w:r>
        <w:t>; MnSBDC network member professional development opportunities</w:t>
      </w:r>
      <w:r>
        <w:rPr>
          <w:vertAlign w:val="superscript"/>
        </w:rPr>
        <w:footnoteReference w:id="90"/>
      </w:r>
      <w:r>
        <w:t xml:space="preserve">; and relevant local policy and procedures. An orientation day with the lead center should be scheduled for the new Regional Directors for further training. </w:t>
      </w:r>
    </w:p>
    <w:p w14:paraId="7947574F" w14:textId="77777777" w:rsidR="00DB4AC9" w:rsidRDefault="00DB4AC9" w:rsidP="00DB4AC9">
      <w:r>
        <w:t xml:space="preserve">As part of the orientation, staff members should sign the Code of Conduct form. Copies of the completed form must be uploaded to the shared drive within ten days of signature. A password and username must be obtained for the staff for member for access to Neoserra, and the MnSBDC Shared Drive by contacting the lead center. </w:t>
      </w:r>
    </w:p>
    <w:p w14:paraId="40ED787F" w14:textId="77777777" w:rsidR="00DB4AC9" w:rsidRDefault="00DB4AC9" w:rsidP="00DB4AC9"/>
    <w:p w14:paraId="03EACC7F" w14:textId="77777777" w:rsidR="00DB4AC9" w:rsidRDefault="00DB4AC9" w:rsidP="00DB4AC9">
      <w:pPr>
        <w:pStyle w:val="Heading2"/>
      </w:pPr>
      <w:bookmarkStart w:id="39" w:name="_vx1227" w:colFirst="0" w:colLast="0"/>
      <w:bookmarkEnd w:id="39"/>
      <w:r>
        <w:rPr>
          <w:sz w:val="36"/>
          <w:szCs w:val="36"/>
        </w:rPr>
        <w:lastRenderedPageBreak/>
        <w:t>3.0 Consultants</w:t>
      </w:r>
    </w:p>
    <w:p w14:paraId="61B3E8FE" w14:textId="77777777" w:rsidR="00DB4AC9" w:rsidRDefault="00DB4AC9" w:rsidP="00DB4AC9">
      <w:r>
        <w:t xml:space="preserve">The Minnesota SBDC has many excellent consultants, as demonstrated by the large number of clients who highly value their consulting experience. They are very satisfied with their </w:t>
      </w:r>
      <w:proofErr w:type="gramStart"/>
      <w:r>
        <w:t>consultant’s</w:t>
      </w:r>
      <w:proofErr w:type="gramEnd"/>
      <w:r>
        <w:t xml:space="preserve"> business and communication skills, timeliness, understanding of their business situation, and timeliness of response. </w:t>
      </w:r>
    </w:p>
    <w:p w14:paraId="4DFE55B4" w14:textId="2A8A993E" w:rsidR="00DB4AC9" w:rsidRDefault="00DB4AC9" w:rsidP="00DB4AC9">
      <w:r>
        <w:t>Our core values are Quality, Inclusivity, Accountability, Innovation, Collaboration and Support.</w:t>
      </w:r>
      <w:r>
        <w:rPr>
          <w:vertAlign w:val="superscript"/>
        </w:rPr>
        <w:footnoteReference w:id="91"/>
      </w:r>
    </w:p>
    <w:p w14:paraId="312AB6C7"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0" w:name="_3fwokq0" w:colFirst="0" w:colLast="0"/>
      <w:bookmarkEnd w:id="40"/>
      <w:r w:rsidRPr="00D15C78">
        <w:rPr>
          <w:rFonts w:ascii="Calibri" w:eastAsia="Calibri" w:hAnsi="Calibri" w:cs="Calibri"/>
          <w:b/>
          <w:smallCaps/>
          <w:color w:val="000000"/>
          <w:sz w:val="28"/>
          <w:szCs w:val="28"/>
        </w:rPr>
        <w:t>3.1 Definition</w:t>
      </w:r>
    </w:p>
    <w:p w14:paraId="4EB2C8B5" w14:textId="77777777" w:rsidR="00DB4AC9" w:rsidRDefault="00DB4AC9" w:rsidP="00DB4AC9">
      <w:r>
        <w:t>A professional business consultant is an employee, faculty member, private sector consultant, student or volunteer who is engaged by the SBDC to provide individual advice, guidance, or instruction to an existing or prospective business owner concerning the formation, management, financing or operation of a small business enterprise. SBDCs are encouraged to utilize all consulting resources available to them. As a general term, “professional business consultant” is preferred to “counselor” since the former defines and frames the relationship more precisely than the later term which has connotations of a health care relationship. Thus, “professional business consultant” (or PBC) should always be used in the MnSBDC in place of the term “counselor.”</w:t>
      </w:r>
    </w:p>
    <w:p w14:paraId="3BCAAE7B" w14:textId="77777777" w:rsidR="00DB4AC9" w:rsidRPr="00472E95" w:rsidRDefault="00DB4AC9" w:rsidP="00DB4AC9">
      <w:pPr>
        <w:pStyle w:val="Heading4"/>
        <w:ind w:left="360"/>
        <w:rPr>
          <w:b/>
          <w:bCs/>
          <w:color w:val="000000" w:themeColor="text1"/>
        </w:rPr>
      </w:pPr>
      <w:bookmarkStart w:id="41" w:name="_1v1yuxt" w:colFirst="0" w:colLast="0"/>
      <w:bookmarkEnd w:id="41"/>
      <w:r w:rsidRPr="00472E95">
        <w:rPr>
          <w:b/>
          <w:bCs/>
          <w:color w:val="000000" w:themeColor="text1"/>
        </w:rPr>
        <w:t>3.1.1 Employee Consultants</w:t>
      </w:r>
    </w:p>
    <w:p w14:paraId="69947FA5" w14:textId="77777777" w:rsidR="00DB4AC9" w:rsidRDefault="00DB4AC9" w:rsidP="00DB4AC9">
      <w:r>
        <w:t>Employee consultants are individuals who are employed by the SBDC host institution. Employees may include host institution employees assigned to the SBDC and may also include faculty consultants.</w:t>
      </w:r>
    </w:p>
    <w:p w14:paraId="00F1CA6A" w14:textId="77777777" w:rsidR="00DB4AC9" w:rsidRPr="00472E95" w:rsidRDefault="00DB4AC9" w:rsidP="00DB4AC9">
      <w:pPr>
        <w:pStyle w:val="Heading4"/>
        <w:ind w:left="360"/>
        <w:rPr>
          <w:b/>
          <w:bCs/>
          <w:color w:val="000000" w:themeColor="text1"/>
        </w:rPr>
      </w:pPr>
      <w:bookmarkStart w:id="42" w:name="_4f1mdlm" w:colFirst="0" w:colLast="0"/>
      <w:bookmarkEnd w:id="42"/>
      <w:r w:rsidRPr="00472E95">
        <w:rPr>
          <w:b/>
          <w:bCs/>
          <w:color w:val="000000" w:themeColor="text1"/>
        </w:rPr>
        <w:t>3.1.2 Faculty Members</w:t>
      </w:r>
    </w:p>
    <w:p w14:paraId="56EF0672" w14:textId="77777777" w:rsidR="00DB4AC9" w:rsidRDefault="00DB4AC9" w:rsidP="00DB4AC9">
      <w:r>
        <w:t>Faculty members are employees of the host institution who are not specifically assigned to the SBDC, but who provide SBDC consulting services in addition to their teaching load. In keeping with the statutory policy of linking the small business community to resources available in colleges and universities, SBDCs are encouraged to utilize host institution faculty for SBDC consulting and training.</w:t>
      </w:r>
    </w:p>
    <w:p w14:paraId="2AD71743" w14:textId="77777777" w:rsidR="00DB4AC9" w:rsidRPr="00472E95" w:rsidRDefault="00DB4AC9" w:rsidP="00DB4AC9">
      <w:pPr>
        <w:pStyle w:val="Heading4"/>
        <w:ind w:left="360"/>
        <w:rPr>
          <w:b/>
          <w:bCs/>
          <w:color w:val="000000" w:themeColor="text1"/>
        </w:rPr>
      </w:pPr>
      <w:bookmarkStart w:id="43" w:name="_2u6wntf" w:colFirst="0" w:colLast="0"/>
      <w:bookmarkEnd w:id="43"/>
      <w:r w:rsidRPr="00472E95">
        <w:rPr>
          <w:b/>
          <w:bCs/>
          <w:color w:val="000000" w:themeColor="text1"/>
        </w:rPr>
        <w:t>3.1.3 Private Sector Consultant</w:t>
      </w:r>
    </w:p>
    <w:p w14:paraId="18A42E19" w14:textId="58FF95AB" w:rsidR="00DB4AC9" w:rsidRDefault="00DB4AC9" w:rsidP="00DB4AC9">
      <w:r>
        <w:t xml:space="preserve">A private sector consultant is an individual who is self-employed or an employee of an entity other than the SBDC host institution. Private sector consultants are not SBDC employees. Private sector consultants typically are engaged on an hourly basis to provide consulting or other services to </w:t>
      </w:r>
      <w:proofErr w:type="gramStart"/>
      <w:r>
        <w:t>the SBDC</w:t>
      </w:r>
      <w:proofErr w:type="gramEnd"/>
      <w:r>
        <w:t>. Private sector consultants broaden the range of specialized consulting available to SBDC clients. In keeping with the spirit of legislation establishing the SBDC program,</w:t>
      </w:r>
      <w:r>
        <w:rPr>
          <w:vertAlign w:val="superscript"/>
        </w:rPr>
        <w:footnoteReference w:id="92"/>
      </w:r>
      <w:r>
        <w:t xml:space="preserve"> the Minnesota SBDC utilizes many qualified private sector consultants for serving the development needs of its clients.</w:t>
      </w:r>
      <w:r w:rsidR="00AB630F">
        <w:t xml:space="preserve"> </w:t>
      </w:r>
      <w:r w:rsidR="00C969D2">
        <w:t>All consultants should be in-state based</w:t>
      </w:r>
      <w:r w:rsidR="0014675A">
        <w:t xml:space="preserve"> to ensure they are part of the community they serve, best understand the nuances of</w:t>
      </w:r>
      <w:r w:rsidR="00107D44">
        <w:t xml:space="preserve"> Minnesota communities and have relationships </w:t>
      </w:r>
      <w:proofErr w:type="gramStart"/>
      <w:r w:rsidR="000D066E">
        <w:t>to</w:t>
      </w:r>
      <w:proofErr w:type="gramEnd"/>
      <w:r w:rsidR="000D066E">
        <w:t xml:space="preserve"> the community they serve. Exceptions to this policy </w:t>
      </w:r>
      <w:proofErr w:type="gramStart"/>
      <w:r w:rsidR="0049710C">
        <w:t>is</w:t>
      </w:r>
      <w:proofErr w:type="gramEnd"/>
      <w:r w:rsidR="0049710C">
        <w:t xml:space="preserve"> only made with the understanding and approval of the State Director.</w:t>
      </w:r>
      <w:r w:rsidR="00DB12CB">
        <w:t xml:space="preserve"> Due to data security concerns</w:t>
      </w:r>
      <w:r w:rsidR="00D3086D">
        <w:t xml:space="preserve"> and the intent of the </w:t>
      </w:r>
      <w:r w:rsidR="001D2434">
        <w:t xml:space="preserve">state-based </w:t>
      </w:r>
      <w:r w:rsidR="00D3086D">
        <w:t>SBDC program</w:t>
      </w:r>
      <w:r w:rsidR="00DB12CB">
        <w:t xml:space="preserve">, in no situation may consultants be </w:t>
      </w:r>
      <w:r w:rsidR="00D3086D">
        <w:t>based outside the continental United States.</w:t>
      </w:r>
    </w:p>
    <w:p w14:paraId="6D8936DE" w14:textId="77777777" w:rsidR="00DB4AC9" w:rsidRPr="00472E95" w:rsidRDefault="00DB4AC9" w:rsidP="00DB4AC9">
      <w:pPr>
        <w:pStyle w:val="Heading4"/>
        <w:ind w:left="360"/>
        <w:rPr>
          <w:b/>
          <w:bCs/>
          <w:color w:val="000000" w:themeColor="text1"/>
        </w:rPr>
      </w:pPr>
      <w:bookmarkStart w:id="44" w:name="_19c6y18" w:colFirst="0" w:colLast="0"/>
      <w:bookmarkEnd w:id="44"/>
      <w:r w:rsidRPr="00472E95">
        <w:rPr>
          <w:b/>
          <w:bCs/>
          <w:color w:val="000000" w:themeColor="text1"/>
        </w:rPr>
        <w:t>3.1.4 Volunteers</w:t>
      </w:r>
    </w:p>
    <w:p w14:paraId="440ACEEB" w14:textId="77777777" w:rsidR="00DB4AC9" w:rsidRDefault="00DB4AC9" w:rsidP="00DB4AC9">
      <w:r>
        <w:t xml:space="preserve">Volunteer consultants are not compensated for performing SBDC services. Regional centers are encouraged to utilize qualified volunteers. Volunteers may be faculty or private sector consultants. </w:t>
      </w:r>
      <w:r>
        <w:lastRenderedPageBreak/>
        <w:t xml:space="preserve">Volunteers must meet the same standards as other SBDC personnel. As with all professional business consultants, regional directors are responsible for monitoring the work of volunteers to </w:t>
      </w:r>
      <w:proofErr w:type="gramStart"/>
      <w:r>
        <w:t>assure</w:t>
      </w:r>
      <w:proofErr w:type="gramEnd"/>
      <w:r>
        <w:t xml:space="preserve"> delivery of high-quality consulting. In appropriate cases, the value of volunteer time may be considered a matching contribution for the SBDC program. The section on financial issues discusses qualified matching contributions.</w:t>
      </w:r>
    </w:p>
    <w:p w14:paraId="6DB0F957" w14:textId="77777777" w:rsidR="00DB4AC9" w:rsidRPr="00472E95" w:rsidRDefault="00DB4AC9" w:rsidP="00DB4AC9">
      <w:pPr>
        <w:pStyle w:val="Heading4"/>
        <w:ind w:left="360"/>
        <w:rPr>
          <w:b/>
          <w:bCs/>
          <w:color w:val="000000" w:themeColor="text1"/>
        </w:rPr>
      </w:pPr>
      <w:bookmarkStart w:id="45" w:name="_3tbugp1" w:colFirst="0" w:colLast="0"/>
      <w:bookmarkEnd w:id="45"/>
      <w:r w:rsidRPr="00472E95">
        <w:rPr>
          <w:b/>
          <w:bCs/>
          <w:color w:val="000000" w:themeColor="text1"/>
        </w:rPr>
        <w:t>3.1.5 Students</w:t>
      </w:r>
    </w:p>
    <w:p w14:paraId="395A74FE" w14:textId="77777777" w:rsidR="00DB4AC9" w:rsidRDefault="00DB4AC9" w:rsidP="00DB4AC9">
      <w:r>
        <w:t xml:space="preserve">The use of students in delivering SBDC services is encouraged. Students must be properly supervised to </w:t>
      </w:r>
      <w:proofErr w:type="gramStart"/>
      <w:r>
        <w:t>assure</w:t>
      </w:r>
      <w:proofErr w:type="gramEnd"/>
      <w:r>
        <w:t xml:space="preserve"> quality service, and the services they perform should be commensurate with their level of skill and expertise.</w:t>
      </w:r>
    </w:p>
    <w:p w14:paraId="5E470DD0" w14:textId="77777777" w:rsidR="00DB4AC9" w:rsidRDefault="00DB4AC9" w:rsidP="00DB4AC9">
      <w:r>
        <w:t xml:space="preserve">Undergraduate students should not serve as consultants. They may, however, support consultants by performing research, preparing </w:t>
      </w:r>
      <w:proofErr w:type="gramStart"/>
      <w:r>
        <w:rPr>
          <w:i/>
        </w:rPr>
        <w:t>pro forma</w:t>
      </w:r>
      <w:proofErr w:type="gramEnd"/>
      <w:r>
        <w:t xml:space="preserve"> financial reports, and engaging in other tasks to support the consultant. Student time spent supporting a specific consultant who is working with a specific client may be counted as preparation time for that client. Such time must be reasonable in relation to the consulting, and the file must document adequate supervision by the consultant.</w:t>
      </w:r>
    </w:p>
    <w:p w14:paraId="66E9C0B9" w14:textId="77777777" w:rsidR="00DB4AC9" w:rsidRDefault="00DB4AC9" w:rsidP="00DB4AC9">
      <w:r>
        <w:t xml:space="preserve">Undergraduate student projects that are offered for academic credit do not count as SBDC cases or hours, except when the following criteria are met, and with the written approval of the State </w:t>
      </w:r>
      <w:proofErr w:type="gramStart"/>
      <w:r>
        <w:t>Director;</w:t>
      </w:r>
      <w:proofErr w:type="gramEnd"/>
    </w:p>
    <w:p w14:paraId="30936315" w14:textId="77777777" w:rsidR="00DB4AC9" w:rsidRDefault="00DB4AC9" w:rsidP="00DB4AC9">
      <w:pPr>
        <w:numPr>
          <w:ilvl w:val="0"/>
          <w:numId w:val="1"/>
        </w:numPr>
        <w:spacing w:after="0"/>
        <w:ind w:hanging="360"/>
        <w:contextualSpacing/>
      </w:pPr>
      <w:r>
        <w:t>Educational hours are strictly separated from case hours, and are recorded and tracked separately in the CRM system, Neoserra, as ‘</w:t>
      </w:r>
      <w:proofErr w:type="gramStart"/>
      <w:r>
        <w:t>non administrative</w:t>
      </w:r>
      <w:proofErr w:type="gramEnd"/>
      <w:r>
        <w:t>’ hours. Tracking both ‘Educational’ and ‘Case’ hours allows a review of the case to clearly indicate the two separate categories and determine the percentage of case hours compared to the total number of hours.</w:t>
      </w:r>
    </w:p>
    <w:p w14:paraId="214CE95C" w14:textId="77777777" w:rsidR="00DB4AC9" w:rsidRDefault="00DB4AC9" w:rsidP="00DB4AC9">
      <w:pPr>
        <w:numPr>
          <w:ilvl w:val="0"/>
          <w:numId w:val="1"/>
        </w:numPr>
        <w:spacing w:after="0"/>
        <w:ind w:hanging="360"/>
        <w:contextualSpacing/>
      </w:pPr>
      <w:r>
        <w:t>The case is led by a Professional Business Consultant or Regional Director with direct oversight and approval of all case hours by the Regional Director</w:t>
      </w:r>
    </w:p>
    <w:p w14:paraId="1EA121E6" w14:textId="77777777" w:rsidR="00DB4AC9" w:rsidRDefault="00DB4AC9" w:rsidP="00DB4AC9">
      <w:pPr>
        <w:numPr>
          <w:ilvl w:val="0"/>
          <w:numId w:val="1"/>
        </w:numPr>
        <w:ind w:hanging="360"/>
        <w:contextualSpacing/>
      </w:pPr>
      <w:r>
        <w:t>The Regional Director is responsible for assuring the quality of all consulting provided.</w:t>
      </w:r>
    </w:p>
    <w:p w14:paraId="269E463A" w14:textId="77777777" w:rsidR="00DB4AC9" w:rsidRDefault="00DB4AC9" w:rsidP="00DB4AC9">
      <w:pPr>
        <w:contextualSpacing/>
      </w:pPr>
    </w:p>
    <w:p w14:paraId="20F8F876" w14:textId="77777777" w:rsidR="00DB4AC9" w:rsidRDefault="00DB4AC9" w:rsidP="00DB4AC9">
      <w:r>
        <w:t>Graduate students who are qualified by experience and expertise may serve as consultants, although a primary consultant or the regional director must supervise their work. Graduate student projects that are offered for academic credit may count as SBDC cases and hours if the quality of the consulting is comparable to that provided by professional consultants, preparation time is reasonable in relation to the consulting provided, and the service meets the SBA definition of consulting. An SBDC consultant or the regional director must adequately supervise the case. Regional directors are responsible for assuring the quality of all consulting provided.</w:t>
      </w:r>
      <w:r>
        <w:rPr>
          <w:vertAlign w:val="superscript"/>
        </w:rPr>
        <w:footnoteReference w:id="93"/>
      </w:r>
    </w:p>
    <w:p w14:paraId="0A609519" w14:textId="77777777" w:rsidR="00DB4AC9" w:rsidRPr="00D15C78" w:rsidRDefault="00DB4AC9" w:rsidP="00D15C78">
      <w:pPr>
        <w:pStyle w:val="Heading2"/>
        <w:spacing w:before="0" w:after="240"/>
        <w:rPr>
          <w:rFonts w:ascii="Calibri" w:eastAsia="Calibri" w:hAnsi="Calibri" w:cs="Calibri"/>
          <w:b/>
          <w:smallCaps/>
          <w:color w:val="000000"/>
          <w:sz w:val="28"/>
          <w:szCs w:val="28"/>
        </w:rPr>
      </w:pPr>
      <w:r w:rsidRPr="00D15C78">
        <w:rPr>
          <w:rFonts w:ascii="Calibri" w:eastAsia="Calibri" w:hAnsi="Calibri" w:cs="Calibri"/>
          <w:b/>
          <w:smallCaps/>
          <w:color w:val="000000"/>
          <w:sz w:val="28"/>
          <w:szCs w:val="28"/>
        </w:rPr>
        <w:t>3.2 Selection of Consultants</w:t>
      </w:r>
    </w:p>
    <w:p w14:paraId="36448579" w14:textId="77777777" w:rsidR="00DB4AC9" w:rsidRDefault="00DB4AC9" w:rsidP="00DB4AC9">
      <w:r>
        <w:t>New SBDC contract consultants must be selected on a competitive basis unless the state director approves sole source selection.</w:t>
      </w:r>
      <w:r>
        <w:rPr>
          <w:vertAlign w:val="superscript"/>
        </w:rPr>
        <w:footnoteReference w:id="94"/>
      </w:r>
      <w:r>
        <w:t xml:space="preserve"> In some cases approval by SBA is also required.</w:t>
      </w:r>
      <w:r>
        <w:rPr>
          <w:vertAlign w:val="superscript"/>
        </w:rPr>
        <w:footnoteReference w:id="95"/>
      </w:r>
      <w:r>
        <w:t xml:space="preserve"> The host institution’s policy regarding competitive selection of consultants must be followed. In the absence of such a policy, </w:t>
      </w:r>
      <w:r>
        <w:lastRenderedPageBreak/>
        <w:t>or if the policy does not apply to the proposed selection, the regional center may utilize any reasonable process so long as it results in full and open competition.</w:t>
      </w:r>
      <w:r>
        <w:rPr>
          <w:vertAlign w:val="superscript"/>
        </w:rPr>
        <w:footnoteReference w:id="96"/>
      </w:r>
      <w:r>
        <w:t xml:space="preserve"> </w:t>
      </w:r>
    </w:p>
    <w:p w14:paraId="7DC13EEE" w14:textId="118FA82D" w:rsidR="00DB4AC9" w:rsidRDefault="00DB4AC9" w:rsidP="00DB4AC9">
      <w:r>
        <w:t>Competitive selection applies to the recruitment and selection of new consultants. After a consultant is selected on a competitive basis, the SBDC may propose to continue using the consultant through the annual proposal process. After SBA approves the proposal by issuing the Cooperative Agreement, the regional center may continue using that consultant throughout the program year. All consultant selections must follow the latest federal micropurchase requirements</w:t>
      </w:r>
      <w:r w:rsidR="00A06454">
        <w:t xml:space="preserve"> even though the micro-purchase threshold increased from $10,000 to $15,000 </w:t>
      </w:r>
      <w:r w:rsidR="00100C07">
        <w:t>on June 11, 2025.</w:t>
      </w:r>
      <w:r w:rsidR="00EC2116">
        <w:rPr>
          <w:rStyle w:val="FootnoteReference"/>
        </w:rPr>
        <w:footnoteReference w:id="97"/>
      </w:r>
    </w:p>
    <w:p w14:paraId="384B4E39" w14:textId="77777777" w:rsidR="00603268" w:rsidRDefault="00603268" w:rsidP="00DB4AC9"/>
    <w:p w14:paraId="5F9DEF59" w14:textId="77777777" w:rsidR="00DB4AC9" w:rsidRDefault="00DB4AC9" w:rsidP="00DB4AC9">
      <w:r>
        <w:t xml:space="preserve">Regional Directors are responsible </w:t>
      </w:r>
      <w:proofErr w:type="gramStart"/>
      <w:r>
        <w:t>to ensure</w:t>
      </w:r>
      <w:proofErr w:type="gramEnd"/>
      <w:r>
        <w:t xml:space="preserve"> that all consultants hired, have the skills listed in the Core Competencies approved by the ASBDC Board, and for the development of a Professional Development Plan to address any skills that are missing. A copy of the full listing of Core Competencies is included in Appendix 1.</w:t>
      </w:r>
    </w:p>
    <w:p w14:paraId="48F40605"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6" w:name="_nmf14n" w:colFirst="0" w:colLast="0"/>
      <w:bookmarkEnd w:id="46"/>
      <w:r w:rsidRPr="00D15C78">
        <w:rPr>
          <w:rFonts w:ascii="Calibri" w:eastAsia="Calibri" w:hAnsi="Calibri" w:cs="Calibri"/>
          <w:b/>
          <w:smallCaps/>
          <w:color w:val="000000"/>
          <w:sz w:val="28"/>
          <w:szCs w:val="28"/>
        </w:rPr>
        <w:t>3.3 Consultant Contracts</w:t>
      </w:r>
    </w:p>
    <w:p w14:paraId="5497BBBE" w14:textId="77777777" w:rsidR="00DB4AC9" w:rsidRDefault="00DB4AC9" w:rsidP="00DB4AC9">
      <w:proofErr w:type="gramStart"/>
      <w:r>
        <w:t>The SBDC</w:t>
      </w:r>
      <w:proofErr w:type="gramEnd"/>
      <w:r>
        <w:t xml:space="preserve"> must use written contracts, executed in advance of any service delivery, for all contract consultants. The contract must specify deliverables (including but not limited to proper completion of the eCenter </w:t>
      </w:r>
      <w:proofErr w:type="gramStart"/>
      <w:r>
        <w:t>sign up</w:t>
      </w:r>
      <w:proofErr w:type="gramEnd"/>
      <w:r>
        <w:t>, notes in Neoserra, Request for Consulting, Engagement Agreements and Session Reports forms and inclusion of work completed in client files) and must provide for withholding of final payment until contract deliverables are met.</w:t>
      </w:r>
      <w:r>
        <w:rPr>
          <w:vertAlign w:val="superscript"/>
        </w:rPr>
        <w:footnoteReference w:id="98"/>
      </w:r>
    </w:p>
    <w:p w14:paraId="5C0A3E44"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7" w:name="_37m2jsg" w:colFirst="0" w:colLast="0"/>
      <w:bookmarkEnd w:id="47"/>
      <w:r w:rsidRPr="00D15C78">
        <w:rPr>
          <w:rFonts w:ascii="Calibri" w:eastAsia="Calibri" w:hAnsi="Calibri" w:cs="Calibri"/>
          <w:b/>
          <w:smallCaps/>
          <w:color w:val="000000"/>
          <w:sz w:val="28"/>
          <w:szCs w:val="28"/>
        </w:rPr>
        <w:t>3.4 Code of Ethics</w:t>
      </w:r>
    </w:p>
    <w:p w14:paraId="1003932B" w14:textId="77777777" w:rsidR="00DB4AC9" w:rsidRDefault="00DB4AC9" w:rsidP="00DB4AC9">
      <w:r>
        <w:t>The Minnesota SBDC network is committed to observing the highest ethical standards in serving its clients, representing its stakeholders, and interacting with its community.</w:t>
      </w:r>
      <w:r>
        <w:rPr>
          <w:vertAlign w:val="superscript"/>
        </w:rPr>
        <w:footnoteReference w:id="99"/>
      </w:r>
    </w:p>
    <w:p w14:paraId="743191A3" w14:textId="51AE59ED" w:rsidR="00DB4AC9" w:rsidRPr="00366F26" w:rsidRDefault="00DB4AC9" w:rsidP="00DB4AC9">
      <w:r>
        <w:t>All SBDC service providers must have a code of ethics policy applicable to their SBDC consultants, employees, instructors, and volunteers.</w:t>
      </w:r>
      <w:r>
        <w:rPr>
          <w:vertAlign w:val="superscript"/>
        </w:rPr>
        <w:footnoteReference w:id="100"/>
      </w:r>
      <w:r>
        <w:t xml:space="preserve"> The Minnesota SBDC program complies with this requirement by having a statewide Conflict of Interest (COI) policy. </w:t>
      </w:r>
      <w:r w:rsidRPr="007C47CB">
        <w:t xml:space="preserve">The complete COI policy is </w:t>
      </w:r>
      <w:r>
        <w:t>contained within the ‘Code of Professional Conduct’ form and reviewed on an annual basis with all SBDC consultants, employees, instructors and volunteers.</w:t>
      </w:r>
    </w:p>
    <w:p w14:paraId="2CAD232F" w14:textId="77777777" w:rsidR="00DB4AC9" w:rsidRDefault="00DB4AC9" w:rsidP="00DB4AC9">
      <w:r>
        <w:t>In essence, the SBDC COI requires all SBDC employees and consultants to take affirmative steps to avoid the prohibited acts identified in the COI policy and to act in the best interests of the client. The COI also prohibits consultants from soliciting the private engagement of clients for a specified period following the SBDC consulting engagement relationship.</w:t>
      </w:r>
    </w:p>
    <w:p w14:paraId="092B9D6A" w14:textId="77777777" w:rsidR="00DB4AC9" w:rsidRDefault="00DB4AC9" w:rsidP="00DB4AC9">
      <w:r>
        <w:t xml:space="preserve">To demonstrate understanding of the COI, all SBDC employees, consultants, instructors, and volunteers must sign the COI certification form before working with a client. </w:t>
      </w:r>
      <w:r>
        <w:rPr>
          <w:b/>
        </w:rPr>
        <w:t xml:space="preserve">New signed certification forms are </w:t>
      </w:r>
      <w:r>
        <w:rPr>
          <w:b/>
        </w:rPr>
        <w:lastRenderedPageBreak/>
        <w:t>required once per program year.</w:t>
      </w:r>
      <w:r>
        <w:t xml:space="preserve"> The original copy of the signed page is kept on file at the regional office. A copy of the signature page must be provided to the lead center within ten days following signature and is stored on the MnSBDC shared drive.</w:t>
      </w:r>
    </w:p>
    <w:p w14:paraId="6942AF17"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8" w:name="_1mrcu09" w:colFirst="0" w:colLast="0"/>
      <w:bookmarkEnd w:id="48"/>
      <w:r w:rsidRPr="00D15C78">
        <w:rPr>
          <w:rFonts w:ascii="Calibri" w:eastAsia="Calibri" w:hAnsi="Calibri" w:cs="Calibri"/>
          <w:b/>
          <w:smallCaps/>
          <w:color w:val="000000"/>
          <w:sz w:val="28"/>
          <w:szCs w:val="28"/>
        </w:rPr>
        <w:t>3.5 Debarment Certification</w:t>
      </w:r>
    </w:p>
    <w:p w14:paraId="3E43FF6A" w14:textId="77777777" w:rsidR="00DB4AC9" w:rsidRDefault="00DB4AC9" w:rsidP="00DB4AC9">
      <w:r>
        <w:t xml:space="preserve">All SBDC personnel are required to be certified that either they, or the undersigned organization, are not presently debarred, suspended, proposed for debarment, declared ineligible, or voluntarily excluded from participation in the SBDC program by any federal department or agency. Private consultants and volunteer consultants must sign a Debarment Certification form prior to engaging in client consulting. </w:t>
      </w:r>
      <w:r>
        <w:rPr>
          <w:b/>
        </w:rPr>
        <w:t xml:space="preserve">Signature is required once per program </w:t>
      </w:r>
      <w:proofErr w:type="gramStart"/>
      <w:r>
        <w:rPr>
          <w:b/>
        </w:rPr>
        <w:t>year</w:t>
      </w:r>
      <w:proofErr w:type="gramEnd"/>
      <w:r>
        <w:rPr>
          <w:b/>
        </w:rPr>
        <w:t xml:space="preserve"> and the regional center must provide a copy of all signed forms to the lead center </w:t>
      </w:r>
      <w:r w:rsidRPr="00CF649D">
        <w:rPr>
          <w:b/>
        </w:rPr>
        <w:t>within ten days of signature</w:t>
      </w:r>
      <w:r>
        <w:rPr>
          <w:b/>
        </w:rPr>
        <w:t xml:space="preserve"> by posting on the MnSBDC</w:t>
      </w:r>
      <w:r>
        <w:rPr>
          <w:color w:val="980000"/>
        </w:rPr>
        <w:t xml:space="preserve"> </w:t>
      </w:r>
      <w:r>
        <w:rPr>
          <w:b/>
        </w:rPr>
        <w:t>shared drive.</w:t>
      </w:r>
      <w:r>
        <w:rPr>
          <w:color w:val="980000"/>
        </w:rPr>
        <w:t xml:space="preserve"> </w:t>
      </w:r>
      <w:r>
        <w:t>A Debarment Certification form must be signed by the signature authority of the regional center and submitted to the lead center within ten days of signature once per program year. The signed form is inclusive of regional center personnel of the host institution, (e.g., employee consultants).</w:t>
      </w:r>
    </w:p>
    <w:p w14:paraId="51AA5B3A"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49" w:name="_46r0co2" w:colFirst="0" w:colLast="0"/>
      <w:bookmarkEnd w:id="49"/>
      <w:r w:rsidRPr="00D15C78">
        <w:rPr>
          <w:rFonts w:ascii="Calibri" w:eastAsia="Calibri" w:hAnsi="Calibri" w:cs="Calibri"/>
          <w:b/>
          <w:smallCaps/>
          <w:color w:val="000000"/>
          <w:sz w:val="28"/>
          <w:szCs w:val="28"/>
        </w:rPr>
        <w:t>3.6 Confidentiality and Non-Disclosure Agreements</w:t>
      </w:r>
    </w:p>
    <w:p w14:paraId="0F7A921F" w14:textId="77777777" w:rsidR="00DB4AC9" w:rsidRDefault="00DB4AC9" w:rsidP="00DB4AC9">
      <w:r>
        <w:t xml:space="preserve">SBDC consultants may be asked by a client to sign a confidentiality or non-disclosure agreement (NDA). It is state SBDC policy that SBDC employees and consultants are not authorized to sign such agreements unless specifically approved in advance by legal counsel for the host institution and the state director. SBDC employees and consultants who are asked to sign such forms should inform the client that all SBDC consultants must agree to follow the SBDC Code of Ethics (discussed above) which prohibits a consultant from releasing or disclosing to any third-party confidential information obtained from a client unless the client </w:t>
      </w:r>
      <w:proofErr w:type="gramStart"/>
      <w:r>
        <w:t>agrees in writing</w:t>
      </w:r>
      <w:proofErr w:type="gramEnd"/>
      <w:r>
        <w:t xml:space="preserve"> to the disclosure.</w:t>
      </w:r>
    </w:p>
    <w:p w14:paraId="6C445EC4" w14:textId="30379DEA" w:rsidR="00DB4AC9" w:rsidRDefault="00DB4AC9" w:rsidP="00DB4AC9">
      <w:r>
        <w:t xml:space="preserve">The Code of Conduct policy signed by the consultant is public </w:t>
      </w:r>
      <w:r w:rsidR="002C0728">
        <w:t>i</w:t>
      </w:r>
      <w:r>
        <w:t>nformation under the Minnesota Data Practices Act,</w:t>
      </w:r>
      <w:r>
        <w:rPr>
          <w:vertAlign w:val="superscript"/>
        </w:rPr>
        <w:footnoteReference w:id="101"/>
      </w:r>
      <w:r>
        <w:t xml:space="preserve"> and can be made available to the client for review upon request.</w:t>
      </w:r>
    </w:p>
    <w:p w14:paraId="15F46530"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0" w:name="_2lwamvv" w:colFirst="0" w:colLast="0"/>
      <w:bookmarkEnd w:id="50"/>
      <w:r w:rsidRPr="00D15C78">
        <w:rPr>
          <w:rFonts w:ascii="Calibri" w:eastAsia="Calibri" w:hAnsi="Calibri" w:cs="Calibri"/>
          <w:b/>
          <w:smallCaps/>
          <w:color w:val="000000"/>
          <w:sz w:val="28"/>
          <w:szCs w:val="28"/>
        </w:rPr>
        <w:t>3.7 Service on Boards and Committees</w:t>
      </w:r>
    </w:p>
    <w:p w14:paraId="5BDAB023" w14:textId="77777777" w:rsidR="00DB4AC9" w:rsidRDefault="00DB4AC9" w:rsidP="00DB4AC9">
      <w:r>
        <w:t xml:space="preserve">SBDC personnel may serve on local economic development boards and loan committees if the individual does not participate in the discussion or </w:t>
      </w:r>
      <w:proofErr w:type="gramStart"/>
      <w:r>
        <w:t>voting</w:t>
      </w:r>
      <w:proofErr w:type="gramEnd"/>
      <w:r>
        <w:t xml:space="preserve"> on any SBDC project. The prohibition on discussion of the project applies to informal discussions outside the meeting and discussions within the meeting itself. In conformity with the SBDC Code of Ethics, SBDC personnel are prohibited from taking actions that provide or create the appearance of providing material benefit to one client over another and are prohibited from disclosing confidential client information.</w:t>
      </w:r>
    </w:p>
    <w:p w14:paraId="6FA4166A"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1" w:name="_111kx3o" w:colFirst="0" w:colLast="0"/>
      <w:bookmarkEnd w:id="51"/>
      <w:r w:rsidRPr="00D15C78">
        <w:rPr>
          <w:rFonts w:ascii="Calibri" w:eastAsia="Calibri" w:hAnsi="Calibri" w:cs="Calibri"/>
          <w:b/>
          <w:smallCaps/>
          <w:color w:val="000000"/>
          <w:sz w:val="28"/>
          <w:szCs w:val="28"/>
        </w:rPr>
        <w:t>3.8 Personnel Policies</w:t>
      </w:r>
    </w:p>
    <w:p w14:paraId="04FCC956" w14:textId="77777777" w:rsidR="00DB4AC9" w:rsidRDefault="00DB4AC9" w:rsidP="00DB4AC9">
      <w:r>
        <w:t>Regional centers and sub-centers are expected to follow their host institution’s personnel policies in the recruitment, selection, and retention of employees.</w:t>
      </w:r>
      <w:r>
        <w:rPr>
          <w:vertAlign w:val="superscript"/>
        </w:rPr>
        <w:footnoteReference w:id="102"/>
      </w:r>
      <w:r>
        <w:t xml:space="preserve"> SBA regulations and policies and ASBDC accreditation standards must be </w:t>
      </w:r>
      <w:proofErr w:type="gramStart"/>
      <w:r>
        <w:t>taken into account</w:t>
      </w:r>
      <w:proofErr w:type="gramEnd"/>
      <w:r>
        <w:t xml:space="preserve"> when recruiting, selecting and compensating SBDC personnel.</w:t>
      </w:r>
      <w:r>
        <w:rPr>
          <w:vertAlign w:val="superscript"/>
        </w:rPr>
        <w:footnoteReference w:id="103"/>
      </w:r>
    </w:p>
    <w:p w14:paraId="70C4A036"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2" w:name="_3l18frh" w:colFirst="0" w:colLast="0"/>
      <w:bookmarkEnd w:id="52"/>
      <w:r w:rsidRPr="00D15C78">
        <w:rPr>
          <w:rFonts w:ascii="Calibri" w:eastAsia="Calibri" w:hAnsi="Calibri" w:cs="Calibri"/>
          <w:b/>
          <w:smallCaps/>
          <w:color w:val="000000"/>
          <w:sz w:val="28"/>
          <w:szCs w:val="28"/>
        </w:rPr>
        <w:lastRenderedPageBreak/>
        <w:t>3.9 Personnel Files</w:t>
      </w:r>
    </w:p>
    <w:p w14:paraId="42432BC2" w14:textId="77777777" w:rsidR="00DB4AC9" w:rsidRDefault="00DB4AC9" w:rsidP="00DB4AC9">
      <w:r>
        <w:t xml:space="preserve">SBDC regional offices should follow their host institution’s policy regarding the maintenance and content of personnel files. Upon request of the SBA or the lead center, the regional office is expected to be able to document the selection process used to select employees and consultants. Accordingly, the regional office should have </w:t>
      </w:r>
      <w:proofErr w:type="gramStart"/>
      <w:r>
        <w:t>on file</w:t>
      </w:r>
      <w:proofErr w:type="gramEnd"/>
      <w:r>
        <w:t xml:space="preserve"> position descriptions for all employees, resumes of all employees and consultants, and a description of the recruitment and selection process. The original signed Code of Ethics Certification should be on file for all employees and consultants, and the engagement letter or contract and original signed Debarment form should be on file for all consultants.</w:t>
      </w:r>
    </w:p>
    <w:p w14:paraId="25F279EF"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3" w:name="_206ipza" w:colFirst="0" w:colLast="0"/>
      <w:bookmarkEnd w:id="53"/>
      <w:r w:rsidRPr="00D15C78">
        <w:rPr>
          <w:rFonts w:ascii="Calibri" w:eastAsia="Calibri" w:hAnsi="Calibri" w:cs="Calibri"/>
          <w:b/>
          <w:smallCaps/>
          <w:color w:val="000000"/>
          <w:sz w:val="28"/>
          <w:szCs w:val="28"/>
        </w:rPr>
        <w:t>3.10 Consultant Orientation</w:t>
      </w:r>
    </w:p>
    <w:p w14:paraId="623C9219" w14:textId="5B77AE5D" w:rsidR="00DB4AC9" w:rsidRDefault="00DB4AC9" w:rsidP="00DB4AC9">
      <w:r>
        <w:t xml:space="preserve">Regional directors should </w:t>
      </w:r>
      <w:proofErr w:type="gramStart"/>
      <w:r>
        <w:t>assure</w:t>
      </w:r>
      <w:proofErr w:type="gramEnd"/>
      <w:r>
        <w:t xml:space="preserve"> that all consultants receive adequate training on policies and procedures of the Minnesota SBDC program before they meet with any client</w:t>
      </w:r>
      <w:r w:rsidRPr="006657E6">
        <w:t>. To orient new consultant network members with the Minnesota SBDC network, the latest edition of the following reading resources</w:t>
      </w:r>
      <w:r w:rsidRPr="00AD6AC8">
        <w:t xml:space="preserve"> </w:t>
      </w:r>
      <w:proofErr w:type="gramStart"/>
      <w:r w:rsidRPr="00AD6AC8">
        <w:t>are</w:t>
      </w:r>
      <w:proofErr w:type="gramEnd"/>
      <w:r w:rsidRPr="006657E6">
        <w:t xml:space="preserve"> mandatory: Minnesota SBDC Operation Manual, Minnesota SBDC Strategic Plan and Minnesota Network Member Neoserra User </w:t>
      </w:r>
      <w:r w:rsidRPr="00AD6AC8">
        <w:rPr>
          <w:highlight w:val="yellow"/>
        </w:rPr>
        <w:t>Guide.</w:t>
      </w:r>
      <w:r>
        <w:t xml:space="preserve"> </w:t>
      </w:r>
      <w:proofErr w:type="gramStart"/>
      <w:r>
        <w:t>Upon the new consultant</w:t>
      </w:r>
      <w:proofErr w:type="gramEnd"/>
      <w:r>
        <w:t xml:space="preserve"> completing the required reading, regional directors should review the materials to ensure comprehension of key elements. Discussion should also include a review of consultant resources; regional, state, and national resource partners</w:t>
      </w:r>
      <w:r>
        <w:rPr>
          <w:vertAlign w:val="superscript"/>
        </w:rPr>
        <w:footnoteReference w:id="104"/>
      </w:r>
      <w:r>
        <w:t>; MnSBDC network member professional development opportunities</w:t>
      </w:r>
      <w:r>
        <w:rPr>
          <w:vertAlign w:val="superscript"/>
        </w:rPr>
        <w:footnoteReference w:id="105"/>
      </w:r>
      <w:r>
        <w:t xml:space="preserve">; and relevant local policy and procedures.  As adopted by the ASBDC Board, consultants are to be competent in a group of skills referred to as ‘Core Competencies’. Regional Directors are responsible </w:t>
      </w:r>
      <w:proofErr w:type="gramStart"/>
      <w:r>
        <w:t>to ensure</w:t>
      </w:r>
      <w:proofErr w:type="gramEnd"/>
      <w:r>
        <w:t xml:space="preserve"> that all consultants have the skills listed in the Core Competencies, and for a Professional Development Plan to address any skills that are missing. A copy of the full listing of Core Competencies is included in Appendix 1. Lead center staff members are available to assist with new consultant orientation.</w:t>
      </w:r>
    </w:p>
    <w:p w14:paraId="48BDC5D6" w14:textId="274874FB" w:rsidR="00DB4AC9" w:rsidRDefault="00DB4AC9" w:rsidP="00DB4AC9">
      <w:r>
        <w:t xml:space="preserve">As part of the orientation, consultants should sign the Code of </w:t>
      </w:r>
      <w:r w:rsidR="008F5874" w:rsidRPr="008F5874">
        <w:t>C</w:t>
      </w:r>
      <w:r>
        <w:t xml:space="preserve">onduct form and the Debarment Certification, if applicable (Employees of host institutions that have signed the Debarment Certification are not required to sign that form since the host institution certification covers all employees of the host institution). Copies of the completed forms must be submitted to the lead center </w:t>
      </w:r>
      <w:r w:rsidRPr="00C72456">
        <w:t>within ten days of signature</w:t>
      </w:r>
      <w:r>
        <w:t xml:space="preserve"> by posting on the MnSBDC shared drive </w:t>
      </w:r>
      <w:r w:rsidR="00B73663">
        <w:t>regional</w:t>
      </w:r>
      <w:r>
        <w:t xml:space="preserve"> directors must ensure that the Neoserra consultant section is updated with the consultant information and that a password and username is obtained for the consultant for Neoserra and the MnSBDC shared drive by contacting the lead center. Additionally, regional directors must advise the lead center with consultant contact information, specialty, and industry experience so that the consultant directory can be updated with the individual’s information.</w:t>
      </w:r>
    </w:p>
    <w:p w14:paraId="335B8D24" w14:textId="77777777" w:rsidR="00DB4AC9" w:rsidRPr="00472E95" w:rsidRDefault="00DB4AC9" w:rsidP="00DB4AC9">
      <w:pPr>
        <w:pStyle w:val="Heading4"/>
        <w:ind w:left="360"/>
        <w:rPr>
          <w:b/>
          <w:bCs/>
          <w:color w:val="000000" w:themeColor="text1"/>
        </w:rPr>
      </w:pPr>
      <w:bookmarkStart w:id="55" w:name="_4k668n3" w:colFirst="0" w:colLast="0"/>
      <w:bookmarkEnd w:id="55"/>
      <w:r w:rsidRPr="00472E95">
        <w:rPr>
          <w:b/>
          <w:bCs/>
          <w:color w:val="000000" w:themeColor="text1"/>
        </w:rPr>
        <w:t>3.10.1 Minnesota SBDC Operations Manual</w:t>
      </w:r>
    </w:p>
    <w:p w14:paraId="5A427538" w14:textId="77777777" w:rsidR="00DB4AC9" w:rsidRDefault="00DB4AC9" w:rsidP="00DB4AC9">
      <w:r>
        <w:t>The operations manual is intended to help Minnesota SBDC directors, consultants and staff members understand the SBDC program and its operating requirements. The goal of the manual is to assure full compliance with the legal requirements that apply to the program and operate as effectively and efficiently as a unified organization possible.</w:t>
      </w:r>
    </w:p>
    <w:p w14:paraId="4297C8B3" w14:textId="77777777" w:rsidR="00DB4AC9" w:rsidRDefault="00DB4AC9" w:rsidP="00DB4AC9">
      <w:r>
        <w:lastRenderedPageBreak/>
        <w:t xml:space="preserve">The manual is organized into two sections. The first section provides an overview of key elements of the SBDC program. The purpose of this section is to give staff a basic understanding of each major </w:t>
      </w:r>
      <w:proofErr w:type="gramStart"/>
      <w:r>
        <w:t>program</w:t>
      </w:r>
      <w:proofErr w:type="gramEnd"/>
      <w:r>
        <w:t xml:space="preserve"> element and reference to the source(s) of its direction. The second section contains appendices </w:t>
      </w:r>
      <w:proofErr w:type="gramStart"/>
      <w:r>
        <w:t>with in</w:t>
      </w:r>
      <w:proofErr w:type="gramEnd"/>
      <w:r>
        <w:t xml:space="preserve"> depth information on selected topics that apply to the SBDC program. The intent of this section is to serve as a reference for further study of policies or practices as needed, and contains the Neoserra guide and on-boarding materials</w:t>
      </w:r>
    </w:p>
    <w:p w14:paraId="53FB4F52" w14:textId="77777777" w:rsidR="00DB4AC9" w:rsidRDefault="00DB4AC9" w:rsidP="00DB4AC9"/>
    <w:p w14:paraId="6B1EE3E3" w14:textId="77777777" w:rsidR="00DB4AC9" w:rsidRPr="00472E95" w:rsidRDefault="00DB4AC9" w:rsidP="00DB4AC9">
      <w:pPr>
        <w:pStyle w:val="Heading4"/>
        <w:ind w:left="360"/>
        <w:rPr>
          <w:b/>
          <w:bCs/>
          <w:color w:val="000000" w:themeColor="text1"/>
        </w:rPr>
      </w:pPr>
      <w:bookmarkStart w:id="56" w:name="_2zbgiuw" w:colFirst="0" w:colLast="0"/>
      <w:bookmarkEnd w:id="56"/>
      <w:r w:rsidRPr="00472E95">
        <w:rPr>
          <w:b/>
          <w:bCs/>
          <w:color w:val="000000" w:themeColor="text1"/>
        </w:rPr>
        <w:t>3.10.2 Minnesota SBDC Strategic Plan</w:t>
      </w:r>
    </w:p>
    <w:p w14:paraId="1B197946" w14:textId="77777777" w:rsidR="00DB4AC9" w:rsidRDefault="00DB4AC9" w:rsidP="00DB4AC9">
      <w:r>
        <w:t>The strategic plan is intended to help Minnesota SBDC directors, consultants and staff understand the mission, vision, goals, and objectives of the network. Furthermore, the strategic plan outlines the operating beliefs and values of the organization and distinguishes its market focus and action items in pursuit of achieving its vision. The current Minnesota SBDC Strategic Plan is posted on the MnSBDC shared drive.</w:t>
      </w:r>
    </w:p>
    <w:p w14:paraId="3B4E2502" w14:textId="77777777" w:rsidR="00DB4AC9" w:rsidRPr="00472E95" w:rsidRDefault="00DB4AC9" w:rsidP="00DB4AC9">
      <w:pPr>
        <w:pStyle w:val="Heading4"/>
        <w:ind w:left="360"/>
        <w:rPr>
          <w:b/>
          <w:bCs/>
          <w:color w:val="000000" w:themeColor="text1"/>
        </w:rPr>
      </w:pPr>
      <w:bookmarkStart w:id="57" w:name="_1egqt2p" w:colFirst="0" w:colLast="0"/>
      <w:bookmarkEnd w:id="57"/>
      <w:r w:rsidRPr="00472E95">
        <w:rPr>
          <w:b/>
          <w:bCs/>
          <w:color w:val="000000" w:themeColor="text1"/>
        </w:rPr>
        <w:t>3.10.3 Minnesota Network Member Neoserra User Guide</w:t>
      </w:r>
    </w:p>
    <w:p w14:paraId="3FEE8881" w14:textId="77777777" w:rsidR="00DB4AC9" w:rsidRDefault="00DB4AC9" w:rsidP="00DB4AC9">
      <w:r>
        <w:t>The Minnesota SBDC lead center has designed a Neoserra manual specifically for consultants.  The manual highlights the specific consultant needs to maximize their understanding of the system within their position. The manual provides data policies and step-by-step instructions on how to access, add, and edit information to the system and generate related reports. The Neoserra MnSBDC Consultant Manual is included in the Operations Manual as an appendix and posted on the MnSBDC shared drive.</w:t>
      </w:r>
    </w:p>
    <w:p w14:paraId="3CF7A158" w14:textId="77777777" w:rsidR="00DB4AC9" w:rsidRPr="00D15C78" w:rsidRDefault="00DB4AC9" w:rsidP="00D15C78">
      <w:pPr>
        <w:pStyle w:val="Heading2"/>
        <w:spacing w:before="0" w:after="240"/>
        <w:rPr>
          <w:rFonts w:ascii="Calibri" w:eastAsia="Calibri" w:hAnsi="Calibri" w:cs="Calibri"/>
          <w:b/>
          <w:smallCaps/>
          <w:color w:val="000000"/>
          <w:sz w:val="28"/>
          <w:szCs w:val="28"/>
        </w:rPr>
      </w:pPr>
      <w:bookmarkStart w:id="58" w:name="_3ygebqi" w:colFirst="0" w:colLast="0"/>
      <w:bookmarkEnd w:id="58"/>
      <w:r w:rsidRPr="00D15C78">
        <w:rPr>
          <w:rFonts w:ascii="Calibri" w:eastAsia="Calibri" w:hAnsi="Calibri" w:cs="Calibri"/>
          <w:b/>
          <w:smallCaps/>
          <w:color w:val="000000"/>
          <w:sz w:val="28"/>
          <w:szCs w:val="28"/>
        </w:rPr>
        <w:t>3.11 Resources for Consultants</w:t>
      </w:r>
    </w:p>
    <w:p w14:paraId="02F576B4" w14:textId="77777777" w:rsidR="00DB4AC9" w:rsidRPr="00472E95" w:rsidRDefault="00DB4AC9" w:rsidP="00DB4AC9">
      <w:pPr>
        <w:pStyle w:val="Heading4"/>
        <w:ind w:left="360"/>
        <w:rPr>
          <w:b/>
          <w:bCs/>
          <w:color w:val="000000" w:themeColor="text1"/>
        </w:rPr>
      </w:pPr>
      <w:bookmarkStart w:id="59" w:name="_2dlolyb" w:colFirst="0" w:colLast="0"/>
      <w:bookmarkEnd w:id="59"/>
      <w:r w:rsidRPr="00472E95">
        <w:rPr>
          <w:b/>
          <w:bCs/>
          <w:color w:val="000000" w:themeColor="text1"/>
        </w:rPr>
        <w:t>3.11.1 SBDCNet</w:t>
      </w:r>
    </w:p>
    <w:p w14:paraId="1DD780AE" w14:textId="447A153B" w:rsidR="00DB4AC9" w:rsidRDefault="00DB4AC9" w:rsidP="00DB4AC9">
      <w:r>
        <w:t>As part of the appropriation for the SBDC program, Congress directed the Small Business Administration to offer an information sharing and information exchange system to all SBDC consultants.</w:t>
      </w:r>
      <w:r>
        <w:rPr>
          <w:vertAlign w:val="superscript"/>
        </w:rPr>
        <w:footnoteReference w:id="106"/>
      </w:r>
      <w:r>
        <w:t xml:space="preserve"> SBA contracts for this service. The service, called SBDCNet, is currently provided by the University of Texas</w:t>
      </w:r>
      <w:r w:rsidR="003D0F58">
        <w:t>,</w:t>
      </w:r>
      <w:r>
        <w:t xml:space="preserve"> San Antonio. Services include access to industry information, sample business and marketing plans for a variety of industries, a listing of best practices for SBDC operations and response to specific research requests. There is no charge for this service for consultants. Consultants can access this resource over the Internet at </w:t>
      </w:r>
      <w:hyperlink r:id="rId12" w:history="1">
        <w:r w:rsidRPr="001E68F5">
          <w:rPr>
            <w:rStyle w:val="Hyperlink"/>
          </w:rPr>
          <w:t>https://www.sbdcnet.org/</w:t>
        </w:r>
      </w:hyperlink>
      <w:r>
        <w:rPr>
          <w:color w:val="0000FF"/>
        </w:rPr>
        <w:t xml:space="preserve"> </w:t>
      </w:r>
      <w:r w:rsidRPr="00D24014">
        <w:t>and logging in on the ‘Advisor Login’ button</w:t>
      </w:r>
      <w:r>
        <w:t>.</w:t>
      </w:r>
    </w:p>
    <w:p w14:paraId="6F7049E9" w14:textId="77777777" w:rsidR="00DB4AC9" w:rsidRPr="00472E95" w:rsidRDefault="00DB4AC9" w:rsidP="00DB4AC9">
      <w:pPr>
        <w:pStyle w:val="Heading4"/>
        <w:ind w:left="360"/>
        <w:rPr>
          <w:b/>
          <w:bCs/>
          <w:color w:val="000000" w:themeColor="text1"/>
        </w:rPr>
      </w:pPr>
      <w:bookmarkStart w:id="61" w:name="_sqyw64" w:colFirst="0" w:colLast="0"/>
      <w:bookmarkEnd w:id="61"/>
      <w:r w:rsidRPr="00472E95">
        <w:rPr>
          <w:b/>
          <w:bCs/>
          <w:color w:val="000000" w:themeColor="text1"/>
        </w:rPr>
        <w:t>3.11.2 Small Business Assistance Office</w:t>
      </w:r>
    </w:p>
    <w:p w14:paraId="41D0510D" w14:textId="666191E5" w:rsidR="00DB4AC9" w:rsidRDefault="00DB4AC9" w:rsidP="00DB4AC9">
      <w:r>
        <w:t>The Minnesota Small Business Assistance Office (SBAO)</w:t>
      </w:r>
      <w:r>
        <w:rPr>
          <w:vertAlign w:val="superscript"/>
        </w:rPr>
        <w:footnoteReference w:id="107"/>
      </w:r>
      <w:r>
        <w:t xml:space="preserve"> provides comprehensive information and assistance to businesses in the areas of start-up, and operations in addition to answering questions on state licensing and permits processes. The SBAO is in the same Small Business and Innovation office as the Minnesota Small Business Development Centers program. The SBAO is staffed with business advisor specialists that provide business assistance primarily online and by phone and are ‘transaction’ based rather than the ‘relationship’ focus that the MnSBDC has. The Office develops business development publications including </w:t>
      </w:r>
      <w:r w:rsidRPr="00AD6AC8">
        <w:rPr>
          <w:i/>
          <w:iCs/>
        </w:rPr>
        <w:t>A Guide to Starting a Business in Minnesota</w:t>
      </w:r>
      <w:r>
        <w:t xml:space="preserve">. Most publications are done in conjunction with major Minnesota law firms. A list of SBAO publications is available at </w:t>
      </w:r>
      <w:hyperlink r:id="rId13" w:history="1">
        <w:r w:rsidR="00297471" w:rsidRPr="00297471">
          <w:rPr>
            <w:rStyle w:val="Hyperlink"/>
          </w:rPr>
          <w:t>https://mn.gov/deed/business/help/sbao/</w:t>
        </w:r>
      </w:hyperlink>
    </w:p>
    <w:p w14:paraId="6FC23EA7" w14:textId="77777777" w:rsidR="00DB4AC9" w:rsidRPr="00472E95" w:rsidRDefault="00DB4AC9" w:rsidP="00DB4AC9">
      <w:pPr>
        <w:pStyle w:val="Heading4"/>
        <w:ind w:left="360"/>
        <w:rPr>
          <w:b/>
          <w:bCs/>
          <w:color w:val="000000" w:themeColor="text1"/>
        </w:rPr>
      </w:pPr>
      <w:bookmarkStart w:id="62" w:name="_3cqmetx" w:colFirst="0" w:colLast="0"/>
      <w:bookmarkEnd w:id="62"/>
      <w:r w:rsidRPr="00472E95">
        <w:rPr>
          <w:b/>
          <w:bCs/>
          <w:color w:val="000000" w:themeColor="text1"/>
        </w:rPr>
        <w:lastRenderedPageBreak/>
        <w:t>3.11.4 MnSBDC Shared Drive</w:t>
      </w:r>
    </w:p>
    <w:p w14:paraId="09EA9232" w14:textId="43E8AC97" w:rsidR="00DB4AC9" w:rsidRDefault="00DB4AC9" w:rsidP="00DB4AC9">
      <w:r>
        <w:t xml:space="preserve">MnSBDC network members may have access to an intranet website that is maintained by the lead center and currently hosted </w:t>
      </w:r>
      <w:r w:rsidR="005204AB">
        <w:t>at</w:t>
      </w:r>
      <w:r>
        <w:t xml:space="preserve"> the </w:t>
      </w:r>
      <w:r w:rsidR="003015F9">
        <w:t xml:space="preserve">current </w:t>
      </w:r>
      <w:r w:rsidR="003015F9" w:rsidRPr="00BA3B66">
        <w:t>shared</w:t>
      </w:r>
      <w:r w:rsidRPr="00BA3B66">
        <w:t xml:space="preserve"> drive</w:t>
      </w:r>
      <w:r w:rsidR="00BA3B66">
        <w:t xml:space="preserve"> location</w:t>
      </w:r>
      <w:r w:rsidRPr="00BA3B66">
        <w:t>.</w:t>
      </w:r>
      <w:r>
        <w:t xml:space="preserve"> Each Regional Center has access through the Regional Director and, </w:t>
      </w:r>
      <w:r w:rsidRPr="00580F24">
        <w:t>if permitted by the Regional Director</w:t>
      </w:r>
      <w:r>
        <w:t>, the Program Coordinator or Assistant/Associate Regional Director.</w:t>
      </w:r>
    </w:p>
    <w:p w14:paraId="06F72FA8" w14:textId="77777777" w:rsidR="00DB4AC9" w:rsidRDefault="00DB4AC9" w:rsidP="00DB4AC9"/>
    <w:p w14:paraId="53EBE8F1" w14:textId="1E709020" w:rsidR="00DB4AC9" w:rsidRPr="00BD72C1" w:rsidRDefault="00331407" w:rsidP="00BD72C1">
      <w:pPr>
        <w:pStyle w:val="Heading2"/>
        <w:spacing w:before="0" w:after="240"/>
        <w:rPr>
          <w:rFonts w:ascii="Calibri" w:eastAsia="Calibri" w:hAnsi="Calibri" w:cs="Calibri"/>
          <w:b/>
          <w:smallCaps/>
          <w:color w:val="000000"/>
          <w:sz w:val="28"/>
          <w:szCs w:val="28"/>
        </w:rPr>
      </w:pPr>
      <w:r w:rsidRPr="00BD72C1">
        <w:rPr>
          <w:rFonts w:ascii="Calibri" w:eastAsia="Calibri" w:hAnsi="Calibri" w:cs="Calibri"/>
          <w:b/>
          <w:smallCaps/>
          <w:color w:val="000000"/>
          <w:sz w:val="28"/>
          <w:szCs w:val="28"/>
        </w:rPr>
        <w:t xml:space="preserve">3.12 </w:t>
      </w:r>
      <w:r w:rsidR="00DB4AC9" w:rsidRPr="00BD72C1">
        <w:rPr>
          <w:rFonts w:ascii="Calibri" w:eastAsia="Calibri" w:hAnsi="Calibri" w:cs="Calibri"/>
          <w:b/>
          <w:smallCaps/>
          <w:color w:val="000000"/>
          <w:sz w:val="28"/>
          <w:szCs w:val="28"/>
        </w:rPr>
        <w:t>Professional Development</w:t>
      </w:r>
    </w:p>
    <w:p w14:paraId="1C544623" w14:textId="22EAA140" w:rsidR="00DB4AC9" w:rsidRDefault="00DB4AC9" w:rsidP="00DB4AC9">
      <w:r>
        <w:t xml:space="preserve">As required in the ‘Request for Proposal’ that each host of a Regional Center responds to, each Regional Center must ensure that all Regional Directors, Professional Business Consultants and Staff maintain their professional skills and abilities pertaining to their position, to meet changing business conditions. </w:t>
      </w:r>
      <w:r w:rsidRPr="00EA5E66">
        <w:t>To meet the requirement of 40 hours of professional development per program year</w:t>
      </w:r>
      <w:r>
        <w:t xml:space="preserve">, the Lead Center organizes an annual professional development event (The Knowledge Exchange, or KEP) to provide this opportunity. This is the main source of professional development for the professional business consultant in the MnSBDC network, and the development should align with the Core Competency requirements listed above. For Professional Business Consultants that do not work on a full-time basis, the </w:t>
      </w:r>
      <w:proofErr w:type="gramStart"/>
      <w:r>
        <w:t>40 hour</w:t>
      </w:r>
      <w:proofErr w:type="gramEnd"/>
      <w:r>
        <w:t xml:space="preserve"> requirement may be pro-rated to meet their </w:t>
      </w:r>
      <w:r w:rsidR="00EF3E55">
        <w:t xml:space="preserve">actual </w:t>
      </w:r>
      <w:r>
        <w:t>work schedule.</w:t>
      </w:r>
    </w:p>
    <w:p w14:paraId="6813655C" w14:textId="77777777" w:rsidR="00DB4AC9" w:rsidRDefault="00DB4AC9" w:rsidP="00DB4AC9">
      <w:r>
        <w:t>There are other avenues available for the Regional Director, Professional Business Consultant and Staff to meet the required 40 hours of professional development. The annual conference offered by the ASBDC (America’s SBDC – the national association for the SBDC program) offers 3-plus days of sessions at multiple skill levels and across all disciplines and position descriptions. In addition, this requirement may be met by taking classes or learning sessions that may be in the format of in-person, live events, or through the internet.</w:t>
      </w:r>
    </w:p>
    <w:p w14:paraId="4B24608C" w14:textId="77777777" w:rsidR="00DB4AC9" w:rsidRDefault="00DB4AC9" w:rsidP="00DB4AC9">
      <w:r>
        <w:t>Finally, the professional business consultant is offered rich learning opportunities with many client engagements, where they must research an industry, practice or process to effectively serve the client. This ‘</w:t>
      </w:r>
      <w:r>
        <w:rPr>
          <w:i/>
        </w:rPr>
        <w:t xml:space="preserve">extempore’ </w:t>
      </w:r>
      <w:r>
        <w:t>learning opportunity must be qualified by the Regional Director for validity and length of time expended on learning before it is entered into Neoserra as a professional development session.</w:t>
      </w:r>
    </w:p>
    <w:p w14:paraId="4D98CACD" w14:textId="77777777" w:rsidR="00DB4AC9" w:rsidRDefault="00DB4AC9" w:rsidP="00DB4AC9">
      <w:r>
        <w:t>Neoserra is the official place to record and track all professional development for all Regional Directors, Professional Business Consultants and Staff in the MnSBDC.</w:t>
      </w:r>
    </w:p>
    <w:p w14:paraId="79A9028B" w14:textId="77777777" w:rsidR="00DB4AC9" w:rsidRDefault="00DB4AC9" w:rsidP="00DB4AC9">
      <w:r>
        <w:t>Note that the Lead Center also adheres to the required 40 hours of professional development in a program year.</w:t>
      </w:r>
    </w:p>
    <w:p w14:paraId="63D39A29" w14:textId="77777777" w:rsidR="00DB4AC9" w:rsidRDefault="00DB4AC9" w:rsidP="00DB4AC9"/>
    <w:p w14:paraId="47CE06EA" w14:textId="77777777" w:rsidR="00DB4AC9" w:rsidRDefault="00DB4AC9" w:rsidP="00DB4AC9">
      <w:r>
        <w:br w:type="page"/>
      </w:r>
    </w:p>
    <w:p w14:paraId="45EC07B0" w14:textId="77777777" w:rsidR="00DB4AC9" w:rsidRDefault="00DB4AC9" w:rsidP="00DB4AC9">
      <w:pPr>
        <w:pStyle w:val="Heading2"/>
      </w:pPr>
      <w:bookmarkStart w:id="63" w:name="_4bvk7pj" w:colFirst="0" w:colLast="0"/>
      <w:bookmarkEnd w:id="63"/>
      <w:r>
        <w:rPr>
          <w:sz w:val="36"/>
          <w:szCs w:val="36"/>
        </w:rPr>
        <w:lastRenderedPageBreak/>
        <w:t>4.0 Consulting</w:t>
      </w:r>
    </w:p>
    <w:p w14:paraId="0AEFCC20" w14:textId="77777777" w:rsidR="00DB4AC9" w:rsidRDefault="00DB4AC9" w:rsidP="00DB4AC9">
      <w:r w:rsidRPr="00560E3B">
        <w:t>Our mission is to help entrepreneurs start and grow businesses that succeed.</w:t>
      </w:r>
      <w:r w:rsidRPr="00560E3B">
        <w:rPr>
          <w:vertAlign w:val="superscript"/>
        </w:rPr>
        <w:footnoteReference w:id="108"/>
      </w:r>
      <w:r>
        <w:t xml:space="preserve"> </w:t>
      </w:r>
    </w:p>
    <w:p w14:paraId="2C768B4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64" w:name="_2r0uhxc" w:colFirst="0" w:colLast="0"/>
      <w:bookmarkEnd w:id="64"/>
      <w:r w:rsidRPr="000D565A">
        <w:rPr>
          <w:rFonts w:ascii="Calibri" w:eastAsia="Calibri" w:hAnsi="Calibri" w:cs="Calibri"/>
          <w:b/>
          <w:smallCaps/>
          <w:color w:val="000000"/>
          <w:sz w:val="28"/>
          <w:szCs w:val="28"/>
        </w:rPr>
        <w:t>4.1 Definitions</w:t>
      </w:r>
    </w:p>
    <w:p w14:paraId="5ACA8167" w14:textId="77777777" w:rsidR="00DB4AC9" w:rsidRPr="00472E95" w:rsidRDefault="00DB4AC9" w:rsidP="00DB4AC9">
      <w:pPr>
        <w:pStyle w:val="Heading4"/>
        <w:ind w:left="360"/>
        <w:rPr>
          <w:b/>
          <w:bCs/>
          <w:color w:val="000000" w:themeColor="text1"/>
        </w:rPr>
      </w:pPr>
      <w:bookmarkStart w:id="65" w:name="_1664s55" w:colFirst="0" w:colLast="0"/>
      <w:bookmarkEnd w:id="65"/>
      <w:r w:rsidRPr="00472E95">
        <w:rPr>
          <w:b/>
          <w:bCs/>
          <w:color w:val="000000" w:themeColor="text1"/>
        </w:rPr>
        <w:t xml:space="preserve">4.1.1 Consulting </w:t>
      </w:r>
    </w:p>
    <w:p w14:paraId="25D33F5C" w14:textId="4863A7DA" w:rsidR="00DB4AC9" w:rsidRDefault="00DB4AC9" w:rsidP="00DB4AC9">
      <w:r>
        <w:t>Counseling (‘Consulting’ is the term preferred by the MnSBDC Network) is individual advice, guidance or instruction given to a small business person or entity.</w:t>
      </w:r>
      <w:r>
        <w:rPr>
          <w:vertAlign w:val="superscript"/>
        </w:rPr>
        <w:footnoteReference w:id="109"/>
      </w:r>
      <w:r>
        <w:t xml:space="preserve"> The issues presented by the client must be substantive in nature and require assistance from the SBDC in the formation, management, financing or operation of a small business enterprise and are specific to the needs of the business.</w:t>
      </w:r>
      <w:r>
        <w:rPr>
          <w:vertAlign w:val="superscript"/>
        </w:rPr>
        <w:footnoteReference w:id="110"/>
      </w:r>
      <w:r>
        <w:t xml:space="preserve"> Consulting may be provided in one-to-one sessions or other means, such as through electronic communication. Electronic communication may be via telephone, e-mail, or audio or video conferencing. To count for SBA reporting purposes, both the “Initial” </w:t>
      </w:r>
      <w:r w:rsidRPr="001D54BA">
        <w:t>session and any “Follow-up” Sessions</w:t>
      </w:r>
      <w:r w:rsidR="005E13BB">
        <w:t xml:space="preserve"> </w:t>
      </w:r>
      <w:r>
        <w:t xml:space="preserve">(Combination of Contact and Prep) must be non-zero. </w:t>
      </w:r>
    </w:p>
    <w:p w14:paraId="34327853" w14:textId="77777777" w:rsidR="00DB4AC9" w:rsidRPr="00472E95" w:rsidRDefault="00DB4AC9" w:rsidP="00DB4AC9">
      <w:pPr>
        <w:pStyle w:val="Heading4"/>
        <w:ind w:left="360"/>
        <w:rPr>
          <w:b/>
          <w:bCs/>
          <w:color w:val="000000" w:themeColor="text1"/>
        </w:rPr>
      </w:pPr>
      <w:bookmarkStart w:id="66" w:name="_3q5sasy" w:colFirst="0" w:colLast="0"/>
      <w:bookmarkEnd w:id="66"/>
      <w:r w:rsidRPr="00472E95">
        <w:rPr>
          <w:b/>
          <w:bCs/>
          <w:color w:val="000000" w:themeColor="text1"/>
        </w:rPr>
        <w:t>4.1.2 Consulting Client</w:t>
      </w:r>
    </w:p>
    <w:p w14:paraId="0F3EE212" w14:textId="77777777" w:rsidR="00DB4AC9" w:rsidRDefault="00DB4AC9" w:rsidP="00DB4AC9">
      <w:r>
        <w:t>An SBDC consulting client is the business entity, if it exists. In the case of a prospective business, the client is the individual (i.e., nascent entrepreneur). The individual or business is considered a client if the person has completed an approved SBA client intake paper form (SBA Form 641 completed during registration) or eCenter sign up and is receiving assistance that meets the definition of a consulting case.</w:t>
      </w:r>
      <w:r>
        <w:rPr>
          <w:vertAlign w:val="superscript"/>
        </w:rPr>
        <w:footnoteReference w:id="111"/>
      </w:r>
      <w:r>
        <w:t xml:space="preserve"> Because the focus of the SBDC program is on consulting for-profit businesses and prospective for-profit business owners, non-profit entities, faith-based organizations and units of government are not typical SBDC consulting clients. The state director must approve consulting with these entities in advance, based on anticipated economic impact as requested by the Regional Director.</w:t>
      </w:r>
    </w:p>
    <w:p w14:paraId="7A737ED0" w14:textId="77777777" w:rsidR="00DB4AC9" w:rsidRPr="00472E95" w:rsidRDefault="00DB4AC9" w:rsidP="00DB4AC9">
      <w:pPr>
        <w:pStyle w:val="Heading4"/>
        <w:ind w:left="360"/>
        <w:rPr>
          <w:b/>
          <w:bCs/>
          <w:color w:val="000000" w:themeColor="text1"/>
        </w:rPr>
      </w:pPr>
      <w:bookmarkStart w:id="67" w:name="_25b2l0r" w:colFirst="0" w:colLast="0"/>
      <w:bookmarkEnd w:id="67"/>
      <w:r w:rsidRPr="00472E95">
        <w:rPr>
          <w:b/>
          <w:bCs/>
          <w:color w:val="000000" w:themeColor="text1"/>
        </w:rPr>
        <w:t>4.1.3 In-Business Client, Nascent (Pre-Venture) Entrepreneur, Start-up</w:t>
      </w:r>
    </w:p>
    <w:p w14:paraId="3BD4ED32" w14:textId="77777777" w:rsidR="00DB4AC9" w:rsidRDefault="00DB4AC9" w:rsidP="00DB4AC9">
      <w:pPr>
        <w:spacing w:after="0"/>
      </w:pPr>
      <w:r>
        <w:t xml:space="preserve">For the purpose of reporting, a client is considered an “In-Business” client if it exists, and they have indicated they are in business on the ‘Request for Counseling’ form (SBA Form 641) and have completed required registration(s), if applicable, with the local, state, and/or Federal Government (e.g., DBA registration, get a business license, agency issued tax identifications, etc.) </w:t>
      </w:r>
    </w:p>
    <w:p w14:paraId="729C65E9" w14:textId="77777777" w:rsidR="00DB4AC9" w:rsidRDefault="00DB4AC9" w:rsidP="00DB4AC9">
      <w:r>
        <w:rPr>
          <w:sz w:val="24"/>
          <w:szCs w:val="24"/>
        </w:rPr>
        <w:t>AND at least one of the following:</w:t>
      </w:r>
    </w:p>
    <w:p w14:paraId="74FE982C" w14:textId="77777777" w:rsidR="00DB4AC9" w:rsidRDefault="00DB4AC9" w:rsidP="00DB4AC9">
      <w:pPr>
        <w:spacing w:after="0"/>
      </w:pPr>
    </w:p>
    <w:p w14:paraId="6620CBFD" w14:textId="77777777" w:rsidR="00DB4AC9" w:rsidRDefault="00DB4AC9" w:rsidP="00DB4AC9">
      <w:pPr>
        <w:numPr>
          <w:ilvl w:val="0"/>
          <w:numId w:val="3"/>
        </w:numPr>
        <w:spacing w:after="75"/>
        <w:ind w:hanging="360"/>
        <w:contextualSpacing/>
        <w:rPr>
          <w:sz w:val="24"/>
          <w:szCs w:val="24"/>
        </w:rPr>
      </w:pPr>
      <w:r>
        <w:rPr>
          <w:sz w:val="24"/>
          <w:szCs w:val="24"/>
        </w:rPr>
        <w:t xml:space="preserve">Has documented a transaction from the sale of a product or professional or personal service for the purpose of gain or </w:t>
      </w:r>
      <w:proofErr w:type="gramStart"/>
      <w:r>
        <w:rPr>
          <w:sz w:val="24"/>
          <w:szCs w:val="24"/>
        </w:rPr>
        <w:t>profit;</w:t>
      </w:r>
      <w:proofErr w:type="gramEnd"/>
      <w:r>
        <w:rPr>
          <w:sz w:val="24"/>
          <w:szCs w:val="24"/>
        </w:rPr>
        <w:t xml:space="preserve"> </w:t>
      </w:r>
    </w:p>
    <w:p w14:paraId="133E9A6E" w14:textId="77777777" w:rsidR="00DB4AC9" w:rsidRDefault="00DB4AC9" w:rsidP="00DB4AC9">
      <w:pPr>
        <w:numPr>
          <w:ilvl w:val="0"/>
          <w:numId w:val="3"/>
        </w:numPr>
        <w:spacing w:after="75"/>
        <w:ind w:hanging="360"/>
        <w:contextualSpacing/>
        <w:rPr>
          <w:sz w:val="24"/>
          <w:szCs w:val="24"/>
        </w:rPr>
      </w:pPr>
      <w:r>
        <w:rPr>
          <w:sz w:val="24"/>
          <w:szCs w:val="24"/>
        </w:rPr>
        <w:t xml:space="preserve">Has contracted for or compensated an employee(s) or independent contractor(s) to perform essential business </w:t>
      </w:r>
      <w:proofErr w:type="gramStart"/>
      <w:r>
        <w:rPr>
          <w:sz w:val="24"/>
          <w:szCs w:val="24"/>
        </w:rPr>
        <w:t>functions;</w:t>
      </w:r>
      <w:proofErr w:type="gramEnd"/>
      <w:r>
        <w:rPr>
          <w:sz w:val="24"/>
          <w:szCs w:val="24"/>
        </w:rPr>
        <w:t xml:space="preserve"> </w:t>
      </w:r>
    </w:p>
    <w:p w14:paraId="63B7288E" w14:textId="77777777" w:rsidR="00DB4AC9" w:rsidRDefault="00DB4AC9" w:rsidP="00DB4AC9">
      <w:pPr>
        <w:numPr>
          <w:ilvl w:val="0"/>
          <w:numId w:val="3"/>
        </w:numPr>
        <w:spacing w:after="75"/>
        <w:ind w:hanging="360"/>
        <w:contextualSpacing/>
        <w:rPr>
          <w:sz w:val="24"/>
          <w:szCs w:val="24"/>
        </w:rPr>
      </w:pPr>
      <w:r>
        <w:rPr>
          <w:sz w:val="24"/>
          <w:szCs w:val="24"/>
        </w:rPr>
        <w:t xml:space="preserve">Has acquired debt or equity capital to pursue business operations (e.g., to purchase inventory, equipment, building, business, etc.); or, </w:t>
      </w:r>
    </w:p>
    <w:p w14:paraId="049BAB14" w14:textId="77777777" w:rsidR="00DB4AC9" w:rsidRDefault="00DB4AC9" w:rsidP="00DB4AC9">
      <w:pPr>
        <w:numPr>
          <w:ilvl w:val="0"/>
          <w:numId w:val="3"/>
        </w:numPr>
        <w:spacing w:after="0"/>
        <w:ind w:hanging="360"/>
        <w:contextualSpacing/>
        <w:rPr>
          <w:sz w:val="24"/>
          <w:szCs w:val="24"/>
        </w:rPr>
      </w:pPr>
      <w:proofErr w:type="gramStart"/>
      <w:r>
        <w:rPr>
          <w:sz w:val="24"/>
          <w:szCs w:val="24"/>
        </w:rPr>
        <w:t>Has incurred business expenses</w:t>
      </w:r>
      <w:proofErr w:type="gramEnd"/>
      <w:r>
        <w:rPr>
          <w:sz w:val="24"/>
          <w:szCs w:val="24"/>
        </w:rPr>
        <w:t xml:space="preserve"> in the operation of a business.</w:t>
      </w:r>
    </w:p>
    <w:p w14:paraId="62FEC96C" w14:textId="77777777" w:rsidR="00DB4AC9" w:rsidRDefault="00DB4AC9" w:rsidP="00DB4AC9">
      <w:pPr>
        <w:spacing w:after="75"/>
      </w:pPr>
    </w:p>
    <w:p w14:paraId="6382260C" w14:textId="77777777" w:rsidR="00DB4AC9" w:rsidRDefault="00DB4AC9" w:rsidP="00DB4AC9">
      <w:pPr>
        <w:spacing w:after="0"/>
      </w:pPr>
      <w:r w:rsidRPr="00AD6AC8">
        <w:rPr>
          <w:sz w:val="24"/>
          <w:szCs w:val="24"/>
          <w:highlight w:val="yellow"/>
        </w:rPr>
        <w:t>A nascent (pre-venture) entrepreneur are those individuals who have taken one or more active steps to form a business according to the Kauffman Foundation (</w:t>
      </w:r>
      <w:hyperlink r:id="rId14">
        <w:r w:rsidRPr="00AD6AC8">
          <w:rPr>
            <w:color w:val="1155CC"/>
            <w:sz w:val="24"/>
            <w:szCs w:val="24"/>
            <w:highlight w:val="yellow"/>
            <w:u w:val="single"/>
          </w:rPr>
          <w:t>www.kauffman.org</w:t>
        </w:r>
      </w:hyperlink>
      <w:r w:rsidRPr="00AD6AC8">
        <w:rPr>
          <w:sz w:val="24"/>
          <w:szCs w:val="24"/>
          <w:highlight w:val="yellow"/>
        </w:rPr>
        <w:t>).</w:t>
      </w:r>
      <w:r>
        <w:rPr>
          <w:sz w:val="24"/>
          <w:szCs w:val="24"/>
        </w:rPr>
        <w:t xml:space="preserve"> This includes individuals seeking assistance from the SBA and/or one of its resource partners.</w:t>
      </w:r>
    </w:p>
    <w:p w14:paraId="12FA9731" w14:textId="77777777" w:rsidR="00DB4AC9" w:rsidRDefault="00DB4AC9" w:rsidP="00DB4AC9">
      <w:pPr>
        <w:spacing w:after="0"/>
      </w:pPr>
    </w:p>
    <w:p w14:paraId="3286FDCE" w14:textId="77777777" w:rsidR="00DB4AC9" w:rsidRDefault="00DB4AC9" w:rsidP="00DB4AC9">
      <w:pPr>
        <w:spacing w:after="0"/>
      </w:pPr>
      <w:r>
        <w:rPr>
          <w:sz w:val="24"/>
          <w:szCs w:val="24"/>
        </w:rPr>
        <w:t>A start-up are those individuals (entities) who have been in business up to 12 months.</w:t>
      </w:r>
      <w:r>
        <w:t xml:space="preserve"> </w:t>
      </w:r>
      <w:r>
        <w:rPr>
          <w:vertAlign w:val="superscript"/>
        </w:rPr>
        <w:footnoteReference w:id="112"/>
      </w:r>
    </w:p>
    <w:p w14:paraId="7FC39ADA" w14:textId="77777777" w:rsidR="00DB4AC9" w:rsidRPr="00472E95" w:rsidRDefault="00DB4AC9" w:rsidP="00DB4AC9">
      <w:pPr>
        <w:pStyle w:val="Heading4"/>
        <w:ind w:left="360"/>
        <w:rPr>
          <w:b/>
          <w:bCs/>
          <w:color w:val="000000" w:themeColor="text1"/>
        </w:rPr>
      </w:pPr>
      <w:bookmarkStart w:id="68" w:name="_kgcv8k" w:colFirst="0" w:colLast="0"/>
      <w:bookmarkEnd w:id="68"/>
      <w:r w:rsidRPr="00472E95">
        <w:rPr>
          <w:b/>
          <w:bCs/>
          <w:color w:val="000000" w:themeColor="text1"/>
        </w:rPr>
        <w:t>4.1.4 Special Emphasis Client Groups</w:t>
      </w:r>
    </w:p>
    <w:p w14:paraId="0E18A74B" w14:textId="77777777" w:rsidR="00DB4AC9" w:rsidRDefault="00DB4AC9" w:rsidP="00DB4AC9">
      <w:r>
        <w:t xml:space="preserve">SBA from time to time identifies certain client groups to which it expects SBDCs to direct special attention, such as </w:t>
      </w:r>
      <w:proofErr w:type="gramStart"/>
      <w:r>
        <w:t>trainings</w:t>
      </w:r>
      <w:proofErr w:type="gramEnd"/>
      <w:r>
        <w:t xml:space="preserve">, events seminars, and focus for populations of interest.  Groups whose members are underrepresented in the population of business owners compared to their representation in the overall population. Special Emphasis Groups may include: disabled individuals, Native Americans or Alaska Natives, Black or African Americans, Asian Americans, Native Hawaiians or other Pacific Islanders, Hispanics, women, veterans, service connected-disabled veterans, self-employed Reserve and Guard members, transitioning military personnel and spouses, individuals in rural areas, individuals in </w:t>
      </w:r>
      <w:proofErr w:type="spellStart"/>
      <w:r>
        <w:t>HUBZones</w:t>
      </w:r>
      <w:proofErr w:type="spellEnd"/>
      <w:r>
        <w:t xml:space="preserve"> and individuals in low to moderate income urban and rural areas as determined by Census Bureau information, among others. These special emphasis groups are identified in the annual Notice of Funding Opportunity.</w:t>
      </w:r>
      <w:r>
        <w:rPr>
          <w:vertAlign w:val="superscript"/>
        </w:rPr>
        <w:footnoteReference w:id="113"/>
      </w:r>
    </w:p>
    <w:p w14:paraId="62D692BB" w14:textId="77777777" w:rsidR="00DB4AC9" w:rsidRDefault="00DB4AC9" w:rsidP="00DB4AC9">
      <w:r>
        <w:t>Also – the SBA may follow guidance from the Administration issued through ‘Executive Orders’ that removes the focus of serving Special Emphasis Client Groups. In the current administration, the SBA following the guidance of the administration has directed that no ‘diversity, equity, inclusion and accessibility’ (DEIA) focus is allowed. Since the SBDC program follows the guidance of the Small Business Act legislation that authorized the program and guides its operation, all clients are treated equally without regard to any diversity, equity, inclusion and accessibility factors.</w:t>
      </w:r>
    </w:p>
    <w:p w14:paraId="5CC7E966" w14:textId="77777777" w:rsidR="00DB4AC9" w:rsidRDefault="00DB4AC9" w:rsidP="00DB4AC9">
      <w:r>
        <w:t xml:space="preserve">In addition, the Minnesota SBDC may designate certain targeted industries to which SBDCs are expected to direct special emphasis. These are industries, which, based on research conducted by the SBDC, are most likely to produce significant economic impact because of factors like employment and wage scale. SBDCs are expected to serve targeted industries at least in proportion to their representation in the region. </w:t>
      </w:r>
    </w:p>
    <w:p w14:paraId="7C51C33F"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69" w:name="_34g0dwd" w:colFirst="0" w:colLast="0"/>
      <w:bookmarkEnd w:id="69"/>
      <w:r w:rsidRPr="000D565A">
        <w:rPr>
          <w:rFonts w:ascii="Calibri" w:eastAsia="Calibri" w:hAnsi="Calibri" w:cs="Calibri"/>
          <w:b/>
          <w:smallCaps/>
          <w:color w:val="000000"/>
          <w:sz w:val="28"/>
          <w:szCs w:val="28"/>
        </w:rPr>
        <w:t>4.2 Special Client Case Exceptions</w:t>
      </w:r>
    </w:p>
    <w:p w14:paraId="67BC35E1" w14:textId="77777777" w:rsidR="00DB4AC9" w:rsidRDefault="00DB4AC9" w:rsidP="00DB4AC9">
      <w:r>
        <w:t xml:space="preserve">There are three client case exception instances that require the regional director to obtain the approval of the state director prior to providing services to the client: extending of services to large businesses, extending of </w:t>
      </w:r>
      <w:r w:rsidRPr="00601E95">
        <w:t xml:space="preserve">services to non-profit businesses, faith-based organizations and units of government, and continuation of services to clients in excess of 100 consulting hours (Prep+Contact) in any one program year. In all three cases, written (e-mail) </w:t>
      </w:r>
      <w:proofErr w:type="gramStart"/>
      <w:r w:rsidRPr="00601E95">
        <w:t>request</w:t>
      </w:r>
      <w:proofErr w:type="gramEnd"/>
      <w:r w:rsidRPr="00601E95">
        <w:t xml:space="preserve"> must be sent to the state director.</w:t>
      </w:r>
      <w:r>
        <w:t xml:space="preserve"> The responding state </w:t>
      </w:r>
      <w:proofErr w:type="gramStart"/>
      <w:r>
        <w:t>director</w:t>
      </w:r>
      <w:proofErr w:type="gramEnd"/>
      <w:r>
        <w:t xml:space="preserve"> approval must be posted to the client Neoserra information as an administrative session.</w:t>
      </w:r>
    </w:p>
    <w:p w14:paraId="3A6BEB74" w14:textId="77777777" w:rsidR="00DB4AC9" w:rsidRPr="00472E95" w:rsidRDefault="00DB4AC9" w:rsidP="00DB4AC9">
      <w:pPr>
        <w:pStyle w:val="Heading4"/>
        <w:ind w:left="360"/>
        <w:rPr>
          <w:b/>
          <w:bCs/>
          <w:color w:val="000000" w:themeColor="text1"/>
        </w:rPr>
      </w:pPr>
      <w:bookmarkStart w:id="70" w:name="_1jlao46" w:colFirst="0" w:colLast="0"/>
      <w:bookmarkEnd w:id="70"/>
      <w:r w:rsidRPr="00472E95">
        <w:rPr>
          <w:b/>
          <w:bCs/>
          <w:color w:val="000000" w:themeColor="text1"/>
        </w:rPr>
        <w:t>4.2.1 Large Businesses</w:t>
      </w:r>
    </w:p>
    <w:p w14:paraId="62D2409B" w14:textId="7921C1EC" w:rsidR="004C75C5" w:rsidRDefault="00DB4AC9" w:rsidP="004C75C5">
      <w:pPr>
        <w:widowControl w:val="0"/>
        <w:pBdr>
          <w:top w:val="nil"/>
          <w:left w:val="nil"/>
          <w:bottom w:val="nil"/>
          <w:right w:val="nil"/>
          <w:between w:val="nil"/>
        </w:pBdr>
        <w:tabs>
          <w:tab w:val="left" w:pos="601"/>
        </w:tabs>
        <w:spacing w:before="2" w:after="0"/>
        <w:ind w:left="239" w:right="559"/>
      </w:pPr>
      <w:r>
        <w:t xml:space="preserve">SBDC must only provide business development assistance to small businesses. </w:t>
      </w:r>
      <w:r w:rsidR="00214E0D">
        <w:t>The SBA has defined a</w:t>
      </w:r>
      <w:r w:rsidR="00165834">
        <w:t xml:space="preserve"> small business</w:t>
      </w:r>
      <w:r w:rsidR="00214E0D">
        <w:t xml:space="preserve"> as independently owned and operated, is not dominant in its field of operation, is organized for</w:t>
      </w:r>
      <w:r w:rsidR="003A5836">
        <w:t xml:space="preserve"> </w:t>
      </w:r>
      <w:r w:rsidR="00214E0D">
        <w:t xml:space="preserve">profit with a place of business located in the United </w:t>
      </w:r>
      <w:proofErr w:type="gramStart"/>
      <w:r w:rsidR="00214E0D">
        <w:t>States, and</w:t>
      </w:r>
      <w:proofErr w:type="gramEnd"/>
      <w:r w:rsidR="00214E0D">
        <w:t xml:space="preserve"> </w:t>
      </w:r>
      <w:r w:rsidR="00214E0D">
        <w:lastRenderedPageBreak/>
        <w:t>operates primarily within the United States</w:t>
      </w:r>
      <w:r w:rsidR="00522768">
        <w:t xml:space="preserve">. It must not </w:t>
      </w:r>
      <w:r w:rsidR="004C75C5">
        <w:t>exceed the applicable size standard for its industry as established under 13 CFR § 121</w:t>
      </w:r>
      <w:r w:rsidR="00646828">
        <w:t xml:space="preserve"> </w:t>
      </w:r>
      <w:r w:rsidR="00646828">
        <w:rPr>
          <w:rStyle w:val="FootnoteReference"/>
        </w:rPr>
        <w:footnoteReference w:id="114"/>
      </w:r>
      <w:r w:rsidR="004C75C5">
        <w:t>. In general, the most common size standards are:</w:t>
      </w:r>
    </w:p>
    <w:p w14:paraId="37055832" w14:textId="77777777" w:rsidR="004C75C5" w:rsidRDefault="004C75C5" w:rsidP="004C75C5">
      <w:pPr>
        <w:pBdr>
          <w:top w:val="nil"/>
          <w:left w:val="nil"/>
          <w:bottom w:val="nil"/>
          <w:right w:val="nil"/>
          <w:between w:val="nil"/>
        </w:pBdr>
        <w:rPr>
          <w:sz w:val="23"/>
          <w:szCs w:val="23"/>
        </w:rPr>
      </w:pPr>
    </w:p>
    <w:p w14:paraId="6315407E" w14:textId="77777777" w:rsidR="004C75C5" w:rsidRDefault="004C75C5" w:rsidP="00322784">
      <w:pPr>
        <w:pStyle w:val="ListParagraph"/>
        <w:widowControl w:val="0"/>
        <w:numPr>
          <w:ilvl w:val="0"/>
          <w:numId w:val="25"/>
        </w:numPr>
        <w:pBdr>
          <w:top w:val="nil"/>
          <w:left w:val="nil"/>
          <w:bottom w:val="nil"/>
          <w:right w:val="nil"/>
          <w:between w:val="nil"/>
        </w:pBdr>
        <w:tabs>
          <w:tab w:val="left" w:pos="1140"/>
          <w:tab w:val="left" w:pos="1141"/>
        </w:tabs>
        <w:spacing w:after="0"/>
      </w:pPr>
      <w:r>
        <w:t xml:space="preserve">500 employees for most manufacturing and mining </w:t>
      </w:r>
      <w:proofErr w:type="gramStart"/>
      <w:r>
        <w:t>industries;</w:t>
      </w:r>
      <w:proofErr w:type="gramEnd"/>
    </w:p>
    <w:p w14:paraId="415802CE" w14:textId="77777777" w:rsidR="004C75C5" w:rsidRDefault="004C75C5" w:rsidP="00322784">
      <w:pPr>
        <w:pStyle w:val="ListParagraph"/>
        <w:widowControl w:val="0"/>
        <w:numPr>
          <w:ilvl w:val="0"/>
          <w:numId w:val="25"/>
        </w:numPr>
        <w:pBdr>
          <w:top w:val="nil"/>
          <w:left w:val="nil"/>
          <w:bottom w:val="nil"/>
          <w:right w:val="nil"/>
          <w:between w:val="nil"/>
        </w:pBdr>
        <w:tabs>
          <w:tab w:val="left" w:pos="1140"/>
          <w:tab w:val="left" w:pos="1141"/>
        </w:tabs>
        <w:spacing w:after="0"/>
      </w:pPr>
      <w:r>
        <w:t xml:space="preserve">$45 million in average annual receipts for most general &amp; heavy construction </w:t>
      </w:r>
      <w:proofErr w:type="gramStart"/>
      <w:r>
        <w:t>industries;</w:t>
      </w:r>
      <w:proofErr w:type="gramEnd"/>
    </w:p>
    <w:p w14:paraId="68707B4A" w14:textId="77777777" w:rsidR="004C75C5" w:rsidRDefault="004C75C5" w:rsidP="00322784">
      <w:pPr>
        <w:pStyle w:val="ListParagraph"/>
        <w:widowControl w:val="0"/>
        <w:numPr>
          <w:ilvl w:val="0"/>
          <w:numId w:val="25"/>
        </w:numPr>
        <w:pBdr>
          <w:top w:val="nil"/>
          <w:left w:val="nil"/>
          <w:bottom w:val="nil"/>
          <w:right w:val="nil"/>
          <w:between w:val="nil"/>
        </w:pBdr>
        <w:tabs>
          <w:tab w:val="left" w:pos="1140"/>
          <w:tab w:val="left" w:pos="1141"/>
        </w:tabs>
        <w:spacing w:before="12" w:after="0"/>
      </w:pPr>
      <w:r>
        <w:t xml:space="preserve">$19 million in average annual receipts for all specialty trade </w:t>
      </w:r>
      <w:proofErr w:type="gramStart"/>
      <w:r>
        <w:t>contractors;</w:t>
      </w:r>
      <w:proofErr w:type="gramEnd"/>
    </w:p>
    <w:p w14:paraId="3E36B9A6" w14:textId="77777777" w:rsidR="004C75C5" w:rsidRDefault="004C75C5" w:rsidP="00322784">
      <w:pPr>
        <w:pStyle w:val="ListParagraph"/>
        <w:widowControl w:val="0"/>
        <w:numPr>
          <w:ilvl w:val="0"/>
          <w:numId w:val="25"/>
        </w:numPr>
        <w:pBdr>
          <w:top w:val="nil"/>
          <w:left w:val="nil"/>
          <w:bottom w:val="nil"/>
          <w:right w:val="nil"/>
          <w:between w:val="nil"/>
        </w:pBdr>
        <w:tabs>
          <w:tab w:val="left" w:pos="1140"/>
          <w:tab w:val="left" w:pos="1141"/>
        </w:tabs>
        <w:spacing w:before="12" w:after="0"/>
      </w:pPr>
      <w:r>
        <w:t>$9.0 million in average annual receipts for most retail and service industries; and</w:t>
      </w:r>
    </w:p>
    <w:p w14:paraId="6C88B6D7" w14:textId="547CE122" w:rsidR="00214E0D" w:rsidRDefault="004C75C5" w:rsidP="00E91842">
      <w:pPr>
        <w:pStyle w:val="ListParagraph"/>
        <w:widowControl w:val="0"/>
        <w:numPr>
          <w:ilvl w:val="0"/>
          <w:numId w:val="25"/>
        </w:numPr>
        <w:pBdr>
          <w:top w:val="nil"/>
          <w:left w:val="nil"/>
          <w:bottom w:val="nil"/>
          <w:right w:val="nil"/>
          <w:between w:val="nil"/>
        </w:pBdr>
        <w:tabs>
          <w:tab w:val="left" w:pos="1140"/>
          <w:tab w:val="left" w:pos="1141"/>
        </w:tabs>
        <w:spacing w:before="12" w:after="0"/>
      </w:pPr>
      <w:r>
        <w:t>$2.0 million to $5.0 million in average annual receipts for most agricultural industries.</w:t>
      </w:r>
    </w:p>
    <w:p w14:paraId="7B164887" w14:textId="77777777" w:rsidR="00E91842" w:rsidRDefault="00E91842" w:rsidP="00E91842">
      <w:pPr>
        <w:widowControl w:val="0"/>
        <w:pBdr>
          <w:top w:val="nil"/>
          <w:left w:val="nil"/>
          <w:bottom w:val="nil"/>
          <w:right w:val="nil"/>
          <w:between w:val="nil"/>
        </w:pBdr>
        <w:tabs>
          <w:tab w:val="left" w:pos="1140"/>
          <w:tab w:val="left" w:pos="1141"/>
        </w:tabs>
        <w:spacing w:before="12" w:after="0"/>
      </w:pPr>
    </w:p>
    <w:p w14:paraId="59349E80" w14:textId="68D7B943" w:rsidR="00DB4AC9" w:rsidRDefault="00DB4AC9" w:rsidP="00DB4AC9">
      <w:r>
        <w:t xml:space="preserve">If a regional director believes that providing services to a large sized business will benefit the overall area business community, approval from the state director must be obtained and the State Director is responsible </w:t>
      </w:r>
      <w:proofErr w:type="gramStart"/>
      <w:r>
        <w:t>to obtain</w:t>
      </w:r>
      <w:proofErr w:type="gramEnd"/>
      <w:r>
        <w:t xml:space="preserve"> the required permission from the SBA. Approval must be documented in the client file and added to Neoserra as an administrative session for the client</w:t>
      </w:r>
    </w:p>
    <w:p w14:paraId="52B17AC7" w14:textId="77777777" w:rsidR="00DB4AC9" w:rsidRPr="00472E95" w:rsidRDefault="00DB4AC9" w:rsidP="00DB4AC9">
      <w:pPr>
        <w:pStyle w:val="Heading4"/>
        <w:ind w:left="360"/>
        <w:rPr>
          <w:b/>
          <w:bCs/>
          <w:color w:val="000000" w:themeColor="text1"/>
        </w:rPr>
      </w:pPr>
      <w:bookmarkStart w:id="71" w:name="_43ky6rz" w:colFirst="0" w:colLast="0"/>
      <w:bookmarkEnd w:id="71"/>
      <w:r w:rsidRPr="00472E95">
        <w:rPr>
          <w:b/>
          <w:bCs/>
          <w:color w:val="000000" w:themeColor="text1"/>
        </w:rPr>
        <w:t>4.2.2 Non-Profit Organizations, faith-based organizations and Units of Government</w:t>
      </w:r>
    </w:p>
    <w:p w14:paraId="7DBFFBCE" w14:textId="77777777" w:rsidR="00DB4AC9" w:rsidRDefault="00DB4AC9" w:rsidP="00DB4AC9">
      <w:r>
        <w:t xml:space="preserve">Because the focus of the SBDC program is on assisting businesses and prospective business owners, non-profit entities and units of government are not appropriate SBDC consulting clients. However, if a regional director believes that providing services to either a non-profit organization or a governmental unit will benefit the overall area business community, approval from the state director must be obtained. Approval must be documented in the client file and added to Neoserra as an administrative session for the client. </w:t>
      </w:r>
    </w:p>
    <w:p w14:paraId="492C1408" w14:textId="77777777" w:rsidR="00DB4AC9" w:rsidRPr="00472E95" w:rsidRDefault="00DB4AC9" w:rsidP="00DB4AC9">
      <w:pPr>
        <w:pStyle w:val="Heading4"/>
        <w:ind w:left="360"/>
        <w:rPr>
          <w:b/>
          <w:bCs/>
          <w:color w:val="000000" w:themeColor="text1"/>
        </w:rPr>
      </w:pPr>
      <w:bookmarkStart w:id="72" w:name="_2iq8gzs" w:colFirst="0" w:colLast="0"/>
      <w:bookmarkEnd w:id="72"/>
      <w:r w:rsidRPr="00472E95">
        <w:rPr>
          <w:b/>
          <w:bCs/>
          <w:color w:val="000000" w:themeColor="text1"/>
        </w:rPr>
        <w:t>4.2.3 Continuance of Service for Clients of Greater than 100 Hours</w:t>
      </w:r>
    </w:p>
    <w:p w14:paraId="3B095D09" w14:textId="1B570FB4" w:rsidR="00DB4AC9" w:rsidRDefault="00DB4AC9" w:rsidP="00DB4AC9">
      <w:r>
        <w:t>There is a fine line between a consultant relationship with a client and non-paid employee relationship with a client. To help preserve the consultant relationship, regional centers should only provide up to a maximum of 100 hours of consulting services to any one client in any one program year. However, there may be situations where the client case is complex, and a longer consulting duration is required. If the regional center feels that this is indeed the case, approval from the state director must be obtained</w:t>
      </w:r>
      <w:r w:rsidR="00DF0669">
        <w:t xml:space="preserve"> in writing</w:t>
      </w:r>
      <w:r>
        <w:t>. Approval must be documented in the client file and added to Neoserra as an administrative session for the client.</w:t>
      </w:r>
    </w:p>
    <w:p w14:paraId="7142EBD9" w14:textId="77777777" w:rsidR="00DB4AC9" w:rsidRPr="00472E95" w:rsidRDefault="00DB4AC9" w:rsidP="00DB4AC9">
      <w:pPr>
        <w:pStyle w:val="Heading4"/>
        <w:ind w:left="360"/>
        <w:rPr>
          <w:b/>
          <w:bCs/>
          <w:color w:val="000000" w:themeColor="text1"/>
        </w:rPr>
      </w:pPr>
      <w:r w:rsidRPr="00472E95">
        <w:rPr>
          <w:b/>
          <w:bCs/>
          <w:color w:val="000000" w:themeColor="text1"/>
        </w:rPr>
        <w:t>4.2.4 Clients with legal business under State Law but not legal under Federal Law</w:t>
      </w:r>
    </w:p>
    <w:p w14:paraId="2F5ECBE9" w14:textId="77777777" w:rsidR="00DB4AC9" w:rsidRDefault="00DB4AC9" w:rsidP="00DB4AC9">
      <w:r>
        <w:t>The SBDC program is funded by a Federal Grant that is matched by non-Federal dollars. Under this arrangement, the Federal Laws take precedence over State Laws when serving a client. If a potential client has a business that is legal under State Law but not legal under Federal Law, the MnSBDC network cannot provide services to the client and should refer the client to an entity that can assist them</w:t>
      </w:r>
    </w:p>
    <w:p w14:paraId="62C168A8" w14:textId="139E0FE3" w:rsidR="00DB4AC9" w:rsidRDefault="00DB4AC9" w:rsidP="00DB4AC9">
      <w:r>
        <w:t>The most recent example is the case of ‘</w:t>
      </w:r>
      <w:r>
        <w:rPr>
          <w:i/>
        </w:rPr>
        <w:t>legalized cannabis’ which</w:t>
      </w:r>
      <w:r>
        <w:t xml:space="preserve"> is legal in the State of Minnesota for recreational use since August 2023. Minnesota is the 23</w:t>
      </w:r>
      <w:r w:rsidRPr="00AD6AC8">
        <w:rPr>
          <w:vertAlign w:val="superscript"/>
        </w:rPr>
        <w:t>rd</w:t>
      </w:r>
      <w:r>
        <w:t xml:space="preserve"> state to legalize cannabis, however, it remains illegal under Federal Law.</w:t>
      </w:r>
    </w:p>
    <w:p w14:paraId="30D8EC05" w14:textId="77777777" w:rsidR="00DB4AC9" w:rsidRDefault="00DB4AC9" w:rsidP="00DB4AC9"/>
    <w:p w14:paraId="0CE34061"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73" w:name="_xvir7l" w:colFirst="0" w:colLast="0"/>
      <w:bookmarkEnd w:id="73"/>
      <w:r w:rsidRPr="000D565A">
        <w:rPr>
          <w:rFonts w:ascii="Calibri" w:eastAsia="Calibri" w:hAnsi="Calibri" w:cs="Calibri"/>
          <w:b/>
          <w:smallCaps/>
          <w:color w:val="000000"/>
          <w:sz w:val="28"/>
          <w:szCs w:val="28"/>
        </w:rPr>
        <w:lastRenderedPageBreak/>
        <w:t>4.3 On-Line or Telephone Consulting</w:t>
      </w:r>
    </w:p>
    <w:p w14:paraId="05298470" w14:textId="77777777" w:rsidR="00DB4AC9" w:rsidRDefault="00DB4AC9" w:rsidP="00DB4AC9">
      <w:r>
        <w:t xml:space="preserve">When SBDC consultants provide services outside the person-to-person session, consultants may use any means of </w:t>
      </w:r>
      <w:proofErr w:type="gramStart"/>
      <w:r>
        <w:t>communications</w:t>
      </w:r>
      <w:proofErr w:type="gramEnd"/>
      <w:r>
        <w:t xml:space="preserve"> that provides the optimum service agreed by the client.  Services can be provided via phone, email, video conferencing, or other media means. Whereas visits to an SBDC website or downloading files from the SBDC would not count as consulting sessions.</w:t>
      </w:r>
    </w:p>
    <w:p w14:paraId="24CA5CD5" w14:textId="77777777" w:rsidR="00DB4AC9" w:rsidRDefault="00DB4AC9" w:rsidP="00DB4AC9">
      <w:r>
        <w:t>If on-line consulting is the first consulting session with the client, the consultant’s notes should be sufficient to support the amount of consulting claimed.</w:t>
      </w:r>
    </w:p>
    <w:p w14:paraId="02582E4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74" w:name="_3hv69ve" w:colFirst="0" w:colLast="0"/>
      <w:bookmarkEnd w:id="74"/>
      <w:r w:rsidRPr="000D565A">
        <w:rPr>
          <w:rFonts w:ascii="Calibri" w:eastAsia="Calibri" w:hAnsi="Calibri" w:cs="Calibri"/>
          <w:b/>
          <w:smallCaps/>
          <w:color w:val="000000"/>
          <w:sz w:val="28"/>
          <w:szCs w:val="28"/>
        </w:rPr>
        <w:t>4.4 Fees for Consulting</w:t>
      </w:r>
    </w:p>
    <w:p w14:paraId="0BF4E810" w14:textId="6D0A3730" w:rsidR="00DB4AC9" w:rsidRDefault="00DB4AC9" w:rsidP="00DB4AC9">
      <w:r>
        <w:t>By law, SBDCs may not charge fees for consulting. Reasonable fees to cover costs may be charged for training and for specialized services.</w:t>
      </w:r>
      <w:r>
        <w:rPr>
          <w:vertAlign w:val="superscript"/>
        </w:rPr>
        <w:footnoteReference w:id="115"/>
      </w:r>
      <w:r>
        <w:t xml:space="preserve">  As of </w:t>
      </w:r>
      <w:r w:rsidR="005E4137">
        <w:t xml:space="preserve">March </w:t>
      </w:r>
      <w:r>
        <w:t>202</w:t>
      </w:r>
      <w:r w:rsidR="00C31513">
        <w:t>5</w:t>
      </w:r>
      <w:r>
        <w:t xml:space="preserve">, the MnSBDC does not have any specialized services offered to clients for a fee. Prior to offering specialized services for a fee, the State Director must approve them to avoid conflict with US SBA rules and regulations or Federal Statutes. </w:t>
      </w:r>
    </w:p>
    <w:p w14:paraId="4D77681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75" w:name="_1x0gk37" w:colFirst="0" w:colLast="0"/>
      <w:bookmarkEnd w:id="75"/>
      <w:r w:rsidRPr="000D565A">
        <w:rPr>
          <w:rFonts w:ascii="Calibri" w:eastAsia="Calibri" w:hAnsi="Calibri" w:cs="Calibri"/>
          <w:b/>
          <w:smallCaps/>
          <w:color w:val="000000"/>
          <w:sz w:val="28"/>
          <w:szCs w:val="28"/>
        </w:rPr>
        <w:t>4.5 Client Confidentiality</w:t>
      </w:r>
    </w:p>
    <w:p w14:paraId="78E1D0C7" w14:textId="77777777" w:rsidR="00DB4AC9" w:rsidRDefault="00DB4AC9" w:rsidP="00DB4AC9">
      <w:r>
        <w:t xml:space="preserve">SBDC personnel must preserve the confidentiality of consulting clients’ identity and client communications, to the extent allowable by law. At minimum, this means not disclosing to a third person the identity of, or communications with, a client without the </w:t>
      </w:r>
      <w:r w:rsidRPr="00AD6AC8">
        <w:rPr>
          <w:u w:val="single"/>
        </w:rPr>
        <w:t>client’s written consent</w:t>
      </w:r>
      <w:r>
        <w:t>.</w:t>
      </w:r>
      <w:r>
        <w:rPr>
          <w:vertAlign w:val="superscript"/>
        </w:rPr>
        <w:footnoteReference w:id="116"/>
      </w:r>
    </w:p>
    <w:p w14:paraId="0A135250" w14:textId="77777777" w:rsidR="00DB4AC9" w:rsidRDefault="00DB4AC9" w:rsidP="00DB4AC9">
      <w:r>
        <w:t xml:space="preserve">Because there may be conflicts between the policy of confidentiality and state and federal data practices laws, any request to disclose client information must be discussed with the state director, in advance, if possible, otherwise as soon as able after the request. </w:t>
      </w:r>
    </w:p>
    <w:p w14:paraId="22498FD2" w14:textId="77777777" w:rsidR="00DB4AC9" w:rsidRDefault="00DB4AC9" w:rsidP="00DB4AC9">
      <w:r>
        <w:t xml:space="preserve">Client records should be kept in a secure area where only authorized personnel </w:t>
      </w:r>
      <w:proofErr w:type="gramStart"/>
      <w:r>
        <w:t>may</w:t>
      </w:r>
      <w:proofErr w:type="gramEnd"/>
      <w:r>
        <w:t xml:space="preserve"> access them. This includes access to the Neoserra system. When the retention period for client files expires, hard copies should be shredded or incinerated, and electronic copies should be purged. The normal retention period for client files is three years following submission of the final expenditure report by the lead center, or three years following the conclusion of an audit, whichever is longer. If the host institution has a longer record retention policy, the host institution policy should be followed.</w:t>
      </w:r>
    </w:p>
    <w:p w14:paraId="7B1F2D13" w14:textId="77777777" w:rsidR="00DB4AC9" w:rsidRPr="00AD6AC8" w:rsidRDefault="00DB4AC9" w:rsidP="00DB4AC9">
      <w:pPr>
        <w:rPr>
          <w:b/>
          <w:bCs/>
        </w:rPr>
      </w:pPr>
      <w:r w:rsidRPr="00AD6AC8">
        <w:rPr>
          <w:b/>
          <w:bCs/>
        </w:rPr>
        <w:t>Because of restrictions in the Minnesota Data Practices Act,</w:t>
      </w:r>
      <w:r w:rsidRPr="00AD6AC8">
        <w:rPr>
          <w:b/>
          <w:bCs/>
          <w:vertAlign w:val="superscript"/>
        </w:rPr>
        <w:footnoteReference w:id="117"/>
      </w:r>
      <w:r w:rsidRPr="00AD6AC8">
        <w:rPr>
          <w:b/>
          <w:bCs/>
        </w:rPr>
        <w:t xml:space="preserve"> centers should never collect or record a client’s Social Security number.</w:t>
      </w:r>
    </w:p>
    <w:p w14:paraId="76111E2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76" w:name="_4h042r0" w:colFirst="0" w:colLast="0"/>
      <w:bookmarkEnd w:id="76"/>
      <w:r w:rsidRPr="000D565A">
        <w:rPr>
          <w:rFonts w:ascii="Calibri" w:eastAsia="Calibri" w:hAnsi="Calibri" w:cs="Calibri"/>
          <w:b/>
          <w:smallCaps/>
          <w:color w:val="000000"/>
          <w:sz w:val="28"/>
          <w:szCs w:val="28"/>
        </w:rPr>
        <w:t>4.6 Registering New Clients</w:t>
      </w:r>
    </w:p>
    <w:p w14:paraId="09BF69F6" w14:textId="3998F57F" w:rsidR="00DB4AC9" w:rsidRDefault="00DB4AC9" w:rsidP="00DB4AC9">
      <w:r>
        <w:t>The MnSBDC values consulting relationships that are based on mutual expectations.</w:t>
      </w:r>
      <w:r>
        <w:rPr>
          <w:vertAlign w:val="superscript"/>
        </w:rPr>
        <w:footnoteReference w:id="118"/>
      </w:r>
      <w:r>
        <w:t xml:space="preserve"> Service centers should have an intake process that includes a preliminary assessment of the client’s needs, and </w:t>
      </w:r>
      <w:r>
        <w:lastRenderedPageBreak/>
        <w:t xml:space="preserve">standards for opening a case file. All individuals who wish to pursue a relationship with the SBDC to receive consulting services </w:t>
      </w:r>
      <w:r>
        <w:rPr>
          <w:b/>
          <w:u w:val="single"/>
        </w:rPr>
        <w:t>must</w:t>
      </w:r>
      <w:r>
        <w:t xml:space="preserve"> submit a request for services via eCenter including self-certified non-debarment, </w:t>
      </w:r>
      <w:r>
        <w:rPr>
          <w:b/>
          <w:u w:val="single"/>
        </w:rPr>
        <w:t>before</w:t>
      </w:r>
      <w:r>
        <w:t xml:space="preserve"> consulting is provided (on an exception basis, a paper copy of the SBA 641 form can be used, and an electronic scan of the copy included in the client file in Neoserra). Highlights of the terms and conditions of the engagement, together with the expected outcome, should be explained to the client during the first engagement with the client including the expectation of documenting a milestone through a client-signed attribution and validation form</w:t>
      </w:r>
      <w:r w:rsidR="006D0FED">
        <w:t>.</w:t>
      </w:r>
    </w:p>
    <w:p w14:paraId="0F50AC1B" w14:textId="77777777" w:rsidR="00DB4AC9" w:rsidRDefault="00DB4AC9" w:rsidP="00DB4AC9">
      <w:r>
        <w:t>The electronic intake process using eCenter is the preferred method for admitting new clients. The process is documented in the Neoserra guide attached as Appendix 2. The interface contains a form that allows the client to input their contact and initial business information and an e-signature field for agreement to the terms of the SBDC, including client self-certification of non-debarment. These agreement terms contain the standard language of the SBA 641 form as well as client and consultant expectations of the engagement. This process also contains a request for the release of information.</w:t>
      </w:r>
    </w:p>
    <w:p w14:paraId="24E741F4" w14:textId="77777777" w:rsidR="00DB4AC9" w:rsidRDefault="00DB4AC9" w:rsidP="00DB4AC9">
      <w:r>
        <w:t xml:space="preserve">For clients who are unable or refuse to sign up for services through eCenter, a paper copy of the 641 </w:t>
      </w:r>
      <w:proofErr w:type="gramStart"/>
      <w:r>
        <w:t>form</w:t>
      </w:r>
      <w:proofErr w:type="gramEnd"/>
      <w:r>
        <w:t>, including client self-certification of non-debarment, and the standard statement of understanding form may be furnished. A regional administrator will then be responsible for the data entry of the client’s information and for scanning the original documents and attaching them as files to the client record in Neoserra. Once this is completed the original documents may be destroyed.</w:t>
      </w:r>
    </w:p>
    <w:p w14:paraId="56DA05A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77" w:name="_2w5ecyt" w:colFirst="0" w:colLast="0"/>
      <w:bookmarkEnd w:id="77"/>
      <w:r w:rsidRPr="000D565A">
        <w:rPr>
          <w:rFonts w:ascii="Calibri" w:eastAsia="Calibri" w:hAnsi="Calibri" w:cs="Calibri"/>
          <w:b/>
          <w:smallCaps/>
          <w:color w:val="000000"/>
          <w:sz w:val="28"/>
          <w:szCs w:val="28"/>
        </w:rPr>
        <w:t>4.7 Client Files</w:t>
      </w:r>
    </w:p>
    <w:p w14:paraId="0518CE77" w14:textId="77777777" w:rsidR="00DB4AC9" w:rsidRPr="00472E95" w:rsidRDefault="00DB4AC9" w:rsidP="00DB4AC9">
      <w:pPr>
        <w:pStyle w:val="Heading4"/>
        <w:ind w:left="360"/>
        <w:rPr>
          <w:b/>
          <w:bCs/>
          <w:color w:val="000000" w:themeColor="text1"/>
        </w:rPr>
      </w:pPr>
      <w:bookmarkStart w:id="78" w:name="_1baon6m" w:colFirst="0" w:colLast="0"/>
      <w:bookmarkEnd w:id="78"/>
      <w:r w:rsidRPr="00472E95">
        <w:rPr>
          <w:b/>
          <w:bCs/>
          <w:color w:val="000000" w:themeColor="text1"/>
        </w:rPr>
        <w:t>4.7.1 File Content</w:t>
      </w:r>
    </w:p>
    <w:p w14:paraId="23B54E13" w14:textId="167DAA76" w:rsidR="00DB4AC9" w:rsidRDefault="00DB4AC9" w:rsidP="00DB4AC9">
      <w:r>
        <w:t xml:space="preserve">Consulting client files must be kept in sufficient </w:t>
      </w:r>
      <w:proofErr w:type="gramStart"/>
      <w:r>
        <w:t>detail</w:t>
      </w:r>
      <w:proofErr w:type="gramEnd"/>
      <w:r>
        <w:t xml:space="preserve"> </w:t>
      </w:r>
      <w:r w:rsidR="00EC4D23">
        <w:t>that,</w:t>
      </w:r>
      <w:r>
        <w:t xml:space="preserve"> if necessary, another consultant could review the file and continue the consulting relationship without interruption. Client files should be </w:t>
      </w:r>
      <w:proofErr w:type="gramStart"/>
      <w:r>
        <w:t>of</w:t>
      </w:r>
      <w:proofErr w:type="gramEnd"/>
      <w:r>
        <w:t xml:space="preserve"> sufficient detail to justify the amount of time reported and provide a clear audit trail.</w:t>
      </w:r>
      <w:r>
        <w:rPr>
          <w:vertAlign w:val="superscript"/>
        </w:rPr>
        <w:footnoteReference w:id="119"/>
      </w:r>
      <w:r>
        <w:t xml:space="preserve"> Each consulting session record should include at least the following:</w:t>
      </w:r>
    </w:p>
    <w:p w14:paraId="7D80F422" w14:textId="77777777" w:rsidR="00DB4AC9" w:rsidRDefault="00DB4AC9" w:rsidP="00DB4AC9">
      <w:pPr>
        <w:numPr>
          <w:ilvl w:val="0"/>
          <w:numId w:val="17"/>
        </w:numPr>
        <w:ind w:hanging="360"/>
      </w:pPr>
      <w:r>
        <w:t>A summary of the business and business owners (new/initial session only)</w:t>
      </w:r>
    </w:p>
    <w:p w14:paraId="5722B642" w14:textId="77777777" w:rsidR="00DB4AC9" w:rsidRDefault="00DB4AC9" w:rsidP="00DB4AC9">
      <w:pPr>
        <w:numPr>
          <w:ilvl w:val="0"/>
          <w:numId w:val="17"/>
        </w:numPr>
        <w:ind w:hanging="360"/>
      </w:pPr>
      <w:r>
        <w:t>An analysis of the client’s problem.</w:t>
      </w:r>
    </w:p>
    <w:p w14:paraId="69B6F032" w14:textId="77777777" w:rsidR="00DB4AC9" w:rsidRDefault="00DB4AC9" w:rsidP="00DB4AC9">
      <w:pPr>
        <w:numPr>
          <w:ilvl w:val="0"/>
          <w:numId w:val="17"/>
        </w:numPr>
        <w:ind w:hanging="360"/>
      </w:pPr>
      <w:r>
        <w:t>A summary of what the consultant did during the session.</w:t>
      </w:r>
    </w:p>
    <w:p w14:paraId="2A298F6C" w14:textId="77777777" w:rsidR="00DB4AC9" w:rsidRDefault="00DB4AC9" w:rsidP="00DB4AC9">
      <w:pPr>
        <w:numPr>
          <w:ilvl w:val="0"/>
          <w:numId w:val="17"/>
        </w:numPr>
        <w:ind w:hanging="360"/>
      </w:pPr>
      <w:r>
        <w:t>Recommendations.</w:t>
      </w:r>
    </w:p>
    <w:p w14:paraId="176FF33C" w14:textId="77777777" w:rsidR="00DB4AC9" w:rsidRDefault="00DB4AC9" w:rsidP="00DB4AC9">
      <w:pPr>
        <w:numPr>
          <w:ilvl w:val="0"/>
          <w:numId w:val="17"/>
        </w:numPr>
        <w:ind w:hanging="360"/>
      </w:pPr>
      <w:r>
        <w:t>Follow-up required by the consultant and the client.</w:t>
      </w:r>
    </w:p>
    <w:p w14:paraId="3CD305D6" w14:textId="77777777" w:rsidR="00DB4AC9" w:rsidRDefault="00DB4AC9" w:rsidP="00DB4AC9">
      <w:pPr>
        <w:numPr>
          <w:ilvl w:val="0"/>
          <w:numId w:val="17"/>
        </w:numPr>
        <w:ind w:hanging="360"/>
      </w:pPr>
      <w:r>
        <w:t>Any other documentation deemed appropriate by the consultant.</w:t>
      </w:r>
    </w:p>
    <w:p w14:paraId="0693AFB3" w14:textId="77777777" w:rsidR="00DB4AC9" w:rsidRDefault="00DB4AC9" w:rsidP="00DB4AC9">
      <w:r>
        <w:t xml:space="preserve">The MnSBDC program utilizes electronic storage of records.  Clients signing up for services online through the eCenter will have a digital date stamp in Neoserra when </w:t>
      </w:r>
      <w:proofErr w:type="gramStart"/>
      <w:r>
        <w:t>sign</w:t>
      </w:r>
      <w:proofErr w:type="gramEnd"/>
      <w:r>
        <w:t xml:space="preserve"> up is complete.   If clients sign up with the paper SBA Form 641, each client file should include an electronic version of the </w:t>
      </w:r>
      <w:proofErr w:type="gramStart"/>
      <w:r>
        <w:t>following;</w:t>
      </w:r>
      <w:proofErr w:type="gramEnd"/>
      <w:r>
        <w:t xml:space="preserve"> the original signed, dated Request for Counseling form (SBA Form 641) and self-certify debarment form in electronic scanned form or electronically signed version</w:t>
      </w:r>
    </w:p>
    <w:p w14:paraId="6AC8080B" w14:textId="77777777" w:rsidR="00DB4AC9" w:rsidRDefault="00DB4AC9" w:rsidP="00DB4AC9">
      <w:pPr>
        <w:numPr>
          <w:ilvl w:val="0"/>
          <w:numId w:val="17"/>
        </w:numPr>
        <w:ind w:hanging="360"/>
      </w:pPr>
      <w:r>
        <w:t>If an engagement Letter is used with a client, it should be filed in Neoserra.</w:t>
      </w:r>
    </w:p>
    <w:p w14:paraId="16E979AC" w14:textId="77777777" w:rsidR="00DB4AC9" w:rsidRDefault="00DB4AC9" w:rsidP="00DB4AC9">
      <w:pPr>
        <w:numPr>
          <w:ilvl w:val="0"/>
          <w:numId w:val="17"/>
        </w:numPr>
        <w:ind w:hanging="360"/>
      </w:pPr>
      <w:r>
        <w:lastRenderedPageBreak/>
        <w:t xml:space="preserve">All consulting </w:t>
      </w:r>
      <w:proofErr w:type="gramStart"/>
      <w:r>
        <w:t>session</w:t>
      </w:r>
      <w:proofErr w:type="gramEnd"/>
      <w:r>
        <w:t xml:space="preserve"> must be entered in Neoserra. The session record should include the information listed above. </w:t>
      </w:r>
    </w:p>
    <w:p w14:paraId="15ED6FB6" w14:textId="77777777" w:rsidR="00DB4AC9" w:rsidRDefault="00DB4AC9" w:rsidP="00DB4AC9">
      <w:pPr>
        <w:ind w:left="720" w:hanging="360"/>
      </w:pPr>
      <w:r>
        <w:t>At a minimum, each client’s electronic file in Neoserra must contain:</w:t>
      </w:r>
    </w:p>
    <w:p w14:paraId="50E363BF" w14:textId="77777777" w:rsidR="00DB4AC9" w:rsidRDefault="00DB4AC9" w:rsidP="00DB4AC9">
      <w:pPr>
        <w:numPr>
          <w:ilvl w:val="0"/>
          <w:numId w:val="17"/>
        </w:numPr>
        <w:ind w:hanging="360"/>
      </w:pPr>
      <w:r>
        <w:t>Up-to-date client and primary contact detail information</w:t>
      </w:r>
    </w:p>
    <w:p w14:paraId="3E766CEE" w14:textId="77777777" w:rsidR="00DB4AC9" w:rsidRDefault="00DB4AC9" w:rsidP="00DB4AC9">
      <w:pPr>
        <w:numPr>
          <w:ilvl w:val="0"/>
          <w:numId w:val="17"/>
        </w:numPr>
        <w:ind w:hanging="360"/>
      </w:pPr>
      <w:r>
        <w:t>Session records with the elements listed above.</w:t>
      </w:r>
    </w:p>
    <w:p w14:paraId="603DB86E" w14:textId="77777777" w:rsidR="00DB4AC9" w:rsidRDefault="00DB4AC9" w:rsidP="00DB4AC9">
      <w:pPr>
        <w:numPr>
          <w:ilvl w:val="0"/>
          <w:numId w:val="17"/>
        </w:numPr>
        <w:ind w:hanging="360"/>
      </w:pPr>
      <w:r>
        <w:t>If applicable, investment session records and milestone records</w:t>
      </w:r>
    </w:p>
    <w:p w14:paraId="3AD94939" w14:textId="77777777" w:rsidR="00DB4AC9" w:rsidRDefault="00DB4AC9" w:rsidP="00DB4AC9">
      <w:r>
        <w:t xml:space="preserve">If services provided to the client results in the generation of any financial analysis/pro forma financial statements, publication, study, marketing material, research report or related document, an electronic version (e.g., scanned pdf, Word, Excel) of the most current or final document must be downloaded to be included on the “attached document” section of the client detail. </w:t>
      </w:r>
      <w:r>
        <w:rPr>
          <w:vertAlign w:val="superscript"/>
        </w:rPr>
        <w:footnoteReference w:id="120"/>
      </w:r>
      <w:r>
        <w:t xml:space="preserve"> </w:t>
      </w:r>
    </w:p>
    <w:p w14:paraId="3CDAF3D0" w14:textId="5B09DBCC" w:rsidR="00DB4AC9" w:rsidRDefault="00DB4AC9" w:rsidP="00DB4AC9">
      <w:r>
        <w:t xml:space="preserve">NOTE – only the FINAL version should be stored on the client file in Neoserra due to cost of storage, and space consideration. If multiple versions of a document are used, the latest one should be the only one stored in Neoserra. When a revision is made to the document, the newly revised document is then stored in </w:t>
      </w:r>
      <w:r w:rsidR="002A4B0C">
        <w:t>Neoserra,</w:t>
      </w:r>
      <w:r>
        <w:t xml:space="preserve"> and the previous version deleted.</w:t>
      </w:r>
    </w:p>
    <w:p w14:paraId="36C83FD1" w14:textId="77777777" w:rsidR="00DB4AC9" w:rsidRDefault="00DB4AC9" w:rsidP="00DB4AC9">
      <w:r>
        <w:t>Client files should be kept in an order that permits easy retrieval and should be reviewed periodically to discard and destroy non-pertinent or not current documents.</w:t>
      </w:r>
    </w:p>
    <w:p w14:paraId="3B44F2D1" w14:textId="77777777" w:rsidR="00DB4AC9" w:rsidRPr="00472E95" w:rsidRDefault="00DB4AC9" w:rsidP="00DB4AC9">
      <w:pPr>
        <w:pStyle w:val="Heading4"/>
        <w:ind w:left="360"/>
        <w:rPr>
          <w:b/>
          <w:bCs/>
          <w:color w:val="000000" w:themeColor="text1"/>
        </w:rPr>
      </w:pPr>
      <w:bookmarkStart w:id="79" w:name="_2afmg28" w:colFirst="0" w:colLast="0"/>
      <w:bookmarkEnd w:id="79"/>
      <w:r w:rsidRPr="00472E95">
        <w:rPr>
          <w:b/>
          <w:bCs/>
          <w:color w:val="000000" w:themeColor="text1"/>
        </w:rPr>
        <w:t>4.7.2 Follow-Up Review</w:t>
      </w:r>
    </w:p>
    <w:p w14:paraId="5F24171D" w14:textId="77777777" w:rsidR="00DB4AC9" w:rsidRDefault="00DB4AC9" w:rsidP="00DB4AC9">
      <w:r>
        <w:t xml:space="preserve">Although centers are not required to close out client files that have remained open for more than 120 days without a documented follow-up review or consulting session, each regional center should have a process in place to </w:t>
      </w:r>
      <w:proofErr w:type="gramStart"/>
      <w:r>
        <w:t>assure</w:t>
      </w:r>
      <w:proofErr w:type="gramEnd"/>
      <w:r>
        <w:t xml:space="preserve"> follow-up review is performed and documented in the client file. Follow-up that does not result in substantive consulting should be recorded as “Administrative” time in Neoserra. Administrative activity is considered non-substantive and is not counted against SBA goals or contractual </w:t>
      </w:r>
      <w:proofErr w:type="gramStart"/>
      <w:r>
        <w:t>deliverables</w:t>
      </w:r>
      <w:proofErr w:type="gramEnd"/>
      <w:r>
        <w:t xml:space="preserve"> but follow up is critical to ensure a lasting client relationship is established and service is provided over the business life cycle.</w:t>
      </w:r>
    </w:p>
    <w:p w14:paraId="06978F8D" w14:textId="77777777" w:rsidR="00DB4AC9" w:rsidRPr="00472E95" w:rsidRDefault="00DB4AC9" w:rsidP="00DB4AC9">
      <w:pPr>
        <w:pStyle w:val="Heading4"/>
        <w:ind w:left="360"/>
        <w:rPr>
          <w:b/>
          <w:bCs/>
          <w:color w:val="000000" w:themeColor="text1"/>
        </w:rPr>
      </w:pPr>
      <w:bookmarkStart w:id="80" w:name="_pkwqa1" w:colFirst="0" w:colLast="0"/>
      <w:bookmarkEnd w:id="80"/>
      <w:r w:rsidRPr="00472E95">
        <w:rPr>
          <w:b/>
          <w:bCs/>
          <w:color w:val="000000" w:themeColor="text1"/>
        </w:rPr>
        <w:t>4.7.3 Closing Out Client Files</w:t>
      </w:r>
    </w:p>
    <w:p w14:paraId="7F6AC9CB" w14:textId="4731BEEB" w:rsidR="00DB4AC9" w:rsidRDefault="00DB4AC9" w:rsidP="00DB4AC9">
      <w:r>
        <w:t xml:space="preserve">Centers are not required to either electronically or physically close out client files but may elect to do so for administrative convenience. Centers that choose to close out files should </w:t>
      </w:r>
      <w:r w:rsidR="0016501E">
        <w:t>notify the Lead Center</w:t>
      </w:r>
      <w:r w:rsidR="00547B5C">
        <w:t xml:space="preserve"> of their requirements to ensure all parties are aligned</w:t>
      </w:r>
      <w:r w:rsidR="00B402E5">
        <w:t xml:space="preserve"> and the Lead Center will be responsible for closing out client files</w:t>
      </w:r>
      <w:r w:rsidR="00A61F67">
        <w:t xml:space="preserve"> in Neoserra</w:t>
      </w:r>
      <w:r w:rsidR="00B402E5">
        <w:t xml:space="preserve">. </w:t>
      </w:r>
      <w:r>
        <w:t xml:space="preserve">The close-out activity should be recorded as a Close-Out session in </w:t>
      </w:r>
      <w:r w:rsidR="001D0E67">
        <w:t>Neoserra,</w:t>
      </w:r>
      <w:r>
        <w:t xml:space="preserve"> and the client is listed as ‘inactive’. Close-out time does not count </w:t>
      </w:r>
      <w:proofErr w:type="gramStart"/>
      <w:r>
        <w:t>against toward</w:t>
      </w:r>
      <w:proofErr w:type="gramEnd"/>
      <w:r>
        <w:t xml:space="preserve"> SBA goals or contractual deliverables. Generally, practice will be to close out any client with no activity from 2 – 3 years.  </w:t>
      </w:r>
    </w:p>
    <w:p w14:paraId="3ECC6C14"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81" w:name="_39kk8xu" w:colFirst="0" w:colLast="0"/>
      <w:bookmarkEnd w:id="81"/>
      <w:r w:rsidRPr="000D565A">
        <w:rPr>
          <w:rFonts w:ascii="Calibri" w:eastAsia="Calibri" w:hAnsi="Calibri" w:cs="Calibri"/>
          <w:b/>
          <w:smallCaps/>
          <w:color w:val="000000"/>
          <w:sz w:val="28"/>
          <w:szCs w:val="28"/>
        </w:rPr>
        <w:t>4.8 Reporting Consulting Client Activity</w:t>
      </w:r>
    </w:p>
    <w:p w14:paraId="435B1481" w14:textId="77777777" w:rsidR="00DB4AC9" w:rsidRDefault="00DB4AC9" w:rsidP="00DB4AC9">
      <w:r>
        <w:t>SBA policy determines whether client activity may be counted for SBA reporting purposes.</w:t>
      </w:r>
    </w:p>
    <w:p w14:paraId="182E7F85" w14:textId="77777777" w:rsidR="00DB4AC9" w:rsidRPr="00472E95" w:rsidRDefault="00DB4AC9" w:rsidP="00DB4AC9">
      <w:pPr>
        <w:pStyle w:val="Heading4"/>
        <w:ind w:left="360"/>
        <w:rPr>
          <w:b/>
          <w:bCs/>
          <w:color w:val="000000" w:themeColor="text1"/>
        </w:rPr>
      </w:pPr>
      <w:bookmarkStart w:id="82" w:name="_1opuj5n" w:colFirst="0" w:colLast="0"/>
      <w:bookmarkEnd w:id="82"/>
      <w:r w:rsidRPr="00472E95">
        <w:rPr>
          <w:b/>
          <w:bCs/>
          <w:color w:val="000000" w:themeColor="text1"/>
        </w:rPr>
        <w:t>4.8.1 In General</w:t>
      </w:r>
    </w:p>
    <w:p w14:paraId="4ADEBEF3" w14:textId="77777777" w:rsidR="00DB4AC9" w:rsidRDefault="00DB4AC9" w:rsidP="00DB4AC9">
      <w:r>
        <w:t xml:space="preserve">For SBA reporting purposes, a consulting client is an individual or business entity that has completed a Request for Counseling (SBA Form 641) paper form or eCenter sign up and has received substantive </w:t>
      </w:r>
      <w:r>
        <w:lastRenderedPageBreak/>
        <w:t>assistance that meets the definition of a consulting session. Consulting sessions may be conducted person-to-person or by electronic communications (video or teleconferencing, online, telephone or e-mail).</w:t>
      </w:r>
    </w:p>
    <w:p w14:paraId="5E503B81" w14:textId="77777777" w:rsidR="00DB4AC9" w:rsidRDefault="00DB4AC9" w:rsidP="00DB4AC9">
      <w:r>
        <w:t>To be counted as a consulting session, the advice given must be substantive, specific to the needs of the business or individual and should be of sufficient value as to have resulted in movement toward an agreed upon outcome. Time spent consulting includes all documented time spent by the consultant or SBDC staff in conveying advice, guidance or instruction to individuals or business entities concerning the formation, management, financing and operation of the small business enterprise.</w:t>
      </w:r>
    </w:p>
    <w:p w14:paraId="4707ABCA" w14:textId="77777777" w:rsidR="00DB4AC9" w:rsidRDefault="00DB4AC9" w:rsidP="00DB4AC9">
      <w:r>
        <w:t>Non-substantive activities do not count for SBA reporting purposes. Examples are contact for scheduling a meeting, following up, checking in, or closing a case, and providing the client with non-business information such as directions, office hours, description of services or referral to another resource.</w:t>
      </w:r>
    </w:p>
    <w:p w14:paraId="0C563BC1" w14:textId="77777777" w:rsidR="00DB4AC9" w:rsidRDefault="00DB4AC9" w:rsidP="00DB4AC9">
      <w:r>
        <w:t>To count for SBA reporting purposes, both Initial and Follow-up sessions must be non-zero time and can include both prep time and contact time.</w:t>
      </w:r>
      <w:r w:rsidDel="00E11928">
        <w:t xml:space="preserve"> </w:t>
      </w:r>
      <w:r>
        <w:t>Follow-up consulting sessions or sequential sessions that are substantive in nature are considered reportable consulting regardless of the session duration.</w:t>
      </w:r>
    </w:p>
    <w:p w14:paraId="633F06A5" w14:textId="77777777" w:rsidR="00DB4AC9" w:rsidRPr="00472E95" w:rsidRDefault="00DB4AC9" w:rsidP="00DB4AC9">
      <w:pPr>
        <w:pStyle w:val="Heading4"/>
        <w:ind w:left="360"/>
        <w:rPr>
          <w:b/>
          <w:bCs/>
          <w:color w:val="000000" w:themeColor="text1"/>
        </w:rPr>
      </w:pPr>
      <w:bookmarkStart w:id="83" w:name="_48pi1tg" w:colFirst="0" w:colLast="0"/>
      <w:bookmarkEnd w:id="83"/>
      <w:r w:rsidRPr="00472E95">
        <w:rPr>
          <w:b/>
          <w:bCs/>
          <w:color w:val="000000" w:themeColor="text1"/>
        </w:rPr>
        <w:t>4.8.2 Contact Time</w:t>
      </w:r>
    </w:p>
    <w:p w14:paraId="03EED63D" w14:textId="77777777" w:rsidR="00DB4AC9" w:rsidRDefault="00DB4AC9" w:rsidP="00DB4AC9">
      <w:r>
        <w:t>Contact time is time spent in direct contact with the client, and may include face-to-face contact, telephone contact, e-mail contact, or contact by other electronic means such as videoconferencing.</w:t>
      </w:r>
    </w:p>
    <w:p w14:paraId="7C9DA405" w14:textId="77777777" w:rsidR="00DB4AC9" w:rsidRPr="00472E95" w:rsidRDefault="00DB4AC9" w:rsidP="00DB4AC9">
      <w:pPr>
        <w:pStyle w:val="Heading4"/>
        <w:ind w:left="360"/>
        <w:rPr>
          <w:b/>
          <w:bCs/>
          <w:color w:val="000000" w:themeColor="text1"/>
        </w:rPr>
      </w:pPr>
      <w:bookmarkStart w:id="84" w:name="_2nusc19" w:colFirst="0" w:colLast="0"/>
      <w:bookmarkEnd w:id="84"/>
      <w:r w:rsidRPr="00472E95">
        <w:rPr>
          <w:b/>
          <w:bCs/>
          <w:color w:val="000000" w:themeColor="text1"/>
        </w:rPr>
        <w:t>4.8.3 Preparation Time</w:t>
      </w:r>
    </w:p>
    <w:p w14:paraId="46AA470E" w14:textId="77777777" w:rsidR="00DB4AC9" w:rsidRDefault="00DB4AC9" w:rsidP="00DB4AC9">
      <w:r>
        <w:t xml:space="preserve">Time spent preparing for the consulting session may be reported. Preparation time includes such activities as creating spreadsheets, </w:t>
      </w:r>
      <w:proofErr w:type="gramStart"/>
      <w:r>
        <w:t>review of</w:t>
      </w:r>
      <w:proofErr w:type="gramEnd"/>
      <w:r>
        <w:t xml:space="preserve"> relevant correspondence, research of related questions or problems, and time spent with a client on the phone or using e-mail to gather additional information in preparation for the consulting session, among other activities that move the client relationship and economic impact goals forward. Preparation time claimed must be reasonable in relation to consulting time claimed and should be buttressed by results achieved and documents generated.</w:t>
      </w:r>
    </w:p>
    <w:p w14:paraId="0D74CC04" w14:textId="77777777" w:rsidR="00DB4AC9" w:rsidRPr="00472E95" w:rsidRDefault="00DB4AC9" w:rsidP="00DB4AC9">
      <w:pPr>
        <w:pStyle w:val="Heading4"/>
        <w:ind w:left="360"/>
        <w:rPr>
          <w:b/>
          <w:bCs/>
          <w:color w:val="000000" w:themeColor="text1"/>
        </w:rPr>
      </w:pPr>
      <w:bookmarkStart w:id="85" w:name="_1302m92" w:colFirst="0" w:colLast="0"/>
      <w:bookmarkEnd w:id="85"/>
      <w:r w:rsidRPr="00472E95">
        <w:rPr>
          <w:b/>
          <w:bCs/>
          <w:color w:val="000000" w:themeColor="text1"/>
        </w:rPr>
        <w:t>4.8.4 Travel Time</w:t>
      </w:r>
    </w:p>
    <w:p w14:paraId="54C36675" w14:textId="77777777" w:rsidR="00DB4AC9" w:rsidRDefault="00DB4AC9" w:rsidP="00DB4AC9">
      <w:r>
        <w:t>Travel time is the amount of time spent traveling to/from a location (separate from assigned post-of-duty) to meet with business or individual clients. If meeting with more than one client, travel time is only counted once. Travel time will not count toward counseling time, but will be tracked separately.</w:t>
      </w:r>
      <w:r>
        <w:rPr>
          <w:vertAlign w:val="superscript"/>
        </w:rPr>
        <w:footnoteReference w:id="121"/>
      </w:r>
      <w:r>
        <w:t xml:space="preserve"> For example, if the consultant travelled a total of 3 hours round trip, and met with 3 clients, the travel is split between the 3 clients; 1 hour each.</w:t>
      </w:r>
    </w:p>
    <w:p w14:paraId="673E6866" w14:textId="77777777" w:rsidR="00DB4AC9" w:rsidRPr="00472E95" w:rsidRDefault="00DB4AC9" w:rsidP="00DB4AC9">
      <w:pPr>
        <w:pStyle w:val="Heading4"/>
        <w:ind w:left="360"/>
        <w:rPr>
          <w:b/>
          <w:bCs/>
          <w:color w:val="000000" w:themeColor="text1"/>
        </w:rPr>
      </w:pPr>
      <w:bookmarkStart w:id="86" w:name="_3mzq4wv" w:colFirst="0" w:colLast="0"/>
      <w:bookmarkEnd w:id="86"/>
      <w:r w:rsidRPr="00472E95">
        <w:rPr>
          <w:b/>
          <w:bCs/>
          <w:color w:val="000000" w:themeColor="text1"/>
        </w:rPr>
        <w:t>4.8.5 Entry of Consulting Sessions in Neoserra</w:t>
      </w:r>
    </w:p>
    <w:p w14:paraId="6037FF59" w14:textId="77777777" w:rsidR="00DB4AC9" w:rsidRDefault="00DB4AC9" w:rsidP="00DB4AC9">
      <w:r>
        <w:t xml:space="preserve">Centers must enter all consulting session information in Neoserra. Session information must include, at a minimum: </w:t>
      </w:r>
    </w:p>
    <w:p w14:paraId="5F4BE18E" w14:textId="2F798B61" w:rsidR="00DB4AC9" w:rsidRDefault="00DB4AC9" w:rsidP="00DB4AC9">
      <w:pPr>
        <w:numPr>
          <w:ilvl w:val="0"/>
          <w:numId w:val="17"/>
        </w:numPr>
        <w:ind w:hanging="360"/>
      </w:pPr>
      <w:r>
        <w:t xml:space="preserve">A summary of the business and business owners (new/initial session only unless a different client issue is being worked </w:t>
      </w:r>
      <w:r w:rsidR="0072277B">
        <w:t>on)</w:t>
      </w:r>
    </w:p>
    <w:p w14:paraId="7D18F7D2" w14:textId="77777777" w:rsidR="00DB4AC9" w:rsidRDefault="00DB4AC9" w:rsidP="00DB4AC9">
      <w:pPr>
        <w:numPr>
          <w:ilvl w:val="0"/>
          <w:numId w:val="17"/>
        </w:numPr>
        <w:ind w:hanging="360"/>
      </w:pPr>
      <w:r>
        <w:t>An analysis of the client’s problem.</w:t>
      </w:r>
    </w:p>
    <w:p w14:paraId="41E8416E" w14:textId="77777777" w:rsidR="00DB4AC9" w:rsidRDefault="00DB4AC9" w:rsidP="00DB4AC9">
      <w:pPr>
        <w:numPr>
          <w:ilvl w:val="0"/>
          <w:numId w:val="17"/>
        </w:numPr>
        <w:ind w:hanging="360"/>
      </w:pPr>
      <w:r>
        <w:t>A summary of what the consultant did during the session.</w:t>
      </w:r>
    </w:p>
    <w:p w14:paraId="0622E278" w14:textId="77777777" w:rsidR="00DB4AC9" w:rsidRDefault="00DB4AC9" w:rsidP="00DB4AC9">
      <w:pPr>
        <w:numPr>
          <w:ilvl w:val="0"/>
          <w:numId w:val="17"/>
        </w:numPr>
        <w:ind w:hanging="360"/>
      </w:pPr>
      <w:r>
        <w:t>Recommendations.</w:t>
      </w:r>
    </w:p>
    <w:p w14:paraId="0356D057" w14:textId="77777777" w:rsidR="00DB4AC9" w:rsidRDefault="00DB4AC9" w:rsidP="00DB4AC9">
      <w:pPr>
        <w:numPr>
          <w:ilvl w:val="0"/>
          <w:numId w:val="17"/>
        </w:numPr>
        <w:ind w:hanging="360"/>
      </w:pPr>
      <w:r>
        <w:lastRenderedPageBreak/>
        <w:t>Follow-up required by the consultant and the client.</w:t>
      </w:r>
    </w:p>
    <w:p w14:paraId="34835CAB" w14:textId="77777777" w:rsidR="00DB4AC9" w:rsidRDefault="00DB4AC9" w:rsidP="00DB4AC9">
      <w:pPr>
        <w:numPr>
          <w:ilvl w:val="0"/>
          <w:numId w:val="17"/>
        </w:numPr>
        <w:ind w:hanging="360"/>
      </w:pPr>
      <w:bookmarkStart w:id="87" w:name="_2250f4o" w:colFirst="0" w:colLast="0"/>
      <w:bookmarkEnd w:id="87"/>
      <w:r>
        <w:t>If applicable, an electronic version (e.g., scan pdf, Word, excel) of any financial analysis/Performa, publications, studies, marketing material, reports, research or other work performed for the client.</w:t>
      </w:r>
      <w:r>
        <w:rPr>
          <w:vertAlign w:val="superscript"/>
        </w:rPr>
        <w:footnoteReference w:id="122"/>
      </w:r>
      <w:r>
        <w:t xml:space="preserve"> (In the rare exception if this supplemental information is too voluminous to record in Neoserra, a hard copy may be placed in the client’s file).</w:t>
      </w:r>
    </w:p>
    <w:p w14:paraId="2E86D567" w14:textId="77777777" w:rsidR="00DB4AC9" w:rsidRDefault="00DB4AC9" w:rsidP="00DB4AC9">
      <w:pPr>
        <w:numPr>
          <w:ilvl w:val="0"/>
          <w:numId w:val="17"/>
        </w:numPr>
        <w:ind w:hanging="360"/>
      </w:pPr>
      <w:bookmarkStart w:id="88" w:name="_7xirenhxhl3" w:colFirst="0" w:colLast="0"/>
      <w:bookmarkEnd w:id="88"/>
      <w:r>
        <w:t>Any other documentation deemed appropriate by the consultant.</w:t>
      </w:r>
    </w:p>
    <w:p w14:paraId="05B59CA0" w14:textId="16108F93" w:rsidR="00DB4AC9" w:rsidRDefault="00DB4AC9" w:rsidP="00DB4AC9">
      <w:bookmarkStart w:id="89" w:name="_xghoz27a0sjz" w:colFirst="0" w:colLast="0"/>
      <w:bookmarkEnd w:id="89"/>
      <w:r>
        <w:t>These required points are listed in Neoserra in a 5-point framework when a new consulting session</w:t>
      </w:r>
      <w:r w:rsidR="00522AD7">
        <w:t xml:space="preserve"> is </w:t>
      </w:r>
      <w:r w:rsidR="005C5A49">
        <w:t>started</w:t>
      </w:r>
      <w:r w:rsidR="00522AD7">
        <w:t xml:space="preserve">. This is a listing of the </w:t>
      </w:r>
      <w:r w:rsidR="00114391">
        <w:t>5 points.</w:t>
      </w:r>
    </w:p>
    <w:p w14:paraId="23464F30" w14:textId="77777777" w:rsidR="00DB4AC9" w:rsidRDefault="00DB4AC9" w:rsidP="00DB4AC9">
      <w:r>
        <w:t>1. Analysis of the client's need for counseling (e.g. description of problem, situation, or project): [CLIENT NEEDS]</w:t>
      </w:r>
    </w:p>
    <w:p w14:paraId="73E219FC" w14:textId="77777777" w:rsidR="00DB4AC9" w:rsidRDefault="00DB4AC9" w:rsidP="00DB4AC9">
      <w:bookmarkStart w:id="90" w:name="_7up1eoqufar5" w:colFirst="0" w:colLast="0"/>
      <w:bookmarkStart w:id="91" w:name="_cwwcyw8g9mpd" w:colFirst="0" w:colLast="0"/>
      <w:bookmarkEnd w:id="90"/>
      <w:bookmarkEnd w:id="91"/>
      <w:r>
        <w:t>2. Summary of actual work performed (prep time) and/or counseling delivered (contact time): [WORK PERFORMED]</w:t>
      </w:r>
    </w:p>
    <w:p w14:paraId="11BB7B36" w14:textId="77777777" w:rsidR="00DB4AC9" w:rsidRDefault="00DB4AC9" w:rsidP="00DB4AC9">
      <w:bookmarkStart w:id="92" w:name="_tpkoens27t4o" w:colFirst="0" w:colLast="0"/>
      <w:bookmarkStart w:id="93" w:name="_8p7o2am5i3m5" w:colFirst="0" w:colLast="0"/>
      <w:bookmarkEnd w:id="92"/>
      <w:bookmarkEnd w:id="93"/>
      <w:r>
        <w:t>3. Counselor recommendations for next steps: [RECOMMENDATIONS]</w:t>
      </w:r>
    </w:p>
    <w:p w14:paraId="2582FCB5" w14:textId="77777777" w:rsidR="00DB4AC9" w:rsidRDefault="00DB4AC9" w:rsidP="00DB4AC9">
      <w:bookmarkStart w:id="94" w:name="_l1w6tuxedep" w:colFirst="0" w:colLast="0"/>
      <w:bookmarkStart w:id="95" w:name="_uapm0ftm7" w:colFirst="0" w:colLast="0"/>
      <w:bookmarkEnd w:id="94"/>
      <w:bookmarkEnd w:id="95"/>
      <w:r>
        <w:t>4. Follow-up action items required by the counselor and/or client: [FOLLOW-UP]</w:t>
      </w:r>
    </w:p>
    <w:p w14:paraId="119D1FC0" w14:textId="77777777" w:rsidR="00DB4AC9" w:rsidRDefault="00DB4AC9" w:rsidP="00DB4AC9">
      <w:bookmarkStart w:id="96" w:name="_6ycz6kp5o6qt" w:colFirst="0" w:colLast="0"/>
      <w:bookmarkStart w:id="97" w:name="_hris2z4ul6ns" w:colFirst="0" w:colLast="0"/>
      <w:bookmarkEnd w:id="96"/>
      <w:bookmarkEnd w:id="97"/>
      <w:r>
        <w:t>5. Other documentation (optional): [MILESTONE ACHIEVED?]</w:t>
      </w:r>
    </w:p>
    <w:p w14:paraId="5B54A9E9" w14:textId="2D121B15" w:rsidR="00BD356E" w:rsidRDefault="00BD356E" w:rsidP="00DB4AC9">
      <w:r>
        <w:t xml:space="preserve">Note the ‘postbox’ feature in Neoserra </w:t>
      </w:r>
      <w:r w:rsidR="00056F2D">
        <w:t>may</w:t>
      </w:r>
      <w:r>
        <w:t xml:space="preserve"> be used, however, it </w:t>
      </w:r>
      <w:r w:rsidR="00056F2D">
        <w:t>must contain the 5-point information</w:t>
      </w:r>
      <w:r w:rsidR="00E1207A">
        <w:t xml:space="preserve"> and should be reviewed to ensure </w:t>
      </w:r>
      <w:r w:rsidR="00085B74">
        <w:t>the session is recorded correctly in the client file.</w:t>
      </w:r>
    </w:p>
    <w:p w14:paraId="172EA54E" w14:textId="77777777" w:rsidR="00DB4AC9" w:rsidRDefault="00DB4AC9" w:rsidP="00DB4AC9">
      <w:bookmarkStart w:id="98" w:name="_haapch" w:colFirst="0" w:colLast="0"/>
      <w:bookmarkEnd w:id="98"/>
      <w:r>
        <w:t xml:space="preserve">This information is in addition to that required to be maintained in the client’s file. It should be sufficiently detailed that a program reviewer can determine what was done for the client, and whether the time spent justifies the time recorded. The lead center requires entry of all consulting </w:t>
      </w:r>
      <w:proofErr w:type="gramStart"/>
      <w:r>
        <w:t>session</w:t>
      </w:r>
      <w:proofErr w:type="gramEnd"/>
      <w:r>
        <w:t xml:space="preserve"> in Neoserra by the 14</w:t>
      </w:r>
      <w:r>
        <w:rPr>
          <w:vertAlign w:val="superscript"/>
        </w:rPr>
        <w:t>th</w:t>
      </w:r>
      <w:r>
        <w:t xml:space="preserve"> of the month of the prior month activities. Regional centers are at liberty to employ a more restrictive or earlier date.</w:t>
      </w:r>
    </w:p>
    <w:p w14:paraId="73885A6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99" w:name="_319y80a" w:colFirst="0" w:colLast="0"/>
      <w:bookmarkEnd w:id="99"/>
      <w:r w:rsidRPr="000D565A">
        <w:rPr>
          <w:rFonts w:ascii="Calibri" w:eastAsia="Calibri" w:hAnsi="Calibri" w:cs="Calibri"/>
          <w:b/>
          <w:smallCaps/>
          <w:color w:val="000000"/>
          <w:sz w:val="28"/>
          <w:szCs w:val="28"/>
        </w:rPr>
        <w:t xml:space="preserve">4.9 Client Validation and Attribution </w:t>
      </w:r>
    </w:p>
    <w:p w14:paraId="51021789" w14:textId="77777777" w:rsidR="00DB4AC9" w:rsidRDefault="00DB4AC9" w:rsidP="00DB4AC9">
      <w:r>
        <w:t xml:space="preserve">The Association of Small Business Development Centers (ASBDC) adopted the process of client ‘validation’ and client ‘attribution’ to ensure that all milestones recorded and reported by the national SBDC network to the SBA are valid and attributable to the assistance of the SBDC consultant and the SBDC program. </w:t>
      </w:r>
    </w:p>
    <w:p w14:paraId="584DBA0F" w14:textId="77777777" w:rsidR="00DB4AC9" w:rsidRDefault="00DB4AC9" w:rsidP="00DB4AC9">
      <w:r>
        <w:t>Validation means that the client validates that the milestone has been achieved. Attribution means that the SBDC consultant (and by extension the SBDC program) provided substantive assistance toward reaching this outcome. Note that these are two separate processes, however, typically it is easiest to list them together for the convenience of both the client and the consultant.</w:t>
      </w:r>
    </w:p>
    <w:p w14:paraId="38E7C2BE" w14:textId="77777777" w:rsidR="00DB4AC9" w:rsidRDefault="00DB4AC9" w:rsidP="00DB4AC9">
      <w:r>
        <w:t>The following documentation will be considered sufficient evidence for client attribution on Essential Milestone</w:t>
      </w:r>
      <w:hyperlink w:anchor="_Essential_Milestones">
        <w:r>
          <w:t>s</w:t>
        </w:r>
      </w:hyperlink>
      <w:r>
        <w:t xml:space="preserve"> (validation of the specific milestones should also be on the documentation):</w:t>
      </w:r>
    </w:p>
    <w:p w14:paraId="2E26BF14" w14:textId="77777777" w:rsidR="00DB4AC9" w:rsidRDefault="00DB4AC9" w:rsidP="00DB4AC9">
      <w:pPr>
        <w:numPr>
          <w:ilvl w:val="0"/>
          <w:numId w:val="17"/>
        </w:numPr>
        <w:ind w:hanging="360"/>
      </w:pPr>
      <w:r>
        <w:t xml:space="preserve">Signed and dated MnSBDC “Impact Attribution Form” with milestones </w:t>
      </w:r>
      <w:proofErr w:type="gramStart"/>
      <w:r>
        <w:t>listed;</w:t>
      </w:r>
      <w:proofErr w:type="gramEnd"/>
      <w:r>
        <w:t xml:space="preserve"> Or</w:t>
      </w:r>
    </w:p>
    <w:p w14:paraId="1F7D23C1" w14:textId="7752301D" w:rsidR="00DB4AC9" w:rsidRDefault="00DB4AC9" w:rsidP="00DB4AC9">
      <w:pPr>
        <w:numPr>
          <w:ilvl w:val="0"/>
          <w:numId w:val="17"/>
        </w:numPr>
        <w:ind w:hanging="360"/>
      </w:pPr>
      <w:r>
        <w:lastRenderedPageBreak/>
        <w:t>An e-mail/letter from the client which indicates that the SBDC played a significant role in reaching the milestone and the milestone is also listed in the document</w:t>
      </w:r>
      <w:r w:rsidR="00CD13BE">
        <w:t xml:space="preserve">. The Postbox feature in Neoserra may be used for this </w:t>
      </w:r>
      <w:proofErr w:type="gramStart"/>
      <w:r w:rsidR="00CD13BE">
        <w:t>purpose</w:t>
      </w:r>
      <w:r>
        <w:t>;</w:t>
      </w:r>
      <w:proofErr w:type="gramEnd"/>
      <w:r>
        <w:t xml:space="preserve"> Or</w:t>
      </w:r>
    </w:p>
    <w:p w14:paraId="1ED17384" w14:textId="77777777" w:rsidR="00DB4AC9" w:rsidRDefault="00DB4AC9" w:rsidP="00DB4AC9">
      <w:pPr>
        <w:numPr>
          <w:ilvl w:val="0"/>
          <w:numId w:val="17"/>
        </w:numPr>
        <w:ind w:hanging="360"/>
      </w:pPr>
      <w:r>
        <w:t>Success story with signed client release of information and attribution describing the role of the SBDC in client’s success and listing the specific milestones achieved.</w:t>
      </w:r>
    </w:p>
    <w:p w14:paraId="64493E9B" w14:textId="77777777" w:rsidR="00DB4AC9" w:rsidRDefault="00DB4AC9" w:rsidP="00DB4AC9"/>
    <w:p w14:paraId="68F3AE3A" w14:textId="77777777" w:rsidR="00DB4AC9" w:rsidRDefault="00DB4AC9" w:rsidP="00DB4AC9">
      <w:r>
        <w:t xml:space="preserve">NOTE – at this time, the built-in email template and process in Neoserra to gather client attribution and validation is </w:t>
      </w:r>
      <w:r w:rsidRPr="00AD6AC8">
        <w:rPr>
          <w:b/>
          <w:bCs/>
          <w:u w:val="single"/>
        </w:rPr>
        <w:t>NOT APPROVED</w:t>
      </w:r>
      <w:r>
        <w:t xml:space="preserve"> for use in the attribution and validation process and should not be used.</w:t>
      </w:r>
    </w:p>
    <w:p w14:paraId="676FD2D1" w14:textId="77777777" w:rsidR="00DB4AC9" w:rsidRDefault="00DB4AC9" w:rsidP="00DB4AC9">
      <w:r>
        <w:t xml:space="preserve">The document should be included in the client record as an attachment to the milestone or capital funding record created for the impact </w:t>
      </w:r>
      <w:proofErr w:type="gramStart"/>
      <w:r>
        <w:t>marker</w:t>
      </w:r>
      <w:proofErr w:type="gramEnd"/>
      <w:r>
        <w:t>. If the verifying document is an email from the client, it may be included in the client record as an administrative session and referred to in the “notes” section of the milestone or capital funding record.</w:t>
      </w:r>
    </w:p>
    <w:p w14:paraId="47F77D68" w14:textId="77777777" w:rsidR="00DB4AC9" w:rsidRDefault="00DB4AC9" w:rsidP="00DB4AC9">
      <w:r>
        <w:t xml:space="preserve">Consultants or staff members who receive an update from a client involving client impact (especially one or more of the Essential Milestones) should follow up with the client to request any of the </w:t>
      </w:r>
      <w:proofErr w:type="gramStart"/>
      <w:r>
        <w:t>above listed</w:t>
      </w:r>
      <w:proofErr w:type="gramEnd"/>
      <w:r>
        <w:t xml:space="preserve"> attribution documents and should keep their regional director informed. They should also access the client record to add a milestone record or add/update a capital funding record for the relevant milestone(s). </w:t>
      </w:r>
    </w:p>
    <w:p w14:paraId="7C92E4AE" w14:textId="77777777" w:rsidR="00DB4AC9" w:rsidRPr="00472E95" w:rsidRDefault="00DB4AC9" w:rsidP="00472E95">
      <w:pPr>
        <w:pStyle w:val="Heading4"/>
        <w:ind w:left="360"/>
        <w:rPr>
          <w:b/>
          <w:bCs/>
          <w:color w:val="000000" w:themeColor="text1"/>
        </w:rPr>
      </w:pPr>
      <w:bookmarkStart w:id="100" w:name="_xgpkamqo9nux" w:colFirst="0" w:colLast="0"/>
      <w:bookmarkEnd w:id="100"/>
      <w:r>
        <w:rPr>
          <w:color w:val="FF0000"/>
        </w:rPr>
        <w:br/>
      </w:r>
      <w:r w:rsidRPr="00472E95">
        <w:rPr>
          <w:b/>
          <w:bCs/>
          <w:color w:val="000000" w:themeColor="text1"/>
        </w:rPr>
        <w:t>4.9.1. Regional Director Requirements</w:t>
      </w:r>
    </w:p>
    <w:p w14:paraId="2A5BE89D" w14:textId="62823C68" w:rsidR="00DB4AC9" w:rsidRDefault="00DB4AC9" w:rsidP="00DB4AC9">
      <w:bookmarkStart w:id="101" w:name="_1gf8i83" w:colFirst="0" w:colLast="0"/>
      <w:bookmarkEnd w:id="101"/>
      <w:r>
        <w:rPr>
          <w:b/>
          <w:i/>
          <w:sz w:val="26"/>
          <w:szCs w:val="26"/>
        </w:rPr>
        <w:br/>
      </w:r>
      <w:r>
        <w:t xml:space="preserve">Regional directors will be responsible </w:t>
      </w:r>
      <w:proofErr w:type="gramStart"/>
      <w:r>
        <w:t>to review</w:t>
      </w:r>
      <w:proofErr w:type="gramEnd"/>
      <w:r>
        <w:t xml:space="preserve"> backup documentation provided for each Essential Milestone record captured in Neoserra, on at least a monthly basis. Directors should exercise judgment in determining if the forms provided indicate sufficient completeness and evidence that the impact occurred, and that the client has agreed that the SBDC contributed to the impact. If the director concurs, they must choose ‘</w:t>
      </w:r>
      <w:proofErr w:type="spellStart"/>
      <w:r>
        <w:t>yes’</w:t>
      </w:r>
      <w:proofErr w:type="spellEnd"/>
      <w:r>
        <w:t xml:space="preserve"> in the box titled ‘Attribution Source’.</w:t>
      </w:r>
    </w:p>
    <w:p w14:paraId="22F79D30" w14:textId="77777777" w:rsidR="00DB4AC9" w:rsidRDefault="00DB4AC9" w:rsidP="00DB4AC9">
      <w:r>
        <w:t xml:space="preserve">If the backup documentation is lacking, they should follow up with the client’s consultant to receive proper documentation and should mark the record as “not reportable” until documentation is received. </w:t>
      </w:r>
    </w:p>
    <w:p w14:paraId="4E2CFDCE" w14:textId="77777777" w:rsidR="00DB4AC9" w:rsidRDefault="00DB4AC9" w:rsidP="00DB4AC9">
      <w:bookmarkStart w:id="102" w:name="_4a3vhf44k4dg" w:colFirst="0" w:colLast="0"/>
      <w:bookmarkStart w:id="103" w:name="_40ew0vw" w:colFirst="0" w:colLast="0"/>
      <w:bookmarkEnd w:id="102"/>
      <w:bookmarkEnd w:id="103"/>
    </w:p>
    <w:p w14:paraId="2F11A858" w14:textId="77777777" w:rsidR="00DB4AC9" w:rsidRPr="00472E95" w:rsidRDefault="00DB4AC9" w:rsidP="00472E95">
      <w:pPr>
        <w:pStyle w:val="Heading4"/>
        <w:ind w:left="360"/>
        <w:rPr>
          <w:b/>
          <w:bCs/>
          <w:color w:val="000000" w:themeColor="text1"/>
        </w:rPr>
      </w:pPr>
      <w:bookmarkStart w:id="104" w:name="_a78i3p96rzz5" w:colFirst="0" w:colLast="0"/>
      <w:bookmarkEnd w:id="104"/>
      <w:r w:rsidRPr="00472E95">
        <w:rPr>
          <w:b/>
          <w:bCs/>
          <w:color w:val="000000" w:themeColor="text1"/>
        </w:rPr>
        <w:t xml:space="preserve">4.9.2. Other Milestones </w:t>
      </w:r>
    </w:p>
    <w:p w14:paraId="53741002" w14:textId="77777777" w:rsidR="00DB4AC9" w:rsidRDefault="00DB4AC9" w:rsidP="00DB4AC9">
      <w:pPr>
        <w:pStyle w:val="Heading4"/>
      </w:pPr>
      <w:bookmarkStart w:id="105" w:name="_k1n5zbwv3pqj" w:colFirst="0" w:colLast="0"/>
      <w:bookmarkEnd w:id="105"/>
      <w:r>
        <w:rPr>
          <w:i w:val="0"/>
        </w:rPr>
        <w:br/>
        <w:t xml:space="preserve">Within Neoserra there are a variety of other milestone types which do not meet the criteria that essential milestones do. However, it is still desirable to track these items for reference and historical purposes. They are not subject to attribution requirements and will not be cited </w:t>
      </w:r>
      <w:proofErr w:type="gramStart"/>
      <w:r>
        <w:rPr>
          <w:i w:val="0"/>
        </w:rPr>
        <w:t>on</w:t>
      </w:r>
      <w:proofErr w:type="gramEnd"/>
      <w:r>
        <w:rPr>
          <w:i w:val="0"/>
        </w:rPr>
        <w:t xml:space="preserve"> federal reports.</w:t>
      </w:r>
    </w:p>
    <w:p w14:paraId="269706FA" w14:textId="77777777" w:rsidR="00DB4AC9" w:rsidRDefault="00DB4AC9" w:rsidP="00DB4AC9">
      <w:r>
        <w:t>These items include:</w:t>
      </w:r>
    </w:p>
    <w:p w14:paraId="0AF36E07" w14:textId="77777777" w:rsidR="00DB4AC9" w:rsidRDefault="00DB4AC9" w:rsidP="00DB4AC9">
      <w:pPr>
        <w:numPr>
          <w:ilvl w:val="0"/>
          <w:numId w:val="17"/>
        </w:numPr>
        <w:ind w:hanging="360"/>
      </w:pPr>
      <w:r>
        <w:t>Business expansion</w:t>
      </w:r>
    </w:p>
    <w:p w14:paraId="37D0C7C7" w14:textId="77777777" w:rsidR="00DB4AC9" w:rsidRPr="00AD6AC8" w:rsidRDefault="00DB4AC9" w:rsidP="00DB4AC9">
      <w:pPr>
        <w:numPr>
          <w:ilvl w:val="0"/>
          <w:numId w:val="17"/>
        </w:numPr>
        <w:ind w:hanging="360"/>
        <w:rPr>
          <w:highlight w:val="yellow"/>
        </w:rPr>
      </w:pPr>
      <w:r w:rsidRPr="00AD6AC8">
        <w:rPr>
          <w:highlight w:val="yellow"/>
        </w:rPr>
        <w:t xml:space="preserve">Change in </w:t>
      </w:r>
      <w:proofErr w:type="gramStart"/>
      <w:r w:rsidRPr="00AD6AC8">
        <w:rPr>
          <w:highlight w:val="yellow"/>
        </w:rPr>
        <w:t>export related</w:t>
      </w:r>
      <w:proofErr w:type="gramEnd"/>
      <w:r w:rsidRPr="00AD6AC8">
        <w:rPr>
          <w:highlight w:val="yellow"/>
        </w:rPr>
        <w:t xml:space="preserve"> staff</w:t>
      </w:r>
    </w:p>
    <w:p w14:paraId="5F8CF0D6" w14:textId="77777777" w:rsidR="00DB4AC9" w:rsidRDefault="00DB4AC9" w:rsidP="00DB4AC9">
      <w:pPr>
        <w:numPr>
          <w:ilvl w:val="0"/>
          <w:numId w:val="17"/>
        </w:numPr>
        <w:ind w:hanging="360"/>
      </w:pPr>
      <w:r>
        <w:t>Success Story</w:t>
      </w:r>
    </w:p>
    <w:p w14:paraId="3D002FE3" w14:textId="77777777" w:rsidR="00DB4AC9" w:rsidRDefault="00DB4AC9" w:rsidP="00DB4AC9">
      <w:pPr>
        <w:numPr>
          <w:ilvl w:val="0"/>
          <w:numId w:val="17"/>
        </w:numPr>
        <w:ind w:hanging="360"/>
      </w:pPr>
      <w:r>
        <w:t>Certificate Obtained</w:t>
      </w:r>
    </w:p>
    <w:p w14:paraId="4B39F1C1" w14:textId="77777777" w:rsidR="00DB4AC9" w:rsidRDefault="00DB4AC9" w:rsidP="00DB4AC9">
      <w:pPr>
        <w:numPr>
          <w:ilvl w:val="0"/>
          <w:numId w:val="17"/>
        </w:numPr>
        <w:ind w:hanging="360"/>
      </w:pPr>
      <w:r>
        <w:t>Business Saved</w:t>
      </w:r>
    </w:p>
    <w:p w14:paraId="08FC4E3C" w14:textId="77777777" w:rsidR="00DB4AC9" w:rsidRDefault="00DB4AC9" w:rsidP="00DB4AC9">
      <w:pPr>
        <w:numPr>
          <w:ilvl w:val="0"/>
          <w:numId w:val="17"/>
        </w:numPr>
        <w:ind w:hanging="360"/>
      </w:pPr>
      <w:r>
        <w:lastRenderedPageBreak/>
        <w:t>Intellectual Property Obtained</w:t>
      </w:r>
    </w:p>
    <w:p w14:paraId="52521476" w14:textId="77777777" w:rsidR="00DB4AC9" w:rsidRDefault="00DB4AC9" w:rsidP="00DB4AC9">
      <w:pPr>
        <w:numPr>
          <w:ilvl w:val="0"/>
          <w:numId w:val="17"/>
        </w:numPr>
        <w:ind w:hanging="360"/>
      </w:pPr>
      <w:r>
        <w:t>Other</w:t>
      </w:r>
    </w:p>
    <w:p w14:paraId="31E7C357" w14:textId="77777777" w:rsidR="00DB4AC9" w:rsidRDefault="00DB4AC9" w:rsidP="00DB4AC9">
      <w:pPr>
        <w:pStyle w:val="Heading3"/>
      </w:pPr>
    </w:p>
    <w:p w14:paraId="233DBD9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06" w:name="_2fk6b3p" w:colFirst="0" w:colLast="0"/>
      <w:bookmarkEnd w:id="106"/>
      <w:r w:rsidRPr="000D565A">
        <w:rPr>
          <w:rFonts w:ascii="Calibri" w:eastAsia="Calibri" w:hAnsi="Calibri" w:cs="Calibri"/>
          <w:b/>
          <w:smallCaps/>
          <w:color w:val="000000"/>
          <w:sz w:val="28"/>
          <w:szCs w:val="28"/>
        </w:rPr>
        <w:t>4.10 Constraints</w:t>
      </w:r>
    </w:p>
    <w:p w14:paraId="129F33A8" w14:textId="77777777" w:rsidR="00DB4AC9" w:rsidRPr="00472E95" w:rsidRDefault="00DB4AC9" w:rsidP="00DB4AC9">
      <w:pPr>
        <w:pStyle w:val="Heading4"/>
        <w:ind w:left="360"/>
        <w:rPr>
          <w:b/>
          <w:bCs/>
          <w:color w:val="000000" w:themeColor="text1"/>
        </w:rPr>
      </w:pPr>
      <w:bookmarkStart w:id="107" w:name="_upglbi" w:colFirst="0" w:colLast="0"/>
      <w:bookmarkEnd w:id="107"/>
      <w:r w:rsidRPr="00472E95">
        <w:rPr>
          <w:b/>
          <w:bCs/>
          <w:color w:val="000000" w:themeColor="text1"/>
        </w:rPr>
        <w:t>4.10.1 Clients Outside the SBDC Service Area</w:t>
      </w:r>
    </w:p>
    <w:p w14:paraId="008D79CB" w14:textId="77777777" w:rsidR="00DB4AC9" w:rsidRDefault="00DB4AC9" w:rsidP="00DB4AC9">
      <w:r>
        <w:t>SBDCs should encourage clients or prospective clients who reside in Minnesota to utilize the regional center serving the geographic area where the client business is or will be located. If the client prefers to obtain services at a different regional center, or the regional center has an expertise that doesn’t exist in the client's designated area, the client is permitted to do so at their discretion. The Regional Center Director who has an ‘out of geographic area’ client should be in communication with the Regional Center director of the geographic area about the client to ensure there are no misunderstandings.</w:t>
      </w:r>
    </w:p>
    <w:p w14:paraId="4E861858" w14:textId="77777777" w:rsidR="00DB4AC9" w:rsidRDefault="00DB4AC9" w:rsidP="00DB4AC9">
      <w:r>
        <w:t xml:space="preserve">Clients and prospective clients residing outside Minnesota should be encouraged to utilize the SBDC of the state in which the client’s business is located. Exceptions may be made if the prospective client plans to open a business in Minnesota, or the prospective client </w:t>
      </w:r>
      <w:proofErr w:type="gramStart"/>
      <w:r>
        <w:t>is located in</w:t>
      </w:r>
      <w:proofErr w:type="gramEnd"/>
      <w:r>
        <w:t xml:space="preserve"> closer geographic proximity to the Minnesota SBDC than to the SBDC in another state.</w:t>
      </w:r>
      <w:r>
        <w:rPr>
          <w:vertAlign w:val="superscript"/>
        </w:rPr>
        <w:footnoteReference w:id="123"/>
      </w:r>
      <w:r>
        <w:t xml:space="preserve"> To maintain good relationships with other SBDC Networks, the Regional Director should be in communication with the other SBDC network when a client is assumed from another network. This will also facilitate referral back to that SBDC network if the need arises.</w:t>
      </w:r>
    </w:p>
    <w:p w14:paraId="0960B945" w14:textId="013FC157" w:rsidR="00DB4AC9" w:rsidRDefault="00DB4AC9" w:rsidP="00DB4AC9">
      <w:r>
        <w:t xml:space="preserve">A list of all 63 states and territory SBDCs is available on the Association of Small Business Development Centers web site </w:t>
      </w:r>
      <w:hyperlink r:id="rId15" w:history="1">
        <w:r w:rsidR="00DF1A7B">
          <w:rPr>
            <w:rStyle w:val="Hyperlink"/>
          </w:rPr>
          <w:t>https://www.americassbdc.org/</w:t>
        </w:r>
      </w:hyperlink>
      <w:r>
        <w:t>, (select the desired location from the link that says “Find Your SBDC”).</w:t>
      </w:r>
    </w:p>
    <w:p w14:paraId="5EB04E14" w14:textId="77777777" w:rsidR="00DB4AC9" w:rsidRPr="00472E95" w:rsidRDefault="00DB4AC9" w:rsidP="00DB4AC9">
      <w:pPr>
        <w:pStyle w:val="Heading4"/>
        <w:ind w:left="360"/>
        <w:rPr>
          <w:b/>
          <w:bCs/>
          <w:color w:val="000000" w:themeColor="text1"/>
        </w:rPr>
      </w:pPr>
      <w:bookmarkStart w:id="108" w:name="_3ep43zb" w:colFirst="0" w:colLast="0"/>
      <w:bookmarkEnd w:id="108"/>
      <w:r w:rsidRPr="00472E95">
        <w:rPr>
          <w:b/>
          <w:bCs/>
          <w:color w:val="000000" w:themeColor="text1"/>
        </w:rPr>
        <w:t>4.10.2 Financial Analysis and Loan Packaging</w:t>
      </w:r>
    </w:p>
    <w:p w14:paraId="2CB03015" w14:textId="77777777" w:rsidR="00DB4AC9" w:rsidRDefault="00DB4AC9" w:rsidP="00DB4AC9">
      <w:r>
        <w:t xml:space="preserve">Financial analysis and loan packaging are core competencies of </w:t>
      </w:r>
      <w:proofErr w:type="gramStart"/>
      <w:r>
        <w:t>the SBDC</w:t>
      </w:r>
      <w:proofErr w:type="gramEnd"/>
      <w:r>
        <w:t>. SBDCs are encouraged to provide consulting services that increase a client’s access to capital, such as business plan development, financial statement preparation and analysis, and cash flow preparation and analysis. In delivering these services, consultants must keep in mind several constraints imposed by SBA regulations:</w:t>
      </w:r>
      <w:r>
        <w:rPr>
          <w:vertAlign w:val="superscript"/>
        </w:rPr>
        <w:footnoteReference w:id="124"/>
      </w:r>
    </w:p>
    <w:p w14:paraId="7E314ECC" w14:textId="77777777" w:rsidR="00DB4AC9" w:rsidRDefault="00DB4AC9" w:rsidP="00DB4AC9">
      <w:pPr>
        <w:numPr>
          <w:ilvl w:val="0"/>
          <w:numId w:val="17"/>
        </w:numPr>
        <w:ind w:hanging="360"/>
      </w:pPr>
      <w:r>
        <w:t>SBDCs should help prepare clients to represent themselves to lenders. While SBDCs may attend meetings with lenders to assist clients in preparing loan packages, SBDCs may not take a direct role in representing clients in loan negotiations (i.e. the consultant should not be an ‘advocate’ for the client, or advocate on their behalf).</w:t>
      </w:r>
      <w:r>
        <w:rPr>
          <w:vertAlign w:val="superscript"/>
        </w:rPr>
        <w:footnoteReference w:id="125"/>
      </w:r>
    </w:p>
    <w:p w14:paraId="44A8D8A7" w14:textId="77777777" w:rsidR="00DB4AC9" w:rsidRDefault="00DB4AC9" w:rsidP="00DB4AC9">
      <w:pPr>
        <w:numPr>
          <w:ilvl w:val="0"/>
          <w:numId w:val="17"/>
        </w:numPr>
        <w:ind w:hanging="360"/>
      </w:pPr>
      <w:r>
        <w:t>SBDCs should inform their clients that loan packaging assistance does not guarantee receipt of a loan.</w:t>
      </w:r>
      <w:r>
        <w:rPr>
          <w:vertAlign w:val="superscript"/>
        </w:rPr>
        <w:footnoteReference w:id="126"/>
      </w:r>
    </w:p>
    <w:p w14:paraId="1C8C51EA" w14:textId="77777777" w:rsidR="00DB4AC9" w:rsidRDefault="00DB4AC9" w:rsidP="00DB4AC9">
      <w:pPr>
        <w:numPr>
          <w:ilvl w:val="0"/>
          <w:numId w:val="17"/>
        </w:numPr>
        <w:ind w:hanging="360"/>
      </w:pPr>
      <w:r>
        <w:t>SBDCs may not make loans, service loans or make credit decisions regarding the award of loans.</w:t>
      </w:r>
      <w:r>
        <w:rPr>
          <w:vertAlign w:val="superscript"/>
        </w:rPr>
        <w:footnoteReference w:id="127"/>
      </w:r>
      <w:r>
        <w:t xml:space="preserve"> If an SBDC is located in a host institution that makes loans, the host institution must </w:t>
      </w:r>
      <w:r>
        <w:lastRenderedPageBreak/>
        <w:t>assure that the loan program is managed separately from the SBDC program and SBDC personnel do not participate in the lender’s review of the loan application, qualifications of the borrower, due diligence investigation and related credit decisions.</w:t>
      </w:r>
      <w:r>
        <w:rPr>
          <w:vertAlign w:val="superscript"/>
        </w:rPr>
        <w:footnoteReference w:id="128"/>
      </w:r>
    </w:p>
    <w:p w14:paraId="4E2F5047" w14:textId="77777777" w:rsidR="00DB4AC9" w:rsidRDefault="00DB4AC9" w:rsidP="00DB4AC9">
      <w:pPr>
        <w:numPr>
          <w:ilvl w:val="0"/>
          <w:numId w:val="17"/>
        </w:numPr>
        <w:ind w:hanging="360"/>
      </w:pPr>
      <w:r>
        <w:t xml:space="preserve">With respect to SBA guarantee programs, SBDCs may help a client prepare the loan application and accompany an applicant appearing before the SBA but may not advocate, recommend approval, </w:t>
      </w:r>
      <w:proofErr w:type="gramStart"/>
      <w:r>
        <w:t>or otherwise</w:t>
      </w:r>
      <w:proofErr w:type="gramEnd"/>
      <w:r>
        <w:t xml:space="preserve"> attempt to influence the SBA to provide financial assistance to SBDC clients.</w:t>
      </w:r>
      <w:r>
        <w:rPr>
          <w:vertAlign w:val="superscript"/>
        </w:rPr>
        <w:footnoteReference w:id="129"/>
      </w:r>
    </w:p>
    <w:p w14:paraId="08279E92" w14:textId="77777777" w:rsidR="00DB4AC9" w:rsidRDefault="00DB4AC9" w:rsidP="00DB4AC9">
      <w:pPr>
        <w:numPr>
          <w:ilvl w:val="0"/>
          <w:numId w:val="17"/>
        </w:numPr>
        <w:ind w:hanging="360"/>
      </w:pPr>
      <w:r>
        <w:t>An SBDC cannot collect fees for helping a client prepare an application for SBA financial assistance.</w:t>
      </w:r>
      <w:r>
        <w:rPr>
          <w:vertAlign w:val="superscript"/>
        </w:rPr>
        <w:footnoteReference w:id="130"/>
      </w:r>
    </w:p>
    <w:p w14:paraId="72FAF44B" w14:textId="77777777" w:rsidR="00DB4AC9" w:rsidRPr="00472E95" w:rsidRDefault="00DB4AC9" w:rsidP="00DB4AC9">
      <w:pPr>
        <w:pStyle w:val="Heading4"/>
        <w:ind w:left="360"/>
        <w:rPr>
          <w:b/>
          <w:bCs/>
          <w:color w:val="000000" w:themeColor="text1"/>
        </w:rPr>
      </w:pPr>
      <w:bookmarkStart w:id="109" w:name="_1tuee74" w:colFirst="0" w:colLast="0"/>
      <w:bookmarkEnd w:id="109"/>
      <w:r w:rsidRPr="00472E95">
        <w:rPr>
          <w:b/>
          <w:bCs/>
          <w:color w:val="000000" w:themeColor="text1"/>
        </w:rPr>
        <w:t>4.10.3 Financial Analysis Disclaimer</w:t>
      </w:r>
    </w:p>
    <w:p w14:paraId="207AD65C" w14:textId="77777777" w:rsidR="00DB4AC9" w:rsidRDefault="00DB4AC9" w:rsidP="00DB4AC9">
      <w:r>
        <w:t xml:space="preserve">Financial statements prepared by MnSBDC consultants </w:t>
      </w:r>
      <w:r>
        <w:rPr>
          <w:b/>
          <w:u w:val="single"/>
        </w:rPr>
        <w:t>must</w:t>
      </w:r>
      <w:r>
        <w:t xml:space="preserve"> have the following disclaimer</w:t>
      </w:r>
      <w:r>
        <w:rPr>
          <w:vertAlign w:val="superscript"/>
        </w:rPr>
        <w:footnoteReference w:id="131"/>
      </w:r>
      <w:r>
        <w:t xml:space="preserve"> stamped or printed on them:</w:t>
      </w:r>
    </w:p>
    <w:p w14:paraId="237E5DAB" w14:textId="07628460" w:rsidR="00DB4AC9" w:rsidRDefault="00757FE1" w:rsidP="00DB4AC9">
      <w:pPr>
        <w:ind w:left="720"/>
      </w:pPr>
      <w:r>
        <w:t>“</w:t>
      </w:r>
      <w:r w:rsidR="00DB4AC9">
        <w:t>The MnSBDC has prepared the accompanying financial statement based on the assumptions provided by management. Neither the SBDC nor its personnel are licensed by the State of Minnesota to practice public accounting and therefore express no opinion or any other form of assurance on the statements or underlying assumptions.</w:t>
      </w:r>
      <w:r>
        <w:t>”</w:t>
      </w:r>
    </w:p>
    <w:p w14:paraId="41DC1F38" w14:textId="77777777" w:rsidR="00DB4AC9" w:rsidRPr="00472E95" w:rsidRDefault="00DB4AC9" w:rsidP="00DB4AC9">
      <w:pPr>
        <w:pStyle w:val="Heading4"/>
        <w:ind w:left="360"/>
        <w:rPr>
          <w:b/>
          <w:bCs/>
          <w:color w:val="000000" w:themeColor="text1"/>
        </w:rPr>
      </w:pPr>
      <w:bookmarkStart w:id="110" w:name="_4du1wux" w:colFirst="0" w:colLast="0"/>
      <w:bookmarkEnd w:id="110"/>
      <w:r w:rsidRPr="00472E95">
        <w:rPr>
          <w:b/>
          <w:bCs/>
          <w:color w:val="000000" w:themeColor="text1"/>
        </w:rPr>
        <w:t>4.10.4 Legal Services Restrictions</w:t>
      </w:r>
    </w:p>
    <w:p w14:paraId="34A686BA" w14:textId="77777777" w:rsidR="00DB4AC9" w:rsidRDefault="00DB4AC9" w:rsidP="00DB4AC9">
      <w:r>
        <w:t>SBDCs must not engage in the practice of law. Consultants must not provide individual legal advice, represent a client in litigation or any legal proceeding, or otherwise practice law as defined by the State of Minnesota. MnSBDC consultants who are qualified by experience and training to discuss legal issues may do so in a general way, but they must not engage in an attorney-client relationship and must make appropriate disclosures and disclaimers to that effect.</w:t>
      </w:r>
      <w:r>
        <w:rPr>
          <w:vertAlign w:val="superscript"/>
        </w:rPr>
        <w:footnoteReference w:id="132"/>
      </w:r>
      <w:r>
        <w:t xml:space="preserve"> </w:t>
      </w:r>
    </w:p>
    <w:p w14:paraId="738B702C" w14:textId="77777777" w:rsidR="00DB4AC9" w:rsidRDefault="00DB4AC9" w:rsidP="00DB4AC9">
      <w:r>
        <w:t>Regions may engage in Legal partnerships to provide fee-based or pro bono legal advice clinics and services, for example ‘LegalCORPS’.</w:t>
      </w:r>
    </w:p>
    <w:p w14:paraId="475B49AF" w14:textId="77777777" w:rsidR="00DB4AC9" w:rsidRDefault="00DB4AC9" w:rsidP="00DB4AC9"/>
    <w:p w14:paraId="1426A89A" w14:textId="77777777" w:rsidR="00DB4AC9" w:rsidRPr="00472E95" w:rsidRDefault="00DB4AC9" w:rsidP="00DB4AC9">
      <w:pPr>
        <w:pStyle w:val="Heading4"/>
        <w:ind w:left="360"/>
        <w:rPr>
          <w:b/>
          <w:bCs/>
          <w:color w:val="000000" w:themeColor="text1"/>
        </w:rPr>
      </w:pPr>
      <w:bookmarkStart w:id="111" w:name="_q23o1v39fgin" w:colFirst="0" w:colLast="0"/>
      <w:bookmarkEnd w:id="111"/>
      <w:r w:rsidRPr="00472E95">
        <w:rPr>
          <w:b/>
          <w:bCs/>
          <w:color w:val="000000" w:themeColor="text1"/>
        </w:rPr>
        <w:t xml:space="preserve"> 4.10.5 Accounting Services Restriction</w:t>
      </w:r>
    </w:p>
    <w:p w14:paraId="2A1ED03F" w14:textId="77777777" w:rsidR="00DB4AC9" w:rsidRDefault="00DB4AC9" w:rsidP="00DB4AC9">
      <w:pPr>
        <w:widowControl w:val="0"/>
        <w:spacing w:after="0" w:line="276" w:lineRule="auto"/>
      </w:pPr>
      <w:r>
        <w:t>SBDCs must not engage in providing Public Accounting as a CPA, including rendering tax advice.</w:t>
      </w:r>
    </w:p>
    <w:p w14:paraId="7B27D27B" w14:textId="77777777" w:rsidR="00DB4AC9" w:rsidRDefault="00DB4AC9" w:rsidP="00DB4AC9">
      <w:pPr>
        <w:widowControl w:val="0"/>
        <w:spacing w:after="0" w:line="276" w:lineRule="auto"/>
      </w:pPr>
    </w:p>
    <w:p w14:paraId="41C2B178" w14:textId="77777777" w:rsidR="00DB4AC9" w:rsidRDefault="00DB4AC9" w:rsidP="00DB4AC9">
      <w:pPr>
        <w:widowControl w:val="0"/>
        <w:spacing w:after="0" w:line="276" w:lineRule="auto"/>
      </w:pPr>
      <w:r>
        <w:t>Regions may engage with Accounting Firm partnerships to provide fee-based or pro bono accounting advice and services.</w:t>
      </w:r>
    </w:p>
    <w:p w14:paraId="651F1AF0" w14:textId="77777777" w:rsidR="00DB4AC9" w:rsidRDefault="00DB4AC9" w:rsidP="00DB4AC9">
      <w:pPr>
        <w:widowControl w:val="0"/>
        <w:spacing w:after="0" w:line="276" w:lineRule="auto"/>
      </w:pPr>
    </w:p>
    <w:p w14:paraId="75595AED" w14:textId="77777777" w:rsidR="00DB4AC9" w:rsidRDefault="00DB4AC9" w:rsidP="00DB4AC9">
      <w:r>
        <w:br w:type="page"/>
      </w:r>
    </w:p>
    <w:p w14:paraId="00022BF7" w14:textId="77777777" w:rsidR="00DB4AC9" w:rsidRDefault="00DB4AC9" w:rsidP="00DB4AC9">
      <w:pPr>
        <w:widowControl w:val="0"/>
        <w:spacing w:after="0" w:line="276" w:lineRule="auto"/>
      </w:pPr>
    </w:p>
    <w:p w14:paraId="6E5D4B90" w14:textId="77777777" w:rsidR="00DB4AC9" w:rsidRDefault="00DB4AC9" w:rsidP="00DB4AC9">
      <w:pPr>
        <w:pStyle w:val="Heading2"/>
      </w:pPr>
      <w:bookmarkStart w:id="112" w:name="_2szc72q" w:colFirst="0" w:colLast="0"/>
      <w:bookmarkEnd w:id="112"/>
      <w:r>
        <w:rPr>
          <w:sz w:val="36"/>
          <w:szCs w:val="36"/>
        </w:rPr>
        <w:t>5.0 Training</w:t>
      </w:r>
    </w:p>
    <w:p w14:paraId="0C28D34C" w14:textId="77777777" w:rsidR="00DB4AC9" w:rsidRDefault="00DB4AC9" w:rsidP="00DB4AC9">
      <w:r>
        <w:t>SBDCs are expected to provide advanced, quality training designed to improve the skills and knowledge of existing and prospective business owners and managers. It is appropriate to offer training to small business owners to introduce them to new methods of doing business, skill development or the adaptation of technology. Where appropriate, SBDCs are encouraged to utilize educational technology such as computer-based instruction, distance learning initiatives, video and other electronic media to enhance the distribution of educational services.</w:t>
      </w:r>
      <w:r>
        <w:rPr>
          <w:vertAlign w:val="superscript"/>
        </w:rPr>
        <w:footnoteReference w:id="133"/>
      </w:r>
      <w:r>
        <w:t xml:space="preserve"> The Minnesota SBDCs are committed to offering timely and useful training that meets identified needs in their region.</w:t>
      </w:r>
      <w:r>
        <w:rPr>
          <w:vertAlign w:val="superscript"/>
        </w:rPr>
        <w:footnoteReference w:id="134"/>
      </w:r>
    </w:p>
    <w:p w14:paraId="153EAEF4"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3" w:name="_184mhaj" w:colFirst="0" w:colLast="0"/>
      <w:bookmarkEnd w:id="113"/>
      <w:r w:rsidRPr="000D565A">
        <w:rPr>
          <w:rFonts w:ascii="Calibri" w:eastAsia="Calibri" w:hAnsi="Calibri" w:cs="Calibri"/>
          <w:b/>
          <w:smallCaps/>
          <w:color w:val="000000"/>
          <w:sz w:val="28"/>
          <w:szCs w:val="28"/>
        </w:rPr>
        <w:t>5.1 Training Defined</w:t>
      </w:r>
    </w:p>
    <w:p w14:paraId="20CA7DCA" w14:textId="77777777" w:rsidR="00DB4AC9" w:rsidRDefault="00DB4AC9" w:rsidP="00DB4AC9">
      <w:r>
        <w:t>Training is the provision of advice, guidance and instruction given to groups of prospective and existing small businesspersons and entities, whether by in-person group sessions or by such communication modes as teleconferences, videos, publications, and electronic media.</w:t>
      </w:r>
      <w:r>
        <w:rPr>
          <w:vertAlign w:val="superscript"/>
        </w:rPr>
        <w:footnoteReference w:id="135"/>
      </w:r>
      <w:r>
        <w:t xml:space="preserve"> It is the delivery of a structured program of knowledge, information or experience on a business-related subject. To be reportable to SBA, the training must provide a minimum of one hour of instruction, include a minimum of two or more attendees, and have an agenda and/or program content, a registration sign-in process, and an evaluation process.</w:t>
      </w:r>
    </w:p>
    <w:p w14:paraId="13487C3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4" w:name="_3s49zyc" w:colFirst="0" w:colLast="0"/>
      <w:bookmarkEnd w:id="114"/>
      <w:r w:rsidRPr="000D565A">
        <w:rPr>
          <w:rFonts w:ascii="Calibri" w:eastAsia="Calibri" w:hAnsi="Calibri" w:cs="Calibri"/>
          <w:b/>
          <w:smallCaps/>
          <w:color w:val="000000"/>
          <w:sz w:val="28"/>
          <w:szCs w:val="28"/>
        </w:rPr>
        <w:t>5.2 Training Offerings</w:t>
      </w:r>
    </w:p>
    <w:p w14:paraId="5ED2D912" w14:textId="77777777" w:rsidR="00DB4AC9" w:rsidRDefault="00DB4AC9" w:rsidP="00DB4AC9">
      <w:r>
        <w:t xml:space="preserve">Regional centers offer training opportunities to the small business community through sponsorship or co-sponsorship training seminars on small business topics when a need is identified. </w:t>
      </w:r>
    </w:p>
    <w:p w14:paraId="59DE681F"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5" w:name="_279ka65" w:colFirst="0" w:colLast="0"/>
      <w:bookmarkEnd w:id="115"/>
      <w:r w:rsidRPr="000D565A">
        <w:rPr>
          <w:rFonts w:ascii="Calibri" w:eastAsia="Calibri" w:hAnsi="Calibri" w:cs="Calibri"/>
          <w:b/>
          <w:smallCaps/>
          <w:color w:val="000000"/>
          <w:sz w:val="28"/>
          <w:szCs w:val="28"/>
        </w:rPr>
        <w:t>5.3 Training Formats</w:t>
      </w:r>
    </w:p>
    <w:p w14:paraId="444D4C45" w14:textId="77777777" w:rsidR="00DB4AC9" w:rsidRDefault="00DB4AC9" w:rsidP="00DB4AC9">
      <w:r>
        <w:t>SBA has identified five types of formats for SBDC training.</w:t>
      </w:r>
      <w:r>
        <w:rPr>
          <w:vertAlign w:val="superscript"/>
        </w:rPr>
        <w:footnoteReference w:id="136"/>
      </w:r>
      <w:r>
        <w:t xml:space="preserve"> The appropriate format is identified in the training report that is submitted to support training offerings.</w:t>
      </w:r>
    </w:p>
    <w:p w14:paraId="6473D931" w14:textId="77777777" w:rsidR="00DB4AC9" w:rsidRDefault="00DB4AC9" w:rsidP="00DB4AC9">
      <w:pPr>
        <w:numPr>
          <w:ilvl w:val="0"/>
          <w:numId w:val="17"/>
        </w:numPr>
        <w:ind w:hanging="360"/>
      </w:pPr>
      <w:r>
        <w:rPr>
          <w:i/>
        </w:rPr>
        <w:t>Pre-Venture Workshops</w:t>
      </w:r>
      <w:r>
        <w:t xml:space="preserve"> provide a comprehensive introduction to the fundamentals of starting and managing a business. Pre-venture workshops are designed for individuals interested in owning and managing a small business, or for owners and managers of businesses that have been in </w:t>
      </w:r>
      <w:proofErr w:type="gramStart"/>
      <w:r>
        <w:t>operation</w:t>
      </w:r>
      <w:proofErr w:type="gramEnd"/>
      <w:r>
        <w:t xml:space="preserve"> a year or less. Workshops are between one and eight hours in duration.</w:t>
      </w:r>
    </w:p>
    <w:p w14:paraId="4B601CBE" w14:textId="77777777" w:rsidR="00DB4AC9" w:rsidRDefault="00DB4AC9" w:rsidP="00DB4AC9">
      <w:pPr>
        <w:numPr>
          <w:ilvl w:val="0"/>
          <w:numId w:val="17"/>
        </w:numPr>
        <w:ind w:hanging="360"/>
      </w:pPr>
      <w:r>
        <w:rPr>
          <w:i/>
        </w:rPr>
        <w:t>Management Training Seminars</w:t>
      </w:r>
      <w:r>
        <w:t xml:space="preserve"> teach small business management subjects to groups of small business owners or managers. Management conferences are between one and eight hours in duration.</w:t>
      </w:r>
    </w:p>
    <w:p w14:paraId="413B8D19" w14:textId="77777777" w:rsidR="00DB4AC9" w:rsidRDefault="00DB4AC9" w:rsidP="00DB4AC9">
      <w:pPr>
        <w:numPr>
          <w:ilvl w:val="0"/>
          <w:numId w:val="17"/>
        </w:numPr>
        <w:ind w:hanging="360"/>
      </w:pPr>
      <w:r>
        <w:rPr>
          <w:i/>
        </w:rPr>
        <w:t>Management Training Courses</w:t>
      </w:r>
      <w:r>
        <w:t xml:space="preserve"> are a training session or series of sessions where small business management subjects are taught to the same group of small business owners or managers. </w:t>
      </w:r>
      <w:r>
        <w:lastRenderedPageBreak/>
        <w:t>Training courses exceed eight hours in duration and may last one day or several days. If the course is held over multiple days</w:t>
      </w:r>
      <w:proofErr w:type="gramStart"/>
      <w:r>
        <w:t>, it is still considered one training course</w:t>
      </w:r>
      <w:proofErr w:type="gramEnd"/>
      <w:r>
        <w:t>.</w:t>
      </w:r>
    </w:p>
    <w:p w14:paraId="24A0DD63" w14:textId="77777777" w:rsidR="00DB4AC9" w:rsidRDefault="00DB4AC9" w:rsidP="00DB4AC9">
      <w:pPr>
        <w:numPr>
          <w:ilvl w:val="0"/>
          <w:numId w:val="17"/>
        </w:numPr>
        <w:ind w:hanging="360"/>
      </w:pPr>
      <w:r>
        <w:rPr>
          <w:i/>
        </w:rPr>
        <w:t xml:space="preserve">Management Training Online Courses </w:t>
      </w:r>
      <w:r>
        <w:t>are Internet-based training sessions or webinars offered to individuals, are a minimum duration of 30 minutes, and meet the same quality standards of person-to-person training. Examples include downloadable individual-paced online training or interactive online courses.</w:t>
      </w:r>
    </w:p>
    <w:p w14:paraId="4A59E89E" w14:textId="77777777" w:rsidR="00DB4AC9" w:rsidRDefault="00DB4AC9" w:rsidP="00DB4AC9">
      <w:pPr>
        <w:numPr>
          <w:ilvl w:val="0"/>
          <w:numId w:val="17"/>
        </w:numPr>
        <w:ind w:hanging="360"/>
      </w:pPr>
      <w:r>
        <w:rPr>
          <w:i/>
        </w:rPr>
        <w:t>Management Training Teleconference</w:t>
      </w:r>
      <w:r>
        <w:t xml:space="preserve"> is a training session or series of training sessions on small business management topics held among individuals in different locations by means of telecommunication equipment such as closed-circuit television.</w:t>
      </w:r>
    </w:p>
    <w:p w14:paraId="763DE470"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6" w:name="_meukdy" w:colFirst="0" w:colLast="0"/>
      <w:bookmarkEnd w:id="116"/>
      <w:r w:rsidRPr="000D565A">
        <w:rPr>
          <w:rFonts w:ascii="Calibri" w:eastAsia="Calibri" w:hAnsi="Calibri" w:cs="Calibri"/>
          <w:b/>
          <w:smallCaps/>
          <w:color w:val="000000"/>
          <w:sz w:val="28"/>
          <w:szCs w:val="28"/>
        </w:rPr>
        <w:t>5.4 Fees for Training</w:t>
      </w:r>
    </w:p>
    <w:p w14:paraId="3F71A43C" w14:textId="77777777" w:rsidR="00DB4AC9" w:rsidRDefault="00DB4AC9" w:rsidP="00DB4AC9">
      <w:r>
        <w:t>SBDCs may, and are strongly encouraged to, charge reasonable fees to cover the costs of training sponsored or co-sponsored by the SBDC. Fees charged by SBDCs to cover program costs associated with training are considered program income and must be used to expand services and further eligible SBDC program objectives. Fees collected by other organizations outside the SBDC network through co-sponsorship arrangements are not considered program income, unless these funds, or a portion of these funds, are returned to the SBDC. In that case, funds returned to the SBDC are considered program income. See the section of this manual on financial issues for further discussion of program income and using and reporting training fee income.</w:t>
      </w:r>
    </w:p>
    <w:p w14:paraId="05B65BE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7" w:name="_36ei31r" w:colFirst="0" w:colLast="0"/>
      <w:bookmarkEnd w:id="117"/>
      <w:r w:rsidRPr="000D565A">
        <w:rPr>
          <w:rFonts w:ascii="Calibri" w:eastAsia="Calibri" w:hAnsi="Calibri" w:cs="Calibri"/>
          <w:b/>
          <w:smallCaps/>
          <w:color w:val="000000"/>
          <w:sz w:val="28"/>
          <w:szCs w:val="28"/>
        </w:rPr>
        <w:t>5.5 No-Shows</w:t>
      </w:r>
    </w:p>
    <w:p w14:paraId="3FF0790C" w14:textId="77777777" w:rsidR="00DB4AC9" w:rsidRDefault="00DB4AC9" w:rsidP="00DB4AC9">
      <w:r>
        <w:t>Centers may register individuals who pay in advance for training but do not attend the event. Regional SBDCs should have a consistent, clearly stated policy regarding no-shows. No-shows may receive credit for a future training event, have their fee refunded, or forfeit the fee paid. The policy should appear on brochures and other marketing materials for the training program.</w:t>
      </w:r>
    </w:p>
    <w:p w14:paraId="076089D2"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18" w:name="_1ljsd9k" w:colFirst="0" w:colLast="0"/>
      <w:bookmarkEnd w:id="118"/>
      <w:r w:rsidRPr="000D565A">
        <w:rPr>
          <w:rFonts w:ascii="Calibri" w:eastAsia="Calibri" w:hAnsi="Calibri" w:cs="Calibri"/>
          <w:b/>
          <w:smallCaps/>
          <w:color w:val="000000"/>
          <w:sz w:val="28"/>
          <w:szCs w:val="28"/>
        </w:rPr>
        <w:t>5.6 Co-Sponsorships</w:t>
      </w:r>
    </w:p>
    <w:p w14:paraId="1D93E335" w14:textId="77777777" w:rsidR="00DB4AC9" w:rsidRDefault="00DB4AC9" w:rsidP="00DB4AC9">
      <w:r>
        <w:t xml:space="preserve">SBDCs are encouraged to co-sponsor training with third parties. </w:t>
      </w:r>
      <w:proofErr w:type="gramStart"/>
      <w:r>
        <w:t>In order for</w:t>
      </w:r>
      <w:proofErr w:type="gramEnd"/>
      <w:r>
        <w:t xml:space="preserve"> </w:t>
      </w:r>
      <w:proofErr w:type="gramStart"/>
      <w:r>
        <w:t>an SBDC</w:t>
      </w:r>
      <w:proofErr w:type="gramEnd"/>
      <w:r>
        <w:t xml:space="preserve"> to receive credit for a co-sponsored training event, it must actively participate (i.e., provide speakers, materials, publicity) with the organization assuming primary responsibility for financing the training session. Final responsibility for the quality of the training rests with the SBDC. Center training files must show </w:t>
      </w:r>
      <w:proofErr w:type="gramStart"/>
      <w:r>
        <w:t>evidence that</w:t>
      </w:r>
      <w:proofErr w:type="gramEnd"/>
      <w:r>
        <w:t xml:space="preserve"> clearly documents that the SBDC actively participated in the event, as required by SBA. If discovered during the lead center review process that a training record file does not clearly demonstrate active participation by the SBDC, the training session report may be disallowed.</w:t>
      </w:r>
    </w:p>
    <w:p w14:paraId="4D801848" w14:textId="77777777" w:rsidR="00DB4AC9" w:rsidRPr="00472E95" w:rsidRDefault="00DB4AC9" w:rsidP="00DB4AC9">
      <w:pPr>
        <w:pStyle w:val="Heading4"/>
        <w:ind w:left="360"/>
        <w:rPr>
          <w:b/>
          <w:bCs/>
          <w:color w:val="000000" w:themeColor="text1"/>
        </w:rPr>
      </w:pPr>
      <w:bookmarkStart w:id="119" w:name="_45jfvxd" w:colFirst="0" w:colLast="0"/>
      <w:bookmarkEnd w:id="119"/>
      <w:r w:rsidRPr="00472E95">
        <w:rPr>
          <w:b/>
          <w:bCs/>
          <w:color w:val="000000" w:themeColor="text1"/>
        </w:rPr>
        <w:t>5.6.1 Revenue-Sharing with Co-Sponsors</w:t>
      </w:r>
    </w:p>
    <w:p w14:paraId="46306C8E" w14:textId="77777777" w:rsidR="00DB4AC9" w:rsidRDefault="00DB4AC9" w:rsidP="00DB4AC9">
      <w:r>
        <w:t>SBDC policy is that training programs should be self-supporting.</w:t>
      </w:r>
      <w:r>
        <w:rPr>
          <w:vertAlign w:val="superscript"/>
        </w:rPr>
        <w:footnoteReference w:id="137"/>
      </w:r>
      <w:r>
        <w:t xml:space="preserve"> Accordingly, centers should strongly consider negotiating a revenue sharing arrangement with training seminar co-sponsors. This is particularly true when an SBDC is an active participant in offering the training (see above discussion). </w:t>
      </w:r>
    </w:p>
    <w:p w14:paraId="4AC15ABA" w14:textId="77777777" w:rsidR="00DB4AC9" w:rsidRPr="00472E95" w:rsidRDefault="00DB4AC9" w:rsidP="00DB4AC9">
      <w:pPr>
        <w:pStyle w:val="Heading4"/>
        <w:ind w:left="360"/>
        <w:rPr>
          <w:b/>
          <w:bCs/>
          <w:color w:val="000000" w:themeColor="text1"/>
        </w:rPr>
      </w:pPr>
      <w:bookmarkStart w:id="120" w:name="_2koq656" w:colFirst="0" w:colLast="0"/>
      <w:bookmarkEnd w:id="120"/>
      <w:r w:rsidRPr="00472E95">
        <w:rPr>
          <w:b/>
          <w:bCs/>
          <w:color w:val="000000" w:themeColor="text1"/>
        </w:rPr>
        <w:lastRenderedPageBreak/>
        <w:t>5.6.2 Co-Sponsorship Agreements</w:t>
      </w:r>
    </w:p>
    <w:p w14:paraId="76C274EC" w14:textId="6B8CF1FF" w:rsidR="00DB4AC9" w:rsidRDefault="00DB4AC9" w:rsidP="00DB4AC9">
      <w:bookmarkStart w:id="121" w:name="_zu0gcz" w:colFirst="0" w:colLast="0"/>
      <w:bookmarkEnd w:id="121"/>
      <w:r>
        <w:t xml:space="preserve">A written co-sponsorship agreement is recommended in all cases, so that all parties clearly understand their </w:t>
      </w:r>
      <w:r w:rsidR="00090036">
        <w:t xml:space="preserve">roles and </w:t>
      </w:r>
      <w:r>
        <w:t xml:space="preserve">responsibilities. A written co-sponsorship agreement is </w:t>
      </w:r>
      <w:r>
        <w:rPr>
          <w:b/>
        </w:rPr>
        <w:t>required</w:t>
      </w:r>
      <w:r>
        <w:t xml:space="preserve"> for any training event in which revenues are collected; even if the SBDC does not receive any revenue, and when revenues are split between the SBDC and one or more co-sponsors</w:t>
      </w:r>
      <w:r w:rsidR="002F1D5A">
        <w:t>. This document may be requested by the SBA during an SBA Financial Review</w:t>
      </w:r>
      <w:r w:rsidR="001F2499">
        <w:t xml:space="preserve"> and should be retained on file.</w:t>
      </w:r>
    </w:p>
    <w:p w14:paraId="1D0C7C65"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22" w:name="_3jtnz0s" w:colFirst="0" w:colLast="0"/>
      <w:bookmarkEnd w:id="122"/>
      <w:r w:rsidRPr="000D565A">
        <w:rPr>
          <w:rFonts w:ascii="Calibri" w:eastAsia="Calibri" w:hAnsi="Calibri" w:cs="Calibri"/>
          <w:b/>
          <w:smallCaps/>
          <w:color w:val="000000"/>
          <w:sz w:val="28"/>
          <w:szCs w:val="28"/>
        </w:rPr>
        <w:t>5.7 Constraints</w:t>
      </w:r>
    </w:p>
    <w:p w14:paraId="030CEF82" w14:textId="77777777" w:rsidR="00DB4AC9" w:rsidRPr="00472E95" w:rsidRDefault="00DB4AC9" w:rsidP="00DB4AC9">
      <w:pPr>
        <w:pStyle w:val="Heading4"/>
        <w:ind w:left="360"/>
        <w:rPr>
          <w:b/>
          <w:bCs/>
          <w:color w:val="000000" w:themeColor="text1"/>
        </w:rPr>
      </w:pPr>
      <w:bookmarkStart w:id="123" w:name="_1yyy98l" w:colFirst="0" w:colLast="0"/>
      <w:bookmarkEnd w:id="123"/>
      <w:r w:rsidRPr="00472E95">
        <w:rPr>
          <w:b/>
          <w:bCs/>
          <w:color w:val="000000" w:themeColor="text1"/>
        </w:rPr>
        <w:t>5.7.1 SBA Policy</w:t>
      </w:r>
    </w:p>
    <w:p w14:paraId="224D0646" w14:textId="220683FF" w:rsidR="00DB4AC9" w:rsidRDefault="00DB4AC9" w:rsidP="00DB4AC9">
      <w:r>
        <w:t xml:space="preserve">SBA policy identifies activities that are not considered </w:t>
      </w:r>
      <w:r w:rsidR="00E42A66">
        <w:t>training and</w:t>
      </w:r>
      <w:r>
        <w:t xml:space="preserve"> therefore do not count as reportable training offerings. These include situations where an SBDC representative:</w:t>
      </w:r>
    </w:p>
    <w:p w14:paraId="7FF6802C" w14:textId="77777777" w:rsidR="00DB4AC9" w:rsidRDefault="00DB4AC9" w:rsidP="00DB4AC9">
      <w:pPr>
        <w:numPr>
          <w:ilvl w:val="0"/>
          <w:numId w:val="17"/>
        </w:numPr>
        <w:ind w:hanging="360"/>
      </w:pPr>
      <w:r>
        <w:t xml:space="preserve">Staffs an exhibit booth at a trade show and </w:t>
      </w:r>
      <w:proofErr w:type="gramStart"/>
      <w:r>
        <w:t>interacts</w:t>
      </w:r>
      <w:proofErr w:type="gramEnd"/>
      <w:r>
        <w:t xml:space="preserve"> with walk-up participants to provide general information only.</w:t>
      </w:r>
    </w:p>
    <w:p w14:paraId="2EA01989" w14:textId="77777777" w:rsidR="00DB4AC9" w:rsidRDefault="00DB4AC9" w:rsidP="00DB4AC9">
      <w:pPr>
        <w:numPr>
          <w:ilvl w:val="0"/>
          <w:numId w:val="17"/>
        </w:numPr>
        <w:ind w:hanging="360"/>
      </w:pPr>
      <w:r>
        <w:t>Speaks at local meetings, solely for the purpose of recruiting resource partner members or educating the public on SBDC services.</w:t>
      </w:r>
    </w:p>
    <w:p w14:paraId="4F0078DB" w14:textId="77777777" w:rsidR="00DB4AC9" w:rsidRDefault="00DB4AC9" w:rsidP="00DB4AC9">
      <w:pPr>
        <w:numPr>
          <w:ilvl w:val="0"/>
          <w:numId w:val="17"/>
        </w:numPr>
        <w:ind w:hanging="360"/>
      </w:pPr>
      <w:proofErr w:type="gramStart"/>
      <w:r>
        <w:t>Participates</w:t>
      </w:r>
      <w:proofErr w:type="gramEnd"/>
      <w:r>
        <w:t xml:space="preserve"> in a media presentation on a business-related topic, where participants do not register or where attendance is not taken or will not be taken.</w:t>
      </w:r>
    </w:p>
    <w:p w14:paraId="60294C76" w14:textId="77777777" w:rsidR="00DB4AC9" w:rsidRDefault="00DB4AC9" w:rsidP="00DB4AC9">
      <w:pPr>
        <w:numPr>
          <w:ilvl w:val="0"/>
          <w:numId w:val="17"/>
        </w:numPr>
        <w:ind w:hanging="360"/>
      </w:pPr>
      <w:r>
        <w:t>Participates in a workshop or seminar sponsored by a third party and the SBDC representatives are limited to recruiting resource partners or providing an overview of SBDC services.</w:t>
      </w:r>
    </w:p>
    <w:p w14:paraId="2B674214" w14:textId="77777777" w:rsidR="00DB4AC9" w:rsidRPr="00472E95" w:rsidRDefault="00DB4AC9" w:rsidP="00DB4AC9">
      <w:pPr>
        <w:pStyle w:val="Heading4"/>
        <w:ind w:left="360"/>
        <w:rPr>
          <w:b/>
          <w:bCs/>
          <w:color w:val="000000" w:themeColor="text1"/>
        </w:rPr>
      </w:pPr>
      <w:bookmarkStart w:id="124" w:name="_4iylrwe" w:colFirst="0" w:colLast="0"/>
      <w:bookmarkEnd w:id="124"/>
      <w:r w:rsidRPr="00472E95">
        <w:rPr>
          <w:b/>
          <w:bCs/>
          <w:color w:val="000000" w:themeColor="text1"/>
        </w:rPr>
        <w:t>5.7.2 Audience</w:t>
      </w:r>
    </w:p>
    <w:p w14:paraId="335ED2BB" w14:textId="77777777" w:rsidR="00DB4AC9" w:rsidRDefault="00DB4AC9" w:rsidP="00DB4AC9">
      <w:r>
        <w:t>The primary focus of SBDC training is on business owners and managers, rather than employees. Employees and consultants of the SBDC, SCORE, SBA and co-sponsors should not be counted as attendees for reporting purposes</w:t>
      </w:r>
      <w:r>
        <w:rPr>
          <w:color w:val="FF0000"/>
        </w:rPr>
        <w:t>.</w:t>
      </w:r>
    </w:p>
    <w:p w14:paraId="57C72520" w14:textId="77777777" w:rsidR="00DB4AC9" w:rsidRPr="00472E95" w:rsidRDefault="00DB4AC9" w:rsidP="00DB4AC9">
      <w:pPr>
        <w:pStyle w:val="Heading4"/>
        <w:ind w:left="360"/>
        <w:rPr>
          <w:b/>
          <w:bCs/>
          <w:color w:val="000000" w:themeColor="text1"/>
        </w:rPr>
      </w:pPr>
      <w:bookmarkStart w:id="125" w:name="_2y3w247" w:colFirst="0" w:colLast="0"/>
      <w:bookmarkEnd w:id="125"/>
      <w:r w:rsidRPr="00472E95">
        <w:rPr>
          <w:b/>
          <w:bCs/>
          <w:color w:val="000000" w:themeColor="text1"/>
        </w:rPr>
        <w:t>5.7.3 Workforce Training</w:t>
      </w:r>
    </w:p>
    <w:p w14:paraId="0DE82AA0" w14:textId="77777777" w:rsidR="00DB4AC9" w:rsidRDefault="00DB4AC9" w:rsidP="00DB4AC9">
      <w:r>
        <w:t xml:space="preserve">SBDCs do not provide workforce training. The primary focus of SBDC training is offering management education to business owners and managers. Further, there are </w:t>
      </w:r>
      <w:proofErr w:type="gramStart"/>
      <w:r>
        <w:t>a number of</w:t>
      </w:r>
      <w:proofErr w:type="gramEnd"/>
      <w:r>
        <w:t xml:space="preserve"> private sector companies, as well as community and technical colleges that provide workforce training. SBDC delivery of such training may compete with the private sector, in violation of SBA policy. The SBDC may, however, assist a business owner in identifying appropriate training programs for employees, and may claim consulting credit for that training. Exceptions must be justified and approved in advance by the state director.</w:t>
      </w:r>
    </w:p>
    <w:p w14:paraId="1EB7E21E" w14:textId="77777777" w:rsidR="00DB4AC9" w:rsidRPr="00472E95" w:rsidRDefault="00DB4AC9" w:rsidP="00DB4AC9">
      <w:pPr>
        <w:pStyle w:val="Heading4"/>
        <w:ind w:left="360"/>
        <w:rPr>
          <w:b/>
          <w:bCs/>
          <w:color w:val="000000" w:themeColor="text1"/>
        </w:rPr>
      </w:pPr>
      <w:bookmarkStart w:id="126" w:name="_1d96cc0" w:colFirst="0" w:colLast="0"/>
      <w:bookmarkEnd w:id="126"/>
      <w:r w:rsidRPr="00472E95">
        <w:rPr>
          <w:b/>
          <w:bCs/>
          <w:color w:val="000000" w:themeColor="text1"/>
        </w:rPr>
        <w:t>5.7.4 Pre-Business Workshops</w:t>
      </w:r>
    </w:p>
    <w:p w14:paraId="0F6A4FE6" w14:textId="77777777" w:rsidR="00DB4AC9" w:rsidRDefault="00DB4AC9" w:rsidP="00DB4AC9">
      <w:r>
        <w:t xml:space="preserve">Pre-business workshops are encouraged. This format enables the SBDC to reach large numbers of potential entrepreneurs, disseminate a great deal of information, and conserve consultant resources. </w:t>
      </w:r>
    </w:p>
    <w:p w14:paraId="7C87EA77"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27" w:name="_3x8tuzt" w:colFirst="0" w:colLast="0"/>
      <w:bookmarkEnd w:id="127"/>
      <w:r w:rsidRPr="000D565A">
        <w:rPr>
          <w:rFonts w:ascii="Calibri" w:eastAsia="Calibri" w:hAnsi="Calibri" w:cs="Calibri"/>
          <w:b/>
          <w:smallCaps/>
          <w:color w:val="000000"/>
          <w:sz w:val="28"/>
          <w:szCs w:val="28"/>
        </w:rPr>
        <w:t>5.8 Marketing and Training Materials</w:t>
      </w:r>
    </w:p>
    <w:p w14:paraId="053AD51D" w14:textId="77777777" w:rsidR="00DB4AC9" w:rsidRPr="00472E95" w:rsidRDefault="00DB4AC9" w:rsidP="00DB4AC9">
      <w:pPr>
        <w:pStyle w:val="Heading4"/>
        <w:ind w:left="360"/>
        <w:rPr>
          <w:b/>
          <w:bCs/>
          <w:color w:val="000000" w:themeColor="text1"/>
        </w:rPr>
      </w:pPr>
      <w:bookmarkStart w:id="128" w:name="_2ce457m" w:colFirst="0" w:colLast="0"/>
      <w:bookmarkEnd w:id="128"/>
      <w:r w:rsidRPr="00472E95">
        <w:rPr>
          <w:b/>
          <w:bCs/>
          <w:color w:val="000000" w:themeColor="text1"/>
        </w:rPr>
        <w:t>5.8.1 Statement of Funding Partners’ Support</w:t>
      </w:r>
    </w:p>
    <w:p w14:paraId="3D0E7301" w14:textId="0AD60D7C" w:rsidR="00DB4AC9" w:rsidRDefault="00DB4AC9" w:rsidP="00DB4AC9">
      <w:r>
        <w:t xml:space="preserve">Acknowledgement of SBA and DEED support is required on all materials produced, either in whole or in part, using project funds (i.e., federal funds, matching funds and/or program income). For materials that are not produced using project funds, this requirement does not apply. The </w:t>
      </w:r>
      <w:r w:rsidR="005C1AA0">
        <w:t xml:space="preserve">SBA, </w:t>
      </w:r>
      <w:r>
        <w:t xml:space="preserve">MnSBDC </w:t>
      </w:r>
      <w:r w:rsidR="003E61D6">
        <w:t xml:space="preserve">and DEED </w:t>
      </w:r>
      <w:r>
        <w:t>logo must appear along with the following support statement on all materials:</w:t>
      </w:r>
    </w:p>
    <w:p w14:paraId="2F82C927" w14:textId="77777777" w:rsidR="00E94B51" w:rsidRDefault="00E94B51" w:rsidP="00103FAF">
      <w:pPr>
        <w:pBdr>
          <w:top w:val="nil"/>
          <w:left w:val="nil"/>
          <w:bottom w:val="nil"/>
          <w:right w:val="nil"/>
          <w:between w:val="nil"/>
        </w:pBdr>
        <w:spacing w:before="94" w:line="259" w:lineRule="auto"/>
        <w:ind w:left="720" w:right="152"/>
      </w:pPr>
      <w:r w:rsidRPr="00021F20">
        <w:lastRenderedPageBreak/>
        <w:t>“Funded (in part) through a Cooperative Agreement with the U.S. Small Business Administration</w:t>
      </w:r>
      <w:r>
        <w:t>.”</w:t>
      </w:r>
    </w:p>
    <w:p w14:paraId="097B435C" w14:textId="06E30F0A" w:rsidR="00E94B51" w:rsidRDefault="00770E33" w:rsidP="0050075E">
      <w:pPr>
        <w:pBdr>
          <w:top w:val="nil"/>
          <w:left w:val="nil"/>
          <w:bottom w:val="nil"/>
          <w:right w:val="nil"/>
          <w:between w:val="nil"/>
        </w:pBdr>
        <w:spacing w:after="0" w:line="259" w:lineRule="auto"/>
        <w:ind w:right="152"/>
      </w:pPr>
      <w:r w:rsidRPr="00770E33">
        <w:t xml:space="preserve">For purposes of this requirement, the term </w:t>
      </w:r>
      <w:r w:rsidR="0050075E">
        <w:t xml:space="preserve">“materials” </w:t>
      </w:r>
      <w:r w:rsidRPr="00770E33">
        <w:t>includes, but is not limited to, press releases,</w:t>
      </w:r>
      <w:r w:rsidR="0050075E">
        <w:t xml:space="preserve"> </w:t>
      </w:r>
      <w:r w:rsidRPr="00770E33">
        <w:t>brochures, pamphlets, handouts, reports, advertisements, books, curricula, websites, video or audio</w:t>
      </w:r>
      <w:r w:rsidR="0050075E">
        <w:t xml:space="preserve"> </w:t>
      </w:r>
      <w:r w:rsidRPr="00770E33">
        <w:t>productions, and similar items regardless of the medium employed. The term</w:t>
      </w:r>
      <w:r w:rsidR="00666A96">
        <w:t xml:space="preserve"> “materials” does not include stationery or business </w:t>
      </w:r>
      <w:r w:rsidR="00921451">
        <w:t>cards,</w:t>
      </w:r>
      <w:r w:rsidR="00666A96">
        <w:t xml:space="preserve"> and the SBA’s log may not be used on such items.</w:t>
      </w:r>
    </w:p>
    <w:p w14:paraId="47926CEC" w14:textId="77777777" w:rsidR="00921451" w:rsidRDefault="00921451" w:rsidP="0050075E">
      <w:pPr>
        <w:pBdr>
          <w:top w:val="nil"/>
          <w:left w:val="nil"/>
          <w:bottom w:val="nil"/>
          <w:right w:val="nil"/>
          <w:between w:val="nil"/>
        </w:pBdr>
        <w:spacing w:after="0" w:line="259" w:lineRule="auto"/>
        <w:ind w:right="152"/>
      </w:pPr>
    </w:p>
    <w:p w14:paraId="5B95ED2C" w14:textId="77585BC8" w:rsidR="00921451" w:rsidRPr="00921451" w:rsidRDefault="00921451" w:rsidP="00921451">
      <w:pPr>
        <w:pBdr>
          <w:top w:val="nil"/>
          <w:left w:val="nil"/>
          <w:bottom w:val="nil"/>
          <w:right w:val="nil"/>
          <w:between w:val="nil"/>
        </w:pBdr>
        <w:spacing w:after="0" w:line="259" w:lineRule="auto"/>
        <w:ind w:right="152"/>
      </w:pPr>
      <w:r w:rsidRPr="00921451">
        <w:t xml:space="preserve">Where You use Project Funds to produce materials featuring editorial content, </w:t>
      </w:r>
      <w:r w:rsidR="00BD2389" w:rsidRPr="00921451">
        <w:t>you</w:t>
      </w:r>
      <w:r w:rsidRPr="00921451">
        <w:t xml:space="preserve"> must use the</w:t>
      </w:r>
    </w:p>
    <w:p w14:paraId="21B891B8" w14:textId="77777777" w:rsidR="00921451" w:rsidRPr="00921451" w:rsidRDefault="00921451" w:rsidP="00921451">
      <w:pPr>
        <w:pBdr>
          <w:top w:val="nil"/>
          <w:left w:val="nil"/>
          <w:bottom w:val="nil"/>
          <w:right w:val="nil"/>
          <w:between w:val="nil"/>
        </w:pBdr>
        <w:spacing w:after="0" w:line="259" w:lineRule="auto"/>
        <w:ind w:right="152"/>
      </w:pPr>
      <w:r w:rsidRPr="00921451">
        <w:t>following alternate acknowledgment of support statement (either independently or in conjunction</w:t>
      </w:r>
    </w:p>
    <w:p w14:paraId="3EACC277" w14:textId="40BB066D" w:rsidR="00921451" w:rsidRDefault="00921451" w:rsidP="00921451">
      <w:pPr>
        <w:pBdr>
          <w:top w:val="nil"/>
          <w:left w:val="nil"/>
          <w:bottom w:val="nil"/>
          <w:right w:val="nil"/>
          <w:between w:val="nil"/>
        </w:pBdr>
        <w:spacing w:after="0" w:line="259" w:lineRule="auto"/>
        <w:ind w:right="152"/>
      </w:pPr>
      <w:r w:rsidRPr="00921451">
        <w:t>with the SBA logo):</w:t>
      </w:r>
    </w:p>
    <w:p w14:paraId="4E43EAC3" w14:textId="19CD5811" w:rsidR="00021F20" w:rsidRDefault="00021F20" w:rsidP="00103FAF">
      <w:pPr>
        <w:pBdr>
          <w:top w:val="nil"/>
          <w:left w:val="nil"/>
          <w:bottom w:val="nil"/>
          <w:right w:val="nil"/>
          <w:between w:val="nil"/>
        </w:pBdr>
        <w:spacing w:before="94" w:line="259" w:lineRule="auto"/>
        <w:ind w:left="720" w:right="152"/>
      </w:pPr>
      <w:r w:rsidRPr="00021F20">
        <w:t xml:space="preserve">“Funded (in part) through a Cooperative Agreement with the U.S. Small Business Administration. All opinions, conclusions, and/or recommendations expressed herein are those of the author(s) and do not necessarily reflect the views of the SBA.” </w:t>
      </w:r>
    </w:p>
    <w:p w14:paraId="4608BF31" w14:textId="77777777" w:rsidR="007F52AB" w:rsidRDefault="007F52AB" w:rsidP="00103FAF">
      <w:pPr>
        <w:pBdr>
          <w:top w:val="nil"/>
          <w:left w:val="nil"/>
          <w:bottom w:val="nil"/>
          <w:right w:val="nil"/>
          <w:between w:val="nil"/>
        </w:pBdr>
        <w:spacing w:before="94" w:line="259" w:lineRule="auto"/>
        <w:ind w:left="720" w:right="152"/>
      </w:pPr>
    </w:p>
    <w:p w14:paraId="208C1AEB" w14:textId="13AA78B0" w:rsidR="007F52AB" w:rsidRPr="007F52AB" w:rsidRDefault="007F52AB" w:rsidP="007F52AB">
      <w:pPr>
        <w:pBdr>
          <w:top w:val="nil"/>
          <w:left w:val="nil"/>
          <w:bottom w:val="nil"/>
          <w:right w:val="nil"/>
          <w:between w:val="nil"/>
        </w:pBdr>
        <w:spacing w:after="0" w:line="259" w:lineRule="auto"/>
        <w:ind w:right="152"/>
      </w:pPr>
      <w:r w:rsidRPr="007F52AB">
        <w:t>In addition, you must display signage featuring the SBA logo at all facilities that are open to the</w:t>
      </w:r>
    </w:p>
    <w:p w14:paraId="39F16FE1" w14:textId="77777777" w:rsidR="007F52AB" w:rsidRPr="007F52AB" w:rsidRDefault="007F52AB" w:rsidP="007F52AB">
      <w:pPr>
        <w:pBdr>
          <w:top w:val="nil"/>
          <w:left w:val="nil"/>
          <w:bottom w:val="nil"/>
          <w:right w:val="nil"/>
          <w:between w:val="nil"/>
        </w:pBdr>
        <w:spacing w:after="0" w:line="259" w:lineRule="auto"/>
        <w:ind w:right="152"/>
      </w:pPr>
      <w:r w:rsidRPr="007F52AB">
        <w:t>public and which are being used for project activities. Such signage must prominently feature the</w:t>
      </w:r>
    </w:p>
    <w:p w14:paraId="7E5DE1A7" w14:textId="77777777" w:rsidR="007F52AB" w:rsidRPr="007F52AB" w:rsidRDefault="007F52AB" w:rsidP="007F52AB">
      <w:pPr>
        <w:pBdr>
          <w:top w:val="nil"/>
          <w:left w:val="nil"/>
          <w:bottom w:val="nil"/>
          <w:right w:val="nil"/>
          <w:between w:val="nil"/>
        </w:pBdr>
        <w:spacing w:after="0" w:line="259" w:lineRule="auto"/>
        <w:ind w:right="152"/>
      </w:pPr>
      <w:r w:rsidRPr="007F52AB">
        <w:t>acknowledgment of support statement identified above.</w:t>
      </w:r>
    </w:p>
    <w:p w14:paraId="77B332CF" w14:textId="77777777" w:rsidR="001A0132" w:rsidRDefault="001A0132" w:rsidP="007F52AB">
      <w:pPr>
        <w:pBdr>
          <w:top w:val="nil"/>
          <w:left w:val="nil"/>
          <w:bottom w:val="nil"/>
          <w:right w:val="nil"/>
          <w:between w:val="nil"/>
        </w:pBdr>
        <w:spacing w:after="0" w:line="259" w:lineRule="auto"/>
        <w:ind w:right="152"/>
      </w:pPr>
    </w:p>
    <w:p w14:paraId="72A6B87A" w14:textId="13C495CA" w:rsidR="007F52AB" w:rsidRPr="007F52AB" w:rsidRDefault="007F52AB" w:rsidP="007F52AB">
      <w:pPr>
        <w:pBdr>
          <w:top w:val="nil"/>
          <w:left w:val="nil"/>
          <w:bottom w:val="nil"/>
          <w:right w:val="nil"/>
          <w:between w:val="nil"/>
        </w:pBdr>
        <w:spacing w:after="0" w:line="259" w:lineRule="auto"/>
        <w:ind w:right="152"/>
      </w:pPr>
      <w:r w:rsidRPr="007F52AB">
        <w:t>Where used, the acknowledgment of support statement must be presented in a legible typeface,</w:t>
      </w:r>
    </w:p>
    <w:p w14:paraId="0100276C" w14:textId="77777777" w:rsidR="007F52AB" w:rsidRPr="007F52AB" w:rsidRDefault="007F52AB" w:rsidP="007F52AB">
      <w:pPr>
        <w:pBdr>
          <w:top w:val="nil"/>
          <w:left w:val="nil"/>
          <w:bottom w:val="nil"/>
          <w:right w:val="nil"/>
          <w:between w:val="nil"/>
        </w:pBdr>
        <w:spacing w:after="0" w:line="259" w:lineRule="auto"/>
        <w:ind w:right="152"/>
      </w:pPr>
      <w:r w:rsidRPr="007F52AB">
        <w:t>font size, and (where applicable) color contrast and must appear verbatim and may not be altered</w:t>
      </w:r>
    </w:p>
    <w:p w14:paraId="7DF4FA86" w14:textId="77777777" w:rsidR="007F52AB" w:rsidRPr="007F52AB" w:rsidRDefault="007F52AB" w:rsidP="007F52AB">
      <w:pPr>
        <w:pBdr>
          <w:top w:val="nil"/>
          <w:left w:val="nil"/>
          <w:bottom w:val="nil"/>
          <w:right w:val="nil"/>
          <w:between w:val="nil"/>
        </w:pBdr>
        <w:spacing w:after="0" w:line="259" w:lineRule="auto"/>
        <w:ind w:right="152"/>
      </w:pPr>
      <w:r w:rsidRPr="007F52AB">
        <w:t>or replaced with substitute language. However, on materials with severe space constraints such as</w:t>
      </w:r>
    </w:p>
    <w:p w14:paraId="08B9A27B" w14:textId="75B84882" w:rsidR="007F52AB" w:rsidRPr="00021F20" w:rsidRDefault="007F52AB" w:rsidP="007F52AB">
      <w:pPr>
        <w:pBdr>
          <w:top w:val="nil"/>
          <w:left w:val="nil"/>
          <w:bottom w:val="nil"/>
          <w:right w:val="nil"/>
          <w:between w:val="nil"/>
        </w:pBdr>
        <w:spacing w:after="0" w:line="259" w:lineRule="auto"/>
        <w:ind w:right="152"/>
      </w:pPr>
      <w:r w:rsidRPr="007F52AB">
        <w:t xml:space="preserve">signs and banners, </w:t>
      </w:r>
      <w:r w:rsidR="001A0132" w:rsidRPr="007F52AB">
        <w:t>you</w:t>
      </w:r>
      <w:r w:rsidRPr="007F52AB">
        <w:t xml:space="preserve"> may use</w:t>
      </w:r>
      <w:r w:rsidR="001A0132">
        <w:t xml:space="preserve"> “SBA” </w:t>
      </w:r>
      <w:r w:rsidR="00DB7409">
        <w:t>in the acknowledgement of support statement instead of “U.S. Small Business Administration.”</w:t>
      </w:r>
      <w:r w:rsidR="005D28AD">
        <w:rPr>
          <w:rStyle w:val="FootnoteReference"/>
        </w:rPr>
        <w:footnoteReference w:id="138"/>
      </w:r>
    </w:p>
    <w:p w14:paraId="0F25B912" w14:textId="77777777" w:rsidR="00C7325D" w:rsidRDefault="00C7325D" w:rsidP="00E42A66"/>
    <w:p w14:paraId="51F1C4F4" w14:textId="77777777" w:rsidR="00DB4AC9" w:rsidRPr="00472E95" w:rsidRDefault="00DB4AC9" w:rsidP="00DB4AC9">
      <w:pPr>
        <w:pStyle w:val="Heading4"/>
        <w:ind w:left="360"/>
        <w:rPr>
          <w:b/>
          <w:bCs/>
          <w:color w:val="000000" w:themeColor="text1"/>
        </w:rPr>
      </w:pPr>
      <w:bookmarkStart w:id="129" w:name="_rjefff" w:colFirst="0" w:colLast="0"/>
      <w:bookmarkEnd w:id="129"/>
      <w:r w:rsidRPr="00472E95">
        <w:rPr>
          <w:b/>
          <w:bCs/>
          <w:color w:val="000000" w:themeColor="text1"/>
        </w:rPr>
        <w:t>5.8.2 Availability to Other Centers</w:t>
      </w:r>
    </w:p>
    <w:p w14:paraId="431DB08A" w14:textId="7FF3DAF3" w:rsidR="00DB4AC9" w:rsidRDefault="00DB4AC9" w:rsidP="00DB4AC9">
      <w:r>
        <w:t xml:space="preserve">Training materials developed by an SBDC in electronic and other digital formats, such as web-based courses, videos, </w:t>
      </w:r>
      <w:r w:rsidR="00054ECB" w:rsidRPr="00054ECB">
        <w:t>p</w:t>
      </w:r>
      <w:r>
        <w:t>ublications, learning guides, cybercast presentations and the like</w:t>
      </w:r>
      <w:r>
        <w:rPr>
          <w:vertAlign w:val="superscript"/>
        </w:rPr>
        <w:footnoteReference w:id="139"/>
      </w:r>
      <w:r>
        <w:t xml:space="preserve"> for use by SBA and other SBDCs.</w:t>
      </w:r>
      <w:r>
        <w:rPr>
          <w:vertAlign w:val="superscript"/>
        </w:rPr>
        <w:footnoteReference w:id="140"/>
      </w:r>
      <w:r>
        <w:t xml:space="preserve"> The rationale is that these materials were developed using SBDC program funds and therefore should be made available to other SBDCs and SBA.</w:t>
      </w:r>
    </w:p>
    <w:p w14:paraId="650A6730"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30" w:name="_3bj1y38" w:colFirst="0" w:colLast="0"/>
      <w:bookmarkEnd w:id="130"/>
      <w:r w:rsidRPr="000D565A">
        <w:rPr>
          <w:rFonts w:ascii="Calibri" w:eastAsia="Calibri" w:hAnsi="Calibri" w:cs="Calibri"/>
          <w:b/>
          <w:smallCaps/>
          <w:color w:val="000000"/>
          <w:sz w:val="28"/>
          <w:szCs w:val="28"/>
        </w:rPr>
        <w:t>5.9 Training Packets</w:t>
      </w:r>
    </w:p>
    <w:p w14:paraId="5B257A19" w14:textId="4DDB867D" w:rsidR="00DB4AC9" w:rsidRDefault="00DB4AC9" w:rsidP="00DB4AC9">
      <w:proofErr w:type="gramStart"/>
      <w:r>
        <w:t>In order to</w:t>
      </w:r>
      <w:proofErr w:type="gramEnd"/>
      <w:r>
        <w:t xml:space="preserve"> be reportable to SBA, regional centers must maintain training packet records for each training event at the center location. Training packets will be reviewed by the lead center during the site review process. If discovered during the review process that the file records are incomplete or not in compliance, the training session record may be disallowed. Centers are required to post on Neoserra the completed Management Training Report (SBA Form 888) by the 15</w:t>
      </w:r>
      <w:r>
        <w:rPr>
          <w:vertAlign w:val="superscript"/>
        </w:rPr>
        <w:t>th</w:t>
      </w:r>
      <w:r>
        <w:t xml:space="preserve"> of the month following the training </w:t>
      </w:r>
      <w:r>
        <w:lastRenderedPageBreak/>
        <w:t>event. Note only the Management Training Report and a tally of the evaluations are to be posted.</w:t>
      </w:r>
      <w:r w:rsidR="001D7D9A">
        <w:t xml:space="preserve"> The </w:t>
      </w:r>
      <w:r w:rsidR="00D254F9">
        <w:t>survey feature in Neoserra may be used to collect evaluations from attendees and the results automatically tallied</w:t>
      </w:r>
      <w:r w:rsidR="006362E2">
        <w:t>. All documentation should be retained in Neoserra</w:t>
      </w:r>
      <w:r w:rsidR="006B04E1">
        <w:t xml:space="preserve"> in electronic format in the training file</w:t>
      </w:r>
      <w:r>
        <w:t xml:space="preserve"> for future reference.</w:t>
      </w:r>
    </w:p>
    <w:p w14:paraId="47C9ECDE" w14:textId="77777777" w:rsidR="00DB4AC9" w:rsidRDefault="00DB4AC9" w:rsidP="00DB4AC9">
      <w:r>
        <w:t>Training packets must include:</w:t>
      </w:r>
      <w:r>
        <w:rPr>
          <w:vertAlign w:val="superscript"/>
        </w:rPr>
        <w:footnoteReference w:id="141"/>
      </w:r>
    </w:p>
    <w:p w14:paraId="2890EE0C" w14:textId="0C3419D9" w:rsidR="00DB4AC9" w:rsidRDefault="00DB4AC9" w:rsidP="00DB4AC9">
      <w:pPr>
        <w:numPr>
          <w:ilvl w:val="0"/>
          <w:numId w:val="17"/>
        </w:numPr>
        <w:ind w:hanging="360"/>
      </w:pPr>
      <w:r>
        <w:t xml:space="preserve">Completed training Management Report (SBA Form 888), reviewed and </w:t>
      </w:r>
      <w:r w:rsidR="0070249A">
        <w:t>approved</w:t>
      </w:r>
      <w:r>
        <w:t xml:space="preserve"> by the regional director.</w:t>
      </w:r>
    </w:p>
    <w:p w14:paraId="5B08FD54" w14:textId="1EBBA2DF" w:rsidR="00DB4AC9" w:rsidRDefault="00DB4AC9" w:rsidP="00DB4AC9">
      <w:pPr>
        <w:numPr>
          <w:ilvl w:val="0"/>
          <w:numId w:val="17"/>
        </w:numPr>
        <w:ind w:hanging="360"/>
      </w:pPr>
      <w:r>
        <w:t>Attendee roster completed with attendee signatures</w:t>
      </w:r>
      <w:r w:rsidR="009C6A67">
        <w:t xml:space="preserve"> if an ‘in-person’ event or electronic attendance if </w:t>
      </w:r>
      <w:r w:rsidR="00DF2F25">
        <w:t>a virtual training</w:t>
      </w:r>
      <w:r>
        <w:t>.</w:t>
      </w:r>
    </w:p>
    <w:p w14:paraId="02EB577C" w14:textId="77777777" w:rsidR="00DB4AC9" w:rsidRDefault="00DB4AC9" w:rsidP="00DB4AC9">
      <w:pPr>
        <w:numPr>
          <w:ilvl w:val="0"/>
          <w:numId w:val="17"/>
        </w:numPr>
        <w:ind w:hanging="360"/>
      </w:pPr>
      <w:r>
        <w:t>Brochures or other promotional materials.</w:t>
      </w:r>
    </w:p>
    <w:p w14:paraId="1987ECF7" w14:textId="18BEA2D3" w:rsidR="00DB4AC9" w:rsidRDefault="00DB4AC9" w:rsidP="00DB4AC9">
      <w:pPr>
        <w:numPr>
          <w:ilvl w:val="0"/>
          <w:numId w:val="17"/>
        </w:numPr>
        <w:ind w:hanging="360"/>
      </w:pPr>
      <w:r>
        <w:t>Co-sponsorship agreements (if required).</w:t>
      </w:r>
    </w:p>
    <w:p w14:paraId="0E9A8D10" w14:textId="77777777" w:rsidR="00DB4AC9" w:rsidRDefault="00DB4AC9" w:rsidP="00DB4AC9">
      <w:pPr>
        <w:numPr>
          <w:ilvl w:val="0"/>
          <w:numId w:val="17"/>
        </w:numPr>
        <w:ind w:hanging="360"/>
      </w:pPr>
      <w:r>
        <w:t>Attendee evaluations.</w:t>
      </w:r>
    </w:p>
    <w:p w14:paraId="5A22544F" w14:textId="77777777" w:rsidR="00DB4AC9" w:rsidRPr="00472E95" w:rsidRDefault="00DB4AC9" w:rsidP="00DB4AC9">
      <w:pPr>
        <w:pStyle w:val="Heading4"/>
        <w:ind w:left="360"/>
        <w:rPr>
          <w:b/>
          <w:bCs/>
          <w:color w:val="000000" w:themeColor="text1"/>
        </w:rPr>
      </w:pPr>
      <w:bookmarkStart w:id="131" w:name="_1qoc8b1" w:colFirst="0" w:colLast="0"/>
      <w:bookmarkEnd w:id="131"/>
      <w:r w:rsidRPr="00472E95">
        <w:rPr>
          <w:b/>
          <w:bCs/>
          <w:color w:val="000000" w:themeColor="text1"/>
        </w:rPr>
        <w:t>5.9.1 Training Management Report (SBA Form 888)</w:t>
      </w:r>
    </w:p>
    <w:p w14:paraId="72094F0F" w14:textId="77777777" w:rsidR="00DB4AC9" w:rsidRDefault="00DB4AC9" w:rsidP="00DB4AC9">
      <w:r>
        <w:t xml:space="preserve">The Training Management Report (SBA Form 888) documents the training activity and attendees. It is used to generate quarterly training reports that are retained for center records. The Training Management Reports identifies the event, number of attendees, total training hours, and the distribution of training fee income. Training fee income reported on Form 888 must </w:t>
      </w:r>
      <w:proofErr w:type="gramStart"/>
      <w:r>
        <w:t>reconcile</w:t>
      </w:r>
      <w:proofErr w:type="gramEnd"/>
      <w:r>
        <w:t xml:space="preserve"> to the program income report that is submitted to SBA</w:t>
      </w:r>
      <w:r>
        <w:rPr>
          <w:b/>
          <w:color w:val="D11242"/>
        </w:rPr>
        <w:t xml:space="preserve"> </w:t>
      </w:r>
      <w:r>
        <w:t>twice a year. The regional director must initial the Management Training Report (SBA Form 888).</w:t>
      </w:r>
      <w:r>
        <w:rPr>
          <w:b/>
          <w:color w:val="D11242"/>
        </w:rPr>
        <w:t xml:space="preserve"> </w:t>
      </w:r>
    </w:p>
    <w:p w14:paraId="6A2AF605" w14:textId="77777777" w:rsidR="00DB4AC9" w:rsidRPr="00472E95" w:rsidRDefault="00DB4AC9" w:rsidP="00DB4AC9">
      <w:pPr>
        <w:pStyle w:val="Heading4"/>
        <w:ind w:left="360"/>
        <w:rPr>
          <w:b/>
          <w:bCs/>
          <w:color w:val="000000" w:themeColor="text1"/>
        </w:rPr>
      </w:pPr>
      <w:bookmarkStart w:id="132" w:name="_4anzqyu" w:colFirst="0" w:colLast="0"/>
      <w:bookmarkEnd w:id="132"/>
      <w:r w:rsidRPr="00472E95">
        <w:rPr>
          <w:b/>
          <w:bCs/>
          <w:color w:val="000000" w:themeColor="text1"/>
        </w:rPr>
        <w:t>5.9.2 Attendee Roster</w:t>
      </w:r>
    </w:p>
    <w:p w14:paraId="0D2D1C86" w14:textId="2A0E61FD" w:rsidR="00DB4AC9" w:rsidRDefault="00DB4AC9" w:rsidP="00DB4AC9">
      <w:r>
        <w:t>The attendee roster includes the name of all attendees and must be signed by the attendee during the training event</w:t>
      </w:r>
      <w:r w:rsidR="00AA627D">
        <w:t xml:space="preserve"> if it is an ‘in person’ event</w:t>
      </w:r>
      <w:r>
        <w:t>.</w:t>
      </w:r>
      <w:r w:rsidR="00044A3A">
        <w:t xml:space="preserve"> If it is a virtual event, attendance should be collected by electronic means</w:t>
      </w:r>
      <w:r w:rsidR="00866708">
        <w:t xml:space="preserve"> and retained in the training file.</w:t>
      </w:r>
      <w:r>
        <w:t xml:space="preserve"> It is recommended that training attendee information be collected during the registration process, </w:t>
      </w:r>
      <w:proofErr w:type="gramStart"/>
      <w:r>
        <w:t>in order to</w:t>
      </w:r>
      <w:proofErr w:type="gramEnd"/>
      <w:r>
        <w:t xml:space="preserve"> completely and accurately prepare Form 888. </w:t>
      </w:r>
    </w:p>
    <w:p w14:paraId="16ABFA14" w14:textId="77777777" w:rsidR="00DB4AC9" w:rsidRPr="00472E95" w:rsidRDefault="00DB4AC9" w:rsidP="00DB4AC9">
      <w:pPr>
        <w:pStyle w:val="Heading4"/>
        <w:ind w:left="360"/>
        <w:rPr>
          <w:b/>
          <w:bCs/>
          <w:color w:val="000000" w:themeColor="text1"/>
        </w:rPr>
      </w:pPr>
      <w:bookmarkStart w:id="133" w:name="_2pta16n" w:colFirst="0" w:colLast="0"/>
      <w:bookmarkEnd w:id="133"/>
      <w:r w:rsidRPr="00472E95">
        <w:rPr>
          <w:b/>
          <w:bCs/>
          <w:color w:val="000000" w:themeColor="text1"/>
        </w:rPr>
        <w:t>5.9.3 Announcements and Brochures</w:t>
      </w:r>
    </w:p>
    <w:p w14:paraId="5EA589FC" w14:textId="77777777" w:rsidR="00DB4AC9" w:rsidRDefault="00DB4AC9" w:rsidP="00DB4AC9">
      <w:r>
        <w:t xml:space="preserve">Reasonable efforts should be made to publicize the event </w:t>
      </w:r>
      <w:proofErr w:type="gramStart"/>
      <w:r>
        <w:t>in order to</w:t>
      </w:r>
      <w:proofErr w:type="gramEnd"/>
      <w:r>
        <w:t xml:space="preserve"> maximize the opportunities for small business owners and managers to attend. If promotional materials such as announcements or brochures are prepared, the appropriate disclaimer should appear on the document along with the MnSBDC logo, and a copy of the document should be included with the training packet.</w:t>
      </w:r>
    </w:p>
    <w:p w14:paraId="0FAB75A5" w14:textId="77777777" w:rsidR="00DB4AC9" w:rsidRPr="00472E95" w:rsidRDefault="00DB4AC9" w:rsidP="00DB4AC9">
      <w:pPr>
        <w:pStyle w:val="Heading4"/>
        <w:ind w:left="360"/>
        <w:rPr>
          <w:b/>
          <w:bCs/>
          <w:color w:val="000000" w:themeColor="text1"/>
        </w:rPr>
      </w:pPr>
      <w:bookmarkStart w:id="134" w:name="_14ykbeg" w:colFirst="0" w:colLast="0"/>
      <w:bookmarkEnd w:id="134"/>
      <w:r w:rsidRPr="00472E95">
        <w:rPr>
          <w:b/>
          <w:bCs/>
          <w:color w:val="000000" w:themeColor="text1"/>
        </w:rPr>
        <w:t>5.9.4 Co-Sponsorship Agreement</w:t>
      </w:r>
    </w:p>
    <w:p w14:paraId="3FCD0066" w14:textId="17ED1FAA" w:rsidR="00DB4AC9" w:rsidRDefault="00DB4AC9" w:rsidP="00DB4AC9">
      <w:r>
        <w:t xml:space="preserve">Centers are encouraged to co-sponsor training events with other public and private sector organizations. To be considered a co-sponsored training event, the SBDC must actively participate in preparing for and delivering the event. Examples of active participation include providing speakers, materials or publicity, actively participating in planning of the event, or handling registrations. A written co-sponsorship agreement is recommended in all cases, so that all parties clearly understand their responsibilities. A written co-sponsorship agreement is </w:t>
      </w:r>
      <w:r>
        <w:rPr>
          <w:b/>
        </w:rPr>
        <w:t>required</w:t>
      </w:r>
      <w:r>
        <w:t xml:space="preserve"> in two situations: (1) for training seminars in which any revenues are collected or revenues are split between the SBDC and one or more co-sponsors, and (2) for training seminars that are co-sponsored with SBA and a for-profit organization. Training seminars that are co-sponsored with SBA and a for-profit organization must have a written co-sponsorship agreement </w:t>
      </w:r>
      <w:r>
        <w:lastRenderedPageBreak/>
        <w:t>that complies with the requirements of SBA’s Co-Sponsorship Standard Operating Procedure.</w:t>
      </w:r>
      <w:r>
        <w:rPr>
          <w:vertAlign w:val="superscript"/>
        </w:rPr>
        <w:footnoteReference w:id="142"/>
      </w:r>
      <w:r>
        <w:t xml:space="preserve"> The co-sponsorship agreement must clearly identify the role and responsibility of the </w:t>
      </w:r>
      <w:r w:rsidR="006212E7">
        <w:t>SBDC,</w:t>
      </w:r>
      <w:r>
        <w:t xml:space="preserve"> and each participant receiving a share of the receipts and must show how the receipts are to be distributed. A recommended form is posted on the MnSBDC Intranet. The co-sponsorship agreement must be included with the training packet.  </w:t>
      </w:r>
    </w:p>
    <w:p w14:paraId="36953181" w14:textId="77777777" w:rsidR="00DB4AC9" w:rsidRPr="00472E95" w:rsidRDefault="00DB4AC9" w:rsidP="00DB4AC9">
      <w:pPr>
        <w:pStyle w:val="Heading4"/>
        <w:ind w:left="360"/>
        <w:rPr>
          <w:b/>
          <w:bCs/>
          <w:color w:val="000000" w:themeColor="text1"/>
        </w:rPr>
      </w:pPr>
      <w:bookmarkStart w:id="135" w:name="_3oy7u29" w:colFirst="0" w:colLast="0"/>
      <w:bookmarkEnd w:id="135"/>
      <w:r w:rsidRPr="00472E95">
        <w:rPr>
          <w:b/>
          <w:bCs/>
          <w:color w:val="000000" w:themeColor="text1"/>
        </w:rPr>
        <w:t>5.9.5 Evaluations</w:t>
      </w:r>
    </w:p>
    <w:p w14:paraId="149903A6" w14:textId="77777777" w:rsidR="00DB4AC9" w:rsidRDefault="00DB4AC9" w:rsidP="00DB4AC9">
      <w:r>
        <w:t xml:space="preserve">Evaluations must be collected from of individuals who attend an SBDC training event </w:t>
      </w:r>
      <w:proofErr w:type="gramStart"/>
      <w:r>
        <w:t>in order to</w:t>
      </w:r>
      <w:proofErr w:type="gramEnd"/>
      <w:r>
        <w:t xml:space="preserve"> assess the quality of the training event</w:t>
      </w:r>
      <w:r>
        <w:rPr>
          <w:vertAlign w:val="superscript"/>
        </w:rPr>
        <w:footnoteReference w:id="143"/>
      </w:r>
      <w:r>
        <w:t xml:space="preserve"> The regional center or sponsoring service center is responsible for distributing and collecting training evaluations. A copy of each evaluation collected must be retained in the training packet. If it is discovered by the lead center during its review process that evaluations have not been collected, recording of the training event may be disallowed. Evaluation totals must be tallied and recorded on the tally form within Neoserra provided by the lead center. Evaluation tallies for each training event must be posted on Neoserra by the 15</w:t>
      </w:r>
      <w:r>
        <w:rPr>
          <w:vertAlign w:val="superscript"/>
        </w:rPr>
        <w:t>th</w:t>
      </w:r>
      <w:r>
        <w:t xml:space="preserve"> of the month following the session along with the Management Training Report. </w:t>
      </w:r>
    </w:p>
    <w:p w14:paraId="4D2DAC5A"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36" w:name="_243i4a2" w:colFirst="0" w:colLast="0"/>
      <w:bookmarkEnd w:id="136"/>
      <w:r w:rsidRPr="000D565A">
        <w:rPr>
          <w:rFonts w:ascii="Calibri" w:eastAsia="Calibri" w:hAnsi="Calibri" w:cs="Calibri"/>
          <w:b/>
          <w:smallCaps/>
          <w:color w:val="000000"/>
          <w:sz w:val="28"/>
          <w:szCs w:val="28"/>
        </w:rPr>
        <w:t>5.10 Review of Training Packets by Lead Center During Site Review</w:t>
      </w:r>
    </w:p>
    <w:p w14:paraId="6C39E99C" w14:textId="77777777" w:rsidR="00DB4AC9" w:rsidRDefault="00DB4AC9" w:rsidP="00DB4AC9">
      <w:r>
        <w:t>Below are the procedures the lead center uses to review training packets for accuracy, completeness and compliance with SBA requirements during the center review process. Any training session packets that are incomplete or not in compliance may be disallowed. Regional centers should use these procedures to review their training packet records.</w:t>
      </w:r>
    </w:p>
    <w:p w14:paraId="04C3FB9D" w14:textId="77777777" w:rsidR="00DB4AC9" w:rsidRDefault="00DB4AC9" w:rsidP="00DB4AC9">
      <w:pPr>
        <w:numPr>
          <w:ilvl w:val="0"/>
          <w:numId w:val="17"/>
        </w:numPr>
        <w:ind w:hanging="360"/>
      </w:pPr>
      <w:r>
        <w:t xml:space="preserve">Verify that Management Training Report (Form 888) has </w:t>
      </w:r>
      <w:proofErr w:type="gramStart"/>
      <w:r>
        <w:t>been date</w:t>
      </w:r>
      <w:proofErr w:type="gramEnd"/>
      <w:r>
        <w:t xml:space="preserve"> stamped.</w:t>
      </w:r>
    </w:p>
    <w:p w14:paraId="6D9865E9" w14:textId="77777777" w:rsidR="00DB4AC9" w:rsidRDefault="00DB4AC9" w:rsidP="00DB4AC9">
      <w:pPr>
        <w:numPr>
          <w:ilvl w:val="0"/>
          <w:numId w:val="17"/>
        </w:numPr>
        <w:ind w:hanging="360"/>
      </w:pPr>
      <w:r>
        <w:t>Verify appropriateness of Session Type</w:t>
      </w:r>
    </w:p>
    <w:p w14:paraId="0A8A9E79" w14:textId="77777777" w:rsidR="00DB4AC9" w:rsidRDefault="00DB4AC9" w:rsidP="00DB4AC9">
      <w:pPr>
        <w:numPr>
          <w:ilvl w:val="0"/>
          <w:numId w:val="17"/>
        </w:numPr>
        <w:ind w:hanging="360"/>
      </w:pPr>
      <w:r>
        <w:t>Verify appropriateness of the Training Topic classification. Field should not be “Other.”</w:t>
      </w:r>
    </w:p>
    <w:p w14:paraId="02EE4122" w14:textId="77777777" w:rsidR="00DB4AC9" w:rsidRDefault="00DB4AC9" w:rsidP="00DB4AC9">
      <w:pPr>
        <w:numPr>
          <w:ilvl w:val="0"/>
          <w:numId w:val="17"/>
        </w:numPr>
        <w:ind w:hanging="360"/>
      </w:pPr>
      <w:r>
        <w:t>Verify appropriateness of the Program Format. See the section on Training Program Formats above for definitions.</w:t>
      </w:r>
    </w:p>
    <w:p w14:paraId="0945592C" w14:textId="77777777" w:rsidR="00DB4AC9" w:rsidRDefault="00DB4AC9" w:rsidP="00DB4AC9">
      <w:pPr>
        <w:numPr>
          <w:ilvl w:val="0"/>
          <w:numId w:val="17"/>
        </w:numPr>
        <w:ind w:hanging="360"/>
      </w:pPr>
      <w:r>
        <w:t>Verify appropriateness of Unit History.</w:t>
      </w:r>
    </w:p>
    <w:p w14:paraId="447A99B8" w14:textId="324712C5" w:rsidR="00DB4AC9" w:rsidRDefault="00DB4AC9" w:rsidP="00DB4AC9">
      <w:pPr>
        <w:numPr>
          <w:ilvl w:val="0"/>
          <w:numId w:val="17"/>
        </w:numPr>
        <w:ind w:hanging="360"/>
      </w:pPr>
      <w:r>
        <w:t xml:space="preserve">Verify that Form 888 has been reviewed and </w:t>
      </w:r>
      <w:r w:rsidR="00010A0E">
        <w:t>approved</w:t>
      </w:r>
      <w:r>
        <w:t xml:space="preserve"> by the regional director.</w:t>
      </w:r>
    </w:p>
    <w:p w14:paraId="2E68032C" w14:textId="3CC0EACA" w:rsidR="00DB4AC9" w:rsidRDefault="00DB4AC9" w:rsidP="00DB4AC9">
      <w:pPr>
        <w:numPr>
          <w:ilvl w:val="0"/>
          <w:numId w:val="17"/>
        </w:numPr>
        <w:ind w:hanging="360"/>
      </w:pPr>
      <w:r>
        <w:t xml:space="preserve">Verify that the roster of attendees </w:t>
      </w:r>
      <w:r w:rsidR="008B04A8">
        <w:t xml:space="preserve">is </w:t>
      </w:r>
      <w:r>
        <w:t>completed with sign-in signatures</w:t>
      </w:r>
      <w:r w:rsidR="00C2461F">
        <w:t xml:space="preserve"> if an ‘in person’ event</w:t>
      </w:r>
      <w:r w:rsidR="008B04A8">
        <w:t xml:space="preserve"> or </w:t>
      </w:r>
      <w:r w:rsidR="00211EB8">
        <w:t xml:space="preserve">electronic attendance if the event is </w:t>
      </w:r>
      <w:proofErr w:type="gramStart"/>
      <w:r w:rsidR="00211EB8">
        <w:t>virtual,</w:t>
      </w:r>
      <w:proofErr w:type="gramEnd"/>
      <w:r>
        <w:t xml:space="preserve"> is included. Rosters should not include private information such as individual’s social security number.</w:t>
      </w:r>
    </w:p>
    <w:p w14:paraId="674E89A5" w14:textId="77777777" w:rsidR="00DB4AC9" w:rsidRDefault="00DB4AC9" w:rsidP="00DB4AC9">
      <w:pPr>
        <w:numPr>
          <w:ilvl w:val="0"/>
          <w:numId w:val="17"/>
        </w:numPr>
        <w:ind w:hanging="360"/>
      </w:pPr>
      <w:r>
        <w:t>Verify that the number of attendees matches the number on roster. Attendees should not include SBA or SBDC personnel unless authorized by the state director.</w:t>
      </w:r>
    </w:p>
    <w:p w14:paraId="4B0376E7" w14:textId="77777777" w:rsidR="00DB4AC9" w:rsidRDefault="00DB4AC9" w:rsidP="00DB4AC9">
      <w:pPr>
        <w:numPr>
          <w:ilvl w:val="0"/>
          <w:numId w:val="17"/>
        </w:numPr>
        <w:ind w:hanging="360"/>
      </w:pPr>
      <w:r>
        <w:t>Verify that the attendee characteristics match attendee characteristics on the roster, or evaluations.</w:t>
      </w:r>
    </w:p>
    <w:p w14:paraId="5EF54E56" w14:textId="77777777" w:rsidR="00DB4AC9" w:rsidRDefault="00DB4AC9" w:rsidP="00DB4AC9">
      <w:pPr>
        <w:numPr>
          <w:ilvl w:val="0"/>
          <w:numId w:val="17"/>
        </w:numPr>
        <w:ind w:hanging="360"/>
      </w:pPr>
      <w:r>
        <w:t>Verify that any promotional material included contains the appropriate disclaimer and MnSBDC logo if produced using project funds. Note fee amount, and length of training session.</w:t>
      </w:r>
    </w:p>
    <w:p w14:paraId="03CB31F5" w14:textId="77777777" w:rsidR="00DB4AC9" w:rsidRDefault="00DB4AC9" w:rsidP="00DB4AC9">
      <w:pPr>
        <w:numPr>
          <w:ilvl w:val="0"/>
          <w:numId w:val="17"/>
        </w:numPr>
        <w:ind w:hanging="360"/>
      </w:pPr>
      <w:r>
        <w:t>Verify total training hours are correct (duration of training event).</w:t>
      </w:r>
    </w:p>
    <w:p w14:paraId="25482905" w14:textId="77777777" w:rsidR="00DB4AC9" w:rsidRDefault="00DB4AC9" w:rsidP="00DB4AC9">
      <w:pPr>
        <w:numPr>
          <w:ilvl w:val="0"/>
          <w:numId w:val="17"/>
        </w:numPr>
        <w:ind w:hanging="360"/>
      </w:pPr>
      <w:r>
        <w:lastRenderedPageBreak/>
        <w:t>Verify Attendee Fee and Total Gross Fee Income is calculated correctly.</w:t>
      </w:r>
    </w:p>
    <w:p w14:paraId="5C5A7450" w14:textId="77777777" w:rsidR="00DB4AC9" w:rsidRDefault="00DB4AC9" w:rsidP="00DB4AC9">
      <w:pPr>
        <w:numPr>
          <w:ilvl w:val="0"/>
          <w:numId w:val="17"/>
        </w:numPr>
        <w:ind w:hanging="360"/>
      </w:pPr>
      <w:r>
        <w:t>Verify attendee fee distribution ties out to gross fees collected.</w:t>
      </w:r>
    </w:p>
    <w:p w14:paraId="152D168E" w14:textId="77777777" w:rsidR="00DB4AC9" w:rsidRDefault="00DB4AC9" w:rsidP="00DB4AC9">
      <w:pPr>
        <w:numPr>
          <w:ilvl w:val="0"/>
          <w:numId w:val="17"/>
        </w:numPr>
        <w:ind w:hanging="360"/>
      </w:pPr>
      <w:r>
        <w:t>If there is a distribution of gross fees between the SBDC and co-sponsor(s), verify co-sponsor point of contact (POC) is listed and a Co-sponsorship Agreement is included.</w:t>
      </w:r>
    </w:p>
    <w:p w14:paraId="7DC6F1DD" w14:textId="77777777" w:rsidR="00DB4AC9" w:rsidRDefault="00DB4AC9" w:rsidP="00DB4AC9">
      <w:pPr>
        <w:numPr>
          <w:ilvl w:val="0"/>
          <w:numId w:val="17"/>
        </w:numPr>
        <w:ind w:hanging="360"/>
      </w:pPr>
      <w:r>
        <w:t>Verify that the Co-sponsorship Agreement is accurate and complete. The agreement should clearly define responsibilities and the distribution of income. If the training is co-sponsored, verify that Co-Sponsorship supports active participation by the SBDC</w:t>
      </w:r>
    </w:p>
    <w:p w14:paraId="5439B8E6" w14:textId="77777777" w:rsidR="00DB4AC9" w:rsidRDefault="00DB4AC9" w:rsidP="00DB4AC9">
      <w:pPr>
        <w:numPr>
          <w:ilvl w:val="0"/>
          <w:numId w:val="17"/>
        </w:numPr>
        <w:ind w:hanging="360"/>
      </w:pPr>
      <w:r>
        <w:t>Verify that evaluation forms are provided. A minimum of 75% of attendees should complete evaluations to enable the reviewer to determine the quality of the training session.</w:t>
      </w:r>
    </w:p>
    <w:p w14:paraId="45773515" w14:textId="77777777" w:rsidR="00DB4AC9" w:rsidRDefault="00DB4AC9" w:rsidP="00DB4AC9">
      <w:pPr>
        <w:numPr>
          <w:ilvl w:val="0"/>
          <w:numId w:val="17"/>
        </w:numPr>
        <w:ind w:hanging="360"/>
      </w:pPr>
      <w:r>
        <w:t xml:space="preserve">Resolve any issues with the regional director. When all issues are resolved, post the regional director reviewed and </w:t>
      </w:r>
      <w:proofErr w:type="gramStart"/>
      <w:r>
        <w:t>initialed</w:t>
      </w:r>
      <w:proofErr w:type="gramEnd"/>
      <w:r>
        <w:t xml:space="preserve"> Management Training Report (Form 888) on Neoserra and retain file for the site review.</w:t>
      </w:r>
    </w:p>
    <w:p w14:paraId="093C4531"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37" w:name="_j8sehv" w:colFirst="0" w:colLast="0"/>
      <w:bookmarkEnd w:id="137"/>
      <w:r w:rsidRPr="000D565A">
        <w:rPr>
          <w:rFonts w:ascii="Calibri" w:eastAsia="Calibri" w:hAnsi="Calibri" w:cs="Calibri"/>
          <w:b/>
          <w:smallCaps/>
          <w:color w:val="000000"/>
          <w:sz w:val="28"/>
          <w:szCs w:val="28"/>
        </w:rPr>
        <w:t>5.11 Entering Training Activity in Neoserra</w:t>
      </w:r>
    </w:p>
    <w:p w14:paraId="6837251E" w14:textId="77777777" w:rsidR="00DB4AC9" w:rsidRDefault="00DB4AC9" w:rsidP="00DB4AC9">
      <w:bookmarkStart w:id="138" w:name="_338fx5o" w:colFirst="0" w:colLast="0"/>
      <w:bookmarkEnd w:id="138"/>
      <w:r>
        <w:t>Training activity from SBA Form 888 is entered in Neoserra. Entry of training session data should be completed by the 15</w:t>
      </w:r>
      <w:r>
        <w:rPr>
          <w:vertAlign w:val="superscript"/>
        </w:rPr>
        <w:t>th</w:t>
      </w:r>
      <w:r>
        <w:t xml:space="preserve"> of the month following the training event so that it can be included in the quarterly MIS report to SBA.</w:t>
      </w:r>
    </w:p>
    <w:p w14:paraId="2697D235" w14:textId="77777777" w:rsidR="00DB4AC9" w:rsidRDefault="00DB4AC9" w:rsidP="00DB4AC9">
      <w:r>
        <w:t xml:space="preserve">After Neoserra posted Management Training Reports (SBA Form 888) are reviewed by the lead center, adjustments to Neoserra entries may be required. Adjustments should be made promptly </w:t>
      </w:r>
      <w:proofErr w:type="gramStart"/>
      <w:r>
        <w:t>upon request</w:t>
      </w:r>
      <w:proofErr w:type="gramEnd"/>
      <w:r>
        <w:t xml:space="preserve"> of the lead center. The lead center may disallow the recording of training events that are found not </w:t>
      </w:r>
      <w:proofErr w:type="gramStart"/>
      <w:r>
        <w:t>be in compliance</w:t>
      </w:r>
      <w:proofErr w:type="gramEnd"/>
      <w:r>
        <w:t xml:space="preserve">. </w:t>
      </w:r>
    </w:p>
    <w:p w14:paraId="2967FAB8" w14:textId="77777777" w:rsidR="00DB4AC9" w:rsidRDefault="00DB4AC9" w:rsidP="00DB4AC9">
      <w:r>
        <w:t>When a training session is sponsored by two or more SBDCs, each center may count the session toward its training milestones provided they were both active participants in the training session. Only the primary co-sponsor should enter the session into Neoserra to prevent double counting of the session.</w:t>
      </w:r>
    </w:p>
    <w:p w14:paraId="150A38EB" w14:textId="77777777" w:rsidR="00DB4AC9" w:rsidRDefault="00DB4AC9" w:rsidP="00DB4AC9">
      <w:r>
        <w:t xml:space="preserve">When a training session is sponsored by an SBDC and SBA and/or </w:t>
      </w:r>
      <w:proofErr w:type="gramStart"/>
      <w:r>
        <w:t>a</w:t>
      </w:r>
      <w:proofErr w:type="gramEnd"/>
      <w:r>
        <w:t xml:space="preserve"> SBA Resource Partner (SCORE and Women’s Business Centers), the sponsors must work together to determine how to equitably divide the number of attendees amongst themselves as to avoid double counting.</w:t>
      </w:r>
      <w:r>
        <w:rPr>
          <w:vertAlign w:val="superscript"/>
        </w:rPr>
        <w:footnoteReference w:id="144"/>
      </w:r>
    </w:p>
    <w:p w14:paraId="44363B34"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39" w:name="_1idq7dh" w:colFirst="0" w:colLast="0"/>
      <w:bookmarkEnd w:id="139"/>
      <w:r w:rsidRPr="000D565A">
        <w:rPr>
          <w:rFonts w:ascii="Calibri" w:eastAsia="Calibri" w:hAnsi="Calibri" w:cs="Calibri"/>
          <w:b/>
          <w:smallCaps/>
          <w:color w:val="000000"/>
          <w:sz w:val="28"/>
          <w:szCs w:val="28"/>
        </w:rPr>
        <w:t>5.12 Training Files</w:t>
      </w:r>
    </w:p>
    <w:p w14:paraId="6F8A1DB1" w14:textId="77777777" w:rsidR="00DB4AC9" w:rsidRDefault="00DB4AC9" w:rsidP="00DB4AC9">
      <w:r>
        <w:t xml:space="preserve">Each regional center must maintain training files consisting of chronological documentation of all </w:t>
      </w:r>
      <w:proofErr w:type="gramStart"/>
      <w:r>
        <w:t>center</w:t>
      </w:r>
      <w:proofErr w:type="gramEnd"/>
      <w:r>
        <w:t xml:space="preserve"> recorded training events. The training files should be maintained in a filing system that permits easy retrieval for a site review, audit or SBA examination. The training file should contain a copy of the training packet elements previously listed and any workbooks, handouts and other materials distributed at the event.</w:t>
      </w:r>
    </w:p>
    <w:p w14:paraId="20A20D6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40" w:name="_42ddq1a" w:colFirst="0" w:colLast="0"/>
      <w:bookmarkEnd w:id="140"/>
      <w:r w:rsidRPr="000D565A">
        <w:rPr>
          <w:rFonts w:ascii="Calibri" w:eastAsia="Calibri" w:hAnsi="Calibri" w:cs="Calibri"/>
          <w:b/>
          <w:smallCaps/>
          <w:color w:val="000000"/>
          <w:sz w:val="28"/>
          <w:szCs w:val="28"/>
        </w:rPr>
        <w:t xml:space="preserve">5.13 Statewide Training Schedule </w:t>
      </w:r>
    </w:p>
    <w:p w14:paraId="03E91D3C" w14:textId="77777777" w:rsidR="00DB4AC9" w:rsidRDefault="00DB4AC9" w:rsidP="00DB4AC9">
      <w:r>
        <w:t xml:space="preserve">The Neoserra eCenter maintains a statewide schedule of all training sponsored or co-sponsored by Minnesota SBDCs through eCenter. A link to the eCenter training schedule is posted on the lead center website. Regional centers should post information on the title, location, date, fee and topic of any </w:t>
      </w:r>
      <w:r>
        <w:lastRenderedPageBreak/>
        <w:t xml:space="preserve">planned training on eCenter as soon as these details are confirmed and within a minimum of 30 days before the event.  </w:t>
      </w:r>
    </w:p>
    <w:tbl>
      <w:tblPr>
        <w:tblW w:w="7249" w:type="dxa"/>
        <w:tblInd w:w="785" w:type="dxa"/>
        <w:tblLayout w:type="fixed"/>
        <w:tblCellMar>
          <w:left w:w="115" w:type="dxa"/>
          <w:right w:w="115" w:type="dxa"/>
        </w:tblCellMar>
        <w:tblLook w:val="0000" w:firstRow="0" w:lastRow="0" w:firstColumn="0" w:lastColumn="0" w:noHBand="0" w:noVBand="0"/>
      </w:tblPr>
      <w:tblGrid>
        <w:gridCol w:w="2304"/>
        <w:gridCol w:w="2522"/>
        <w:gridCol w:w="2423"/>
      </w:tblGrid>
      <w:tr w:rsidR="00DB4AC9" w14:paraId="7CE6916A" w14:textId="77777777" w:rsidTr="00AD6AC8">
        <w:tc>
          <w:tcPr>
            <w:tcW w:w="2304" w:type="dxa"/>
          </w:tcPr>
          <w:p w14:paraId="21134118" w14:textId="77777777" w:rsidR="00DB4AC9" w:rsidRDefault="00DB4AC9" w:rsidP="00AD6AC8">
            <w:pPr>
              <w:keepNext/>
              <w:keepLines/>
              <w:spacing w:after="40"/>
              <w:jc w:val="center"/>
            </w:pPr>
          </w:p>
        </w:tc>
        <w:tc>
          <w:tcPr>
            <w:tcW w:w="2522" w:type="dxa"/>
          </w:tcPr>
          <w:p w14:paraId="7AB4F554" w14:textId="77777777" w:rsidR="00DB4AC9" w:rsidRDefault="00DB4AC9" w:rsidP="00AD6AC8">
            <w:pPr>
              <w:keepNext/>
              <w:keepLines/>
              <w:spacing w:after="40"/>
              <w:jc w:val="center"/>
            </w:pPr>
          </w:p>
        </w:tc>
        <w:tc>
          <w:tcPr>
            <w:tcW w:w="2423" w:type="dxa"/>
          </w:tcPr>
          <w:p w14:paraId="0B349FE3" w14:textId="77777777" w:rsidR="00DB4AC9" w:rsidRDefault="00DB4AC9" w:rsidP="00AD6AC8">
            <w:pPr>
              <w:keepNext/>
              <w:keepLines/>
              <w:spacing w:after="40"/>
              <w:jc w:val="center"/>
            </w:pPr>
          </w:p>
        </w:tc>
      </w:tr>
      <w:tr w:rsidR="00DB4AC9" w14:paraId="639EDAEE" w14:textId="77777777" w:rsidTr="00AD6AC8">
        <w:tc>
          <w:tcPr>
            <w:tcW w:w="2304" w:type="dxa"/>
          </w:tcPr>
          <w:p w14:paraId="34659A6D" w14:textId="77777777" w:rsidR="00DB4AC9" w:rsidRDefault="00DB4AC9" w:rsidP="00AD6AC8">
            <w:pPr>
              <w:keepNext/>
              <w:keepLines/>
              <w:spacing w:after="40"/>
              <w:jc w:val="center"/>
            </w:pPr>
          </w:p>
        </w:tc>
        <w:tc>
          <w:tcPr>
            <w:tcW w:w="2522" w:type="dxa"/>
          </w:tcPr>
          <w:p w14:paraId="38E21872" w14:textId="77777777" w:rsidR="00DB4AC9" w:rsidRDefault="00DB4AC9" w:rsidP="00AD6AC8">
            <w:pPr>
              <w:keepNext/>
              <w:keepLines/>
              <w:spacing w:after="40"/>
              <w:jc w:val="center"/>
            </w:pPr>
          </w:p>
        </w:tc>
        <w:tc>
          <w:tcPr>
            <w:tcW w:w="2423" w:type="dxa"/>
          </w:tcPr>
          <w:p w14:paraId="54D0A6E1" w14:textId="77777777" w:rsidR="00DB4AC9" w:rsidRDefault="00DB4AC9" w:rsidP="00AD6AC8">
            <w:pPr>
              <w:keepNext/>
              <w:keepLines/>
              <w:spacing w:after="40"/>
            </w:pPr>
          </w:p>
        </w:tc>
      </w:tr>
      <w:tr w:rsidR="00DB4AC9" w14:paraId="628939A5" w14:textId="77777777" w:rsidTr="00AD6AC8">
        <w:tc>
          <w:tcPr>
            <w:tcW w:w="2304" w:type="dxa"/>
          </w:tcPr>
          <w:p w14:paraId="6041CA74" w14:textId="77777777" w:rsidR="00DB4AC9" w:rsidRDefault="00DB4AC9" w:rsidP="00AD6AC8">
            <w:pPr>
              <w:keepNext/>
              <w:keepLines/>
              <w:spacing w:after="40"/>
              <w:jc w:val="center"/>
            </w:pPr>
          </w:p>
        </w:tc>
        <w:tc>
          <w:tcPr>
            <w:tcW w:w="2522" w:type="dxa"/>
          </w:tcPr>
          <w:p w14:paraId="5700B6DB" w14:textId="77777777" w:rsidR="00DB4AC9" w:rsidRDefault="00DB4AC9" w:rsidP="00AD6AC8">
            <w:pPr>
              <w:keepNext/>
              <w:keepLines/>
              <w:spacing w:after="40"/>
              <w:jc w:val="center"/>
            </w:pPr>
          </w:p>
        </w:tc>
        <w:tc>
          <w:tcPr>
            <w:tcW w:w="2423" w:type="dxa"/>
          </w:tcPr>
          <w:p w14:paraId="5173CCEB" w14:textId="77777777" w:rsidR="00DB4AC9" w:rsidRDefault="00DB4AC9" w:rsidP="00AD6AC8">
            <w:pPr>
              <w:keepNext/>
              <w:keepLines/>
              <w:spacing w:after="40"/>
              <w:jc w:val="center"/>
            </w:pPr>
          </w:p>
        </w:tc>
      </w:tr>
      <w:tr w:rsidR="00DB4AC9" w14:paraId="618E9909" w14:textId="77777777" w:rsidTr="00AD6AC8">
        <w:tc>
          <w:tcPr>
            <w:tcW w:w="2304" w:type="dxa"/>
          </w:tcPr>
          <w:p w14:paraId="45756CD2" w14:textId="77777777" w:rsidR="00DB4AC9" w:rsidRDefault="00DB4AC9" w:rsidP="00AD6AC8">
            <w:pPr>
              <w:keepNext/>
              <w:keepLines/>
              <w:spacing w:after="40"/>
              <w:jc w:val="center"/>
            </w:pPr>
          </w:p>
        </w:tc>
        <w:tc>
          <w:tcPr>
            <w:tcW w:w="2522" w:type="dxa"/>
          </w:tcPr>
          <w:p w14:paraId="44DC941F" w14:textId="77777777" w:rsidR="00DB4AC9" w:rsidRDefault="00DB4AC9" w:rsidP="00AD6AC8">
            <w:pPr>
              <w:keepNext/>
              <w:keepLines/>
              <w:spacing w:after="40"/>
              <w:jc w:val="center"/>
            </w:pPr>
          </w:p>
        </w:tc>
        <w:tc>
          <w:tcPr>
            <w:tcW w:w="2423" w:type="dxa"/>
          </w:tcPr>
          <w:p w14:paraId="5D2B4F50" w14:textId="77777777" w:rsidR="00DB4AC9" w:rsidRDefault="00DB4AC9" w:rsidP="00AD6AC8">
            <w:pPr>
              <w:keepNext/>
              <w:keepLines/>
              <w:spacing w:after="40"/>
              <w:jc w:val="center"/>
            </w:pPr>
          </w:p>
        </w:tc>
      </w:tr>
      <w:tr w:rsidR="00DB4AC9" w14:paraId="3278C5D3" w14:textId="77777777" w:rsidTr="00AD6AC8">
        <w:tc>
          <w:tcPr>
            <w:tcW w:w="2304" w:type="dxa"/>
          </w:tcPr>
          <w:p w14:paraId="3691DA78" w14:textId="77777777" w:rsidR="00DB4AC9" w:rsidRDefault="00DB4AC9" w:rsidP="00AD6AC8">
            <w:pPr>
              <w:keepNext/>
              <w:keepLines/>
              <w:spacing w:after="40"/>
              <w:jc w:val="center"/>
            </w:pPr>
          </w:p>
        </w:tc>
        <w:tc>
          <w:tcPr>
            <w:tcW w:w="2522" w:type="dxa"/>
          </w:tcPr>
          <w:p w14:paraId="1476EC29" w14:textId="77777777" w:rsidR="00DB4AC9" w:rsidRDefault="00DB4AC9" w:rsidP="00AD6AC8">
            <w:pPr>
              <w:keepNext/>
              <w:keepLines/>
              <w:spacing w:after="40"/>
              <w:jc w:val="center"/>
            </w:pPr>
          </w:p>
        </w:tc>
        <w:tc>
          <w:tcPr>
            <w:tcW w:w="2423" w:type="dxa"/>
          </w:tcPr>
          <w:p w14:paraId="314EAE12" w14:textId="77777777" w:rsidR="00DB4AC9" w:rsidRDefault="00DB4AC9" w:rsidP="00AD6AC8">
            <w:pPr>
              <w:keepNext/>
              <w:keepLines/>
              <w:spacing w:after="40"/>
              <w:jc w:val="center"/>
            </w:pPr>
          </w:p>
        </w:tc>
      </w:tr>
      <w:tr w:rsidR="00DB4AC9" w14:paraId="30A6B9DD" w14:textId="77777777" w:rsidTr="00AD6AC8">
        <w:tc>
          <w:tcPr>
            <w:tcW w:w="2304" w:type="dxa"/>
          </w:tcPr>
          <w:p w14:paraId="5E4A0EF6" w14:textId="77777777" w:rsidR="00DB4AC9" w:rsidRDefault="00DB4AC9" w:rsidP="00AD6AC8">
            <w:pPr>
              <w:keepNext/>
              <w:keepLines/>
              <w:spacing w:after="40"/>
              <w:jc w:val="center"/>
            </w:pPr>
          </w:p>
        </w:tc>
        <w:tc>
          <w:tcPr>
            <w:tcW w:w="2522" w:type="dxa"/>
          </w:tcPr>
          <w:p w14:paraId="5A2CCF01" w14:textId="77777777" w:rsidR="00DB4AC9" w:rsidRDefault="00DB4AC9" w:rsidP="00AD6AC8">
            <w:pPr>
              <w:keepNext/>
              <w:keepLines/>
              <w:spacing w:after="40"/>
              <w:jc w:val="center"/>
            </w:pPr>
          </w:p>
        </w:tc>
        <w:tc>
          <w:tcPr>
            <w:tcW w:w="2423" w:type="dxa"/>
          </w:tcPr>
          <w:p w14:paraId="040E38D3" w14:textId="77777777" w:rsidR="00DB4AC9" w:rsidRDefault="00DB4AC9" w:rsidP="00AD6AC8">
            <w:pPr>
              <w:keepNext/>
              <w:keepLines/>
              <w:spacing w:after="40"/>
              <w:jc w:val="center"/>
            </w:pPr>
          </w:p>
        </w:tc>
      </w:tr>
      <w:tr w:rsidR="00DB4AC9" w14:paraId="43692621" w14:textId="77777777" w:rsidTr="00AD6AC8">
        <w:tc>
          <w:tcPr>
            <w:tcW w:w="2304" w:type="dxa"/>
          </w:tcPr>
          <w:p w14:paraId="07352A81" w14:textId="77777777" w:rsidR="00DB4AC9" w:rsidRDefault="00DB4AC9" w:rsidP="00AD6AC8">
            <w:pPr>
              <w:keepNext/>
              <w:keepLines/>
              <w:spacing w:after="40"/>
              <w:jc w:val="center"/>
            </w:pPr>
          </w:p>
        </w:tc>
        <w:tc>
          <w:tcPr>
            <w:tcW w:w="2522" w:type="dxa"/>
          </w:tcPr>
          <w:p w14:paraId="1DAC5AD3" w14:textId="77777777" w:rsidR="00DB4AC9" w:rsidRDefault="00DB4AC9" w:rsidP="00AD6AC8">
            <w:pPr>
              <w:keepNext/>
              <w:keepLines/>
              <w:spacing w:after="40"/>
              <w:jc w:val="center"/>
            </w:pPr>
          </w:p>
        </w:tc>
        <w:tc>
          <w:tcPr>
            <w:tcW w:w="2423" w:type="dxa"/>
          </w:tcPr>
          <w:p w14:paraId="782520D3" w14:textId="77777777" w:rsidR="00DB4AC9" w:rsidRDefault="00DB4AC9" w:rsidP="00AD6AC8">
            <w:pPr>
              <w:keepNext/>
              <w:keepLines/>
              <w:spacing w:after="40"/>
            </w:pPr>
          </w:p>
        </w:tc>
      </w:tr>
    </w:tbl>
    <w:p w14:paraId="33E893FC" w14:textId="77777777" w:rsidR="00DB4AC9" w:rsidRDefault="00DB4AC9" w:rsidP="00DB4AC9">
      <w:pPr>
        <w:jc w:val="both"/>
      </w:pPr>
    </w:p>
    <w:p w14:paraId="7C81F5C6" w14:textId="77777777" w:rsidR="00DB4AC9" w:rsidRDefault="00DB4AC9" w:rsidP="00DB4AC9">
      <w:r>
        <w:br w:type="page"/>
      </w:r>
    </w:p>
    <w:p w14:paraId="20BE94DC" w14:textId="77777777" w:rsidR="00DB4AC9" w:rsidRDefault="00DB4AC9" w:rsidP="00DB4AC9">
      <w:pPr>
        <w:pStyle w:val="Heading2"/>
      </w:pPr>
      <w:bookmarkStart w:id="141" w:name="_2hio093" w:colFirst="0" w:colLast="0"/>
      <w:bookmarkEnd w:id="141"/>
      <w:r>
        <w:rPr>
          <w:sz w:val="36"/>
          <w:szCs w:val="36"/>
        </w:rPr>
        <w:lastRenderedPageBreak/>
        <w:t>6.0 Program Evaluation</w:t>
      </w:r>
    </w:p>
    <w:p w14:paraId="4A616D00" w14:textId="77777777" w:rsidR="00DB4AC9" w:rsidRDefault="00DB4AC9" w:rsidP="00DB4AC9">
      <w:r>
        <w:t xml:space="preserve">SBDCs are directed </w:t>
      </w:r>
      <w:proofErr w:type="gramStart"/>
      <w:r>
        <w:t>to upgrade</w:t>
      </w:r>
      <w:proofErr w:type="gramEnd"/>
      <w:r>
        <w:t xml:space="preserve"> and modify services as needed </w:t>
      </w:r>
      <w:proofErr w:type="gramStart"/>
      <w:r>
        <w:t>in order to</w:t>
      </w:r>
      <w:proofErr w:type="gramEnd"/>
      <w:r>
        <w:t xml:space="preserve"> meet the changing and evolving needs of the small business community.</w:t>
      </w:r>
      <w:r>
        <w:rPr>
          <w:vertAlign w:val="superscript"/>
        </w:rPr>
        <w:footnoteReference w:id="145"/>
      </w:r>
      <w:r>
        <w:t xml:space="preserve"> To assist in understanding these needs, the SBDC periodically surveys consulting clients and training seminar attendees. The SBDC also conducts periodic needs assessments.</w:t>
      </w:r>
    </w:p>
    <w:p w14:paraId="169F71D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42" w:name="_wnyagw" w:colFirst="0" w:colLast="0"/>
      <w:bookmarkEnd w:id="142"/>
      <w:r w:rsidRPr="000D565A">
        <w:rPr>
          <w:rFonts w:ascii="Calibri" w:eastAsia="Calibri" w:hAnsi="Calibri" w:cs="Calibri"/>
          <w:b/>
          <w:smallCaps/>
          <w:color w:val="000000"/>
          <w:sz w:val="28"/>
          <w:szCs w:val="28"/>
        </w:rPr>
        <w:t>6.1 Evaluation of Consulting Services</w:t>
      </w:r>
    </w:p>
    <w:p w14:paraId="7DE01575" w14:textId="77777777" w:rsidR="00DB4AC9" w:rsidRDefault="00DB4AC9" w:rsidP="00DB4AC9">
      <w:r>
        <w:t>SBA requires that evaluations be collected from all clients who receive continuous consulting.</w:t>
      </w:r>
      <w:r>
        <w:rPr>
          <w:vertAlign w:val="superscript"/>
        </w:rPr>
        <w:footnoteReference w:id="146"/>
      </w:r>
      <w:r>
        <w:t xml:space="preserve"> To comply with this requirement the Minnesota SBDC, through the lead center, conducts an annual client satisfaction survey and client impact survey. The lead center enters the results of completed surveys in a database and shares information from the returned surveys with the regional director for review and follow-up.</w:t>
      </w:r>
    </w:p>
    <w:p w14:paraId="18A4121B" w14:textId="77777777" w:rsidR="00DB4AC9" w:rsidRDefault="00DB4AC9" w:rsidP="00DB4AC9">
      <w:r>
        <w:t>Regional directors are expected to review all survey comments and take immediate and appropriate action to resolve any complaints. In cases of complaints that require immediate action, the state director will contact the regional director for response. All responses should be documented.</w:t>
      </w:r>
    </w:p>
    <w:p w14:paraId="69575F29" w14:textId="77777777" w:rsidR="00DB4AC9" w:rsidRDefault="00DB4AC9" w:rsidP="00DB4AC9">
      <w:r>
        <w:t>When all survey results have been tabulated, the lead center prepares an analysis of the survey results and distributes it as appropriate. Recipients include regional directors, deans and program supervisors, advisory board members, the SBA district director and SBDC project officer, DEED management and legislative stakeholders.</w:t>
      </w:r>
    </w:p>
    <w:p w14:paraId="57EAA16D" w14:textId="77777777" w:rsidR="00DB4AC9" w:rsidRPr="00472E95" w:rsidRDefault="00DB4AC9" w:rsidP="00DB4AC9">
      <w:pPr>
        <w:pStyle w:val="Heading4"/>
        <w:ind w:left="360"/>
        <w:rPr>
          <w:b/>
          <w:bCs/>
          <w:color w:val="000000" w:themeColor="text1"/>
        </w:rPr>
      </w:pPr>
      <w:bookmarkStart w:id="143" w:name="_3gnlt4p" w:colFirst="0" w:colLast="0"/>
      <w:bookmarkEnd w:id="143"/>
      <w:r w:rsidRPr="00472E95">
        <w:rPr>
          <w:b/>
          <w:bCs/>
          <w:color w:val="000000" w:themeColor="text1"/>
        </w:rPr>
        <w:t>6.1.1 Handling Client Complaints</w:t>
      </w:r>
    </w:p>
    <w:p w14:paraId="5F3FC443" w14:textId="77777777" w:rsidR="00DB4AC9" w:rsidRDefault="00DB4AC9" w:rsidP="00DB4AC9">
      <w:r>
        <w:t xml:space="preserve">The Minnesota SBDC network strives for complete client satisfaction. There may be occasions, however, when a client will make suggestions or complain about SBDC services. Complaints should be taken seriously and fully investigated by the regional center. Complaints can produce valuable insights </w:t>
      </w:r>
      <w:proofErr w:type="gramStart"/>
      <w:r>
        <w:t>on</w:t>
      </w:r>
      <w:proofErr w:type="gramEnd"/>
      <w:r>
        <w:t xml:space="preserve"> service delivery and can serve as a catalyst for improving services.</w:t>
      </w:r>
    </w:p>
    <w:p w14:paraId="2C592D3C" w14:textId="54305C93" w:rsidR="00DB4AC9" w:rsidRDefault="00DB4AC9" w:rsidP="00DB4AC9">
      <w:r>
        <w:t xml:space="preserve">Most typically, client complaints are submitted in response to the client satisfaction survey. Copies of these surveys are provided to regional directors. Upon receipt and review of the surveys, the regional director should promptly investigate any complaints and follow up with the client as appropriate. Results of the investigation and follow-up should be retained on file in the regional office. The complaint file should be kept separate from individual client </w:t>
      </w:r>
      <w:r w:rsidR="0027080C">
        <w:t>files and</w:t>
      </w:r>
      <w:r>
        <w:t xml:space="preserve"> are not considered part of the client file.</w:t>
      </w:r>
    </w:p>
    <w:p w14:paraId="74292A0A" w14:textId="14B60497" w:rsidR="00DB4AC9" w:rsidRDefault="00DB4AC9" w:rsidP="00DB4AC9">
      <w:r>
        <w:t xml:space="preserve">Each regional center should have a procedure for investigating and resolving </w:t>
      </w:r>
      <w:r w:rsidR="0027080C">
        <w:t>complaints and</w:t>
      </w:r>
      <w:r>
        <w:t xml:space="preserve"> documenting the outcome. The procedure and complaint file should be available to SBA and lead center personnel during monitoring visits.</w:t>
      </w:r>
    </w:p>
    <w:p w14:paraId="6A3EBA44" w14:textId="77777777" w:rsidR="00DB4AC9" w:rsidRDefault="00DB4AC9" w:rsidP="00DB4AC9">
      <w:r>
        <w:t>Client complaints should be handled respectfully. At the discretion of the regional director, complaint information may be shared with the consultant. Care should be taken, however, to ensure that doing so does not jeopardize future working relationships with the client.</w:t>
      </w:r>
    </w:p>
    <w:p w14:paraId="037CADA1"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44" w:name="_1vsw3ci" w:colFirst="0" w:colLast="0"/>
      <w:bookmarkEnd w:id="144"/>
      <w:r w:rsidRPr="000D565A">
        <w:rPr>
          <w:rFonts w:ascii="Calibri" w:eastAsia="Calibri" w:hAnsi="Calibri" w:cs="Calibri"/>
          <w:b/>
          <w:smallCaps/>
          <w:color w:val="000000"/>
          <w:sz w:val="28"/>
          <w:szCs w:val="28"/>
        </w:rPr>
        <w:lastRenderedPageBreak/>
        <w:t>6.2 Evaluation of Training Services</w:t>
      </w:r>
    </w:p>
    <w:p w14:paraId="611DB4AE" w14:textId="1436FCFD" w:rsidR="00DB4AC9" w:rsidRDefault="00DB4AC9" w:rsidP="00DB4AC9">
      <w:r>
        <w:t>Evaluations must be collected from SBDC clients who attend an SBDC training event.</w:t>
      </w:r>
      <w:r>
        <w:rPr>
          <w:vertAlign w:val="superscript"/>
        </w:rPr>
        <w:footnoteReference w:id="147"/>
      </w:r>
      <w:r>
        <w:t xml:space="preserve"> The regional center or sponsoring service center is responsible for distributing and collecting training evaluations. Evaluations must be tallied in Neoserra, and attendees at the event must fill out evaluations forms for the event to be considered ‘recordable’. Completed tally forms and Management Training Reports (SBA Form 888) are posted on Neoserra by the 15</w:t>
      </w:r>
      <w:r>
        <w:rPr>
          <w:vertAlign w:val="superscript"/>
        </w:rPr>
        <w:t>th</w:t>
      </w:r>
      <w:r>
        <w:t xml:space="preserve"> of the month following the event date. If it is discovered by the lead center, during its review process, that evaluations have not been collected, recording of the training event may be disallowed. </w:t>
      </w:r>
    </w:p>
    <w:p w14:paraId="4BA96415" w14:textId="77777777" w:rsidR="00DB4AC9" w:rsidRDefault="00DB4AC9" w:rsidP="00DB4AC9">
      <w:r>
        <w:t>The regional center enters training evaluation responses tallied in Neoserra. A Conference Evaluation Responses report can be accessed through Neoserra so that the regional center can perform analysis to determine future training needs.</w:t>
      </w:r>
    </w:p>
    <w:p w14:paraId="3C71508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45" w:name="_4fsjm0b" w:colFirst="0" w:colLast="0"/>
      <w:bookmarkEnd w:id="145"/>
      <w:r w:rsidRPr="000D565A">
        <w:rPr>
          <w:rFonts w:ascii="Calibri" w:eastAsia="Calibri" w:hAnsi="Calibri" w:cs="Calibri"/>
          <w:b/>
          <w:smallCaps/>
          <w:color w:val="000000"/>
          <w:sz w:val="28"/>
          <w:szCs w:val="28"/>
        </w:rPr>
        <w:t>6.3 Needs Assessments</w:t>
      </w:r>
    </w:p>
    <w:p w14:paraId="622BD94F" w14:textId="77777777" w:rsidR="00DB4AC9" w:rsidRDefault="00DB4AC9" w:rsidP="00DB4AC9">
      <w:proofErr w:type="gramStart"/>
      <w:r>
        <w:t>The Minnesota</w:t>
      </w:r>
      <w:proofErr w:type="gramEnd"/>
      <w:r>
        <w:t xml:space="preserve"> SBDC uses both informal and formal processes to determine the needs of the small business community.</w:t>
      </w:r>
    </w:p>
    <w:p w14:paraId="473C8C5B" w14:textId="77777777" w:rsidR="00DB4AC9" w:rsidRPr="00472E95" w:rsidRDefault="00DB4AC9" w:rsidP="00DB4AC9">
      <w:pPr>
        <w:pStyle w:val="Heading4"/>
        <w:ind w:left="360"/>
        <w:rPr>
          <w:b/>
          <w:bCs/>
          <w:color w:val="000000" w:themeColor="text1"/>
        </w:rPr>
      </w:pPr>
      <w:bookmarkStart w:id="146" w:name="_2uxtw84" w:colFirst="0" w:colLast="0"/>
      <w:bookmarkEnd w:id="146"/>
      <w:r w:rsidRPr="00472E95">
        <w:rPr>
          <w:b/>
          <w:bCs/>
          <w:color w:val="000000" w:themeColor="text1"/>
        </w:rPr>
        <w:t>6.3.1 Informal Processes</w:t>
      </w:r>
    </w:p>
    <w:p w14:paraId="78E16508" w14:textId="77777777" w:rsidR="00DB4AC9" w:rsidRDefault="00DB4AC9" w:rsidP="00DB4AC9">
      <w:pPr>
        <w:numPr>
          <w:ilvl w:val="0"/>
          <w:numId w:val="15"/>
        </w:numPr>
        <w:ind w:hanging="360"/>
      </w:pPr>
      <w:r>
        <w:t>SBDC directors and consultants, through their contacts with lenders, chambers of commerce, governmental and civic community leaders, clients and others, learn of the needs of small companies within their communities.</w:t>
      </w:r>
    </w:p>
    <w:p w14:paraId="79EDEC46" w14:textId="52DE1255" w:rsidR="00DB4AC9" w:rsidRDefault="00DB4AC9" w:rsidP="00DB4AC9">
      <w:pPr>
        <w:numPr>
          <w:ilvl w:val="0"/>
          <w:numId w:val="15"/>
        </w:numPr>
        <w:ind w:hanging="360"/>
      </w:pPr>
      <w:r>
        <w:t>SBDC personnel at all levels develop an awareness of small business needs by reading statewide and community business journals and newspapers. By being aware of issues and trends, SBDCs can develop program offerings to meet identified needs.</w:t>
      </w:r>
    </w:p>
    <w:p w14:paraId="378E29BF" w14:textId="77777777" w:rsidR="00DB4AC9" w:rsidRPr="00472E95" w:rsidRDefault="00DB4AC9" w:rsidP="00DB4AC9">
      <w:pPr>
        <w:pStyle w:val="Heading4"/>
        <w:ind w:left="360"/>
        <w:rPr>
          <w:b/>
          <w:bCs/>
          <w:color w:val="000000" w:themeColor="text1"/>
        </w:rPr>
      </w:pPr>
      <w:bookmarkStart w:id="147" w:name="_1a346fx" w:colFirst="0" w:colLast="0"/>
      <w:bookmarkEnd w:id="147"/>
      <w:r w:rsidRPr="00472E95">
        <w:rPr>
          <w:b/>
          <w:bCs/>
          <w:color w:val="000000" w:themeColor="text1"/>
        </w:rPr>
        <w:t>6.3.2 Formal Processes</w:t>
      </w:r>
    </w:p>
    <w:p w14:paraId="63E46903" w14:textId="77777777" w:rsidR="00DB4AC9" w:rsidRDefault="00DB4AC9" w:rsidP="00DB4AC9">
      <w:pPr>
        <w:numPr>
          <w:ilvl w:val="0"/>
          <w:numId w:val="16"/>
        </w:numPr>
        <w:ind w:hanging="360"/>
      </w:pPr>
      <w:r>
        <w:t>As part of the annual client satisfaction survey, the lead center asks clients to identify their top business issues. The results are analyzed on a region-by-region basis and communicated to regional directors to assist in future planning.</w:t>
      </w:r>
    </w:p>
    <w:p w14:paraId="4C9D961E" w14:textId="6F284892" w:rsidR="00DB4AC9" w:rsidRDefault="00DB4AC9" w:rsidP="00DB4AC9">
      <w:pPr>
        <w:numPr>
          <w:ilvl w:val="0"/>
          <w:numId w:val="16"/>
        </w:numPr>
        <w:ind w:hanging="360"/>
      </w:pPr>
      <w:r>
        <w:t xml:space="preserve">A formal statewide needs assessment of the small business community is conducted every three years. </w:t>
      </w:r>
      <w:r w:rsidR="004A5C34">
        <w:t>When available</w:t>
      </w:r>
      <w:r w:rsidR="00532271">
        <w:t xml:space="preserve"> by the survey format and analysis</w:t>
      </w:r>
      <w:r w:rsidR="004A5C34">
        <w:t>, r</w:t>
      </w:r>
      <w:r>
        <w:t>esults are available on a region-specific basis to assist regional directors in developing locally responsive program offerings.</w:t>
      </w:r>
    </w:p>
    <w:p w14:paraId="5494EAAB" w14:textId="5A0B78E4" w:rsidR="00DB4AC9" w:rsidRDefault="00DB4AC9" w:rsidP="00DB4AC9">
      <w:pPr>
        <w:numPr>
          <w:ilvl w:val="0"/>
          <w:numId w:val="16"/>
        </w:numPr>
        <w:ind w:hanging="360"/>
      </w:pPr>
      <w:r>
        <w:t xml:space="preserve">Training evaluations are </w:t>
      </w:r>
      <w:r w:rsidR="00E86BD0">
        <w:t xml:space="preserve">automatically </w:t>
      </w:r>
      <w:r>
        <w:t>entered into Neoserra</w:t>
      </w:r>
      <w:r w:rsidR="006F7A2B">
        <w:t xml:space="preserve"> </w:t>
      </w:r>
      <w:r w:rsidR="00E86BD0">
        <w:t>when the survey feature in Neoserra</w:t>
      </w:r>
      <w:r w:rsidR="00BB6023">
        <w:t xml:space="preserve"> is used.</w:t>
      </w:r>
      <w:r w:rsidR="006F7A2B">
        <w:t xml:space="preserve"> </w:t>
      </w:r>
      <w:r>
        <w:t xml:space="preserve"> A Conference Evaluation Responses report can be accessed through Neoserra so that the regional center can perform analysis to determine future training needs.</w:t>
      </w:r>
    </w:p>
    <w:p w14:paraId="6FFB7FEE" w14:textId="77777777" w:rsidR="00DB4AC9" w:rsidRDefault="00DB4AC9" w:rsidP="00DB4AC9">
      <w:pPr>
        <w:numPr>
          <w:ilvl w:val="0"/>
          <w:numId w:val="16"/>
        </w:numPr>
        <w:ind w:hanging="360"/>
        <w:contextualSpacing/>
      </w:pPr>
      <w:r>
        <w:t>The SBDC Advisory Board, which is comprised partly of small business owners, provides members’ perspectives on the needs of the small business community to the state director and regional center directors. The Advisory Board also makes recommendations on how to address those needs, participates in the planning process, and provides valuable feedback on annual proposals.</w:t>
      </w:r>
      <w:r>
        <w:br w:type="page"/>
      </w:r>
    </w:p>
    <w:p w14:paraId="1E67B730" w14:textId="77777777" w:rsidR="00DB4AC9" w:rsidRDefault="00DB4AC9" w:rsidP="00DB4AC9">
      <w:pPr>
        <w:pStyle w:val="Heading2"/>
      </w:pPr>
      <w:bookmarkStart w:id="148" w:name="_3u2rp3q" w:colFirst="0" w:colLast="0"/>
      <w:bookmarkEnd w:id="148"/>
      <w:r>
        <w:rPr>
          <w:sz w:val="36"/>
          <w:szCs w:val="36"/>
        </w:rPr>
        <w:lastRenderedPageBreak/>
        <w:t>7.0 Financial Issues</w:t>
      </w:r>
    </w:p>
    <w:p w14:paraId="0BEB6B4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49" w:name="_2981zbj" w:colFirst="0" w:colLast="0"/>
      <w:bookmarkEnd w:id="149"/>
      <w:r w:rsidRPr="000D565A">
        <w:rPr>
          <w:rFonts w:ascii="Calibri" w:eastAsia="Calibri" w:hAnsi="Calibri" w:cs="Calibri"/>
          <w:b/>
          <w:smallCaps/>
          <w:color w:val="000000"/>
          <w:sz w:val="28"/>
          <w:szCs w:val="28"/>
        </w:rPr>
        <w:t>7.1 Funding</w:t>
      </w:r>
    </w:p>
    <w:p w14:paraId="61805205" w14:textId="77777777" w:rsidR="00DB4AC9" w:rsidRDefault="00DB4AC9" w:rsidP="00DB4AC9">
      <w:r>
        <w:t>Financial support of the SBDC program is provided by the SBA, DEED, participating SBDC regional service center host partners, and public and private network investors. Federal and state funds are provided on a calendar year basis.</w:t>
      </w:r>
      <w:r>
        <w:rPr>
          <w:vertAlign w:val="superscript"/>
        </w:rPr>
        <w:footnoteReference w:id="148"/>
      </w:r>
      <w:r>
        <w:t xml:space="preserve"> Federal funds are allocated to states according to a statutory formula which is based on population.</w:t>
      </w:r>
      <w:r>
        <w:rPr>
          <w:vertAlign w:val="superscript"/>
        </w:rPr>
        <w:footnoteReference w:id="149"/>
      </w:r>
    </w:p>
    <w:p w14:paraId="12D77CF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0" w:name="_odc9jc" w:colFirst="0" w:colLast="0"/>
      <w:bookmarkEnd w:id="150"/>
      <w:r w:rsidRPr="000D565A">
        <w:rPr>
          <w:rFonts w:ascii="Calibri" w:eastAsia="Calibri" w:hAnsi="Calibri" w:cs="Calibri"/>
          <w:b/>
          <w:smallCaps/>
          <w:color w:val="000000"/>
          <w:sz w:val="28"/>
          <w:szCs w:val="28"/>
        </w:rPr>
        <w:t>7.2 Match Requirements</w:t>
      </w:r>
    </w:p>
    <w:p w14:paraId="6FE289FD" w14:textId="77777777" w:rsidR="00DB4AC9" w:rsidRDefault="00DB4AC9" w:rsidP="00DB4AC9">
      <w:r>
        <w:t>By law, federal funds must be matched 100 percent, of which half must be cash and the balance being in any combination of cash or in-kind (including indirect) contributions.</w:t>
      </w:r>
      <w:r>
        <w:rPr>
          <w:vertAlign w:val="superscript"/>
        </w:rPr>
        <w:footnoteReference w:id="150"/>
      </w:r>
      <w:r>
        <w:t xml:space="preserve"> </w:t>
      </w:r>
    </w:p>
    <w:p w14:paraId="60D4A2D3" w14:textId="77777777" w:rsidR="00DB4AC9" w:rsidRDefault="00DB4AC9" w:rsidP="00DB4AC9">
      <w:r>
        <w:t>State policy requires regional center host partners to provide total match funding equal to 100 percent of award funding, of which half must be cash and the balance being in any combination of cash or in-kind (including indirect) contributions. State policy does not allow for the recovery of indirect costs from award funding. Indirect costs may be counted toward total match required, provided it is comprised of indirect derived from an authorized indirect rate agreement.</w:t>
      </w:r>
    </w:p>
    <w:p w14:paraId="5877527D" w14:textId="77777777" w:rsidR="00DB4AC9" w:rsidRDefault="00DB4AC9" w:rsidP="00DB4AC9">
      <w:r>
        <w:t xml:space="preserve">While host partners are expected to provide for the total match funding, including the fifty-percent cash match funding and the full amount of indirect (if any), to achieve diversified funding, host partners are expected to raise cash match from other public and private organizations sharing the SBDC mission. </w:t>
      </w:r>
      <w:r w:rsidRPr="36BB76E2">
        <w:rPr>
          <w:highlight w:val="yellow"/>
        </w:rPr>
        <w:t xml:space="preserve">Host partners are expected to contribute 25 to 75 percent of the cash match total, and </w:t>
      </w:r>
      <w:proofErr w:type="gramStart"/>
      <w:r w:rsidRPr="36BB76E2">
        <w:rPr>
          <w:highlight w:val="yellow"/>
        </w:rPr>
        <w:t>responsible</w:t>
      </w:r>
      <w:proofErr w:type="gramEnd"/>
      <w:r w:rsidRPr="36BB76E2">
        <w:rPr>
          <w:highlight w:val="yellow"/>
        </w:rPr>
        <w:t xml:space="preserve"> for seeking and acquiring the remaining proportion of funding.</w:t>
      </w:r>
    </w:p>
    <w:p w14:paraId="74A47D71" w14:textId="77777777" w:rsidR="00DB4AC9" w:rsidRDefault="00DB4AC9" w:rsidP="00DB4AC9">
      <w:r>
        <w:t xml:space="preserve">While center hosts are responsible for finding and establishing investor </w:t>
      </w:r>
      <w:proofErr w:type="gramStart"/>
      <w:r>
        <w:t>relationship</w:t>
      </w:r>
      <w:proofErr w:type="gramEnd"/>
      <w:r>
        <w:t xml:space="preserve">, regional directors are responsible for maintaining investor relationships once established. The amount of </w:t>
      </w:r>
      <w:proofErr w:type="gramStart"/>
      <w:r>
        <w:t>cash match</w:t>
      </w:r>
      <w:proofErr w:type="gramEnd"/>
      <w:r>
        <w:t xml:space="preserve"> required from service centers is specified during the proposal process.</w:t>
      </w:r>
    </w:p>
    <w:p w14:paraId="656D57CD" w14:textId="77777777" w:rsidR="00DB4AC9" w:rsidRDefault="00DB4AC9" w:rsidP="00DB4AC9">
      <w:r>
        <w:t>In the Notice of Funding Opportunity, SBA identifies certain program contributions that do not qualify as match. For example, program income and other federal funds do not qualify as cash match.</w:t>
      </w:r>
      <w:r>
        <w:rPr>
          <w:vertAlign w:val="superscript"/>
        </w:rPr>
        <w:footnoteReference w:id="151"/>
      </w:r>
      <w:r>
        <w:t xml:space="preserve"> Uncompensated student labor and the value of volunteer time provided by SCORE members and other SBA resource providers similarly do not qualify as match.</w:t>
      </w:r>
      <w:r>
        <w:rPr>
          <w:vertAlign w:val="superscript"/>
        </w:rPr>
        <w:footnoteReference w:id="152"/>
      </w:r>
    </w:p>
    <w:p w14:paraId="2ECE4823"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1" w:name="_38czs75" w:colFirst="0" w:colLast="0"/>
      <w:bookmarkEnd w:id="151"/>
      <w:r w:rsidRPr="000D565A">
        <w:rPr>
          <w:rFonts w:ascii="Calibri" w:eastAsia="Calibri" w:hAnsi="Calibri" w:cs="Calibri"/>
          <w:b/>
          <w:smallCaps/>
          <w:color w:val="000000"/>
          <w:sz w:val="28"/>
          <w:szCs w:val="28"/>
        </w:rPr>
        <w:t>7.3 Certification of Cash Match</w:t>
      </w:r>
    </w:p>
    <w:p w14:paraId="3AB23970" w14:textId="77777777" w:rsidR="00DB4AC9" w:rsidRDefault="00DB4AC9" w:rsidP="00DB4AC9">
      <w:r>
        <w:t>During the annual proposal process, the host partner institution for the regional center must certify that the proposed budget contains actual cash dollars committed to the program from sources other than the Federal government. Regional certifications are required so that the lead center is similarly able to certify the availability of the cash match proposed in the statewide budget proposal.</w:t>
      </w:r>
    </w:p>
    <w:p w14:paraId="6252458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2" w:name="_1nia2ey" w:colFirst="0" w:colLast="0"/>
      <w:bookmarkEnd w:id="152"/>
      <w:r w:rsidRPr="000D565A">
        <w:rPr>
          <w:rFonts w:ascii="Calibri" w:eastAsia="Calibri" w:hAnsi="Calibri" w:cs="Calibri"/>
          <w:b/>
          <w:smallCaps/>
          <w:color w:val="000000"/>
          <w:sz w:val="28"/>
          <w:szCs w:val="28"/>
        </w:rPr>
        <w:lastRenderedPageBreak/>
        <w:t>7.4 Overmatch</w:t>
      </w:r>
    </w:p>
    <w:p w14:paraId="0942C6C2" w14:textId="77777777" w:rsidR="00DB4AC9" w:rsidRDefault="00DB4AC9" w:rsidP="00DB4AC9">
      <w:r>
        <w:t xml:space="preserve">SBA encourages overmatch of federal funds. SBDCs need to weigh the value of the overmatch against the costs of accounting for it, however. Overmatch from one budget period may be used as match against additional federal funding within the same budget period; used to offset confirmed audit disallowances applicable to the budget period in which the overmatch exists and the two previous budget periods; and/or used to match federal funds approved for carryover from one budget period to the next. </w:t>
      </w:r>
      <w:proofErr w:type="gramStart"/>
      <w:r>
        <w:t>Note;</w:t>
      </w:r>
      <w:proofErr w:type="gramEnd"/>
      <w:r>
        <w:t xml:space="preserve"> the Lead Center originates this process. Service Centers are not allowed to carryover Overmatch. Once used for any of these purposes, however, the funds are considered </w:t>
      </w:r>
      <w:proofErr w:type="gramStart"/>
      <w:r>
        <w:t>obligated</w:t>
      </w:r>
      <w:proofErr w:type="gramEnd"/>
      <w:r>
        <w:t xml:space="preserve"> and may not be used as match for any other budget periods.</w:t>
      </w:r>
      <w:r>
        <w:rPr>
          <w:vertAlign w:val="superscript"/>
        </w:rPr>
        <w:footnoteReference w:id="153"/>
      </w:r>
    </w:p>
    <w:p w14:paraId="61CFAB1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3" w:name="_47hxl2r" w:colFirst="0" w:colLast="0"/>
      <w:bookmarkEnd w:id="153"/>
      <w:r w:rsidRPr="000D565A">
        <w:rPr>
          <w:rFonts w:ascii="Calibri" w:eastAsia="Calibri" w:hAnsi="Calibri" w:cs="Calibri"/>
          <w:b/>
          <w:smallCaps/>
          <w:color w:val="000000"/>
          <w:sz w:val="28"/>
          <w:szCs w:val="28"/>
        </w:rPr>
        <w:t>7.5 Program Income</w:t>
      </w:r>
    </w:p>
    <w:p w14:paraId="76E43892" w14:textId="77777777" w:rsidR="00DB4AC9" w:rsidRDefault="00DB4AC9" w:rsidP="00DB4AC9">
      <w:r>
        <w:t>Program income is income earned by the SBDC network from any SBDC supported activity as defined by the Office of Management and Budget (OMB) Omni Circular.</w:t>
      </w:r>
      <w:r>
        <w:rPr>
          <w:vertAlign w:val="superscript"/>
        </w:rPr>
        <w:footnoteReference w:id="154"/>
      </w:r>
      <w:r>
        <w:t xml:space="preserve"> Examples of program income are fees from training events, the sale of publications, and usage or rental fees. Program income also includes fees that are not actually received by the SBDC, but whose disposition is controlled by the SBDC. Fees collected by other organizations outside the SBDC network through co-sponsorship arrangements are not considered program income unless these funds, or a portion of these funds, are returned to SBDC network.</w:t>
      </w:r>
    </w:p>
    <w:p w14:paraId="2C5B2C5B" w14:textId="77777777" w:rsidR="00DB4AC9" w:rsidRDefault="00DB4AC9" w:rsidP="00DB4AC9">
      <w:r>
        <w:t>Program income cannot be used to match federal funds.</w:t>
      </w:r>
      <w:r>
        <w:rPr>
          <w:vertAlign w:val="superscript"/>
        </w:rPr>
        <w:footnoteReference w:id="155"/>
      </w:r>
      <w:r>
        <w:t xml:space="preserve"> Program income must be used to further SBDC program objectives and must be expended in accordance with SBDC program requirements and applicable OMB circulars.</w:t>
      </w:r>
      <w:r>
        <w:rPr>
          <w:vertAlign w:val="superscript"/>
        </w:rPr>
        <w:footnoteReference w:id="156"/>
      </w:r>
    </w:p>
    <w:p w14:paraId="40C16784" w14:textId="77777777" w:rsidR="00DB4AC9" w:rsidRDefault="00DB4AC9" w:rsidP="00DB4AC9">
      <w:r>
        <w:t>The SBDC must expend any program income that exceeds 25 percent of its total budget (SBA funds and match) by year-end.</w:t>
      </w:r>
      <w:r>
        <w:rPr>
          <w:vertAlign w:val="superscript"/>
        </w:rPr>
        <w:footnoteReference w:id="157"/>
      </w:r>
    </w:p>
    <w:p w14:paraId="56ACFF3B" w14:textId="77777777" w:rsidR="00DB4AC9" w:rsidRDefault="00DB4AC9" w:rsidP="00DB4AC9">
      <w:r>
        <w:t>SBDCs must establish a separately identifiable program income account to facilitate financial reporting. The lead center must report all program income on SBA Standard Form 425 (Financial Status Report) and must include as an attachment SBA Form 2113 (Program Income Report) and a narrative description of how program income was used to further eligible program objectives.</w:t>
      </w:r>
      <w:r>
        <w:rPr>
          <w:vertAlign w:val="superscript"/>
        </w:rPr>
        <w:footnoteReference w:id="158"/>
      </w:r>
    </w:p>
    <w:p w14:paraId="45C850D3" w14:textId="77777777" w:rsidR="00DB4AC9" w:rsidRDefault="00DB4AC9" w:rsidP="00DB4AC9">
      <w:r>
        <w:t>SBA requirements regarding program income are incorporated into reporting requirements distributed by the lead center.</w:t>
      </w:r>
    </w:p>
    <w:p w14:paraId="30D1990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4" w:name="_2mn7vak" w:colFirst="0" w:colLast="0"/>
      <w:bookmarkEnd w:id="154"/>
      <w:r w:rsidRPr="000D565A">
        <w:rPr>
          <w:rFonts w:ascii="Calibri" w:eastAsia="Calibri" w:hAnsi="Calibri" w:cs="Calibri"/>
          <w:b/>
          <w:smallCaps/>
          <w:color w:val="000000"/>
          <w:sz w:val="28"/>
          <w:szCs w:val="28"/>
        </w:rPr>
        <w:t>7.6 Budget</w:t>
      </w:r>
    </w:p>
    <w:p w14:paraId="73E95EDD" w14:textId="77777777" w:rsidR="00DB4AC9" w:rsidRDefault="00DB4AC9" w:rsidP="00DB4AC9">
      <w:r>
        <w:t xml:space="preserve">The budget submitted as part of the annual funding proposals provides the regional center’s best estimate of </w:t>
      </w:r>
      <w:proofErr w:type="gramStart"/>
      <w:r>
        <w:t>expenditures</w:t>
      </w:r>
      <w:proofErr w:type="gramEnd"/>
      <w:r>
        <w:t xml:space="preserve"> required to operate the SBDC program during the following year. The budget </w:t>
      </w:r>
      <w:r>
        <w:lastRenderedPageBreak/>
        <w:t xml:space="preserve">also provides detailed justification for the planned </w:t>
      </w:r>
      <w:proofErr w:type="gramStart"/>
      <w:r>
        <w:t>expenditures</w:t>
      </w:r>
      <w:proofErr w:type="gramEnd"/>
      <w:r>
        <w:t>. The budget is divided into four cost categories: federal funds, state cash match (provided by DEED), grantee cash match, and grantee in-kind and indirect match. The proposal instructions inform the regional center of the amount of federal and state cash match funding it will receive. The regional center budget must then demonstrate sufficient cash and non-cash expenditures to meet its match requirement.</w:t>
      </w:r>
      <w:r>
        <w:rPr>
          <w:vertAlign w:val="superscript"/>
        </w:rPr>
        <w:footnoteReference w:id="159"/>
      </w:r>
    </w:p>
    <w:p w14:paraId="5AE927A4" w14:textId="77777777" w:rsidR="00DB4AC9" w:rsidRDefault="00DB4AC9" w:rsidP="00DB4AC9">
      <w:r>
        <w:t>The budget is also divided into line-item categories, which are established by SBA. These include Personnel, Fringe Benefits, Travel, Equipment, Supplies, Contractual, Consultant and Other Direct. The proposal instructions describe any special requirements applicable to each line item.</w:t>
      </w:r>
    </w:p>
    <w:p w14:paraId="3DA29306" w14:textId="77777777" w:rsidR="00DB4AC9" w:rsidRDefault="00DB4AC9" w:rsidP="00DB4AC9">
      <w:r>
        <w:t>The budget becomes final after the lead center submits the funding proposal to SBA, and SBA accepts it by issuing the Cooperative Agreement. The final budget is incorporated into the grant agreement between DEED and the regional center.</w:t>
      </w:r>
    </w:p>
    <w:p w14:paraId="20EF1BD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5" w:name="_11si5id" w:colFirst="0" w:colLast="0"/>
      <w:bookmarkEnd w:id="155"/>
      <w:r w:rsidRPr="000D565A">
        <w:rPr>
          <w:rFonts w:ascii="Calibri" w:eastAsia="Calibri" w:hAnsi="Calibri" w:cs="Calibri"/>
          <w:b/>
          <w:smallCaps/>
          <w:color w:val="000000"/>
          <w:sz w:val="28"/>
          <w:szCs w:val="28"/>
        </w:rPr>
        <w:t>7.7 Budget Changes</w:t>
      </w:r>
    </w:p>
    <w:p w14:paraId="100C6FC3" w14:textId="77777777" w:rsidR="00DB4AC9" w:rsidRDefault="00DB4AC9" w:rsidP="00DB4AC9">
      <w:r>
        <w:t>Regional centers generally may transfer funds among budget line items so long as cumulative transfers do not exceed ten percent of the total approved budget. If cumulative budget transfers are expected to exceed ten percent of the total approved budget, prior approval of the state director is required.</w:t>
      </w:r>
    </w:p>
    <w:p w14:paraId="48283F17" w14:textId="77777777" w:rsidR="00DB4AC9" w:rsidRDefault="00DB4AC9" w:rsidP="00DB4AC9">
      <w:r>
        <w:t>To request approval of proposed budget changes, the regional director should submit a written request to the state director describing the requested changes and the reason for the changes. A copy of the current approved budget, marked to show requested changes, should be attached to the request.</w:t>
      </w:r>
    </w:p>
    <w:p w14:paraId="4B09387C" w14:textId="77777777" w:rsidR="00DB4AC9" w:rsidRDefault="00DB4AC9" w:rsidP="00DB4AC9">
      <w:r>
        <w:t xml:space="preserve">The state director will review the request and advise the regional director and budget officer in writing of the decision. The lead center will issue </w:t>
      </w:r>
      <w:proofErr w:type="gramStart"/>
      <w:r>
        <w:t>a grant</w:t>
      </w:r>
      <w:proofErr w:type="gramEnd"/>
      <w:r>
        <w:t xml:space="preserve"> adjustment notice if the budget changes result in a reduction of funding. Budget changes resulting from increased funding must be made by formal amendment to the grant contract.</w:t>
      </w:r>
    </w:p>
    <w:p w14:paraId="3BC8D2C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6" w:name="_3ls5o66" w:colFirst="0" w:colLast="0"/>
      <w:bookmarkEnd w:id="156"/>
      <w:r w:rsidRPr="000D565A">
        <w:rPr>
          <w:rFonts w:ascii="Calibri" w:eastAsia="Calibri" w:hAnsi="Calibri" w:cs="Calibri"/>
          <w:b/>
          <w:smallCaps/>
          <w:color w:val="000000"/>
          <w:sz w:val="28"/>
          <w:szCs w:val="28"/>
        </w:rPr>
        <w:t>7.8 Time and Effort Records</w:t>
      </w:r>
    </w:p>
    <w:p w14:paraId="7F94958A"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All employees who charge time and effort to the Minnesota Small Business Development Center</w:t>
      </w:r>
    </w:p>
    <w:p w14:paraId="0239CAFE"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 xml:space="preserve">(MnSBDC) program grant funding (including match funds) </w:t>
      </w:r>
      <w:proofErr w:type="gramStart"/>
      <w:r>
        <w:rPr>
          <w:rFonts w:ascii="Calibri-Light" w:eastAsiaTheme="minorHAnsi" w:hAnsi="Calibri-Light" w:cs="Calibri-Light"/>
          <w:color w:val="auto"/>
          <w:sz w:val="23"/>
          <w:szCs w:val="23"/>
          <w14:ligatures w14:val="standardContextual"/>
        </w:rPr>
        <w:t>are</w:t>
      </w:r>
      <w:proofErr w:type="gramEnd"/>
      <w:r>
        <w:rPr>
          <w:rFonts w:ascii="Calibri-Light" w:eastAsiaTheme="minorHAnsi" w:hAnsi="Calibri-Light" w:cs="Calibri-Light"/>
          <w:color w:val="auto"/>
          <w:sz w:val="23"/>
          <w:szCs w:val="23"/>
          <w14:ligatures w14:val="standardContextual"/>
        </w:rPr>
        <w:t xml:space="preserve"> required to account for their time and</w:t>
      </w:r>
    </w:p>
    <w:p w14:paraId="7E2D2F7D"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effort on the grant project(s) they are assigned to and paid from. Therefore, it is important that staff</w:t>
      </w:r>
    </w:p>
    <w:p w14:paraId="2683B79D"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spend their time on MnSBDC activities, specifically those MnSBDC projects they are assigned. Time</w:t>
      </w:r>
    </w:p>
    <w:p w14:paraId="2627CD7D"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and effort reporting requirements are part of the allowable costs as defined by the U.S. Office of</w:t>
      </w:r>
    </w:p>
    <w:p w14:paraId="60030AE0"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Management and Budget.</w:t>
      </w:r>
    </w:p>
    <w:p w14:paraId="6FC524BD"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Each Service Center (known as Regional Center in the MnSBDC program) host in the network should</w:t>
      </w:r>
    </w:p>
    <w:p w14:paraId="791F600A"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have a system in place for certifying time and effort of MnSBDC employees. Time and Effort</w:t>
      </w:r>
    </w:p>
    <w:p w14:paraId="43B469BA"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Certification documentation for any employee (i.e. full-time, part-time, extra-labor, graduate</w:t>
      </w:r>
    </w:p>
    <w:p w14:paraId="7B48D56A"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assistant, student) paid with MnSBDC program funds must be available as needed for financial</w:t>
      </w:r>
    </w:p>
    <w:p w14:paraId="34304356"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reporting, oversight, and examinations and submitted with quarterly financial reports as required.</w:t>
      </w:r>
    </w:p>
    <w:p w14:paraId="3A940F96"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Personnel expenditures should reasonably reflect the total activity for which the employee is</w:t>
      </w:r>
    </w:p>
    <w:p w14:paraId="5D26C30F"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compensated, not exceeding 100% of compensated activities and should support the distribution of</w:t>
      </w:r>
    </w:p>
    <w:p w14:paraId="331600EC"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the employee's salary or wages among specific activities or cost objectives if the employee works on</w:t>
      </w:r>
    </w:p>
    <w:p w14:paraId="224BCF93" w14:textId="3C335D99" w:rsidR="00DB4AC9" w:rsidRDefault="00361600" w:rsidP="00361600">
      <w:r>
        <w:rPr>
          <w:rFonts w:ascii="Calibri-Light" w:eastAsiaTheme="minorHAnsi" w:hAnsi="Calibri-Light" w:cs="Calibri-Light"/>
          <w:color w:val="auto"/>
          <w:sz w:val="23"/>
          <w:szCs w:val="23"/>
          <w14:ligatures w14:val="standardContextual"/>
        </w:rPr>
        <w:lastRenderedPageBreak/>
        <w:t>more than one federal award</w:t>
      </w:r>
      <w:r w:rsidR="00DB4AC9">
        <w:t>.</w:t>
      </w:r>
      <w:r w:rsidR="00DB4AC9">
        <w:rPr>
          <w:vertAlign w:val="superscript"/>
        </w:rPr>
        <w:footnoteReference w:id="160"/>
      </w:r>
    </w:p>
    <w:p w14:paraId="34E747E9" w14:textId="77777777"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On a quarterly basis, each Regional Center will submit ‘Time and Effort’ reports for all employees</w:t>
      </w:r>
    </w:p>
    <w:p w14:paraId="5A1B6754" w14:textId="17161262" w:rsidR="00361600" w:rsidRDefault="00361600" w:rsidP="00361600">
      <w:pPr>
        <w:autoSpaceDE w:val="0"/>
        <w:autoSpaceDN w:val="0"/>
        <w:adjustRightInd w:val="0"/>
        <w:spacing w:after="0"/>
        <w:rPr>
          <w:rFonts w:ascii="Calibri-Light" w:eastAsiaTheme="minorHAnsi" w:hAnsi="Calibri-Light" w:cs="Calibri-Light"/>
          <w:color w:val="auto"/>
          <w:sz w:val="23"/>
          <w:szCs w:val="23"/>
          <w14:ligatures w14:val="standardContextual"/>
        </w:rPr>
      </w:pPr>
      <w:r>
        <w:rPr>
          <w:rFonts w:ascii="Calibri-Light" w:eastAsiaTheme="minorHAnsi" w:hAnsi="Calibri-Light" w:cs="Calibri-Light"/>
          <w:color w:val="auto"/>
          <w:sz w:val="23"/>
          <w:szCs w:val="23"/>
          <w14:ligatures w14:val="standardContextual"/>
        </w:rPr>
        <w:t xml:space="preserve">that are compensated with program grant funding (including match funds or program income funds). A form is posted on the MnSBDC Intranet website for your use for this purpose. We are beginning this process with the Quarter 1 2024 period (January 2024 through March 2024). Please submit your Q1 2024 Time and Effort reports and </w:t>
      </w:r>
      <w:proofErr w:type="gramStart"/>
      <w:r>
        <w:rPr>
          <w:rFonts w:ascii="Calibri-Light" w:eastAsiaTheme="minorHAnsi" w:hAnsi="Calibri-Light" w:cs="Calibri-Light"/>
          <w:color w:val="auto"/>
          <w:sz w:val="23"/>
          <w:szCs w:val="23"/>
          <w14:ligatures w14:val="standardContextual"/>
        </w:rPr>
        <w:t>going</w:t>
      </w:r>
      <w:proofErr w:type="gramEnd"/>
      <w:r>
        <w:rPr>
          <w:rFonts w:ascii="Calibri-Light" w:eastAsiaTheme="minorHAnsi" w:hAnsi="Calibri-Light" w:cs="Calibri-Light"/>
          <w:color w:val="auto"/>
          <w:sz w:val="23"/>
          <w:szCs w:val="23"/>
          <w14:ligatures w14:val="standardContextual"/>
        </w:rPr>
        <w:t xml:space="preserve"> forward, please include them when you submit your Quarterly Invoices.</w:t>
      </w:r>
    </w:p>
    <w:p w14:paraId="703CC0D8" w14:textId="77777777" w:rsidR="00361600" w:rsidRDefault="00361600" w:rsidP="00361600">
      <w:pPr>
        <w:autoSpaceDE w:val="0"/>
        <w:autoSpaceDN w:val="0"/>
        <w:adjustRightInd w:val="0"/>
        <w:spacing w:after="0"/>
      </w:pPr>
    </w:p>
    <w:p w14:paraId="516710B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57" w:name="_20xfydz" w:colFirst="0" w:colLast="0"/>
      <w:bookmarkEnd w:id="157"/>
      <w:r w:rsidRPr="000D565A">
        <w:rPr>
          <w:rFonts w:ascii="Calibri" w:eastAsia="Calibri" w:hAnsi="Calibri" w:cs="Calibri"/>
          <w:b/>
          <w:smallCaps/>
          <w:color w:val="000000"/>
          <w:sz w:val="28"/>
          <w:szCs w:val="28"/>
        </w:rPr>
        <w:t>7.9 Prior Approval</w:t>
      </w:r>
    </w:p>
    <w:p w14:paraId="79F94645" w14:textId="77777777" w:rsidR="00DB4AC9" w:rsidRDefault="00DB4AC9" w:rsidP="00DB4AC9">
      <w:r>
        <w:t>In addition to budget changes exceeding ten percent of the approved budget, other situations that require prior approval by the state director include:</w:t>
      </w:r>
    </w:p>
    <w:p w14:paraId="6B09C6B1" w14:textId="77777777" w:rsidR="00DB4AC9" w:rsidRDefault="00DB4AC9" w:rsidP="00DB4AC9">
      <w:pPr>
        <w:numPr>
          <w:ilvl w:val="0"/>
          <w:numId w:val="17"/>
        </w:numPr>
        <w:ind w:hanging="360"/>
      </w:pPr>
      <w:r>
        <w:t>Opening a new budget line item.</w:t>
      </w:r>
    </w:p>
    <w:p w14:paraId="7118576E" w14:textId="77777777" w:rsidR="00DB4AC9" w:rsidRDefault="00DB4AC9" w:rsidP="00DB4AC9">
      <w:pPr>
        <w:numPr>
          <w:ilvl w:val="0"/>
          <w:numId w:val="17"/>
        </w:numPr>
        <w:ind w:hanging="360"/>
      </w:pPr>
      <w:r>
        <w:t>Purchase of equipment not approved in the Cooperative Agreement.</w:t>
      </w:r>
    </w:p>
    <w:p w14:paraId="4DDEFCCA" w14:textId="77777777" w:rsidR="00DB4AC9" w:rsidRDefault="00DB4AC9" w:rsidP="00DB4AC9">
      <w:pPr>
        <w:numPr>
          <w:ilvl w:val="0"/>
          <w:numId w:val="17"/>
        </w:numPr>
        <w:ind w:hanging="360"/>
      </w:pPr>
      <w:r>
        <w:t xml:space="preserve">Out of state travel </w:t>
      </w:r>
      <w:proofErr w:type="gramStart"/>
      <w:r>
        <w:t>not</w:t>
      </w:r>
      <w:proofErr w:type="gramEnd"/>
      <w:r>
        <w:t xml:space="preserve"> approved in the Cooperative Agreement.</w:t>
      </w:r>
    </w:p>
    <w:p w14:paraId="7E94A586" w14:textId="77777777" w:rsidR="00DB4AC9" w:rsidRDefault="00DB4AC9" w:rsidP="00DB4AC9">
      <w:pPr>
        <w:numPr>
          <w:ilvl w:val="0"/>
          <w:numId w:val="17"/>
        </w:numPr>
        <w:ind w:hanging="360"/>
      </w:pPr>
      <w:r>
        <w:t>Sole-source procurement of goods or services not approved in the Cooperative Agreement.</w:t>
      </w:r>
    </w:p>
    <w:p w14:paraId="279F0536" w14:textId="77777777" w:rsidR="00DB4AC9" w:rsidRDefault="00DB4AC9" w:rsidP="00DB4AC9">
      <w:pPr>
        <w:numPr>
          <w:ilvl w:val="0"/>
          <w:numId w:val="17"/>
        </w:numPr>
        <w:ind w:hanging="360"/>
      </w:pPr>
      <w:r>
        <w:t>Payment of administrative costs or overhead from federal or state (DEED) funds.</w:t>
      </w:r>
    </w:p>
    <w:p w14:paraId="1A97A217" w14:textId="77777777" w:rsidR="00DB4AC9" w:rsidRDefault="00DB4AC9" w:rsidP="00DB4AC9">
      <w:pPr>
        <w:numPr>
          <w:ilvl w:val="0"/>
          <w:numId w:val="17"/>
        </w:numPr>
        <w:ind w:hanging="360"/>
      </w:pPr>
      <w:r>
        <w:t>Sponsorship of other federally funded programs.</w:t>
      </w:r>
    </w:p>
    <w:p w14:paraId="46320C0B" w14:textId="77777777" w:rsidR="00DB4AC9" w:rsidRDefault="00DB4AC9" w:rsidP="00DB4AC9">
      <w:r>
        <w:t xml:space="preserve">All matters requiring prior approval must be requested initially </w:t>
      </w:r>
      <w:proofErr w:type="gramStart"/>
      <w:r>
        <w:t>of</w:t>
      </w:r>
      <w:proofErr w:type="gramEnd"/>
      <w:r>
        <w:t xml:space="preserve"> the state director. Where necessary, the state director will forward the request with a recommendation to the SBDC project officer in the Minneapolis district office or to the grants management specialist in SBA’s Washington, D.C. office.</w:t>
      </w:r>
      <w:r>
        <w:rPr>
          <w:vertAlign w:val="superscript"/>
        </w:rPr>
        <w:footnoteReference w:id="161"/>
      </w:r>
    </w:p>
    <w:p w14:paraId="0904EAF9" w14:textId="77777777" w:rsidR="00DB4AC9" w:rsidRDefault="00DB4AC9" w:rsidP="00DB4AC9">
      <w:r>
        <w:t xml:space="preserve">The request should provide sufficient information to enable the state director to </w:t>
      </w:r>
      <w:proofErr w:type="gramStart"/>
      <w:r>
        <w:t>make a decision</w:t>
      </w:r>
      <w:proofErr w:type="gramEnd"/>
      <w:r>
        <w:t xml:space="preserve"> or forward the request to SBA.</w:t>
      </w:r>
    </w:p>
    <w:p w14:paraId="1CB7184B" w14:textId="77777777" w:rsidR="00DB4AC9" w:rsidRPr="00472E95" w:rsidRDefault="00DB4AC9" w:rsidP="00DB4AC9">
      <w:pPr>
        <w:pStyle w:val="Heading4"/>
        <w:ind w:left="360"/>
        <w:rPr>
          <w:b/>
          <w:bCs/>
          <w:color w:val="000000" w:themeColor="text1"/>
        </w:rPr>
      </w:pPr>
      <w:bookmarkStart w:id="158" w:name="_4kx3h1s" w:colFirst="0" w:colLast="0"/>
      <w:bookmarkEnd w:id="158"/>
      <w:r w:rsidRPr="00472E95">
        <w:rPr>
          <w:b/>
          <w:bCs/>
          <w:color w:val="000000" w:themeColor="text1"/>
        </w:rPr>
        <w:t>7.9.1 Equipment</w:t>
      </w:r>
    </w:p>
    <w:p w14:paraId="372BB3D0" w14:textId="77777777" w:rsidR="00DB4AC9" w:rsidRDefault="00DB4AC9" w:rsidP="00DB4AC9">
      <w:r>
        <w:t>Requests for approval of equipment should:</w:t>
      </w:r>
    </w:p>
    <w:p w14:paraId="229DFFBE" w14:textId="77777777" w:rsidR="00DB4AC9" w:rsidRDefault="00DB4AC9" w:rsidP="00DB4AC9">
      <w:pPr>
        <w:numPr>
          <w:ilvl w:val="0"/>
          <w:numId w:val="17"/>
        </w:numPr>
        <w:ind w:hanging="360"/>
      </w:pPr>
      <w:r>
        <w:t>Describe the need.</w:t>
      </w:r>
    </w:p>
    <w:p w14:paraId="2268D2F3" w14:textId="77777777" w:rsidR="00DB4AC9" w:rsidRDefault="00DB4AC9" w:rsidP="00DB4AC9">
      <w:pPr>
        <w:numPr>
          <w:ilvl w:val="0"/>
          <w:numId w:val="17"/>
        </w:numPr>
        <w:ind w:hanging="360"/>
      </w:pPr>
      <w:r>
        <w:t>Describe the equipment (type, model, etc.).</w:t>
      </w:r>
    </w:p>
    <w:p w14:paraId="2A716D39" w14:textId="77777777" w:rsidR="00DB4AC9" w:rsidRDefault="00DB4AC9" w:rsidP="00DB4AC9">
      <w:pPr>
        <w:numPr>
          <w:ilvl w:val="0"/>
          <w:numId w:val="17"/>
        </w:numPr>
        <w:ind w:hanging="360"/>
      </w:pPr>
      <w:r>
        <w:t>Provide the estimated cost.</w:t>
      </w:r>
    </w:p>
    <w:p w14:paraId="5C77FF58" w14:textId="77777777" w:rsidR="00DB4AC9" w:rsidRDefault="00DB4AC9" w:rsidP="00DB4AC9">
      <w:pPr>
        <w:numPr>
          <w:ilvl w:val="0"/>
          <w:numId w:val="17"/>
        </w:numPr>
        <w:ind w:hanging="360"/>
      </w:pPr>
      <w:r>
        <w:t>Identify the source of funds (by state policy, equipment must be purchased from local cash match or program income funds).</w:t>
      </w:r>
    </w:p>
    <w:p w14:paraId="028BB26E" w14:textId="77777777" w:rsidR="00DB4AC9" w:rsidRDefault="00DB4AC9" w:rsidP="00DB4AC9">
      <w:pPr>
        <w:numPr>
          <w:ilvl w:val="0"/>
          <w:numId w:val="17"/>
        </w:numPr>
        <w:ind w:hanging="360"/>
      </w:pPr>
      <w:r>
        <w:t>Provide assurance the host institution’s equipment acquisition procedures will be used.</w:t>
      </w:r>
    </w:p>
    <w:p w14:paraId="4448E92C" w14:textId="77777777" w:rsidR="00DB4AC9" w:rsidRDefault="00DB4AC9" w:rsidP="00DB4AC9">
      <w:r>
        <w:lastRenderedPageBreak/>
        <w:t>Requests to dispose of obsolete or unneeded equipment should follow the procedure described in the “Equipment Disposition” section of this manual.</w:t>
      </w:r>
    </w:p>
    <w:p w14:paraId="3C261434" w14:textId="77777777" w:rsidR="00DB4AC9" w:rsidRPr="00472E95" w:rsidRDefault="00DB4AC9" w:rsidP="00DB4AC9">
      <w:pPr>
        <w:pStyle w:val="Heading4"/>
        <w:ind w:left="360"/>
        <w:rPr>
          <w:b/>
          <w:bCs/>
          <w:color w:val="000000" w:themeColor="text1"/>
        </w:rPr>
      </w:pPr>
      <w:bookmarkStart w:id="159" w:name="_302dr9l" w:colFirst="0" w:colLast="0"/>
      <w:bookmarkEnd w:id="159"/>
      <w:r w:rsidRPr="00472E95">
        <w:rPr>
          <w:b/>
          <w:bCs/>
          <w:color w:val="000000" w:themeColor="text1"/>
        </w:rPr>
        <w:t>7.9.2 Out-of-State Travel</w:t>
      </w:r>
    </w:p>
    <w:p w14:paraId="1BE1E9DB" w14:textId="77777777" w:rsidR="00DB4AC9" w:rsidRDefault="00DB4AC9" w:rsidP="00DB4AC9">
      <w:r>
        <w:t>Requests for approval of out-of-state travel should:</w:t>
      </w:r>
    </w:p>
    <w:p w14:paraId="44D53DAA" w14:textId="77777777" w:rsidR="00DB4AC9" w:rsidRDefault="00DB4AC9" w:rsidP="00DB4AC9">
      <w:pPr>
        <w:numPr>
          <w:ilvl w:val="0"/>
          <w:numId w:val="17"/>
        </w:numPr>
        <w:ind w:hanging="360"/>
      </w:pPr>
      <w:r>
        <w:t xml:space="preserve">Describe the reason for the planned </w:t>
      </w:r>
      <w:proofErr w:type="gramStart"/>
      <w:r>
        <w:t>travel</w:t>
      </w:r>
      <w:proofErr w:type="gramEnd"/>
      <w:r>
        <w:t>.</w:t>
      </w:r>
    </w:p>
    <w:p w14:paraId="43AB8B0F" w14:textId="77777777" w:rsidR="00DB4AC9" w:rsidRDefault="00DB4AC9" w:rsidP="00DB4AC9">
      <w:pPr>
        <w:numPr>
          <w:ilvl w:val="0"/>
          <w:numId w:val="17"/>
        </w:numPr>
        <w:ind w:hanging="360"/>
      </w:pPr>
      <w:r>
        <w:t xml:space="preserve">Describe the </w:t>
      </w:r>
      <w:proofErr w:type="gramStart"/>
      <w:r>
        <w:t>benefit</w:t>
      </w:r>
      <w:proofErr w:type="gramEnd"/>
      <w:r>
        <w:t xml:space="preserve"> to the SBDC program and the small business community.</w:t>
      </w:r>
    </w:p>
    <w:p w14:paraId="2702924C" w14:textId="77777777" w:rsidR="00DB4AC9" w:rsidRDefault="00DB4AC9" w:rsidP="00DB4AC9">
      <w:pPr>
        <w:numPr>
          <w:ilvl w:val="0"/>
          <w:numId w:val="17"/>
        </w:numPr>
        <w:ind w:hanging="360"/>
      </w:pPr>
      <w:r>
        <w:t xml:space="preserve">Provide the dates of the planned </w:t>
      </w:r>
      <w:proofErr w:type="gramStart"/>
      <w:r>
        <w:t>travel</w:t>
      </w:r>
      <w:proofErr w:type="gramEnd"/>
      <w:r>
        <w:t>.</w:t>
      </w:r>
    </w:p>
    <w:p w14:paraId="28B32AE7" w14:textId="77777777" w:rsidR="00DB4AC9" w:rsidRDefault="00DB4AC9" w:rsidP="00DB4AC9">
      <w:pPr>
        <w:numPr>
          <w:ilvl w:val="0"/>
          <w:numId w:val="17"/>
        </w:numPr>
        <w:ind w:hanging="360"/>
      </w:pPr>
      <w:r>
        <w:t>Identify who will be traveling.</w:t>
      </w:r>
    </w:p>
    <w:p w14:paraId="7C81A9B8" w14:textId="77777777" w:rsidR="00DB4AC9" w:rsidRDefault="00DB4AC9" w:rsidP="00DB4AC9">
      <w:pPr>
        <w:numPr>
          <w:ilvl w:val="0"/>
          <w:numId w:val="17"/>
        </w:numPr>
        <w:ind w:hanging="360"/>
      </w:pPr>
      <w:r>
        <w:t>Provide a general breakdown of costs (air fare, hotel, meals, conference registration, other).</w:t>
      </w:r>
    </w:p>
    <w:p w14:paraId="1558F4D4" w14:textId="77777777" w:rsidR="00DB4AC9" w:rsidRDefault="00DB4AC9" w:rsidP="00DB4AC9">
      <w:pPr>
        <w:numPr>
          <w:ilvl w:val="0"/>
          <w:numId w:val="17"/>
        </w:numPr>
        <w:ind w:hanging="360"/>
      </w:pPr>
      <w:r>
        <w:t>Identify the source of funds (generally should be from local cash match or program income funds).</w:t>
      </w:r>
    </w:p>
    <w:p w14:paraId="10B51B98" w14:textId="77777777" w:rsidR="00DB4AC9" w:rsidRDefault="00DB4AC9" w:rsidP="00DB4AC9">
      <w:pPr>
        <w:numPr>
          <w:ilvl w:val="0"/>
          <w:numId w:val="17"/>
        </w:numPr>
        <w:ind w:hanging="360"/>
      </w:pPr>
      <w:r>
        <w:t>For recurring out of state travel commitments, such as visits to a neighboring state for coordination of services, a blanket approval may be requested for the program year</w:t>
      </w:r>
    </w:p>
    <w:p w14:paraId="0EF06100" w14:textId="77777777" w:rsidR="00DB4AC9" w:rsidRDefault="00DB4AC9" w:rsidP="00DB4AC9">
      <w:r>
        <w:t>Travel outside the United States must have prior approval of SBA’s Associate Administrator for SBDCs, located in the SBA Washington, D.C., office.</w:t>
      </w:r>
      <w:r>
        <w:rPr>
          <w:vertAlign w:val="superscript"/>
        </w:rPr>
        <w:footnoteReference w:id="162"/>
      </w:r>
      <w:r>
        <w:t xml:space="preserve"> All proposed travel must use coach class, apply directly to specific work of the SBDC or be incurred in the normal course of SBDC program administration, and conform to the written travel policies of the host institution or the sponsoring SBDC organization.</w:t>
      </w:r>
      <w:r>
        <w:rPr>
          <w:vertAlign w:val="superscript"/>
        </w:rPr>
        <w:footnoteReference w:id="163"/>
      </w:r>
    </w:p>
    <w:p w14:paraId="36C5FB1E" w14:textId="77777777" w:rsidR="00DB4AC9" w:rsidRPr="00472E95" w:rsidRDefault="00DB4AC9" w:rsidP="00DB4AC9">
      <w:pPr>
        <w:pStyle w:val="Heading4"/>
        <w:ind w:left="360"/>
        <w:rPr>
          <w:b/>
          <w:bCs/>
          <w:color w:val="000000" w:themeColor="text1"/>
        </w:rPr>
      </w:pPr>
      <w:bookmarkStart w:id="160" w:name="_1f7o1he" w:colFirst="0" w:colLast="0"/>
      <w:bookmarkEnd w:id="160"/>
      <w:r w:rsidRPr="00472E95">
        <w:rPr>
          <w:b/>
          <w:bCs/>
          <w:color w:val="000000" w:themeColor="text1"/>
        </w:rPr>
        <w:t>7.9.3 Sole Source Procurement</w:t>
      </w:r>
    </w:p>
    <w:p w14:paraId="643F77A0" w14:textId="77777777" w:rsidR="00DB4AC9" w:rsidRDefault="00DB4AC9" w:rsidP="00DB4AC9">
      <w:r>
        <w:t xml:space="preserve">Where possible, products and services should be purchased on a competitive basis. This includes purchase of </w:t>
      </w:r>
      <w:proofErr w:type="gramStart"/>
      <w:r>
        <w:t>consultant</w:t>
      </w:r>
      <w:proofErr w:type="gramEnd"/>
      <w:r>
        <w:t xml:space="preserve"> and contractual services.</w:t>
      </w:r>
      <w:r>
        <w:rPr>
          <w:vertAlign w:val="superscript"/>
        </w:rPr>
        <w:footnoteReference w:id="164"/>
      </w:r>
      <w:r>
        <w:t>The host institution’s policy regarding competitive selection should be followed. In the rare circumstances where sole source procurements are necessary, the request for approval should:</w:t>
      </w:r>
    </w:p>
    <w:p w14:paraId="71DD2B22" w14:textId="77777777" w:rsidR="00DB4AC9" w:rsidRDefault="00DB4AC9" w:rsidP="00DB4AC9">
      <w:pPr>
        <w:numPr>
          <w:ilvl w:val="0"/>
          <w:numId w:val="17"/>
        </w:numPr>
        <w:ind w:hanging="360"/>
      </w:pPr>
      <w:r>
        <w:t xml:space="preserve">Describe the product or service to be </w:t>
      </w:r>
      <w:proofErr w:type="gramStart"/>
      <w:r>
        <w:t>purchased;</w:t>
      </w:r>
      <w:proofErr w:type="gramEnd"/>
    </w:p>
    <w:p w14:paraId="4CCCBAC6" w14:textId="77777777" w:rsidR="00DB4AC9" w:rsidRDefault="00DB4AC9" w:rsidP="00DB4AC9">
      <w:pPr>
        <w:numPr>
          <w:ilvl w:val="0"/>
          <w:numId w:val="17"/>
        </w:numPr>
        <w:ind w:hanging="360"/>
      </w:pPr>
      <w:r>
        <w:t xml:space="preserve">Explain why a competitive process will not achieve the desired </w:t>
      </w:r>
      <w:proofErr w:type="gramStart"/>
      <w:r>
        <w:t>result;</w:t>
      </w:r>
      <w:proofErr w:type="gramEnd"/>
    </w:p>
    <w:p w14:paraId="65262ED8" w14:textId="77777777" w:rsidR="00DB4AC9" w:rsidRDefault="00DB4AC9" w:rsidP="00DB4AC9">
      <w:pPr>
        <w:numPr>
          <w:ilvl w:val="0"/>
          <w:numId w:val="17"/>
        </w:numPr>
        <w:ind w:hanging="360"/>
      </w:pPr>
      <w:r>
        <w:t xml:space="preserve">Explain how the sole source procurement benefits the SBDC </w:t>
      </w:r>
      <w:proofErr w:type="gramStart"/>
      <w:r>
        <w:t>program;</w:t>
      </w:r>
      <w:proofErr w:type="gramEnd"/>
    </w:p>
    <w:p w14:paraId="04E00A69" w14:textId="77777777" w:rsidR="00DB4AC9" w:rsidRDefault="00DB4AC9" w:rsidP="00DB4AC9">
      <w:pPr>
        <w:numPr>
          <w:ilvl w:val="0"/>
          <w:numId w:val="17"/>
        </w:numPr>
        <w:ind w:hanging="360"/>
      </w:pPr>
      <w:r>
        <w:t xml:space="preserve">Describe the special qualities or qualifications of the proposed product or </w:t>
      </w:r>
      <w:proofErr w:type="gramStart"/>
      <w:r>
        <w:t>service;</w:t>
      </w:r>
      <w:proofErr w:type="gramEnd"/>
    </w:p>
    <w:p w14:paraId="21FC0DE0" w14:textId="77777777" w:rsidR="00DB4AC9" w:rsidRDefault="00DB4AC9" w:rsidP="00DB4AC9">
      <w:pPr>
        <w:numPr>
          <w:ilvl w:val="0"/>
          <w:numId w:val="17"/>
        </w:numPr>
        <w:ind w:hanging="360"/>
      </w:pPr>
      <w:r>
        <w:t>Provide any other information supporting use of the sole source selection.</w:t>
      </w:r>
    </w:p>
    <w:p w14:paraId="5DAD18E6" w14:textId="77777777" w:rsidR="00DB4AC9" w:rsidRDefault="00DB4AC9" w:rsidP="00DB4AC9">
      <w:pPr>
        <w:pStyle w:val="Heading4"/>
        <w:ind w:left="360"/>
      </w:pPr>
      <w:bookmarkStart w:id="161" w:name="_3z7bk57" w:colFirst="0" w:colLast="0"/>
      <w:bookmarkEnd w:id="161"/>
      <w:r>
        <w:t xml:space="preserve">7.9.4 Sponsorship of Other </w:t>
      </w:r>
      <w:proofErr w:type="gramStart"/>
      <w:r>
        <w:t>Federally-Funded</w:t>
      </w:r>
      <w:proofErr w:type="gramEnd"/>
      <w:r>
        <w:t xml:space="preserve"> Programs</w:t>
      </w:r>
    </w:p>
    <w:p w14:paraId="54A1172E" w14:textId="77777777" w:rsidR="00DB4AC9" w:rsidRDefault="00DB4AC9" w:rsidP="00DB4AC9">
      <w:r>
        <w:t xml:space="preserve">Proposed contracts, grants and cooperative agreements between an SBDC and other federal agencies, either individually or as part of a joint effort with other parties, must be approved by the SBA Washington office before </w:t>
      </w:r>
      <w:proofErr w:type="gramStart"/>
      <w:r>
        <w:t>submitting an application</w:t>
      </w:r>
      <w:proofErr w:type="gramEnd"/>
      <w:r>
        <w:t xml:space="preserve"> for the proposed contract, grant or cooperative agreement. The SBDC must demonstrate that its performance of the agreement will assist small business concerns without hindering its ability to perform its obligations under the Cooperative </w:t>
      </w:r>
      <w:r>
        <w:lastRenderedPageBreak/>
        <w:t>Agreement with SBA.</w:t>
      </w:r>
      <w:r>
        <w:rPr>
          <w:vertAlign w:val="superscript"/>
        </w:rPr>
        <w:footnoteReference w:id="165"/>
      </w:r>
      <w:r>
        <w:t xml:space="preserve"> The SBA Washington office has indicated that approval is required if performance of the federal contract, grant or cooperative agreement will be under the management of the SBDC director or other individual whose time is charged to the SBDC program and SBDC personnel will be used in performing the work. The SBA Washington office has further indicated that the requirement applies to all SBDC service centers.</w:t>
      </w:r>
    </w:p>
    <w:p w14:paraId="43032191" w14:textId="77777777" w:rsidR="00DB4AC9" w:rsidRDefault="00DB4AC9" w:rsidP="00DB4AC9">
      <w:r>
        <w:t xml:space="preserve">Note </w:t>
      </w:r>
      <w:proofErr w:type="gramStart"/>
      <w:r>
        <w:t>also,</w:t>
      </w:r>
      <w:proofErr w:type="gramEnd"/>
      <w:r>
        <w:t xml:space="preserve"> that the State of Minnesota has a strict financial process in place that requires prior approval </w:t>
      </w:r>
    </w:p>
    <w:p w14:paraId="6A2B9A0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62" w:name="_2eclud0" w:colFirst="0" w:colLast="0"/>
      <w:bookmarkEnd w:id="162"/>
      <w:r w:rsidRPr="000D565A">
        <w:rPr>
          <w:rFonts w:ascii="Calibri" w:eastAsia="Calibri" w:hAnsi="Calibri" w:cs="Calibri"/>
          <w:b/>
          <w:smallCaps/>
          <w:color w:val="000000"/>
          <w:sz w:val="28"/>
          <w:szCs w:val="28"/>
        </w:rPr>
        <w:t>7.10 Limitations on Specific Items of Direct Cost</w:t>
      </w:r>
    </w:p>
    <w:p w14:paraId="25C1F7E2" w14:textId="77777777" w:rsidR="00DB4AC9" w:rsidRDefault="00DB4AC9" w:rsidP="00DB4AC9">
      <w:r>
        <w:t>All program expenditures are subject to SBA requirements and limitations found in the applicable Office of Management and Budget circulars.</w:t>
      </w:r>
      <w:r>
        <w:rPr>
          <w:vertAlign w:val="superscript"/>
        </w:rPr>
        <w:footnoteReference w:id="166"/>
      </w:r>
      <w:r>
        <w:t xml:space="preserve"> The Cooperative Agreement identifies certain specific items of direct cost for which no program funds (federal, state, match or program income) may be used.</w:t>
      </w:r>
      <w:r>
        <w:rPr>
          <w:vertAlign w:val="superscript"/>
        </w:rPr>
        <w:footnoteReference w:id="167"/>
      </w:r>
      <w:r>
        <w:t xml:space="preserve"> These include funds:</w:t>
      </w:r>
    </w:p>
    <w:p w14:paraId="1D4F690D" w14:textId="77777777" w:rsidR="00DB4AC9" w:rsidRDefault="00DB4AC9" w:rsidP="00DB4AC9">
      <w:pPr>
        <w:numPr>
          <w:ilvl w:val="0"/>
          <w:numId w:val="17"/>
        </w:numPr>
        <w:ind w:hanging="360"/>
      </w:pPr>
      <w:r>
        <w:t>To create or supplement a reserve or contingency fund or account.</w:t>
      </w:r>
    </w:p>
    <w:p w14:paraId="0A7DEA4C" w14:textId="77777777" w:rsidR="00DB4AC9" w:rsidRDefault="00DB4AC9" w:rsidP="00DB4AC9">
      <w:pPr>
        <w:numPr>
          <w:ilvl w:val="0"/>
          <w:numId w:val="17"/>
        </w:numPr>
        <w:ind w:hanging="360"/>
      </w:pPr>
      <w:r>
        <w:t>To provide financial assistance, including but not limited to sub-grants and seed money for business ventures, unless authorized by statute.</w:t>
      </w:r>
    </w:p>
    <w:p w14:paraId="1B921F88" w14:textId="77777777" w:rsidR="00DB4AC9" w:rsidRDefault="00DB4AC9" w:rsidP="00DB4AC9">
      <w:pPr>
        <w:numPr>
          <w:ilvl w:val="0"/>
          <w:numId w:val="17"/>
        </w:numPr>
        <w:ind w:hanging="360"/>
      </w:pPr>
      <w:r>
        <w:t>For the cost of promotional items and memorabilia including models, gifts, prizes and souvenirs.</w:t>
      </w:r>
    </w:p>
    <w:p w14:paraId="4FD0678B" w14:textId="77777777" w:rsidR="00DB4AC9" w:rsidRDefault="00DB4AC9" w:rsidP="00DB4AC9">
      <w:pPr>
        <w:numPr>
          <w:ilvl w:val="0"/>
          <w:numId w:val="17"/>
        </w:numPr>
        <w:ind w:hanging="360"/>
      </w:pPr>
      <w:r>
        <w:t>For costs of entertainment, including alcoholic beverages, amusement, diversion and social activities, and any costs directly associated with such costs (such as tickets to shows or sports events, meals, lodging, rentals, transportation and gratuities).</w:t>
      </w:r>
    </w:p>
    <w:p w14:paraId="09210FBF" w14:textId="77777777" w:rsidR="00DB4AC9" w:rsidRDefault="00DB4AC9" w:rsidP="00DB4AC9">
      <w:pPr>
        <w:numPr>
          <w:ilvl w:val="0"/>
          <w:numId w:val="17"/>
        </w:numPr>
        <w:ind w:hanging="360"/>
      </w:pPr>
      <w:r>
        <w:t>For contributions and donations (including cash, property and services) or similar gratuitous transfers of funds or of goods or property purchased with award funds by Recipient to others.</w:t>
      </w:r>
    </w:p>
    <w:p w14:paraId="5465DA78" w14:textId="77777777" w:rsidR="00DB4AC9" w:rsidRDefault="00DB4AC9" w:rsidP="00DB4AC9">
      <w:pPr>
        <w:numPr>
          <w:ilvl w:val="0"/>
          <w:numId w:val="17"/>
        </w:numPr>
        <w:ind w:hanging="360"/>
      </w:pPr>
      <w:proofErr w:type="gramStart"/>
      <w:r>
        <w:t>For the purpose of</w:t>
      </w:r>
      <w:proofErr w:type="gramEnd"/>
      <w:r>
        <w:t xml:space="preserve"> fund-raising.</w:t>
      </w:r>
    </w:p>
    <w:p w14:paraId="627AFD64" w14:textId="77777777" w:rsidR="00DB4AC9" w:rsidRDefault="00DB4AC9" w:rsidP="00DB4AC9">
      <w:pPr>
        <w:numPr>
          <w:ilvl w:val="0"/>
          <w:numId w:val="17"/>
        </w:numPr>
        <w:ind w:hanging="360"/>
      </w:pPr>
      <w:r>
        <w:t>For lobbying as set forth in applicable OMB circulars.</w:t>
      </w:r>
    </w:p>
    <w:p w14:paraId="2357D054" w14:textId="77777777" w:rsidR="00DB4AC9" w:rsidRDefault="00DB4AC9" w:rsidP="00DB4AC9">
      <w:pPr>
        <w:numPr>
          <w:ilvl w:val="0"/>
          <w:numId w:val="17"/>
        </w:numPr>
        <w:ind w:hanging="360"/>
      </w:pPr>
      <w:r>
        <w:t xml:space="preserve">For membership fees or dues in any civic or community organization (except for non-profit entities, refer to 2 CFR 230, 30), country club, social or dining club or organization. </w:t>
      </w:r>
    </w:p>
    <w:p w14:paraId="7ADFE8AD" w14:textId="77777777" w:rsidR="00DB4AC9" w:rsidRDefault="00DB4AC9" w:rsidP="00DB4AC9">
      <w:pPr>
        <w:numPr>
          <w:ilvl w:val="0"/>
          <w:numId w:val="17"/>
        </w:numPr>
        <w:ind w:hanging="360"/>
      </w:pPr>
      <w:r>
        <w:t>For individual membership fees or dues in business, technical, and professional organizations.</w:t>
      </w:r>
    </w:p>
    <w:p w14:paraId="7AEE1D9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63" w:name="_thw4kt" w:colFirst="0" w:colLast="0"/>
      <w:bookmarkEnd w:id="163"/>
      <w:r w:rsidRPr="000D565A">
        <w:rPr>
          <w:rFonts w:ascii="Calibri" w:eastAsia="Calibri" w:hAnsi="Calibri" w:cs="Calibri"/>
          <w:b/>
          <w:smallCaps/>
          <w:color w:val="000000"/>
          <w:sz w:val="28"/>
          <w:szCs w:val="28"/>
        </w:rPr>
        <w:t>7.11 Indirect Costs</w:t>
      </w:r>
    </w:p>
    <w:p w14:paraId="1BF24E07" w14:textId="77777777" w:rsidR="00DB4AC9" w:rsidRDefault="00DB4AC9" w:rsidP="00DB4AC9">
      <w:r>
        <w:t>By state policy, SBDCs may not recover indirect costs from contract (federal or state) funds. Indirect costs may, however, be used as additional match. As required by the policy, if the host institution waives collection of indirect costs the indirect costs are considered in-kind match.</w:t>
      </w:r>
    </w:p>
    <w:p w14:paraId="39A8151F" w14:textId="77777777" w:rsidR="00DB4AC9" w:rsidRDefault="00DB4AC9" w:rsidP="00DB4AC9">
      <w:r>
        <w:t>Indirect costs must be established in accordance with Office of Management and Budget cost principles.</w:t>
      </w:r>
      <w:r>
        <w:rPr>
          <w:vertAlign w:val="superscript"/>
        </w:rPr>
        <w:footnoteReference w:id="168"/>
      </w:r>
      <w:r>
        <w:t xml:space="preserve"> The center’s treatment of costs must be consistent with acceptable accounting procedures and in accordance with a current indirect cost agreement negotiated by the host institution with its cognizant Federal agency. The cognizant Federal agency generally is the Federal agency from which the </w:t>
      </w:r>
      <w:r>
        <w:lastRenderedPageBreak/>
        <w:t>host institution receives the greatest amount of federal funding. If the host institution does not have a current indirect cost rate agreement and does not have a cognizant Federal agency, an indirect cost rate agreement for purposes of the SBDC program may be negotiated with the SBA. Requests are processed through the lead center.</w:t>
      </w:r>
    </w:p>
    <w:p w14:paraId="003F110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64" w:name="_3dhjn8m" w:colFirst="0" w:colLast="0"/>
      <w:bookmarkEnd w:id="164"/>
      <w:r w:rsidRPr="000D565A">
        <w:rPr>
          <w:rFonts w:ascii="Calibri" w:eastAsia="Calibri" w:hAnsi="Calibri" w:cs="Calibri"/>
          <w:b/>
          <w:smallCaps/>
          <w:color w:val="000000"/>
          <w:sz w:val="28"/>
          <w:szCs w:val="28"/>
        </w:rPr>
        <w:t>7.12 Grant Process</w:t>
      </w:r>
    </w:p>
    <w:p w14:paraId="0E7D911D" w14:textId="77777777" w:rsidR="00DB4AC9" w:rsidRDefault="00DB4AC9" w:rsidP="00DB4AC9">
      <w:r>
        <w:t>Federal funds provided by SBA and state funds provided by DEED are awarded to regional centers through grant contracts. The grant contracts specify the amount of funds, program deliverables and other requirements applicable to regional centers, and the budget. A copy of the current grant contract is provided in the tabbed section of this agreement.</w:t>
      </w:r>
    </w:p>
    <w:p w14:paraId="0234CF45" w14:textId="77777777" w:rsidR="00DB4AC9" w:rsidRDefault="00DB4AC9" w:rsidP="00DB4AC9">
      <w:r w:rsidRPr="00AD6AC8">
        <w:rPr>
          <w:highlight w:val="yellow"/>
        </w:rPr>
        <w:t>A draft of the grant contract for the next year is provided to each regional center in mid-November of the previous year</w:t>
      </w:r>
      <w:r>
        <w:t xml:space="preserve">. If the grant contract is acceptable to the host institution, the lead center prepares the final version of the </w:t>
      </w:r>
      <w:proofErr w:type="gramStart"/>
      <w:r>
        <w:t>contract, and</w:t>
      </w:r>
      <w:proofErr w:type="gramEnd"/>
      <w:r>
        <w:t xml:space="preserve"> executes internal DEED processes to encumber the funds. These processes include:</w:t>
      </w:r>
    </w:p>
    <w:p w14:paraId="3F0041B8" w14:textId="77777777" w:rsidR="00DB4AC9" w:rsidRDefault="00DB4AC9" w:rsidP="00DB4AC9">
      <w:pPr>
        <w:numPr>
          <w:ilvl w:val="0"/>
          <w:numId w:val="17"/>
        </w:numPr>
        <w:ind w:hanging="360"/>
      </w:pPr>
      <w:r>
        <w:t>Preparing a grant cover sheet.</w:t>
      </w:r>
    </w:p>
    <w:p w14:paraId="07E60FF7" w14:textId="77777777" w:rsidR="00DB4AC9" w:rsidRDefault="00DB4AC9" w:rsidP="00DB4AC9">
      <w:pPr>
        <w:numPr>
          <w:ilvl w:val="0"/>
          <w:numId w:val="17"/>
        </w:numPr>
        <w:ind w:hanging="360"/>
      </w:pPr>
      <w:r>
        <w:t>Obtaining internal DEED approvals.</w:t>
      </w:r>
    </w:p>
    <w:p w14:paraId="1FFF2470" w14:textId="77777777" w:rsidR="00DB4AC9" w:rsidRDefault="00DB4AC9" w:rsidP="00DB4AC9">
      <w:pPr>
        <w:numPr>
          <w:ilvl w:val="0"/>
          <w:numId w:val="17"/>
        </w:numPr>
        <w:ind w:hanging="360"/>
      </w:pPr>
      <w:r>
        <w:t xml:space="preserve">Entering the grant budget information in </w:t>
      </w:r>
      <w:proofErr w:type="gramStart"/>
      <w:r>
        <w:t>the DEED’s</w:t>
      </w:r>
      <w:proofErr w:type="gramEnd"/>
      <w:r>
        <w:t xml:space="preserve"> Integrated Data Base (IDB).</w:t>
      </w:r>
    </w:p>
    <w:p w14:paraId="1A25AEE3" w14:textId="77777777" w:rsidR="00DB4AC9" w:rsidRDefault="00DB4AC9" w:rsidP="00DB4AC9">
      <w:pPr>
        <w:numPr>
          <w:ilvl w:val="0"/>
          <w:numId w:val="17"/>
        </w:numPr>
        <w:ind w:hanging="360"/>
      </w:pPr>
      <w:r>
        <w:t>Submitting the proposed grant agreement to DEED fiscal service representative for encumbrance of the funds.</w:t>
      </w:r>
    </w:p>
    <w:p w14:paraId="32B2F7E8" w14:textId="3002803A" w:rsidR="00DB4AC9" w:rsidRDefault="00DB4AC9" w:rsidP="00DB4AC9">
      <w:r>
        <w:t xml:space="preserve">After the funds are encumbered, the lead center emails a copy of the grant contract to the regional director. The regional director obtains signatures from individuals authorized to sign contracts on behalf of the host institution and returns the signed electronic copy to the lead center. </w:t>
      </w:r>
      <w:r w:rsidRPr="00AD6AC8">
        <w:rPr>
          <w:highlight w:val="yellow"/>
        </w:rPr>
        <w:t>The signed</w:t>
      </w:r>
      <w:r w:rsidR="004177A7">
        <w:rPr>
          <w:highlight w:val="yellow"/>
        </w:rPr>
        <w:t xml:space="preserve"> and fully executed </w:t>
      </w:r>
      <w:r w:rsidRPr="00AD6AC8">
        <w:rPr>
          <w:highlight w:val="yellow"/>
        </w:rPr>
        <w:t>copy should be retained by the service center.</w:t>
      </w:r>
    </w:p>
    <w:p w14:paraId="16DD5706" w14:textId="77777777" w:rsidR="00DB4AC9" w:rsidRDefault="00DB4AC9" w:rsidP="00DB4AC9">
      <w:r>
        <w:t>The lead center returns the signature copy to the DEED fiscal services office for authorized DEED signatures. Once all parties have signed the contract, the lead center returns a fully executed electronic copy to the regional center. Following execution of the grant contract, all material changes to the performance requirements or the budget must be made by written amendment.</w:t>
      </w:r>
    </w:p>
    <w:p w14:paraId="44604F8E" w14:textId="77777777" w:rsidR="00DB4AC9" w:rsidRDefault="00DB4AC9" w:rsidP="00DB4AC9">
      <w:r>
        <w:t>Because there normally is a delay between the execution of the grant agreement and the issuance of the Cooperative Agreement, all grant contracts are made contingent upon the availability of federal and state funds. The state reserves the right to cancel the grant contract if these funds are not available to DEED.</w:t>
      </w:r>
    </w:p>
    <w:p w14:paraId="3DD8D447"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65" w:name="_1smtxgf" w:colFirst="0" w:colLast="0"/>
      <w:bookmarkEnd w:id="165"/>
      <w:r w:rsidRPr="000D565A">
        <w:rPr>
          <w:rFonts w:ascii="Calibri" w:eastAsia="Calibri" w:hAnsi="Calibri" w:cs="Calibri"/>
          <w:b/>
          <w:smallCaps/>
          <w:color w:val="000000"/>
          <w:sz w:val="28"/>
          <w:szCs w:val="28"/>
        </w:rPr>
        <w:t>7.13 Invoices</w:t>
      </w:r>
    </w:p>
    <w:p w14:paraId="42546B87" w14:textId="77777777" w:rsidR="00DB4AC9" w:rsidRDefault="00DB4AC9" w:rsidP="00DB4AC9">
      <w:r>
        <w:t>Payments against the grant contract are made on a reimbursement basis following receipt by the lead center of the regional center’s properly completed invoice.</w:t>
      </w:r>
      <w:r>
        <w:rPr>
          <w:vertAlign w:val="superscript"/>
        </w:rPr>
        <w:footnoteReference w:id="169"/>
      </w:r>
      <w:r>
        <w:t xml:space="preserve"> The lead center provides the regional center with forms and instructions for completing invoices. The forms and instructions change annually, so it is important that regional centers use the most current form. </w:t>
      </w:r>
    </w:p>
    <w:p w14:paraId="3BADFBAD" w14:textId="77777777" w:rsidR="00DB4AC9" w:rsidRPr="00472E95" w:rsidRDefault="00DB4AC9" w:rsidP="00DB4AC9">
      <w:pPr>
        <w:pStyle w:val="Heading4"/>
        <w:ind w:left="360"/>
        <w:rPr>
          <w:b/>
          <w:bCs/>
          <w:color w:val="000000" w:themeColor="text1"/>
        </w:rPr>
      </w:pPr>
      <w:bookmarkStart w:id="166" w:name="_4cmhg48" w:colFirst="0" w:colLast="0"/>
      <w:bookmarkEnd w:id="166"/>
      <w:r w:rsidRPr="00472E95">
        <w:rPr>
          <w:b/>
          <w:bCs/>
          <w:color w:val="000000" w:themeColor="text1"/>
        </w:rPr>
        <w:lastRenderedPageBreak/>
        <w:t>7.13.1 Preparing Invoices</w:t>
      </w:r>
    </w:p>
    <w:p w14:paraId="1C9CE953" w14:textId="77777777" w:rsidR="00DB4AC9" w:rsidRDefault="00DB4AC9" w:rsidP="00DB4AC9">
      <w:r>
        <w:t xml:space="preserve">Invoices may be submitted </w:t>
      </w:r>
      <w:r w:rsidRPr="00AD6AC8">
        <w:rPr>
          <w:strike/>
        </w:rPr>
        <w:t>at a minimum of</w:t>
      </w:r>
      <w:r>
        <w:t xml:space="preserve"> once per quarter. The lead center pays invoices within 30 days following receipt of a properly completed invoice. Payment of the final invoice is delayed until the region submits, and the lead center </w:t>
      </w:r>
      <w:proofErr w:type="gramStart"/>
      <w:r>
        <w:t>approves,</w:t>
      </w:r>
      <w:proofErr w:type="gramEnd"/>
      <w:r>
        <w:t xml:space="preserve"> payment detail supporting claimed expenditures. A reduction is made to the final payment if the regional center does not meet its contractual </w:t>
      </w:r>
      <w:proofErr w:type="gramStart"/>
      <w:r>
        <w:t>deliverables</w:t>
      </w:r>
      <w:proofErr w:type="gramEnd"/>
      <w:r>
        <w:t xml:space="preserve"> or fails to substantiate expenditures to the reasonable satisfaction of the state director.</w:t>
      </w:r>
    </w:p>
    <w:p w14:paraId="4AAFE7F3" w14:textId="77777777" w:rsidR="00DB4AC9" w:rsidRDefault="00DB4AC9" w:rsidP="00DB4AC9">
      <w:r>
        <w:t>The regional center’s approved budget is part of the grant contract. Each year, the lead center prepares a working spreadsheet that allows for direct entry of current period program expenditures. The spreadsheet automatically updates year-to-date expenditures so that the regional director, regional budget officer and lead center personnel can easily determine the status of expenditures against budget. All regional centers are encouraged to use this spreadsheet to generate invoices (see Invoice Spreadsheet Directions below). If a center chooses not to use this form, an equivalent form containing all fields required by the lead center, may be used if it is approved by the lead center.</w:t>
      </w:r>
    </w:p>
    <w:p w14:paraId="5962241A" w14:textId="77777777" w:rsidR="00DB4AC9" w:rsidRDefault="00DB4AC9" w:rsidP="00DB4AC9">
      <w:r>
        <w:t xml:space="preserve">Prior to submitting an invoice for </w:t>
      </w:r>
      <w:proofErr w:type="gramStart"/>
      <w:r>
        <w:t>payment</w:t>
      </w:r>
      <w:proofErr w:type="gramEnd"/>
      <w:r>
        <w:t xml:space="preserve"> the regional director should review the reported expenditures to assure they are allowable and properly allocable to the SBDC program. The regional director is ultimately responsible for the approval of all </w:t>
      </w:r>
      <w:proofErr w:type="gramStart"/>
      <w:r>
        <w:t>expenditures</w:t>
      </w:r>
      <w:proofErr w:type="gramEnd"/>
      <w:r>
        <w:t xml:space="preserve"> submitted for reimbursement.</w:t>
      </w:r>
    </w:p>
    <w:p w14:paraId="250FD695" w14:textId="77777777" w:rsidR="00DB4AC9" w:rsidRDefault="00DB4AC9" w:rsidP="00DB4AC9">
      <w:r>
        <w:t xml:space="preserve">Regional centers may use the cash method of accounting during the program year to submit invoices. The final invoice should be based on accrual accounting to ensure all expenditures associated with a specific program year are properly accounted for. Only </w:t>
      </w:r>
      <w:proofErr w:type="gramStart"/>
      <w:r>
        <w:t>expenditures</w:t>
      </w:r>
      <w:proofErr w:type="gramEnd"/>
      <w:r>
        <w:t xml:space="preserve"> authorized and incurred during a program year should be charged to that program year. After reviewing the expenditures and </w:t>
      </w:r>
      <w:proofErr w:type="gramStart"/>
      <w:r>
        <w:t>invoice</w:t>
      </w:r>
      <w:proofErr w:type="gramEnd"/>
      <w:r>
        <w:t>, the regional director and financial officer must personally sign the invoice to indicate the claimed expenditures are proper and allocable to the SBDC program. Invoices that are not signed by the regional director and financial officer will be returned to the region.</w:t>
      </w:r>
    </w:p>
    <w:p w14:paraId="6BA7E380" w14:textId="77777777" w:rsidR="00DB4AC9" w:rsidRDefault="00DB4AC9" w:rsidP="00DB4AC9">
      <w:r>
        <w:t xml:space="preserve">Typically, supporting </w:t>
      </w:r>
      <w:proofErr w:type="gramStart"/>
      <w:r>
        <w:t>detail</w:t>
      </w:r>
      <w:proofErr w:type="gramEnd"/>
      <w:r>
        <w:t xml:space="preserve"> need not be provided for invoices submitted during the year unless requested by the lead center.  The final invoice must, however, include detail supporting all claimed </w:t>
      </w:r>
      <w:proofErr w:type="gramStart"/>
      <w:r>
        <w:t>expenditures</w:t>
      </w:r>
      <w:proofErr w:type="gramEnd"/>
      <w:r>
        <w:t xml:space="preserve"> for the year. The supporting detail should be complete and appropriately cross-referenced and matched with the line item totals on the final invoice. Appropriate cross-referencing includes </w:t>
      </w:r>
      <w:proofErr w:type="gramStart"/>
      <w:r>
        <w:t>appropriately labeling</w:t>
      </w:r>
      <w:proofErr w:type="gramEnd"/>
      <w:r>
        <w:t xml:space="preserve"> journal entries and summaries for easy flow through to the invoice totals. Discrepancies between the justification and invoice may result in a downward adjustment of the final payment. Overpaid funds must be reimbursed. If changes are necessary, a new invoice may be required. The final invoice will be held for payment until the supporting detail has been thoroughly </w:t>
      </w:r>
      <w:proofErr w:type="gramStart"/>
      <w:r>
        <w:t>reviewed</w:t>
      </w:r>
      <w:proofErr w:type="gramEnd"/>
      <w:r>
        <w:t xml:space="preserve"> and all issues have been resolved. </w:t>
      </w:r>
    </w:p>
    <w:p w14:paraId="22CF8962" w14:textId="77777777" w:rsidR="00DB4AC9" w:rsidRDefault="00DB4AC9" w:rsidP="00DB4AC9">
      <w:r>
        <w:t xml:space="preserve">Throughout the year, federal funds and </w:t>
      </w:r>
      <w:proofErr w:type="gramStart"/>
      <w:r>
        <w:t>match</w:t>
      </w:r>
      <w:proofErr w:type="gramEnd"/>
      <w:r>
        <w:t xml:space="preserve"> should be spent in approximately the same proportion to ensure the federal funds spent are always covered by the match funds.</w:t>
      </w:r>
    </w:p>
    <w:p w14:paraId="0ED62D07" w14:textId="77777777" w:rsidR="00DB4AC9" w:rsidRPr="00472E95" w:rsidRDefault="00DB4AC9" w:rsidP="00DB4AC9">
      <w:pPr>
        <w:pStyle w:val="Heading4"/>
        <w:ind w:left="360"/>
        <w:rPr>
          <w:b/>
          <w:bCs/>
          <w:color w:val="000000" w:themeColor="text1"/>
        </w:rPr>
      </w:pPr>
      <w:bookmarkStart w:id="167" w:name="_2rrrqc1" w:colFirst="0" w:colLast="0"/>
      <w:bookmarkEnd w:id="167"/>
      <w:r w:rsidRPr="00472E95">
        <w:rPr>
          <w:b/>
          <w:bCs/>
          <w:color w:val="000000" w:themeColor="text1"/>
        </w:rPr>
        <w:t>7.13.2 Lead Center Invoice Review Procedures</w:t>
      </w:r>
    </w:p>
    <w:p w14:paraId="498A1067" w14:textId="77777777" w:rsidR="00DB4AC9" w:rsidRDefault="00DB4AC9" w:rsidP="00DB4AC9">
      <w:r>
        <w:t>Below are the procedures the lead center uses to review invoices submitted for reimbursement. These procedures are provided to assist regional centers in proofreading invoices prior to submitting them to the lead center for payment.</w:t>
      </w:r>
    </w:p>
    <w:p w14:paraId="50A4155C" w14:textId="77777777" w:rsidR="00DB4AC9" w:rsidRDefault="00DB4AC9" w:rsidP="00DB4AC9">
      <w:pPr>
        <w:numPr>
          <w:ilvl w:val="0"/>
          <w:numId w:val="17"/>
        </w:numPr>
        <w:ind w:hanging="360"/>
      </w:pPr>
      <w:r>
        <w:t>Verify that the invoice has been date-stamped to reflect the date the invoice was received. State law requires that all invoices must be paid within 30 days of receipt of a properly completed invoice.</w:t>
      </w:r>
    </w:p>
    <w:p w14:paraId="41D45160" w14:textId="77777777" w:rsidR="00DB4AC9" w:rsidRDefault="00DB4AC9" w:rsidP="00DB4AC9">
      <w:pPr>
        <w:numPr>
          <w:ilvl w:val="0"/>
          <w:numId w:val="17"/>
        </w:numPr>
        <w:ind w:hanging="360"/>
      </w:pPr>
      <w:r>
        <w:t>Enter date and current expenditures on the master invoice review spreadsheet for the appropriate regional center.</w:t>
      </w:r>
    </w:p>
    <w:p w14:paraId="09429962" w14:textId="77777777" w:rsidR="00DB4AC9" w:rsidRDefault="00DB4AC9" w:rsidP="00DB4AC9">
      <w:pPr>
        <w:numPr>
          <w:ilvl w:val="0"/>
          <w:numId w:val="17"/>
        </w:numPr>
        <w:ind w:hanging="360"/>
      </w:pPr>
      <w:r>
        <w:lastRenderedPageBreak/>
        <w:t>Verify claimed expenditures for compliance with budget and federal requirements (e.g., expenditures are within budget; appropriate approvals for out-of-state travel and equipment purchases have been obtained).</w:t>
      </w:r>
    </w:p>
    <w:p w14:paraId="5B02FF58" w14:textId="77777777" w:rsidR="00DB4AC9" w:rsidRDefault="00DB4AC9" w:rsidP="00DB4AC9">
      <w:pPr>
        <w:numPr>
          <w:ilvl w:val="0"/>
          <w:numId w:val="17"/>
        </w:numPr>
        <w:ind w:hanging="360"/>
      </w:pPr>
      <w:r>
        <w:t xml:space="preserve">For the final (year-end) invoice only, review supporting </w:t>
      </w:r>
      <w:proofErr w:type="gramStart"/>
      <w:r>
        <w:t>detail</w:t>
      </w:r>
      <w:proofErr w:type="gramEnd"/>
      <w:r>
        <w:t xml:space="preserve"> to assure that all claimed expenditures occur within the grant year and are substantiated, reasonable, and allocable to the SBDC program and appropriate cost category.</w:t>
      </w:r>
    </w:p>
    <w:p w14:paraId="1D0ABC65" w14:textId="77777777" w:rsidR="00DB4AC9" w:rsidRDefault="00DB4AC9" w:rsidP="00DB4AC9">
      <w:pPr>
        <w:numPr>
          <w:ilvl w:val="0"/>
          <w:numId w:val="17"/>
        </w:numPr>
        <w:ind w:hanging="360"/>
      </w:pPr>
      <w:r>
        <w:t>Print and review the cost share report summary to verify expenditures are in approximate proportion to services delivered (milestones) and percent of program year completed.</w:t>
      </w:r>
    </w:p>
    <w:p w14:paraId="3FEA37F9" w14:textId="77777777" w:rsidR="00DB4AC9" w:rsidRDefault="00DB4AC9" w:rsidP="00DB4AC9">
      <w:pPr>
        <w:numPr>
          <w:ilvl w:val="0"/>
          <w:numId w:val="17"/>
        </w:numPr>
        <w:ind w:hanging="360"/>
      </w:pPr>
      <w:r>
        <w:t>Verify that the amount invoiced equals total reported federal and state dollars spent.</w:t>
      </w:r>
    </w:p>
    <w:p w14:paraId="177217A9" w14:textId="77777777" w:rsidR="00DB4AC9" w:rsidRDefault="00DB4AC9" w:rsidP="00DB4AC9">
      <w:pPr>
        <w:numPr>
          <w:ilvl w:val="0"/>
          <w:numId w:val="17"/>
        </w:numPr>
        <w:ind w:hanging="360"/>
      </w:pPr>
      <w:r>
        <w:t>Verify that the invoice is signed by authorized individuals.</w:t>
      </w:r>
    </w:p>
    <w:p w14:paraId="0F027DD2" w14:textId="77777777" w:rsidR="00DB4AC9" w:rsidRDefault="00DB4AC9" w:rsidP="00DB4AC9">
      <w:pPr>
        <w:numPr>
          <w:ilvl w:val="0"/>
          <w:numId w:val="17"/>
        </w:numPr>
        <w:ind w:hanging="360"/>
      </w:pPr>
      <w:r>
        <w:t xml:space="preserve">Resolve any discrepancies with the regional director and financial officer. If necessary, </w:t>
      </w:r>
      <w:proofErr w:type="gramStart"/>
      <w:r>
        <w:t>request</w:t>
      </w:r>
      <w:proofErr w:type="gramEnd"/>
      <w:r>
        <w:t xml:space="preserve"> that a new invoice be prepared and submitted for payment.</w:t>
      </w:r>
    </w:p>
    <w:p w14:paraId="6DA1A971" w14:textId="77777777" w:rsidR="00DB4AC9" w:rsidRDefault="00DB4AC9" w:rsidP="00DB4AC9">
      <w:pPr>
        <w:numPr>
          <w:ilvl w:val="0"/>
          <w:numId w:val="17"/>
        </w:numPr>
        <w:ind w:hanging="360"/>
      </w:pPr>
      <w:r>
        <w:t xml:space="preserve">If no discrepancies exist, complete the grantor approval section of the invoice with the approval amounts and appropriate account numbers. </w:t>
      </w:r>
      <w:proofErr w:type="gramStart"/>
      <w:r>
        <w:t>Reviewer</w:t>
      </w:r>
      <w:proofErr w:type="gramEnd"/>
      <w:r>
        <w:t xml:space="preserve"> should initial approval amount.</w:t>
      </w:r>
    </w:p>
    <w:p w14:paraId="6DEE512E" w14:textId="77777777" w:rsidR="00DB4AC9" w:rsidRDefault="00DB4AC9" w:rsidP="00DB4AC9">
      <w:pPr>
        <w:numPr>
          <w:ilvl w:val="0"/>
          <w:numId w:val="17"/>
        </w:numPr>
        <w:ind w:hanging="360"/>
      </w:pPr>
      <w:r>
        <w:t>Give invoice to the state director for approval and signature.</w:t>
      </w:r>
    </w:p>
    <w:p w14:paraId="6AAD38BC" w14:textId="77777777" w:rsidR="00DB4AC9" w:rsidRDefault="00DB4AC9" w:rsidP="00DB4AC9">
      <w:pPr>
        <w:numPr>
          <w:ilvl w:val="0"/>
          <w:numId w:val="17"/>
        </w:numPr>
        <w:ind w:hanging="360"/>
      </w:pPr>
      <w:r>
        <w:t>If corrections were made on the invoice, advise Regional Director and host center financial director of the changes so they can correct the spreadsheet invoice. Update YTD expenditures in DEED’s Integrated Data Base (IDB</w:t>
      </w:r>
      <w:proofErr w:type="gramStart"/>
      <w:r>
        <w:t>), and</w:t>
      </w:r>
      <w:proofErr w:type="gramEnd"/>
      <w:r>
        <w:t xml:space="preserve"> note entry date on invoice.</w:t>
      </w:r>
    </w:p>
    <w:p w14:paraId="12667B36" w14:textId="77777777" w:rsidR="00DB4AC9" w:rsidRDefault="00DB4AC9" w:rsidP="00DB4AC9">
      <w:pPr>
        <w:numPr>
          <w:ilvl w:val="0"/>
          <w:numId w:val="17"/>
        </w:numPr>
        <w:ind w:hanging="360"/>
      </w:pPr>
      <w:r>
        <w:t>Scan the original invoice for electronic file copy and give the original to DEED’s Fiscal Services office for payment.</w:t>
      </w:r>
    </w:p>
    <w:p w14:paraId="00918436" w14:textId="77777777" w:rsidR="00DB4AC9" w:rsidRDefault="00DB4AC9" w:rsidP="00DB4AC9">
      <w:pPr>
        <w:numPr>
          <w:ilvl w:val="0"/>
          <w:numId w:val="17"/>
        </w:numPr>
        <w:ind w:hanging="360"/>
      </w:pPr>
      <w:r>
        <w:t>Post the scan of the reviewed and approved invoice to the regional center section on the MnSBDC Intranet and save on the DEED Server.</w:t>
      </w:r>
    </w:p>
    <w:p w14:paraId="6989CAEE" w14:textId="77777777" w:rsidR="00DB4AC9" w:rsidRPr="00472E95" w:rsidRDefault="00DB4AC9" w:rsidP="00DB4AC9">
      <w:pPr>
        <w:pStyle w:val="Heading4"/>
        <w:ind w:left="360"/>
        <w:rPr>
          <w:b/>
          <w:bCs/>
          <w:color w:val="000000" w:themeColor="text1"/>
        </w:rPr>
      </w:pPr>
      <w:bookmarkStart w:id="168" w:name="_16x20ju" w:colFirst="0" w:colLast="0"/>
      <w:bookmarkEnd w:id="168"/>
      <w:r w:rsidRPr="00472E95">
        <w:rPr>
          <w:b/>
          <w:bCs/>
          <w:color w:val="000000" w:themeColor="text1"/>
        </w:rPr>
        <w:t>7.13.3 Invoice Spreadsheet Directions</w:t>
      </w:r>
    </w:p>
    <w:p w14:paraId="663AF8F5" w14:textId="77777777" w:rsidR="00DB4AC9" w:rsidRDefault="00DB4AC9" w:rsidP="00DB4AC9">
      <w:r>
        <w:t>Prior to the start of a program year the lead center will provide an electronic spreadsheet file that can be used to generate invoices for payment and reporting. Regional centers are encouraged to use this spreadsheet. Any changes or updates to this spreadsheet will be sent electronically to each center.</w:t>
      </w:r>
    </w:p>
    <w:p w14:paraId="7F6DB4E7" w14:textId="77777777" w:rsidR="00DB4AC9" w:rsidRDefault="00DB4AC9" w:rsidP="00DB4AC9">
      <w:r>
        <w:t xml:space="preserve">Each worksheet is locked to protect it from unauthorized edits and to maintain the invoice’s format. Only the cells that are highlighted will accept data. If changes are needed to </w:t>
      </w:r>
      <w:proofErr w:type="gramStart"/>
      <w:r>
        <w:t>fields</w:t>
      </w:r>
      <w:proofErr w:type="gramEnd"/>
      <w:r>
        <w:t xml:space="preserve"> other than those that are highlighted, the center should contact the lead center for authorization.</w:t>
      </w:r>
    </w:p>
    <w:p w14:paraId="2EC20352" w14:textId="77777777" w:rsidR="00DB4AC9" w:rsidRDefault="00DB4AC9" w:rsidP="00DB4AC9">
      <w:r>
        <w:t xml:space="preserve">The Master sheet in the spreadsheet file contains several fields that can be edited. These fields include the title of the invoice, name and address of the center, grant contract number, approved budget </w:t>
      </w:r>
      <w:proofErr w:type="gramStart"/>
      <w:r>
        <w:t>line item</w:t>
      </w:r>
      <w:proofErr w:type="gramEnd"/>
      <w:r>
        <w:t xml:space="preserve"> amounts, and the names of the regional director and financial officer. These fields should not be changed without notifying the lead center.</w:t>
      </w:r>
    </w:p>
    <w:p w14:paraId="64062EF0" w14:textId="334F63DA" w:rsidR="00DB4AC9" w:rsidRDefault="00DB4AC9" w:rsidP="00DB4AC9">
      <w:r>
        <w:t xml:space="preserve">There are individually tabbed worksheets that can be used to generate invoices. Centers should utilize these sheets in sequential order since they are tied </w:t>
      </w:r>
      <w:proofErr w:type="gramStart"/>
      <w:r>
        <w:t>together</w:t>
      </w:r>
      <w:proofErr w:type="gramEnd"/>
      <w:r>
        <w:t xml:space="preserve"> and information entered on one flows to the next one. The highlighted cells are the only fields in which centers can enter data. Centers should enter the date range the invoice covers, and the expenditures incurred for that period. Line items that are </w:t>
      </w:r>
      <w:proofErr w:type="gramStart"/>
      <w:r>
        <w:t>grayed-out</w:t>
      </w:r>
      <w:proofErr w:type="gramEnd"/>
      <w:r>
        <w:t xml:space="preserve"> indicate the line item was not authorized in the original grant contact and any expenditure within that category requires prior approval of the state director, e.g., equipment. The invoice totals and YTD amounts will </w:t>
      </w:r>
      <w:proofErr w:type="gramStart"/>
      <w:r>
        <w:t>calculate</w:t>
      </w:r>
      <w:proofErr w:type="gramEnd"/>
      <w:r>
        <w:t xml:space="preserve"> automatically. The indirect rate amount will also </w:t>
      </w:r>
      <w:proofErr w:type="gramStart"/>
      <w:r>
        <w:t>calculate</w:t>
      </w:r>
      <w:proofErr w:type="gramEnd"/>
      <w:r>
        <w:t xml:space="preserve"> </w:t>
      </w:r>
      <w:r>
        <w:lastRenderedPageBreak/>
        <w:t>automatically based on the approved indirect rate agreement that the regional center has submitted to the lead center.</w:t>
      </w:r>
    </w:p>
    <w:p w14:paraId="5C439855" w14:textId="0B1F0BCC" w:rsidR="00DB4AC9" w:rsidRDefault="00DB4AC9" w:rsidP="00DB4AC9">
      <w:r>
        <w:t>The invoice can then be printed</w:t>
      </w:r>
      <w:r w:rsidR="008B666D">
        <w:t xml:space="preserve"> or </w:t>
      </w:r>
      <w:r w:rsidR="002D2325">
        <w:t>put in a PDF format</w:t>
      </w:r>
      <w:r>
        <w:t xml:space="preserve">. The regional director and financial officer should do a final review of the invoice for accuracy, then sign and date the invoice. The original signed invoice must be e- mailed to the lead center “invoice Inbox” at </w:t>
      </w:r>
      <w:hyperlink r:id="rId16">
        <w:r>
          <w:rPr>
            <w:color w:val="1155CC"/>
            <w:u w:val="single"/>
          </w:rPr>
          <w:t>MnSBDC.Invoices@state.mn.us</w:t>
        </w:r>
      </w:hyperlink>
      <w:r>
        <w:t xml:space="preserve"> for review prior to reimbursement issuance. The file also contains a summary sheet for tracking and informational purposes. This sheet allows for the review of YTD and percentage depleted amounts, cumulative shifts, and indirect rate and match test computations. Review of these figures prior to submission will assist in the invoice being approved.</w:t>
      </w:r>
    </w:p>
    <w:p w14:paraId="2837EB58" w14:textId="77777777" w:rsidR="00DB4AC9" w:rsidRPr="00472E95" w:rsidRDefault="00DB4AC9" w:rsidP="00DB4AC9">
      <w:pPr>
        <w:pStyle w:val="Heading4"/>
        <w:ind w:left="360"/>
        <w:rPr>
          <w:b/>
          <w:bCs/>
          <w:color w:val="000000" w:themeColor="text1"/>
        </w:rPr>
      </w:pPr>
      <w:r w:rsidRPr="00472E95">
        <w:rPr>
          <w:b/>
          <w:bCs/>
          <w:color w:val="000000" w:themeColor="text1"/>
        </w:rPr>
        <w:t>7.13.4 Invoice Submission Process</w:t>
      </w:r>
    </w:p>
    <w:p w14:paraId="044C491E" w14:textId="77777777" w:rsidR="00DB4AC9" w:rsidRDefault="00DB4AC9" w:rsidP="00DB4AC9">
      <w:r>
        <w:t xml:space="preserve">To ensure prompt attention and payment of invoices, all invoices seeking reimbursement of expenses are to be submitted through the dedicated email account set up for that purpose. All invoices should be sent directly to the email </w:t>
      </w:r>
      <w:proofErr w:type="gramStart"/>
      <w:r>
        <w:t>address;  “</w:t>
      </w:r>
      <w:proofErr w:type="gramEnd"/>
      <w:r>
        <w:fldChar w:fldCharType="begin"/>
      </w:r>
      <w:r>
        <w:instrText>HYPERLINK "mailto:Mnsbdc.Invoices@state.mn.us" \h</w:instrText>
      </w:r>
      <w:r>
        <w:fldChar w:fldCharType="separate"/>
      </w:r>
      <w:r>
        <w:rPr>
          <w:color w:val="0000FF"/>
          <w:u w:val="single"/>
        </w:rPr>
        <w:t>Mnsbdc.Invoices@state.mn.us</w:t>
      </w:r>
      <w:r>
        <w:fldChar w:fldCharType="end"/>
      </w:r>
      <w:r>
        <w:t>” .</w:t>
      </w:r>
    </w:p>
    <w:p w14:paraId="7D9DB593" w14:textId="77777777" w:rsidR="00DB4AC9" w:rsidRDefault="00DB4AC9" w:rsidP="00DB4AC9"/>
    <w:p w14:paraId="264BB2A7"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69" w:name="_3qwpj7n" w:colFirst="0" w:colLast="0"/>
      <w:bookmarkEnd w:id="169"/>
      <w:r w:rsidRPr="000D565A">
        <w:rPr>
          <w:rFonts w:ascii="Calibri" w:eastAsia="Calibri" w:hAnsi="Calibri" w:cs="Calibri"/>
          <w:b/>
          <w:smallCaps/>
          <w:color w:val="000000"/>
          <w:sz w:val="28"/>
          <w:szCs w:val="28"/>
        </w:rPr>
        <w:t xml:space="preserve">7.14 Equipment Management </w:t>
      </w:r>
    </w:p>
    <w:p w14:paraId="41117A06" w14:textId="77777777" w:rsidR="00DB4AC9" w:rsidRDefault="00DB4AC9" w:rsidP="00DB4AC9">
      <w:r>
        <w:t>Regional centers must have an equipment management system for all equipment purchased with SBDC funds.</w:t>
      </w:r>
      <w:r>
        <w:rPr>
          <w:vertAlign w:val="superscript"/>
        </w:rPr>
        <w:footnoteReference w:id="170"/>
      </w:r>
      <w:r>
        <w:t xml:space="preserve"> For SBDC purposes, “Equipment” is any tangible item with a useful life of more than one year and an initial acquisition cost of or more as defined by the US SBA. The host institution policy may be </w:t>
      </w:r>
      <w:proofErr w:type="gramStart"/>
      <w:r>
        <w:t>lower, and</w:t>
      </w:r>
      <w:proofErr w:type="gramEnd"/>
      <w:r>
        <w:t xml:space="preserve"> must be followed since it supersedes. The other exception to the $5,000 </w:t>
      </w:r>
      <w:proofErr w:type="gramStart"/>
      <w:r>
        <w:t>figure,</w:t>
      </w:r>
      <w:proofErr w:type="gramEnd"/>
      <w:r>
        <w:t xml:space="preserve"> is electronic equipment that is a theft target, such as laptops, tablets, etc. that must be explicitly listed and tracked. The source of funds used to purchase equipment must not be grant funds from the SBA or DEED since those funds are used for providing client services only.</w:t>
      </w:r>
    </w:p>
    <w:p w14:paraId="56830B59" w14:textId="77777777" w:rsidR="00DB4AC9" w:rsidRPr="00472E95" w:rsidRDefault="00DB4AC9" w:rsidP="00DB4AC9">
      <w:pPr>
        <w:pStyle w:val="Heading4"/>
        <w:ind w:left="360"/>
        <w:rPr>
          <w:b/>
          <w:bCs/>
          <w:color w:val="000000" w:themeColor="text1"/>
        </w:rPr>
      </w:pPr>
      <w:bookmarkStart w:id="170" w:name="_261ztfg" w:colFirst="0" w:colLast="0"/>
      <w:bookmarkEnd w:id="170"/>
      <w:r w:rsidRPr="00472E95">
        <w:rPr>
          <w:b/>
          <w:bCs/>
          <w:color w:val="000000" w:themeColor="text1"/>
        </w:rPr>
        <w:t>7.14.1 Equipment Acquisition</w:t>
      </w:r>
    </w:p>
    <w:p w14:paraId="7C5746FF" w14:textId="77777777" w:rsidR="00DB4AC9" w:rsidRDefault="00DB4AC9" w:rsidP="00DB4AC9">
      <w:r>
        <w:t xml:space="preserve">Acquisition of equipment with SBDC program funds with a procurement value of $5,000 or greater must be approved in advance by the SBA. Approval may be requested by proposing the acquisition in the annual funding proposal, or by making a special request during the program year. If the acquisition is </w:t>
      </w:r>
      <w:proofErr w:type="gramStart"/>
      <w:r>
        <w:t>approved</w:t>
      </w:r>
      <w:proofErr w:type="gramEnd"/>
      <w:r>
        <w:t xml:space="preserve"> in the Cooperative Agreement, no special request is required. See the section of this manual on Prior Approval for information on how to request prior approval of equipment purchases.</w:t>
      </w:r>
    </w:p>
    <w:p w14:paraId="3B4B9388" w14:textId="77777777" w:rsidR="00DB4AC9" w:rsidRDefault="00DB4AC9" w:rsidP="00DB4AC9">
      <w:r>
        <w:t>The SBDC should keep a written record of all equipment purchased with SBDC program funds, regardless of the source of those funds. The record should include:</w:t>
      </w:r>
    </w:p>
    <w:p w14:paraId="5D679BA6" w14:textId="77777777" w:rsidR="00DB4AC9" w:rsidRDefault="00DB4AC9" w:rsidP="00DB4AC9">
      <w:pPr>
        <w:numPr>
          <w:ilvl w:val="0"/>
          <w:numId w:val="17"/>
        </w:numPr>
        <w:ind w:hanging="360"/>
      </w:pPr>
      <w:r>
        <w:t>A description of the property.</w:t>
      </w:r>
    </w:p>
    <w:p w14:paraId="6ACB27F0" w14:textId="77777777" w:rsidR="00DB4AC9" w:rsidRDefault="00DB4AC9" w:rsidP="00DB4AC9">
      <w:pPr>
        <w:numPr>
          <w:ilvl w:val="0"/>
          <w:numId w:val="17"/>
        </w:numPr>
        <w:ind w:hanging="360"/>
      </w:pPr>
      <w:r>
        <w:t>A serial number or other identification number.</w:t>
      </w:r>
    </w:p>
    <w:p w14:paraId="0EC80CF7" w14:textId="77777777" w:rsidR="00DB4AC9" w:rsidRDefault="00DB4AC9" w:rsidP="00DB4AC9">
      <w:pPr>
        <w:numPr>
          <w:ilvl w:val="0"/>
          <w:numId w:val="17"/>
        </w:numPr>
        <w:ind w:hanging="360"/>
      </w:pPr>
      <w:r>
        <w:t>The source and cost of the property.</w:t>
      </w:r>
    </w:p>
    <w:p w14:paraId="2BA60D10" w14:textId="77777777" w:rsidR="00DB4AC9" w:rsidRDefault="00DB4AC9" w:rsidP="00DB4AC9">
      <w:pPr>
        <w:numPr>
          <w:ilvl w:val="0"/>
          <w:numId w:val="17"/>
        </w:numPr>
        <w:ind w:hanging="360"/>
      </w:pPr>
      <w:r>
        <w:t>Acquisition date.</w:t>
      </w:r>
    </w:p>
    <w:p w14:paraId="1C4FF488" w14:textId="77777777" w:rsidR="00DB4AC9" w:rsidRDefault="00DB4AC9" w:rsidP="00DB4AC9">
      <w:pPr>
        <w:numPr>
          <w:ilvl w:val="0"/>
          <w:numId w:val="17"/>
        </w:numPr>
        <w:ind w:hanging="360"/>
      </w:pPr>
      <w:r>
        <w:t>Who holds title and percentage of federal participation in the cost of the property (by state policy, local cash match or program income funds should be used to purchase equipment).</w:t>
      </w:r>
    </w:p>
    <w:p w14:paraId="4264D774" w14:textId="77777777" w:rsidR="00DB4AC9" w:rsidRDefault="00DB4AC9" w:rsidP="00DB4AC9">
      <w:pPr>
        <w:numPr>
          <w:ilvl w:val="0"/>
          <w:numId w:val="17"/>
        </w:numPr>
        <w:ind w:hanging="360"/>
      </w:pPr>
      <w:r>
        <w:t>The location, use and condition of the property (i.e., excellent, good, fair).</w:t>
      </w:r>
    </w:p>
    <w:p w14:paraId="31AA5302" w14:textId="77777777" w:rsidR="00DB4AC9" w:rsidRDefault="00DB4AC9" w:rsidP="00DB4AC9">
      <w:r>
        <w:lastRenderedPageBreak/>
        <w:t>A copy of the above information should be provided to the lead center after the acquisition of any item of equipment.</w:t>
      </w:r>
    </w:p>
    <w:p w14:paraId="6E3F53B5" w14:textId="77777777" w:rsidR="00DB4AC9" w:rsidRPr="00472E95" w:rsidRDefault="00DB4AC9" w:rsidP="00DB4AC9">
      <w:pPr>
        <w:pStyle w:val="Heading4"/>
        <w:ind w:left="360"/>
        <w:rPr>
          <w:b/>
          <w:bCs/>
          <w:color w:val="000000" w:themeColor="text1"/>
        </w:rPr>
      </w:pPr>
      <w:bookmarkStart w:id="171" w:name="_l7a3n9" w:colFirst="0" w:colLast="0"/>
      <w:bookmarkEnd w:id="171"/>
      <w:r w:rsidRPr="00472E95">
        <w:rPr>
          <w:b/>
          <w:bCs/>
          <w:color w:val="000000" w:themeColor="text1"/>
        </w:rPr>
        <w:t>7.14.2 Equipment Disposition</w:t>
      </w:r>
    </w:p>
    <w:p w14:paraId="0E7B3ABF" w14:textId="77777777" w:rsidR="00DB4AC9" w:rsidRDefault="00DB4AC9" w:rsidP="00DB4AC9">
      <w:r>
        <w:t>Disposition of equipment purchased with SBDC program funds must be authorized by the SBA Project Officer. To obtain this authorization, the regional center should send a written request to the state director requesting authorization to dispose of the property. The request should specifically describe the equipment and its condition, and the reason why the center is disposing of it.</w:t>
      </w:r>
    </w:p>
    <w:p w14:paraId="28896BC2" w14:textId="77777777" w:rsidR="00DB4AC9" w:rsidRDefault="00DB4AC9" w:rsidP="00DB4AC9">
      <w:r>
        <w:t>If the equipment is still serviceable, the state director notifies all regional directors of its availability. Regional directors who are interested in the equipment may indicate their interest within the time specified by the state director. If there is interest from more than one regional director, the state director and the affected regional directors will consult as to a reasonable disposition. If there is no interest, the state director forwards the request to dispose of the equipment to the Project Officer.</w:t>
      </w:r>
    </w:p>
    <w:p w14:paraId="3AF7B80F" w14:textId="77777777" w:rsidR="00DB4AC9" w:rsidRDefault="00DB4AC9" w:rsidP="00DB4AC9">
      <w:r>
        <w:t xml:space="preserve">Upon receipt of the Project Officer’s authorization, the lead center notifies the regional director and forwards a scanned copy of the signed authorization. The regional center may then dispose of the equipment according to the host institution’s established procedures. If the equipment is sold, the proceeds are considered program income and must be accounted for in </w:t>
      </w:r>
      <w:proofErr w:type="gramStart"/>
      <w:r>
        <w:t>the SBDC’s</w:t>
      </w:r>
      <w:proofErr w:type="gramEnd"/>
      <w:r>
        <w:t xml:space="preserve"> financial records.</w:t>
      </w:r>
    </w:p>
    <w:p w14:paraId="4C5CF555" w14:textId="77777777" w:rsidR="00DB4AC9" w:rsidRDefault="00DB4AC9" w:rsidP="00DB4AC9">
      <w:r>
        <w:t>Following disposition of the equipment, the regional center should update its inventory records by recording the date of disposition, the sale price (if any), and the name of the purchaser. This information should be forwarded to the lead center as well.</w:t>
      </w:r>
    </w:p>
    <w:p w14:paraId="253CAE93" w14:textId="77777777" w:rsidR="00DB4AC9" w:rsidRPr="00472E95" w:rsidRDefault="00DB4AC9" w:rsidP="00DB4AC9">
      <w:pPr>
        <w:pStyle w:val="Heading4"/>
        <w:ind w:left="360"/>
        <w:rPr>
          <w:b/>
          <w:bCs/>
          <w:color w:val="000000" w:themeColor="text1"/>
        </w:rPr>
      </w:pPr>
      <w:bookmarkStart w:id="172" w:name="_356xmb2" w:colFirst="0" w:colLast="0"/>
      <w:bookmarkEnd w:id="172"/>
      <w:r w:rsidRPr="00472E95">
        <w:rPr>
          <w:b/>
          <w:bCs/>
          <w:color w:val="000000" w:themeColor="text1"/>
        </w:rPr>
        <w:t>7.14.3 Equipment Inventory</w:t>
      </w:r>
    </w:p>
    <w:p w14:paraId="2401F813" w14:textId="77777777" w:rsidR="00DB4AC9" w:rsidRDefault="00DB4AC9" w:rsidP="00DB4AC9">
      <w:r>
        <w:t xml:space="preserve">A physical inventory of SBDC equipment should be taken annually and the results reconciled with equipment inventory records maintained by the regional center and the lead center. The equipment inventory process should be </w:t>
      </w:r>
      <w:proofErr w:type="gramStart"/>
      <w:r>
        <w:t>completed by</w:t>
      </w:r>
      <w:proofErr w:type="gramEnd"/>
      <w:r>
        <w:t xml:space="preserve"> annually. This information is submitted with the Year-End report documents.</w:t>
      </w:r>
    </w:p>
    <w:p w14:paraId="7A96ACF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73" w:name="_1kc7wiv" w:colFirst="0" w:colLast="0"/>
      <w:bookmarkEnd w:id="173"/>
      <w:r w:rsidRPr="000D565A">
        <w:rPr>
          <w:rFonts w:ascii="Calibri" w:eastAsia="Calibri" w:hAnsi="Calibri" w:cs="Calibri"/>
          <w:b/>
          <w:smallCaps/>
          <w:color w:val="000000"/>
          <w:sz w:val="28"/>
          <w:szCs w:val="28"/>
        </w:rPr>
        <w:t>7.15 Record Keeping and Record Retention</w:t>
      </w:r>
    </w:p>
    <w:p w14:paraId="0177800B" w14:textId="77777777" w:rsidR="00DB4AC9" w:rsidRDefault="00DB4AC9" w:rsidP="00DB4AC9">
      <w:r>
        <w:t>All SBDCs must maintain complete and accurate records and supporting documentation to facilitate thorough financial and program audits. Financial records must adequately identify the source and application of funds and provide for the comparison of actual expenditures to budgeted amounts by cost category.</w:t>
      </w:r>
      <w:r>
        <w:rPr>
          <w:vertAlign w:val="superscript"/>
        </w:rPr>
        <w:footnoteReference w:id="171"/>
      </w:r>
      <w:r>
        <w:t xml:space="preserve"> The Grant Contract with DEED requires SBDCs to establish and maintain accounts sufficient to prevent commingling of federal and matching funds. Unless otherwise authorized by the state director, </w:t>
      </w:r>
      <w:proofErr w:type="gramStart"/>
      <w:r>
        <w:t>the SBDC’s</w:t>
      </w:r>
      <w:proofErr w:type="gramEnd"/>
      <w:r>
        <w:t xml:space="preserve"> accounting system must account for funds by source.</w:t>
      </w:r>
      <w:r>
        <w:rPr>
          <w:vertAlign w:val="superscript"/>
        </w:rPr>
        <w:footnoteReference w:id="172"/>
      </w:r>
    </w:p>
    <w:p w14:paraId="6077CB89" w14:textId="41E8F773" w:rsidR="00DB4AC9" w:rsidRDefault="0063363E" w:rsidP="00DB4AC9">
      <w:r w:rsidRPr="00C43E64">
        <w:t xml:space="preserve">Per state of Minnesota </w:t>
      </w:r>
      <w:r w:rsidR="00402934" w:rsidRPr="00C43E64">
        <w:t>statue, r</w:t>
      </w:r>
      <w:r w:rsidR="00DB4AC9" w:rsidRPr="00C43E64">
        <w:t xml:space="preserve">ecords must be </w:t>
      </w:r>
      <w:proofErr w:type="gramStart"/>
      <w:r w:rsidR="00DB4AC9" w:rsidRPr="00C43E64">
        <w:t>kept</w:t>
      </w:r>
      <w:proofErr w:type="gramEnd"/>
      <w:r w:rsidR="00DB4AC9" w:rsidRPr="00C43E64">
        <w:t xml:space="preserve"> a minimum of </w:t>
      </w:r>
      <w:r w:rsidRPr="00C43E64">
        <w:t>six</w:t>
      </w:r>
      <w:r w:rsidR="00DB4AC9" w:rsidRPr="00C43E64">
        <w:t xml:space="preserve"> years following the date the final expenditure report is submitted</w:t>
      </w:r>
      <w:r w:rsidR="00DB4AC9" w:rsidRPr="00AD6AC8">
        <w:rPr>
          <w:highlight w:val="yellow"/>
        </w:rPr>
        <w:t>.</w:t>
      </w:r>
      <w:r w:rsidR="00DB4AC9" w:rsidRPr="00AD6AC8">
        <w:rPr>
          <w:highlight w:val="yellow"/>
          <w:vertAlign w:val="superscript"/>
        </w:rPr>
        <w:footnoteReference w:id="173"/>
      </w:r>
      <w:r w:rsidR="00DB4AC9">
        <w:t xml:space="preserve"> If the host institution has a longer record retention policy, the host institution policy should be followed.</w:t>
      </w:r>
    </w:p>
    <w:p w14:paraId="6EC820AF"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74" w:name="_44bvf6o" w:colFirst="0" w:colLast="0"/>
      <w:bookmarkEnd w:id="174"/>
      <w:r w:rsidRPr="000D565A">
        <w:rPr>
          <w:rFonts w:ascii="Calibri" w:eastAsia="Calibri" w:hAnsi="Calibri" w:cs="Calibri"/>
          <w:b/>
          <w:smallCaps/>
          <w:color w:val="000000"/>
          <w:sz w:val="28"/>
          <w:szCs w:val="28"/>
        </w:rPr>
        <w:lastRenderedPageBreak/>
        <w:t>7.16 Audits, Examinations and Reviews</w:t>
      </w:r>
    </w:p>
    <w:p w14:paraId="0E9ABDAF" w14:textId="77777777" w:rsidR="00DB4AC9" w:rsidRDefault="00DB4AC9" w:rsidP="00DB4AC9">
      <w:r>
        <w:t>SBA or DEED may conduct financial audits of the SBDC network.</w:t>
      </w:r>
      <w:r>
        <w:rPr>
          <w:vertAlign w:val="superscript"/>
        </w:rPr>
        <w:footnoteReference w:id="174"/>
      </w:r>
      <w:r>
        <w:t xml:space="preserve"> Regional centers can expect to be reviewed by DEED at least once annually. Service centers are expected to cooperate fully in any such audit.</w:t>
      </w:r>
      <w:r>
        <w:rPr>
          <w:vertAlign w:val="superscript"/>
        </w:rPr>
        <w:footnoteReference w:id="175"/>
      </w:r>
    </w:p>
    <w:p w14:paraId="616B8976" w14:textId="77777777" w:rsidR="00DB4AC9" w:rsidRDefault="00DB4AC9" w:rsidP="00DB4AC9">
      <w:r>
        <w:t>SBA is required by law to conduct biennial programmatic and financial reviews of SBDC service providers to inspect records and client files and to analyze and assess SBDC activities.</w:t>
      </w:r>
      <w:r>
        <w:rPr>
          <w:vertAlign w:val="superscript"/>
        </w:rPr>
        <w:footnoteReference w:id="176"/>
      </w:r>
      <w:r>
        <w:t xml:space="preserve"> These examinations are not a substitute for SBA or DEED audits.</w:t>
      </w:r>
      <w:r>
        <w:rPr>
          <w:vertAlign w:val="superscript"/>
        </w:rPr>
        <w:footnoteReference w:id="177"/>
      </w:r>
      <w:r>
        <w:t xml:space="preserve"> As with formal audits, all SBDCs are expected to cooperate fully with the examination.</w:t>
      </w:r>
      <w:r>
        <w:rPr>
          <w:vertAlign w:val="superscript"/>
        </w:rPr>
        <w:footnoteReference w:id="178"/>
      </w:r>
    </w:p>
    <w:p w14:paraId="7585581E" w14:textId="77777777" w:rsidR="00DB4AC9" w:rsidRDefault="00DB4AC9" w:rsidP="00DB4AC9">
      <w:r>
        <w:t xml:space="preserve">The lead center, in fulfilling its financial management responsibilities under the Cooperative Agreement, may conduct periodic reviews of any service center. The most common type of review is the examination of expenditure detail by the lead center at the end of the program year. Another type of review is a site examination, where lead center personnel review financial and client records, applying procedures </w:t>
      </w:r>
      <w:proofErr w:type="gramStart"/>
      <w:r>
        <w:t>similar to</w:t>
      </w:r>
      <w:proofErr w:type="gramEnd"/>
      <w:r>
        <w:t xml:space="preserve"> those used by the SBA examiner. Full cooperation with these reviews is expected.</w:t>
      </w:r>
    </w:p>
    <w:p w14:paraId="17927874" w14:textId="77777777" w:rsidR="00DB4AC9" w:rsidRDefault="00DB4AC9" w:rsidP="00DB4AC9">
      <w:r>
        <w:t xml:space="preserve">A fourth type of review is the accreditation review, conducted by the Association of Small Business Development Centers on behalf of SBA every five years. </w:t>
      </w:r>
      <w:r>
        <w:rPr>
          <w:vertAlign w:val="superscript"/>
        </w:rPr>
        <w:footnoteReference w:id="179"/>
      </w:r>
      <w:r>
        <w:t xml:space="preserve"> This review is typically a programmatic and operational review of the center. Preparation for the accreditation review is coordinated by the lead center. Full cooperation by all service centers is expected.</w:t>
      </w:r>
    </w:p>
    <w:p w14:paraId="6923AFD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75" w:name="_2jh5peh" w:colFirst="0" w:colLast="0"/>
      <w:bookmarkStart w:id="176" w:name="_Hlk233608173"/>
      <w:bookmarkStart w:id="177" w:name="_Hlk233608284"/>
      <w:bookmarkEnd w:id="175"/>
      <w:r w:rsidRPr="000D565A">
        <w:rPr>
          <w:rFonts w:ascii="Calibri" w:eastAsia="Calibri" w:hAnsi="Calibri" w:cs="Calibri"/>
          <w:b/>
          <w:smallCaps/>
          <w:color w:val="000000"/>
          <w:sz w:val="28"/>
          <w:szCs w:val="28"/>
        </w:rPr>
        <w:t>7.17 OMB Circulars</w:t>
      </w:r>
    </w:p>
    <w:bookmarkEnd w:id="176"/>
    <w:p w14:paraId="191E9431" w14:textId="0F15F879" w:rsidR="00DB4AC9" w:rsidRDefault="00DB4AC9" w:rsidP="00DB4AC9">
      <w:r>
        <w:t xml:space="preserve">The federal government’s Office of Management and Budget (OMB) </w:t>
      </w:r>
      <w:r w:rsidR="000727F5">
        <w:t>establishes</w:t>
      </w:r>
      <w:r>
        <w:t xml:space="preserve"> the basic financial management principles for determining allowable costs and administrative requirements for recipients of federal funds. These principles are applicable to all program expenditures, regardless of source (federal funds or match).</w:t>
      </w:r>
      <w:r w:rsidR="000727F5">
        <w:t xml:space="preserve"> </w:t>
      </w:r>
      <w:r>
        <w:rPr>
          <w:vertAlign w:val="superscript"/>
        </w:rPr>
        <w:footnoteReference w:id="180"/>
      </w:r>
      <w:r w:rsidR="000727F5">
        <w:t xml:space="preserve"> </w:t>
      </w:r>
      <w:r w:rsidR="000727F5">
        <w:t>In general, expenses must meet the criteria of “reasonableness, allocability and allowability”</w:t>
      </w:r>
      <w:r w:rsidR="000727F5">
        <w:t xml:space="preserve"> as fully explained in the Code of Federal Regulations, Title 2, Subtitle A, Chapter 2, Part 200, specifically </w:t>
      </w:r>
      <w:r w:rsidR="000727F5" w:rsidRPr="000727F5">
        <w:t>2 CFR 200.403</w:t>
      </w:r>
      <w:r w:rsidR="000727F5">
        <w:t xml:space="preserve">, </w:t>
      </w:r>
      <w:r w:rsidR="000727F5" w:rsidRPr="000727F5">
        <w:t>2 CFR 200.404</w:t>
      </w:r>
      <w:r w:rsidR="000727F5">
        <w:t xml:space="preserve">, and </w:t>
      </w:r>
      <w:r w:rsidR="000727F5" w:rsidRPr="000727F5">
        <w:t>2 CFR 200.40</w:t>
      </w:r>
      <w:r w:rsidR="00807AE5">
        <w:t>5</w:t>
      </w:r>
      <w:r w:rsidR="000727F5">
        <w:t>.</w:t>
      </w:r>
    </w:p>
    <w:bookmarkEnd w:id="177"/>
    <w:p w14:paraId="4527ECA6" w14:textId="77777777" w:rsidR="00DB4AC9" w:rsidRDefault="00DB4AC9" w:rsidP="00DB4AC9">
      <w:r>
        <w:t>OMB issues Circulars, which contain the applicable principles. Effective December 26. 2015, OMB consolidated multiple circulars into a single circular that applies to all organizations receiving grant funds. This is referred to as the ‘Omni Circular’.</w:t>
      </w:r>
    </w:p>
    <w:p w14:paraId="27AE75C5" w14:textId="77777777" w:rsidR="00DB4AC9" w:rsidRDefault="00DB4AC9" w:rsidP="00DB4AC9">
      <w:r>
        <w:t>OMB circulars may be found at http://www.whitehouse.gov/omb/. The most recent version of the applicable OMB circular applies.</w:t>
      </w:r>
      <w:r>
        <w:rPr>
          <w:vertAlign w:val="superscript"/>
        </w:rPr>
        <w:footnoteReference w:id="181"/>
      </w:r>
      <w:r>
        <w:t xml:space="preserve"> </w:t>
      </w:r>
    </w:p>
    <w:p w14:paraId="6AE8DBC2"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78" w:name="_ymfzma" w:colFirst="0" w:colLast="0"/>
      <w:bookmarkEnd w:id="178"/>
      <w:r w:rsidRPr="000D565A">
        <w:rPr>
          <w:rFonts w:ascii="Calibri" w:eastAsia="Calibri" w:hAnsi="Calibri" w:cs="Calibri"/>
          <w:b/>
          <w:smallCaps/>
          <w:color w:val="000000"/>
          <w:sz w:val="28"/>
          <w:szCs w:val="28"/>
        </w:rPr>
        <w:lastRenderedPageBreak/>
        <w:t>7.18 Drawdown of Federal Funds (Lead Center)</w:t>
      </w:r>
    </w:p>
    <w:p w14:paraId="02438F7A" w14:textId="77777777" w:rsidR="00DB4AC9" w:rsidRDefault="00DB4AC9" w:rsidP="00DB4AC9">
      <w:r>
        <w:t>The lead center draws funds against the Cooperative Agreement through a letter of credit process.</w:t>
      </w:r>
      <w:r>
        <w:rPr>
          <w:vertAlign w:val="superscript"/>
        </w:rPr>
        <w:footnoteReference w:id="182"/>
      </w:r>
      <w:r>
        <w:t xml:space="preserve"> The SBDC may draw sufficient funds to meet estimated and actual </w:t>
      </w:r>
      <w:proofErr w:type="gramStart"/>
      <w:r>
        <w:t>expenses, but</w:t>
      </w:r>
      <w:proofErr w:type="gramEnd"/>
      <w:r>
        <w:t xml:space="preserve"> must not draw funds in excess of immediate cash needs. Funds may be requested from SBA as frequently as necessary during the program year, but not later than 90 days after the end of the annual budget period.</w:t>
      </w:r>
      <w:r>
        <w:rPr>
          <w:vertAlign w:val="superscript"/>
        </w:rPr>
        <w:footnoteReference w:id="183"/>
      </w:r>
    </w:p>
    <w:p w14:paraId="74E3E14E" w14:textId="77777777" w:rsidR="00DB4AC9" w:rsidRDefault="00DB4AC9" w:rsidP="00DB4AC9">
      <w:r>
        <w:t>The lead center submits funding requests to the US SBA on a quarterly basis per their request. If a regional center submits invoices more often than this, the funds are paid by the state from the state’s general operating fund until they are replenished by the US SBA.</w:t>
      </w:r>
    </w:p>
    <w:p w14:paraId="6547710F"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79" w:name="_3im3ia3" w:colFirst="0" w:colLast="0"/>
      <w:bookmarkEnd w:id="179"/>
      <w:r w:rsidRPr="000D565A">
        <w:rPr>
          <w:rFonts w:ascii="Calibri" w:eastAsia="Calibri" w:hAnsi="Calibri" w:cs="Calibri"/>
          <w:b/>
          <w:smallCaps/>
          <w:color w:val="000000"/>
          <w:sz w:val="28"/>
          <w:szCs w:val="28"/>
        </w:rPr>
        <w:t>7.19 Mileage Reimbursement for Professional Business Consultants</w:t>
      </w:r>
    </w:p>
    <w:p w14:paraId="00C949CF" w14:textId="77777777" w:rsidR="00DB4AC9" w:rsidRDefault="00DB4AC9" w:rsidP="00DB4AC9">
      <w:r>
        <w:t>Mileage and mileage rate</w:t>
      </w:r>
    </w:p>
    <w:p w14:paraId="45213941" w14:textId="77777777" w:rsidR="00DB4AC9" w:rsidRDefault="00DB4AC9" w:rsidP="00DB4AC9">
      <w:r>
        <w:t xml:space="preserve">The annual budget submitted by the Regional Centers must include the projected total number of miles to be reimbursed in travel to and from client meetings by Professional Business Consultants (PBC), and the current mileage rate of the host institutions. This information is </w:t>
      </w:r>
      <w:proofErr w:type="gramStart"/>
      <w:r>
        <w:t>be included</w:t>
      </w:r>
      <w:proofErr w:type="gramEnd"/>
      <w:r>
        <w:t xml:space="preserve"> under the ‘TRAVEL’ line </w:t>
      </w:r>
      <w:proofErr w:type="gramStart"/>
      <w:r>
        <w:t>item, and</w:t>
      </w:r>
      <w:proofErr w:type="gramEnd"/>
      <w:r>
        <w:t xml:space="preserve"> broken out separately.</w:t>
      </w:r>
    </w:p>
    <w:p w14:paraId="269E4F27" w14:textId="77777777" w:rsidR="00DB4AC9" w:rsidRDefault="00DB4AC9" w:rsidP="00DB4AC9">
      <w:r>
        <w:t xml:space="preserve">Reimbursement </w:t>
      </w:r>
    </w:p>
    <w:p w14:paraId="224F569F" w14:textId="77777777" w:rsidR="00DB4AC9" w:rsidRDefault="00DB4AC9" w:rsidP="00DB4AC9">
      <w:r>
        <w:t xml:space="preserve">Reimbursement for travel to or from client meetings by PBCs who </w:t>
      </w:r>
      <w:proofErr w:type="gramStart"/>
      <w:r>
        <w:t>are Independent Contractors</w:t>
      </w:r>
      <w:proofErr w:type="gramEnd"/>
      <w:r>
        <w:t xml:space="preserve"> is AT THE SOLE DISCRETION OF THE REGIONAL DIRECTOR. The Host Institutions written travel policy shall be used to establish the reimbursement rate for mileage paid to the PBCs.</w:t>
      </w:r>
      <w:r>
        <w:rPr>
          <w:vertAlign w:val="superscript"/>
        </w:rPr>
        <w:footnoteReference w:id="184"/>
      </w:r>
      <w:r>
        <w:t xml:space="preserve"> The same reimbursement rate shall be used for both employees of the Host Institution and Independent Contractors when traveling to or from client meetings.</w:t>
      </w:r>
    </w:p>
    <w:p w14:paraId="58BAE83A" w14:textId="77777777" w:rsidR="00DB4AC9" w:rsidRDefault="00DB4AC9" w:rsidP="00DB4AC9">
      <w:r>
        <w:t>For Independent Contractors who are PBCs, the travel reimbursement and any limitations on reimbursement shall be included in their ‘Professional/Technical Services Contract’.  An example Professional/Technical Services Contract can be found on the State of Minnesota ‘Materials Management Division’ and travel reimbursement is covered in Point 4.1, part b.</w:t>
      </w:r>
      <w:r>
        <w:rPr>
          <w:vertAlign w:val="superscript"/>
        </w:rPr>
        <w:footnoteReference w:id="185"/>
      </w:r>
    </w:p>
    <w:p w14:paraId="156BEA71" w14:textId="77777777" w:rsidR="00DB4AC9" w:rsidRDefault="00DB4AC9" w:rsidP="00DB4AC9">
      <w:r>
        <w:t xml:space="preserve">The same level of documentation required by Host Institution employees for travel expense reimbursement shall be applied to PBCs who are independent contractors. At year end, the Lead Center shall include this documentation as part of the current Year End closing </w:t>
      </w:r>
      <w:proofErr w:type="gramStart"/>
      <w:r>
        <w:t>procedure, and</w:t>
      </w:r>
      <w:proofErr w:type="gramEnd"/>
      <w:r>
        <w:t xml:space="preserve"> may request all documentation to verify expense reimbursement.</w:t>
      </w:r>
    </w:p>
    <w:p w14:paraId="680D9DB5" w14:textId="77777777" w:rsidR="00DB4AC9" w:rsidRDefault="00DB4AC9" w:rsidP="00DB4AC9"/>
    <w:p w14:paraId="6D680C7B" w14:textId="77777777" w:rsidR="00DB4AC9" w:rsidRDefault="00DB4AC9" w:rsidP="00DB4AC9">
      <w:r>
        <w:br w:type="page"/>
      </w:r>
    </w:p>
    <w:p w14:paraId="4BB3C1D2" w14:textId="77777777" w:rsidR="00DB4AC9" w:rsidRDefault="00DB4AC9" w:rsidP="00DB4AC9">
      <w:pPr>
        <w:pStyle w:val="Heading2"/>
      </w:pPr>
      <w:bookmarkStart w:id="180" w:name="_1xrdshw" w:colFirst="0" w:colLast="0"/>
      <w:bookmarkEnd w:id="180"/>
      <w:r>
        <w:rPr>
          <w:sz w:val="36"/>
          <w:szCs w:val="36"/>
        </w:rPr>
        <w:lastRenderedPageBreak/>
        <w:t>8.0 Reports</w:t>
      </w:r>
    </w:p>
    <w:p w14:paraId="4A1F67EF" w14:textId="77777777" w:rsidR="00DB4AC9" w:rsidRDefault="00DB4AC9" w:rsidP="00DB4AC9">
      <w:r>
        <w:t>SBA requires three types of reports. Reporting requirements are described in the annual Notice of Funding Opportunity. The required report types are:</w:t>
      </w:r>
    </w:p>
    <w:p w14:paraId="31E32314" w14:textId="77777777" w:rsidR="00DB4AC9" w:rsidRDefault="00DB4AC9" w:rsidP="00DB4AC9">
      <w:pPr>
        <w:numPr>
          <w:ilvl w:val="0"/>
          <w:numId w:val="17"/>
        </w:numPr>
        <w:ind w:hanging="360"/>
      </w:pPr>
      <w:r>
        <w:t>Consulting and Training (EDMIS) Reports.</w:t>
      </w:r>
    </w:p>
    <w:p w14:paraId="71C57547" w14:textId="77777777" w:rsidR="00DB4AC9" w:rsidRDefault="00DB4AC9" w:rsidP="00DB4AC9">
      <w:pPr>
        <w:numPr>
          <w:ilvl w:val="0"/>
          <w:numId w:val="17"/>
        </w:numPr>
        <w:ind w:hanging="360"/>
      </w:pPr>
      <w:r>
        <w:t>Performance Reports.</w:t>
      </w:r>
    </w:p>
    <w:p w14:paraId="3F311BC8" w14:textId="77777777" w:rsidR="00DB4AC9" w:rsidRDefault="00DB4AC9" w:rsidP="00DB4AC9">
      <w:pPr>
        <w:numPr>
          <w:ilvl w:val="0"/>
          <w:numId w:val="17"/>
        </w:numPr>
        <w:ind w:hanging="360"/>
      </w:pPr>
      <w:r>
        <w:t>Financial Reports.</w:t>
      </w:r>
    </w:p>
    <w:p w14:paraId="5A038C37"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1" w:name="_4hr1b5p" w:colFirst="0" w:colLast="0"/>
      <w:bookmarkEnd w:id="181"/>
      <w:r w:rsidRPr="000D565A">
        <w:rPr>
          <w:rFonts w:ascii="Calibri" w:eastAsia="Calibri" w:hAnsi="Calibri" w:cs="Calibri"/>
          <w:b/>
          <w:smallCaps/>
          <w:color w:val="000000"/>
          <w:sz w:val="28"/>
          <w:szCs w:val="28"/>
        </w:rPr>
        <w:t>8.1 Consulting and Training Reports</w:t>
      </w:r>
    </w:p>
    <w:p w14:paraId="5526FB89" w14:textId="447A1CFF" w:rsidR="00DB4AC9" w:rsidRDefault="00DB4AC9" w:rsidP="00DB4AC9">
      <w:r>
        <w:t xml:space="preserve">Consulting and training reports (also called </w:t>
      </w:r>
      <w:r w:rsidR="006D4857">
        <w:t xml:space="preserve">NEXUS </w:t>
      </w:r>
      <w:r>
        <w:t xml:space="preserve">reports) summarize consulting and training activity performed by the SBDC network during the previous quarter and year-to-date. </w:t>
      </w:r>
      <w:r w:rsidR="006D4857">
        <w:t>NEXUS</w:t>
      </w:r>
      <w:r>
        <w:t xml:space="preserve"> reports are prepared from the Neoserra database. </w:t>
      </w:r>
      <w:r w:rsidR="006D4857">
        <w:t>NEXUS</w:t>
      </w:r>
      <w:r>
        <w:t xml:space="preserve"> reports are due from the lead center to SBA 30 days following the end of the quarter, as follows:</w:t>
      </w:r>
    </w:p>
    <w:tbl>
      <w:tblPr>
        <w:tblW w:w="4636" w:type="dxa"/>
        <w:jc w:val="center"/>
        <w:tblLayout w:type="fixed"/>
        <w:tblCellMar>
          <w:left w:w="115" w:type="dxa"/>
          <w:right w:w="115" w:type="dxa"/>
        </w:tblCellMar>
        <w:tblLook w:val="0000" w:firstRow="0" w:lastRow="0" w:firstColumn="0" w:lastColumn="0" w:noHBand="0" w:noVBand="0"/>
      </w:tblPr>
      <w:tblGrid>
        <w:gridCol w:w="2836"/>
        <w:gridCol w:w="1800"/>
      </w:tblGrid>
      <w:tr w:rsidR="00DB4AC9" w14:paraId="10365397" w14:textId="77777777" w:rsidTr="00AD6AC8">
        <w:trPr>
          <w:jc w:val="center"/>
        </w:trPr>
        <w:tc>
          <w:tcPr>
            <w:tcW w:w="2836" w:type="dxa"/>
          </w:tcPr>
          <w:p w14:paraId="538CA3A4" w14:textId="77777777" w:rsidR="00DB4AC9" w:rsidRDefault="00DB4AC9" w:rsidP="00AD6AC8">
            <w:pPr>
              <w:jc w:val="center"/>
            </w:pPr>
            <w:r>
              <w:rPr>
                <w:u w:val="single"/>
              </w:rPr>
              <w:t>Report for Quarter Ending</w:t>
            </w:r>
          </w:p>
        </w:tc>
        <w:tc>
          <w:tcPr>
            <w:tcW w:w="1800" w:type="dxa"/>
          </w:tcPr>
          <w:p w14:paraId="556EA17E" w14:textId="77777777" w:rsidR="00DB4AC9" w:rsidRDefault="00DB4AC9" w:rsidP="00AD6AC8">
            <w:pPr>
              <w:jc w:val="center"/>
            </w:pPr>
            <w:r>
              <w:rPr>
                <w:u w:val="single"/>
              </w:rPr>
              <w:t>Due to SBA</w:t>
            </w:r>
          </w:p>
        </w:tc>
      </w:tr>
      <w:tr w:rsidR="00DB4AC9" w14:paraId="2C2EC7AA" w14:textId="77777777" w:rsidTr="00AD6AC8">
        <w:trPr>
          <w:jc w:val="center"/>
        </w:trPr>
        <w:tc>
          <w:tcPr>
            <w:tcW w:w="2836" w:type="dxa"/>
          </w:tcPr>
          <w:p w14:paraId="0F318227" w14:textId="77777777" w:rsidR="00DB4AC9" w:rsidRDefault="00DB4AC9" w:rsidP="00AD6AC8">
            <w:pPr>
              <w:jc w:val="center"/>
            </w:pPr>
            <w:r>
              <w:t>March 31</w:t>
            </w:r>
          </w:p>
        </w:tc>
        <w:tc>
          <w:tcPr>
            <w:tcW w:w="1800" w:type="dxa"/>
          </w:tcPr>
          <w:p w14:paraId="795AD1C7" w14:textId="77777777" w:rsidR="00DB4AC9" w:rsidRDefault="00DB4AC9" w:rsidP="00AD6AC8">
            <w:pPr>
              <w:jc w:val="center"/>
            </w:pPr>
            <w:r>
              <w:t>April 30</w:t>
            </w:r>
          </w:p>
        </w:tc>
      </w:tr>
      <w:tr w:rsidR="00DB4AC9" w14:paraId="69DD572E" w14:textId="77777777" w:rsidTr="00AD6AC8">
        <w:trPr>
          <w:jc w:val="center"/>
        </w:trPr>
        <w:tc>
          <w:tcPr>
            <w:tcW w:w="2836" w:type="dxa"/>
          </w:tcPr>
          <w:p w14:paraId="19AE8EB7" w14:textId="77777777" w:rsidR="00DB4AC9" w:rsidRDefault="00DB4AC9" w:rsidP="00AD6AC8">
            <w:pPr>
              <w:jc w:val="center"/>
            </w:pPr>
            <w:r>
              <w:t>June 30</w:t>
            </w:r>
          </w:p>
        </w:tc>
        <w:tc>
          <w:tcPr>
            <w:tcW w:w="1800" w:type="dxa"/>
          </w:tcPr>
          <w:p w14:paraId="58A5C0AB" w14:textId="77777777" w:rsidR="00DB4AC9" w:rsidRDefault="00DB4AC9" w:rsidP="00AD6AC8">
            <w:pPr>
              <w:jc w:val="center"/>
            </w:pPr>
            <w:r>
              <w:t>July 30</w:t>
            </w:r>
          </w:p>
        </w:tc>
      </w:tr>
      <w:tr w:rsidR="00DB4AC9" w14:paraId="10CBBC90" w14:textId="77777777" w:rsidTr="00AD6AC8">
        <w:trPr>
          <w:jc w:val="center"/>
        </w:trPr>
        <w:tc>
          <w:tcPr>
            <w:tcW w:w="2836" w:type="dxa"/>
          </w:tcPr>
          <w:p w14:paraId="6B66719A" w14:textId="77777777" w:rsidR="00DB4AC9" w:rsidRDefault="00DB4AC9" w:rsidP="00AD6AC8">
            <w:pPr>
              <w:jc w:val="center"/>
            </w:pPr>
            <w:r>
              <w:t>September 30</w:t>
            </w:r>
          </w:p>
        </w:tc>
        <w:tc>
          <w:tcPr>
            <w:tcW w:w="1800" w:type="dxa"/>
          </w:tcPr>
          <w:p w14:paraId="5420FE61" w14:textId="77777777" w:rsidR="00DB4AC9" w:rsidRDefault="00DB4AC9" w:rsidP="00AD6AC8">
            <w:pPr>
              <w:jc w:val="center"/>
            </w:pPr>
            <w:r>
              <w:t>October 30</w:t>
            </w:r>
          </w:p>
        </w:tc>
      </w:tr>
      <w:tr w:rsidR="00DB4AC9" w14:paraId="6B3C9DC8" w14:textId="77777777" w:rsidTr="00AD6AC8">
        <w:trPr>
          <w:jc w:val="center"/>
        </w:trPr>
        <w:tc>
          <w:tcPr>
            <w:tcW w:w="2836" w:type="dxa"/>
          </w:tcPr>
          <w:p w14:paraId="730D944F" w14:textId="77777777" w:rsidR="00DB4AC9" w:rsidRDefault="00DB4AC9" w:rsidP="00AD6AC8">
            <w:pPr>
              <w:jc w:val="center"/>
            </w:pPr>
            <w:r>
              <w:t>December 31</w:t>
            </w:r>
          </w:p>
        </w:tc>
        <w:tc>
          <w:tcPr>
            <w:tcW w:w="1800" w:type="dxa"/>
          </w:tcPr>
          <w:p w14:paraId="6AFF9D26" w14:textId="77777777" w:rsidR="00DB4AC9" w:rsidRDefault="00DB4AC9" w:rsidP="00AD6AC8">
            <w:pPr>
              <w:jc w:val="center"/>
            </w:pPr>
            <w:r>
              <w:t>January 30</w:t>
            </w:r>
          </w:p>
        </w:tc>
      </w:tr>
    </w:tbl>
    <w:p w14:paraId="0F7DFFEA" w14:textId="77777777" w:rsidR="00DB4AC9" w:rsidRDefault="00DB4AC9" w:rsidP="00DB4AC9"/>
    <w:p w14:paraId="6FCF6A07" w14:textId="39BE3494" w:rsidR="00DB4AC9" w:rsidRDefault="00DB4AC9" w:rsidP="00DB4AC9">
      <w:r>
        <w:t xml:space="preserve">Reports are transmitted electronically to the SBA </w:t>
      </w:r>
      <w:r w:rsidR="006D4857">
        <w:t>NEXUS</w:t>
      </w:r>
      <w:r>
        <w:t xml:space="preserve"> by the lead center, following instructions provided by SBA. </w:t>
      </w:r>
    </w:p>
    <w:p w14:paraId="03238D53" w14:textId="638C4B88" w:rsidR="00DB4AC9" w:rsidRDefault="00DB4AC9" w:rsidP="00DB4AC9">
      <w:r>
        <w:t xml:space="preserve">Because in many cases, </w:t>
      </w:r>
      <w:r w:rsidR="00FF1028">
        <w:t>NEXUS</w:t>
      </w:r>
      <w:r>
        <w:t xml:space="preserve"> data reported to SBA cannot be modified after the reporting due date, regional centers should perform timely database review and clean-up procedures as outlined in the MnSBDC Year End Database Review Procedure guide. The guide is posted on the MnSBDC shared drive. </w:t>
      </w:r>
    </w:p>
    <w:p w14:paraId="05F16985"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2" w:name="_2wwbldi" w:colFirst="0" w:colLast="0"/>
      <w:bookmarkEnd w:id="182"/>
      <w:r w:rsidRPr="000D565A">
        <w:rPr>
          <w:rFonts w:ascii="Calibri" w:eastAsia="Calibri" w:hAnsi="Calibri" w:cs="Calibri"/>
          <w:b/>
          <w:smallCaps/>
          <w:color w:val="000000"/>
          <w:sz w:val="28"/>
          <w:szCs w:val="28"/>
        </w:rPr>
        <w:t>8.2 Performance Reports</w:t>
      </w:r>
    </w:p>
    <w:p w14:paraId="1969C7EC" w14:textId="77777777" w:rsidR="00DB4AC9" w:rsidRDefault="00DB4AC9" w:rsidP="00DB4AC9">
      <w:r w:rsidRPr="00AD6AC8">
        <w:rPr>
          <w:highlight w:val="yellow"/>
        </w:rPr>
        <w:t>SBA requires the SBDC network to submit two performance reports</w:t>
      </w:r>
      <w:r>
        <w:t>.</w:t>
      </w:r>
      <w:r>
        <w:rPr>
          <w:vertAlign w:val="superscript"/>
        </w:rPr>
        <w:footnoteReference w:id="186"/>
      </w:r>
      <w:r>
        <w:t xml:space="preserve"> The semi-annual report describes performance during the first half of the year, and the annual report describes performance during the full year. Performance reports describe progress toward meeting the goals, objectives and milestones identified in the annual proposal. The annual performance report also provides economic impact data such as jobs created and tax dollars generated. Economic impact data are reported electronically to SBA and are also included in the narrative report.</w:t>
      </w:r>
    </w:p>
    <w:p w14:paraId="0A27607A" w14:textId="77777777" w:rsidR="00DB4AC9" w:rsidRDefault="00DB4AC9" w:rsidP="00DB4AC9">
      <w:r>
        <w:t>The statewide performance reports are prepared by the lead center, based on reports submitted by regional centers. To ensure uniformity of reporting, and to facilitate preparation of the statewide report, the lead center provides regional centers with detailed instructions and forms for preparing the semi-annual and annual reports. The forms and instructions are based on requirements established in the Notice of Funding Opportunity.</w:t>
      </w:r>
    </w:p>
    <w:p w14:paraId="23ACD1F2" w14:textId="77777777" w:rsidR="00DB4AC9" w:rsidRDefault="00DB4AC9" w:rsidP="00DB4AC9">
      <w:r>
        <w:lastRenderedPageBreak/>
        <w:t>Due dates for performance reports are:</w:t>
      </w:r>
    </w:p>
    <w:tbl>
      <w:tblPr>
        <w:tblW w:w="8280" w:type="dxa"/>
        <w:jc w:val="center"/>
        <w:tblLayout w:type="fixed"/>
        <w:tblCellMar>
          <w:left w:w="115" w:type="dxa"/>
          <w:right w:w="115" w:type="dxa"/>
        </w:tblCellMar>
        <w:tblLook w:val="0000" w:firstRow="0" w:lastRow="0" w:firstColumn="0" w:lastColumn="0" w:noHBand="0" w:noVBand="0"/>
      </w:tblPr>
      <w:tblGrid>
        <w:gridCol w:w="3600"/>
        <w:gridCol w:w="2880"/>
        <w:gridCol w:w="1800"/>
      </w:tblGrid>
      <w:tr w:rsidR="00DB4AC9" w14:paraId="64C2C349" w14:textId="77777777" w:rsidTr="00AD6AC8">
        <w:trPr>
          <w:jc w:val="center"/>
        </w:trPr>
        <w:tc>
          <w:tcPr>
            <w:tcW w:w="3600" w:type="dxa"/>
          </w:tcPr>
          <w:p w14:paraId="37FEF3CA" w14:textId="77777777" w:rsidR="00DB4AC9" w:rsidRDefault="00DB4AC9" w:rsidP="00AD6AC8">
            <w:pPr>
              <w:jc w:val="center"/>
            </w:pPr>
            <w:r>
              <w:rPr>
                <w:u w:val="single"/>
              </w:rPr>
              <w:t>Type of Report</w:t>
            </w:r>
          </w:p>
        </w:tc>
        <w:tc>
          <w:tcPr>
            <w:tcW w:w="2880" w:type="dxa"/>
          </w:tcPr>
          <w:p w14:paraId="4ADB576C" w14:textId="77777777" w:rsidR="00DB4AC9" w:rsidRDefault="00DB4AC9" w:rsidP="00AD6AC8">
            <w:pPr>
              <w:jc w:val="center"/>
            </w:pPr>
            <w:r>
              <w:rPr>
                <w:u w:val="single"/>
              </w:rPr>
              <w:t>Due from Regional Centers</w:t>
            </w:r>
          </w:p>
        </w:tc>
        <w:tc>
          <w:tcPr>
            <w:tcW w:w="1800" w:type="dxa"/>
          </w:tcPr>
          <w:p w14:paraId="5BB5B3E2" w14:textId="77777777" w:rsidR="00DB4AC9" w:rsidRDefault="00DB4AC9" w:rsidP="00AD6AC8">
            <w:pPr>
              <w:jc w:val="center"/>
            </w:pPr>
            <w:r>
              <w:rPr>
                <w:u w:val="single"/>
              </w:rPr>
              <w:t>Due to SBA</w:t>
            </w:r>
          </w:p>
        </w:tc>
      </w:tr>
      <w:tr w:rsidR="00DB4AC9" w14:paraId="2D35F3DB" w14:textId="77777777" w:rsidTr="00AD6AC8">
        <w:trPr>
          <w:jc w:val="center"/>
        </w:trPr>
        <w:tc>
          <w:tcPr>
            <w:tcW w:w="3600" w:type="dxa"/>
          </w:tcPr>
          <w:p w14:paraId="1ECAADB9" w14:textId="77777777" w:rsidR="00DB4AC9" w:rsidRDefault="00DB4AC9" w:rsidP="00AD6AC8">
            <w:pPr>
              <w:jc w:val="center"/>
            </w:pPr>
            <w:r>
              <w:t>Semi-Annual Performance Report</w:t>
            </w:r>
          </w:p>
        </w:tc>
        <w:tc>
          <w:tcPr>
            <w:tcW w:w="2880" w:type="dxa"/>
          </w:tcPr>
          <w:p w14:paraId="607762C1" w14:textId="77777777" w:rsidR="00DB4AC9" w:rsidRDefault="00DB4AC9" w:rsidP="00AD6AC8">
            <w:pPr>
              <w:jc w:val="center"/>
            </w:pPr>
            <w:r>
              <w:t>June 30</w:t>
            </w:r>
          </w:p>
        </w:tc>
        <w:tc>
          <w:tcPr>
            <w:tcW w:w="1800" w:type="dxa"/>
          </w:tcPr>
          <w:p w14:paraId="5F146A11" w14:textId="77777777" w:rsidR="00DB4AC9" w:rsidRDefault="00DB4AC9" w:rsidP="00AD6AC8">
            <w:pPr>
              <w:jc w:val="center"/>
            </w:pPr>
            <w:r>
              <w:t>July 30</w:t>
            </w:r>
          </w:p>
        </w:tc>
      </w:tr>
      <w:tr w:rsidR="00DB4AC9" w14:paraId="33754244" w14:textId="77777777" w:rsidTr="00AD6AC8">
        <w:trPr>
          <w:jc w:val="center"/>
        </w:trPr>
        <w:tc>
          <w:tcPr>
            <w:tcW w:w="3600" w:type="dxa"/>
          </w:tcPr>
          <w:p w14:paraId="09D8DEB2" w14:textId="77777777" w:rsidR="00DB4AC9" w:rsidRDefault="00DB4AC9" w:rsidP="00AD6AC8">
            <w:pPr>
              <w:jc w:val="center"/>
            </w:pPr>
            <w:r>
              <w:t>Annual Performance Report</w:t>
            </w:r>
          </w:p>
        </w:tc>
        <w:tc>
          <w:tcPr>
            <w:tcW w:w="2880" w:type="dxa"/>
          </w:tcPr>
          <w:p w14:paraId="5FE406BD" w14:textId="77777777" w:rsidR="00DB4AC9" w:rsidRDefault="00DB4AC9" w:rsidP="00AD6AC8">
            <w:pPr>
              <w:jc w:val="center"/>
            </w:pPr>
            <w:r>
              <w:t>February 15</w:t>
            </w:r>
          </w:p>
        </w:tc>
        <w:tc>
          <w:tcPr>
            <w:tcW w:w="1800" w:type="dxa"/>
          </w:tcPr>
          <w:p w14:paraId="49E363B7" w14:textId="77777777" w:rsidR="00DB4AC9" w:rsidRDefault="00DB4AC9" w:rsidP="00AD6AC8">
            <w:pPr>
              <w:jc w:val="center"/>
            </w:pPr>
            <w:r>
              <w:t>March 30</w:t>
            </w:r>
          </w:p>
        </w:tc>
      </w:tr>
    </w:tbl>
    <w:p w14:paraId="347BFBE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3" w:name="_1c1lvlb" w:colFirst="0" w:colLast="0"/>
      <w:bookmarkEnd w:id="183"/>
      <w:r w:rsidRPr="000D565A">
        <w:rPr>
          <w:rFonts w:ascii="Calibri" w:eastAsia="Calibri" w:hAnsi="Calibri" w:cs="Calibri"/>
          <w:b/>
          <w:smallCaps/>
          <w:color w:val="000000"/>
          <w:sz w:val="28"/>
          <w:szCs w:val="28"/>
        </w:rPr>
        <w:t>8.3 Financial Reports</w:t>
      </w:r>
    </w:p>
    <w:p w14:paraId="137C890B" w14:textId="77777777" w:rsidR="00DB4AC9" w:rsidRDefault="00DB4AC9" w:rsidP="00DB4AC9">
      <w:r>
        <w:t>Financial reports are submitted to SBA as part of the semi-annual and annual performance report.</w:t>
      </w:r>
      <w:r>
        <w:rPr>
          <w:vertAlign w:val="superscript"/>
        </w:rPr>
        <w:footnoteReference w:id="187"/>
      </w:r>
      <w:r>
        <w:t xml:space="preserve"> Financial report requirements are established in the Program Announcement and include:</w:t>
      </w:r>
    </w:p>
    <w:p w14:paraId="2BA22B96" w14:textId="77777777" w:rsidR="00DB4AC9" w:rsidRDefault="00DB4AC9" w:rsidP="00DB4AC9">
      <w:pPr>
        <w:numPr>
          <w:ilvl w:val="0"/>
          <w:numId w:val="17"/>
        </w:numPr>
        <w:ind w:hanging="360"/>
      </w:pPr>
      <w:r>
        <w:t>Federal Form SF 425, Financial Status Report.</w:t>
      </w:r>
    </w:p>
    <w:p w14:paraId="076EE300" w14:textId="77777777" w:rsidR="00DB4AC9" w:rsidRDefault="00DB4AC9" w:rsidP="00DB4AC9">
      <w:pPr>
        <w:numPr>
          <w:ilvl w:val="0"/>
          <w:numId w:val="17"/>
        </w:numPr>
        <w:ind w:hanging="360"/>
      </w:pPr>
      <w:r>
        <w:t>SBA Schedule, Schedule of Indirect Costs.</w:t>
      </w:r>
    </w:p>
    <w:p w14:paraId="440731BE" w14:textId="77777777" w:rsidR="00DB4AC9" w:rsidRDefault="00DB4AC9" w:rsidP="00DB4AC9">
      <w:pPr>
        <w:numPr>
          <w:ilvl w:val="0"/>
          <w:numId w:val="17"/>
        </w:numPr>
        <w:ind w:hanging="360"/>
      </w:pPr>
      <w:r>
        <w:t>SBA Form 2113, Program Income Report.</w:t>
      </w:r>
    </w:p>
    <w:p w14:paraId="630C2F72" w14:textId="77777777" w:rsidR="00DB4AC9" w:rsidRDefault="00DB4AC9" w:rsidP="00DB4AC9">
      <w:pPr>
        <w:numPr>
          <w:ilvl w:val="0"/>
          <w:numId w:val="17"/>
        </w:numPr>
        <w:ind w:hanging="360"/>
      </w:pPr>
      <w:r>
        <w:t>SBA Form 2186, Other Funding Under the SBDC Umbrella.</w:t>
      </w:r>
    </w:p>
    <w:p w14:paraId="6585180E" w14:textId="77777777" w:rsidR="00DB4AC9" w:rsidRDefault="00DB4AC9" w:rsidP="00DB4AC9">
      <w:pPr>
        <w:numPr>
          <w:ilvl w:val="0"/>
          <w:numId w:val="17"/>
        </w:numPr>
        <w:ind w:hanging="360"/>
      </w:pPr>
      <w:r>
        <w:t>Federal Form SF 272, Federal Cash Transactions Report.</w:t>
      </w:r>
    </w:p>
    <w:p w14:paraId="3DF8C3A7" w14:textId="77777777" w:rsidR="00DB4AC9" w:rsidRDefault="00DB4AC9" w:rsidP="00DB4AC9">
      <w:proofErr w:type="gramStart"/>
      <w:r>
        <w:t>All of</w:t>
      </w:r>
      <w:proofErr w:type="gramEnd"/>
      <w:r>
        <w:t xml:space="preserve"> these forms are prepared by the lead center based on information supplied by regional centers. </w:t>
      </w:r>
      <w:proofErr w:type="gramStart"/>
      <w:r>
        <w:t>In order to</w:t>
      </w:r>
      <w:proofErr w:type="gramEnd"/>
      <w:r>
        <w:t xml:space="preserve"> assure the accuracy of the statewide report, it is essential that regional reports be accurate. As with the MIS and performance reports, the lead center provides regional centers with the forms and instructions for preparing financial reports. Due dates are the same as the due dates for the semi-annual and annual performance reports.</w:t>
      </w:r>
    </w:p>
    <w:p w14:paraId="0B76AD18"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4" w:name="_3w19e94" w:colFirst="0" w:colLast="0"/>
      <w:bookmarkEnd w:id="184"/>
      <w:r w:rsidRPr="000D565A">
        <w:rPr>
          <w:rFonts w:ascii="Calibri" w:eastAsia="Calibri" w:hAnsi="Calibri" w:cs="Calibri"/>
          <w:b/>
          <w:smallCaps/>
          <w:color w:val="000000"/>
          <w:sz w:val="28"/>
          <w:szCs w:val="28"/>
        </w:rPr>
        <w:t>8.4 Network Scorecard Reports</w:t>
      </w:r>
    </w:p>
    <w:p w14:paraId="62DB39DF" w14:textId="77777777" w:rsidR="00DB4AC9" w:rsidRDefault="00DB4AC9" w:rsidP="00DB4AC9">
      <w:r>
        <w:t xml:space="preserve">Regional center goals are available to view in real time on the Neoserra dashboard. Every Regional Director should be monitoring their progress toward accomplishing regional center goals.  If the goals </w:t>
      </w:r>
      <w:proofErr w:type="gramStart"/>
      <w:r>
        <w:t>are not meeting</w:t>
      </w:r>
      <w:proofErr w:type="gramEnd"/>
      <w:r>
        <w:t xml:space="preserve"> the required performance objectives, the Regional Director may generate specific reports from Neoserra to pinpoint and address the issue. </w:t>
      </w:r>
      <w:r w:rsidR="00000000">
        <w:pict w14:anchorId="7765FEFF">
          <v:rect id="_x0000_i1025" style="width:0;height:1.5pt" o:hralign="center" o:hrstd="t" o:hr="t" fillcolor="#a0a0a0" stroked="f"/>
        </w:pict>
      </w:r>
    </w:p>
    <w:p w14:paraId="0F481D25" w14:textId="77777777" w:rsidR="00DB4AC9" w:rsidRDefault="00DB4AC9" w:rsidP="00DB4AC9">
      <w:r>
        <w:br w:type="page"/>
      </w:r>
    </w:p>
    <w:p w14:paraId="5C92D4F4" w14:textId="77777777" w:rsidR="00DB4AC9" w:rsidRDefault="00DB4AC9" w:rsidP="00DB4AC9">
      <w:pPr>
        <w:pStyle w:val="Heading2"/>
      </w:pPr>
      <w:bookmarkStart w:id="185" w:name="_2b6jogx" w:colFirst="0" w:colLast="0"/>
      <w:bookmarkEnd w:id="185"/>
      <w:r>
        <w:rPr>
          <w:sz w:val="36"/>
          <w:szCs w:val="36"/>
        </w:rPr>
        <w:lastRenderedPageBreak/>
        <w:t>9.0 Proposal Process</w:t>
      </w:r>
    </w:p>
    <w:p w14:paraId="08007D8B" w14:textId="77777777" w:rsidR="00DB4AC9" w:rsidRDefault="00DB4AC9" w:rsidP="00DB4AC9">
      <w:r>
        <w:t>The SBDC lead center applies for federal funding through the U.S. SBA by submitting an annual proposal. This is reinforced by a multi-year programmatic proposal issued by DEED covering a 3-year timeframe</w:t>
      </w:r>
      <w:proofErr w:type="gramStart"/>
      <w:r>
        <w:t>. .</w:t>
      </w:r>
      <w:proofErr w:type="gramEnd"/>
      <w:r>
        <w:t xml:space="preserve"> Both the multi-year programmatic proposal and the annual funding proposal are based on proposals submitted by regional centers, and the anticipated federal funding level issued by the U.S. SBA</w:t>
      </w:r>
    </w:p>
    <w:p w14:paraId="15DCFC5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6" w:name="_qbtyoq" w:colFirst="0" w:colLast="0"/>
      <w:bookmarkEnd w:id="186"/>
      <w:r w:rsidRPr="000D565A">
        <w:rPr>
          <w:rFonts w:ascii="Calibri" w:eastAsia="Calibri" w:hAnsi="Calibri" w:cs="Calibri"/>
          <w:b/>
          <w:smallCaps/>
          <w:color w:val="000000"/>
          <w:sz w:val="28"/>
          <w:szCs w:val="28"/>
        </w:rPr>
        <w:t>9.1 Multi-Year Programmatic Proposal</w:t>
      </w:r>
    </w:p>
    <w:p w14:paraId="59CA3E78" w14:textId="77777777" w:rsidR="00DB4AC9" w:rsidRDefault="00DB4AC9" w:rsidP="00DB4AC9">
      <w:r>
        <w:t xml:space="preserve">The lead center submits an annual proposal for federal funding through the U.S.  SBA. </w:t>
      </w:r>
    </w:p>
    <w:p w14:paraId="3ECB74C2" w14:textId="77777777" w:rsidR="00DB4AC9" w:rsidRDefault="00DB4AC9" w:rsidP="00DB4AC9">
      <w:r>
        <w:t>Minnesota has elected to develop multi-year programmatic proposals for their regional centers to encourage longer-term planning. To prepare the proposal, every three years the lead center solicits proposals from entities interested in serving as a regional center for the next three-year program cycle. The Request for Proposals is published in the State Register, typically in 2nd quarter, and distributed to potentially qualified applicants. Proposals are due in 3rd quarter. Organizations whose proposals are accepted are notified in 4th quarter. Representatives from the selected organizations participate in a strategic planning session to plan the direction of the SBDC program for the next three-year cycle. The results of the planning session form the basis for the multi-year proposal.</w:t>
      </w:r>
    </w:p>
    <w:p w14:paraId="1E4B1749"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7" w:name="_3abhhcj" w:colFirst="0" w:colLast="0"/>
      <w:bookmarkEnd w:id="187"/>
      <w:r w:rsidRPr="000D565A">
        <w:rPr>
          <w:rFonts w:ascii="Calibri" w:eastAsia="Calibri" w:hAnsi="Calibri" w:cs="Calibri"/>
          <w:b/>
          <w:smallCaps/>
          <w:color w:val="000000"/>
          <w:sz w:val="28"/>
          <w:szCs w:val="28"/>
        </w:rPr>
        <w:t>9.2 Annual Funding Proposal</w:t>
      </w:r>
    </w:p>
    <w:p w14:paraId="41C91912" w14:textId="77777777" w:rsidR="00DB4AC9" w:rsidRDefault="00DB4AC9" w:rsidP="00DB4AC9">
      <w:r>
        <w:t xml:space="preserve">The SBDC lead center applies for federal funds through an annual proposal process. </w:t>
      </w:r>
      <w:proofErr w:type="gramStart"/>
      <w:r>
        <w:t>In order to</w:t>
      </w:r>
      <w:proofErr w:type="gramEnd"/>
      <w:r>
        <w:t xml:space="preserve"> prepare the federal funding proposal, the lead center solicits funding proposals from regional centers.  The budget is dictated by the </w:t>
      </w:r>
      <w:proofErr w:type="spellStart"/>
      <w:r>
        <w:t>fundsing</w:t>
      </w:r>
      <w:proofErr w:type="spellEnd"/>
      <w:r>
        <w:t xml:space="preserve"> available from Congress for the program, while the goals listed in the RFP are used to help build the strategic plan for the network.</w:t>
      </w:r>
    </w:p>
    <w:p w14:paraId="5AD3A14D" w14:textId="77777777" w:rsidR="00DB4AC9" w:rsidRDefault="00DB4AC9" w:rsidP="00DB4AC9">
      <w:r>
        <w:t>The lead center provides instructions and forms for preparing the annual funding proposal and budget. The instructions and forms are based on the requirements of the Program Announcement by which SBA solicits proposals from lead centers.</w:t>
      </w:r>
    </w:p>
    <w:p w14:paraId="03DFF80B" w14:textId="77777777" w:rsidR="00DB4AC9" w:rsidRDefault="00DB4AC9" w:rsidP="00DB4AC9">
      <w:r>
        <w:t>The following calendar is used to prepare the annual funding proposal and award grants. Dates are approximate.</w:t>
      </w:r>
    </w:p>
    <w:p w14:paraId="423B7525" w14:textId="77777777" w:rsidR="00DB4AC9" w:rsidRDefault="00DB4AC9" w:rsidP="00DB4AC9">
      <w:pPr>
        <w:ind w:left="720"/>
      </w:pPr>
      <w:r>
        <w:t>Mid-June – Lead center issues funding proposal instructions and requests a letter of intent for those intending to submit a proposal.</w:t>
      </w:r>
    </w:p>
    <w:p w14:paraId="7E09DA4A" w14:textId="77777777" w:rsidR="00DB4AC9" w:rsidRDefault="00DB4AC9" w:rsidP="00DB4AC9">
      <w:pPr>
        <w:ind w:left="720"/>
      </w:pPr>
      <w:r>
        <w:t>Mid-July – Regional funding proposals due to lead center</w:t>
      </w:r>
    </w:p>
    <w:p w14:paraId="5B083E85" w14:textId="77777777" w:rsidR="00DB4AC9" w:rsidRDefault="00DB4AC9" w:rsidP="00DB4AC9">
      <w:pPr>
        <w:ind w:left="720"/>
      </w:pPr>
      <w:r>
        <w:t>Early August – Draft proposal due to SBA district office</w:t>
      </w:r>
    </w:p>
    <w:p w14:paraId="6653550C" w14:textId="77777777" w:rsidR="00DB4AC9" w:rsidRDefault="00DB4AC9" w:rsidP="00DB4AC9">
      <w:pPr>
        <w:ind w:left="720"/>
      </w:pPr>
      <w:r>
        <w:t>Last Half August / First Half September – Final proposal due to SBA; submission via www.grants.gov</w:t>
      </w:r>
    </w:p>
    <w:p w14:paraId="25F29A4F" w14:textId="77777777" w:rsidR="00DB4AC9" w:rsidRDefault="00DB4AC9" w:rsidP="00DB4AC9">
      <w:pPr>
        <w:ind w:left="720"/>
      </w:pPr>
      <w:r>
        <w:t>Last Half November / First Half December – Draft grant agreements are sent to regional centers if the SBA has awarded the project for that year, otherwise it is delayed until the SBA issues the award.</w:t>
      </w:r>
    </w:p>
    <w:p w14:paraId="67168038" w14:textId="77777777" w:rsidR="00DB4AC9" w:rsidRDefault="00DB4AC9" w:rsidP="00DB4AC9">
      <w:pPr>
        <w:ind w:left="720"/>
      </w:pPr>
      <w:r>
        <w:t>Early December – SBA issues Notice of Award or intent to issue Notice of Award</w:t>
      </w:r>
    </w:p>
    <w:p w14:paraId="6541D509" w14:textId="77777777" w:rsidR="00DB4AC9" w:rsidRDefault="00DB4AC9" w:rsidP="00DB4AC9">
      <w:pPr>
        <w:ind w:left="720"/>
      </w:pPr>
      <w:r>
        <w:t>Late December – Grant agreements are executed by all parties, or if the award is delayed, the grants are not issued until the award is issued.</w:t>
      </w:r>
    </w:p>
    <w:p w14:paraId="29969B4E" w14:textId="77777777" w:rsidR="00DB4AC9" w:rsidRDefault="00DB4AC9" w:rsidP="00DB4AC9">
      <w:pPr>
        <w:ind w:left="720"/>
      </w:pPr>
      <w:r>
        <w:lastRenderedPageBreak/>
        <w:t>January 1 – New program year begins</w:t>
      </w:r>
    </w:p>
    <w:p w14:paraId="11D0BB6E" w14:textId="77777777" w:rsidR="00DB4AC9" w:rsidRDefault="00DB4AC9" w:rsidP="00DB4AC9">
      <w:pPr>
        <w:ind w:left="720"/>
      </w:pPr>
    </w:p>
    <w:p w14:paraId="0FB3385D" w14:textId="77777777" w:rsidR="00DB4AC9" w:rsidRDefault="00DB4AC9" w:rsidP="00DB4AC9">
      <w:pPr>
        <w:ind w:left="720"/>
      </w:pPr>
      <w:r>
        <w:t>NOTE – the grant agreement contracts are not considered VALID until they are counter-signed by the DEED Commissioner’s Office, thus no funds can be spent until this occurs. This depends on the source of funds being used, please check with the Lead Center for specific instructions.</w:t>
      </w:r>
    </w:p>
    <w:p w14:paraId="6986139C"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88" w:name="_1pgrrkc" w:colFirst="0" w:colLast="0"/>
      <w:bookmarkEnd w:id="188"/>
      <w:r w:rsidRPr="000D565A">
        <w:rPr>
          <w:rFonts w:ascii="Calibri" w:eastAsia="Calibri" w:hAnsi="Calibri" w:cs="Calibri"/>
          <w:b/>
          <w:smallCaps/>
          <w:color w:val="000000"/>
          <w:sz w:val="28"/>
          <w:szCs w:val="28"/>
        </w:rPr>
        <w:t>9.3 Proposal Review</w:t>
      </w:r>
    </w:p>
    <w:p w14:paraId="57AB40FB" w14:textId="77777777" w:rsidR="00DB4AC9" w:rsidRDefault="00DB4AC9" w:rsidP="00DB4AC9">
      <w:r>
        <w:t xml:space="preserve">Proposals are reviewed by the lead center for conformity to the information requested in the proposal solicitation. Regional centers’ use of the forms provided by the lead center and attention to the instructions will minimize </w:t>
      </w:r>
      <w:proofErr w:type="gramStart"/>
      <w:r>
        <w:t>call-backs</w:t>
      </w:r>
      <w:proofErr w:type="gramEnd"/>
      <w:r>
        <w:t xml:space="preserve"> and re-work resulting from the review.</w:t>
      </w:r>
    </w:p>
    <w:p w14:paraId="5FE8B9F1" w14:textId="77777777" w:rsidR="00DB4AC9" w:rsidRDefault="00DB4AC9" w:rsidP="00DB4AC9">
      <w:r>
        <w:t xml:space="preserve">The following procedures are used by the lead center to review the completeness of the </w:t>
      </w:r>
      <w:proofErr w:type="gramStart"/>
      <w:r>
        <w:t>funding proposal budget</w:t>
      </w:r>
      <w:proofErr w:type="gramEnd"/>
      <w:r>
        <w:t>. These procedures are provided to assist regional centers in proofreading their proposal budget prior to submitting it to the lead center.</w:t>
      </w:r>
    </w:p>
    <w:p w14:paraId="7E324DCE" w14:textId="77777777" w:rsidR="00DB4AC9" w:rsidRDefault="00DB4AC9" w:rsidP="00DB4AC9">
      <w:pPr>
        <w:numPr>
          <w:ilvl w:val="0"/>
          <w:numId w:val="17"/>
        </w:numPr>
        <w:ind w:hanging="360"/>
      </w:pPr>
      <w:r>
        <w:t>Federal and State award funds equal amount specified in instructions.</w:t>
      </w:r>
    </w:p>
    <w:p w14:paraId="6ADFD051" w14:textId="77777777" w:rsidR="00DB4AC9" w:rsidRDefault="00DB4AC9" w:rsidP="00DB4AC9">
      <w:pPr>
        <w:numPr>
          <w:ilvl w:val="0"/>
          <w:numId w:val="17"/>
        </w:numPr>
        <w:ind w:hanging="360"/>
      </w:pPr>
      <w:r>
        <w:t>Sources of cash match (Part 1 of Proposal), total cash match, and funding sources of cash match balance.</w:t>
      </w:r>
    </w:p>
    <w:p w14:paraId="2747B6A1" w14:textId="77777777" w:rsidR="00DB4AC9" w:rsidRDefault="00DB4AC9" w:rsidP="00DB4AC9">
      <w:pPr>
        <w:numPr>
          <w:ilvl w:val="0"/>
          <w:numId w:val="17"/>
        </w:numPr>
        <w:ind w:hanging="360"/>
      </w:pPr>
      <w:r>
        <w:t>Contractual organizations on the organizational chart correspond to contractual organizations specified in the budget and contractual organization expenditure detail corresponds to the Contractual line item in the budget.</w:t>
      </w:r>
    </w:p>
    <w:p w14:paraId="0535F411" w14:textId="77777777" w:rsidR="00DB4AC9" w:rsidRDefault="00DB4AC9" w:rsidP="00DB4AC9">
      <w:pPr>
        <w:numPr>
          <w:ilvl w:val="0"/>
          <w:numId w:val="17"/>
        </w:numPr>
        <w:ind w:hanging="360"/>
      </w:pPr>
      <w:r>
        <w:t xml:space="preserve">Personnel and personnel expenditure </w:t>
      </w:r>
      <w:proofErr w:type="gramStart"/>
      <w:r>
        <w:t>detail</w:t>
      </w:r>
      <w:proofErr w:type="gramEnd"/>
      <w:r>
        <w:t xml:space="preserve"> correspond to personnel identified in the budget.</w:t>
      </w:r>
    </w:p>
    <w:p w14:paraId="01E0DEC9" w14:textId="77777777" w:rsidR="00DB4AC9" w:rsidRDefault="00DB4AC9" w:rsidP="00DB4AC9">
      <w:pPr>
        <w:numPr>
          <w:ilvl w:val="0"/>
          <w:numId w:val="17"/>
        </w:numPr>
        <w:ind w:hanging="360"/>
      </w:pPr>
      <w:r>
        <w:t>Fringe benefit percentages are specified in the budget and are calculated accurately.</w:t>
      </w:r>
    </w:p>
    <w:p w14:paraId="2ACF77BF" w14:textId="77777777" w:rsidR="00DB4AC9" w:rsidRDefault="00DB4AC9" w:rsidP="00DB4AC9">
      <w:pPr>
        <w:numPr>
          <w:ilvl w:val="0"/>
          <w:numId w:val="17"/>
        </w:numPr>
        <w:ind w:hanging="360"/>
      </w:pPr>
      <w:r>
        <w:t>In-state and out-state travel are separately stated.</w:t>
      </w:r>
    </w:p>
    <w:p w14:paraId="7431B31A" w14:textId="77777777" w:rsidR="00DB4AC9" w:rsidRDefault="00DB4AC9" w:rsidP="00DB4AC9">
      <w:pPr>
        <w:numPr>
          <w:ilvl w:val="0"/>
          <w:numId w:val="17"/>
        </w:numPr>
        <w:ind w:hanging="360"/>
      </w:pPr>
      <w:r>
        <w:t>In-state mileage and reimbursement rate are stated and are calculated accurately.</w:t>
      </w:r>
    </w:p>
    <w:p w14:paraId="31B0DFB0" w14:textId="77777777" w:rsidR="00DB4AC9" w:rsidRDefault="00DB4AC9" w:rsidP="00DB4AC9">
      <w:pPr>
        <w:numPr>
          <w:ilvl w:val="0"/>
          <w:numId w:val="17"/>
        </w:numPr>
        <w:ind w:hanging="360"/>
      </w:pPr>
      <w:r>
        <w:t>Out-of-state travel is appropriately justified.</w:t>
      </w:r>
    </w:p>
    <w:p w14:paraId="6982247F" w14:textId="77777777" w:rsidR="00DB4AC9" w:rsidRDefault="00DB4AC9" w:rsidP="00DB4AC9">
      <w:pPr>
        <w:numPr>
          <w:ilvl w:val="0"/>
          <w:numId w:val="17"/>
        </w:numPr>
        <w:ind w:hanging="360"/>
      </w:pPr>
      <w:r>
        <w:t>Equipment purchases (useful life of one year with acquisition cost of $5000 or more) are justified.</w:t>
      </w:r>
    </w:p>
    <w:p w14:paraId="40BF19DE" w14:textId="77777777" w:rsidR="00DB4AC9" w:rsidRDefault="00DB4AC9" w:rsidP="00DB4AC9">
      <w:pPr>
        <w:numPr>
          <w:ilvl w:val="0"/>
          <w:numId w:val="17"/>
        </w:numPr>
        <w:ind w:hanging="360"/>
      </w:pPr>
      <w:r>
        <w:t xml:space="preserve">Budgets are provided for contractual service centers and </w:t>
      </w:r>
      <w:proofErr w:type="gramStart"/>
      <w:r>
        <w:t>tie</w:t>
      </w:r>
      <w:proofErr w:type="gramEnd"/>
      <w:r>
        <w:t xml:space="preserve"> to regional center contractual line item.</w:t>
      </w:r>
    </w:p>
    <w:p w14:paraId="7E502B8B" w14:textId="77777777" w:rsidR="00DB4AC9" w:rsidRDefault="00DB4AC9" w:rsidP="00DB4AC9">
      <w:pPr>
        <w:numPr>
          <w:ilvl w:val="0"/>
          <w:numId w:val="17"/>
        </w:numPr>
        <w:ind w:hanging="360"/>
      </w:pPr>
      <w:r>
        <w:t xml:space="preserve">Consultant and consultant expenditure </w:t>
      </w:r>
      <w:proofErr w:type="gramStart"/>
      <w:r>
        <w:t>detail</w:t>
      </w:r>
      <w:proofErr w:type="gramEnd"/>
      <w:r>
        <w:t xml:space="preserve"> correspond to the Consultant line item in the budget.</w:t>
      </w:r>
    </w:p>
    <w:p w14:paraId="64A361CA" w14:textId="77777777" w:rsidR="00DB4AC9" w:rsidRDefault="00DB4AC9" w:rsidP="00DB4AC9">
      <w:pPr>
        <w:numPr>
          <w:ilvl w:val="0"/>
          <w:numId w:val="17"/>
        </w:numPr>
        <w:ind w:hanging="360"/>
      </w:pPr>
      <w:r>
        <w:t>Other direct costs are reasonable and in line with historical costs or are otherwise appropriately justified.</w:t>
      </w:r>
    </w:p>
    <w:p w14:paraId="6AEB6A9B" w14:textId="77777777" w:rsidR="00DB4AC9" w:rsidRDefault="00DB4AC9" w:rsidP="00DB4AC9">
      <w:pPr>
        <w:numPr>
          <w:ilvl w:val="0"/>
          <w:numId w:val="17"/>
        </w:numPr>
        <w:ind w:hanging="360"/>
      </w:pPr>
      <w:r>
        <w:t>In-kind contributions are appropriately justified and documented when required.</w:t>
      </w:r>
    </w:p>
    <w:p w14:paraId="6465AF8C" w14:textId="77777777" w:rsidR="00DB4AC9" w:rsidRDefault="00DB4AC9" w:rsidP="00DB4AC9">
      <w:pPr>
        <w:numPr>
          <w:ilvl w:val="0"/>
          <w:numId w:val="17"/>
        </w:numPr>
        <w:ind w:hanging="360"/>
      </w:pPr>
      <w:r>
        <w:t>Indirect cost rate agreements are provided and are calculated correctly in the budget.</w:t>
      </w:r>
    </w:p>
    <w:p w14:paraId="2C0C75C9" w14:textId="77777777" w:rsidR="00DB4AC9" w:rsidRDefault="00DB4AC9" w:rsidP="00DB4AC9">
      <w:pPr>
        <w:numPr>
          <w:ilvl w:val="0"/>
          <w:numId w:val="17"/>
        </w:numPr>
        <w:ind w:hanging="360"/>
      </w:pPr>
      <w:r>
        <w:t>Federal and state award funds are allocated to direct client service (personnel, fringe, travel directly related to client services, contractual and consultant line items).</w:t>
      </w:r>
    </w:p>
    <w:p w14:paraId="750F7762" w14:textId="77777777" w:rsidR="00DB4AC9" w:rsidRDefault="00DB4AC9" w:rsidP="00DB4AC9">
      <w:pPr>
        <w:numPr>
          <w:ilvl w:val="0"/>
          <w:numId w:val="17"/>
        </w:numPr>
        <w:ind w:hanging="360"/>
      </w:pPr>
      <w:r>
        <w:lastRenderedPageBreak/>
        <w:t>The regional center meets the minimum total match requirement specified in the proposal instructions [(federal) * 100%].</w:t>
      </w:r>
    </w:p>
    <w:p w14:paraId="6D63E2DC" w14:textId="77777777" w:rsidR="00DB4AC9" w:rsidRDefault="00DB4AC9" w:rsidP="00DB4AC9">
      <w:pPr>
        <w:numPr>
          <w:ilvl w:val="0"/>
          <w:numId w:val="17"/>
        </w:numPr>
        <w:ind w:hanging="360"/>
      </w:pPr>
      <w:r>
        <w:t>The regional center meets the minimum cash match requirement [minimum total match requirement * 50%].</w:t>
      </w:r>
    </w:p>
    <w:p w14:paraId="2C03004B" w14:textId="77777777" w:rsidR="00DB4AC9" w:rsidRDefault="00DB4AC9" w:rsidP="00DB4AC9">
      <w:pPr>
        <w:numPr>
          <w:ilvl w:val="0"/>
          <w:numId w:val="17"/>
        </w:numPr>
        <w:ind w:hanging="360"/>
      </w:pPr>
      <w:r>
        <w:t>The appropriate authorized official signs the proposal.</w:t>
      </w:r>
    </w:p>
    <w:p w14:paraId="0A2F0628" w14:textId="77777777" w:rsidR="00DB4AC9" w:rsidRDefault="00DB4AC9" w:rsidP="00DB4AC9">
      <w:r>
        <w:br w:type="page"/>
      </w:r>
    </w:p>
    <w:p w14:paraId="490BD5E4" w14:textId="77777777" w:rsidR="00DB4AC9" w:rsidRDefault="00DB4AC9" w:rsidP="00DB4AC9">
      <w:pPr>
        <w:pStyle w:val="Heading2"/>
      </w:pPr>
      <w:bookmarkStart w:id="189" w:name="_49gfa85" w:colFirst="0" w:colLast="0"/>
      <w:bookmarkEnd w:id="189"/>
      <w:r>
        <w:rPr>
          <w:sz w:val="36"/>
          <w:szCs w:val="36"/>
        </w:rPr>
        <w:lastRenderedPageBreak/>
        <w:t>10.0 Database Management</w:t>
      </w:r>
    </w:p>
    <w:p w14:paraId="66196FDB" w14:textId="77777777" w:rsidR="00DB4AC9" w:rsidRDefault="00DB4AC9" w:rsidP="00DB4AC9">
      <w:r>
        <w:t>Neoserra is the SBDC client tracking and management information system. The state office utilizes Neoserra for the administrative functions of the SBDC management information system. All centers are required to enter client data, consulting records, investment session, training seminar information and professional development information in Neoserra. This section of the operations manual addresses database management issues. Users of this manual should refer to the Neoserra training manual posted in the Appendix for details on data entry and other issues related to Neoserra.</w:t>
      </w:r>
    </w:p>
    <w:p w14:paraId="78E51134"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90" w:name="_2olpkfy" w:colFirst="0" w:colLast="0"/>
      <w:bookmarkEnd w:id="190"/>
      <w:r w:rsidRPr="000D565A">
        <w:rPr>
          <w:rFonts w:ascii="Calibri" w:eastAsia="Calibri" w:hAnsi="Calibri" w:cs="Calibri"/>
          <w:b/>
          <w:smallCaps/>
          <w:color w:val="000000"/>
          <w:sz w:val="28"/>
          <w:szCs w:val="28"/>
        </w:rPr>
        <w:t>10.1 Quarterly Data Entry Deadlines</w:t>
      </w:r>
    </w:p>
    <w:p w14:paraId="06D1E045" w14:textId="77777777" w:rsidR="00DB4AC9" w:rsidRDefault="00DB4AC9" w:rsidP="00DB4AC9">
      <w:r>
        <w:t>State office policy requires regional center consulting and training activity that occurs the prior month to be entered by the 14</w:t>
      </w:r>
      <w:r>
        <w:rPr>
          <w:vertAlign w:val="superscript"/>
        </w:rPr>
        <w:t>th</w:t>
      </w:r>
      <w:r>
        <w:t xml:space="preserve"> of the following month.</w:t>
      </w:r>
    </w:p>
    <w:p w14:paraId="3C956B97" w14:textId="77777777" w:rsidR="00DB4AC9" w:rsidRDefault="00DB4AC9" w:rsidP="00DB4AC9">
      <w:r>
        <w:t xml:space="preserve">Consulting and training activity not entered before the submission deadline will not be included in SBA reported information. Modification of prior month activity post-submission deadline is not allowed </w:t>
      </w:r>
      <w:proofErr w:type="gramStart"/>
      <w:r>
        <w:t>with the exception of</w:t>
      </w:r>
      <w:proofErr w:type="gramEnd"/>
      <w:r>
        <w:t xml:space="preserve"> Attribution and Validation information which may span several months. Regional centers are at liberty to set more restrictive deadlines upon regional consultants to ensure the entry of accurate and timely information. </w:t>
      </w:r>
    </w:p>
    <w:p w14:paraId="4B4D665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191" w:name="_13qzunr" w:colFirst="0" w:colLast="0"/>
      <w:bookmarkEnd w:id="191"/>
      <w:r w:rsidRPr="000D565A">
        <w:rPr>
          <w:rFonts w:ascii="Calibri" w:eastAsia="Calibri" w:hAnsi="Calibri" w:cs="Calibri"/>
          <w:b/>
          <w:smallCaps/>
          <w:color w:val="000000"/>
          <w:sz w:val="28"/>
          <w:szCs w:val="28"/>
        </w:rPr>
        <w:t xml:space="preserve">10.2 Entry of New Clients </w:t>
      </w:r>
    </w:p>
    <w:p w14:paraId="735C9D7A" w14:textId="77777777" w:rsidR="00DB4AC9" w:rsidRPr="00472E95" w:rsidRDefault="00DB4AC9" w:rsidP="00DB4AC9">
      <w:pPr>
        <w:pStyle w:val="Heading4"/>
        <w:ind w:left="360"/>
        <w:rPr>
          <w:b/>
          <w:bCs/>
          <w:color w:val="000000" w:themeColor="text1"/>
        </w:rPr>
      </w:pPr>
      <w:bookmarkStart w:id="192" w:name="_3nqndbk" w:colFirst="0" w:colLast="0"/>
      <w:bookmarkEnd w:id="192"/>
      <w:r w:rsidRPr="00472E95">
        <w:rPr>
          <w:b/>
          <w:bCs/>
          <w:color w:val="000000" w:themeColor="text1"/>
        </w:rPr>
        <w:t>10.2.1 New Client Status</w:t>
      </w:r>
    </w:p>
    <w:p w14:paraId="43124B27" w14:textId="77777777" w:rsidR="00DB4AC9" w:rsidRDefault="00DB4AC9" w:rsidP="00DB4AC9">
      <w:r>
        <w:t xml:space="preserve">A client is only a new client once during the lifetime of his/her relationship with </w:t>
      </w:r>
      <w:proofErr w:type="gramStart"/>
      <w:r>
        <w:t>the SBDC</w:t>
      </w:r>
      <w:proofErr w:type="gramEnd"/>
      <w:r>
        <w:t>. To be counted as an initial session per US SBA definitions, the first initial session must be of a duration of a minimum of 15 minutes, the remainder of time may be prep.  For phone or internet consulting, the initial session must be   at least a minimum of 15 minutes of contact time, the remainder of time may be prep. NOTE - Travel time should be recorded, however, it does not count toward meeting the required time.</w:t>
      </w:r>
    </w:p>
    <w:p w14:paraId="2FD9FE7F" w14:textId="77777777" w:rsidR="00DB4AC9" w:rsidRDefault="00DB4AC9" w:rsidP="00DB4AC9">
      <w:r>
        <w:t xml:space="preserve"> All clients </w:t>
      </w:r>
      <w:r>
        <w:rPr>
          <w:b/>
          <w:u w:val="single"/>
        </w:rPr>
        <w:t xml:space="preserve">must </w:t>
      </w:r>
      <w:r>
        <w:t>have a signed 641 form (paper copy or online eCenter sign up) prior to the initial session, or consulting must not take place. This is preferably done through the eCenter sign up process.</w:t>
      </w:r>
    </w:p>
    <w:p w14:paraId="5905141E" w14:textId="77777777" w:rsidR="00DB4AC9" w:rsidRPr="00472E95" w:rsidRDefault="00DB4AC9" w:rsidP="00DB4AC9">
      <w:pPr>
        <w:pStyle w:val="Heading4"/>
        <w:ind w:left="360"/>
        <w:rPr>
          <w:b/>
          <w:bCs/>
          <w:color w:val="000000" w:themeColor="text1"/>
        </w:rPr>
      </w:pPr>
      <w:bookmarkStart w:id="193" w:name="_22vxnjd" w:colFirst="0" w:colLast="0"/>
      <w:bookmarkEnd w:id="193"/>
      <w:r w:rsidRPr="00472E95">
        <w:rPr>
          <w:b/>
          <w:bCs/>
          <w:color w:val="000000" w:themeColor="text1"/>
        </w:rPr>
        <w:t>10.2.2 641 Form</w:t>
      </w:r>
    </w:p>
    <w:p w14:paraId="32E1B5C4" w14:textId="77777777" w:rsidR="00DB4AC9" w:rsidRDefault="00DB4AC9" w:rsidP="00DB4AC9">
      <w:r>
        <w:t xml:space="preserve">A 641 form (paper copy or online eCenter sign up) is required for receiving SBDC services.  This is done once during the lifetime relationship of the client with </w:t>
      </w:r>
      <w:proofErr w:type="gramStart"/>
      <w:r>
        <w:t>the SBDC</w:t>
      </w:r>
      <w:proofErr w:type="gramEnd"/>
      <w:r>
        <w:t>.  If a paper copy is used, it must be scanned and uploaded in the Neoserra client file.</w:t>
      </w:r>
    </w:p>
    <w:p w14:paraId="1806E524" w14:textId="77777777" w:rsidR="00DB4AC9" w:rsidRPr="00472E95" w:rsidRDefault="00DB4AC9" w:rsidP="00DB4AC9">
      <w:pPr>
        <w:pStyle w:val="Heading4"/>
        <w:ind w:left="360"/>
        <w:rPr>
          <w:b/>
          <w:bCs/>
          <w:color w:val="000000" w:themeColor="text1"/>
        </w:rPr>
      </w:pPr>
      <w:bookmarkStart w:id="194" w:name="_i17xr6" w:colFirst="0" w:colLast="0"/>
      <w:bookmarkEnd w:id="194"/>
      <w:r w:rsidRPr="00472E95">
        <w:rPr>
          <w:b/>
          <w:bCs/>
          <w:color w:val="000000" w:themeColor="text1"/>
        </w:rPr>
        <w:t>10.2.3 Business Establishment Date</w:t>
      </w:r>
    </w:p>
    <w:p w14:paraId="5B914DC0" w14:textId="77777777" w:rsidR="00DB4AC9" w:rsidRDefault="00DB4AC9" w:rsidP="00DB4AC9">
      <w:r>
        <w:t xml:space="preserve">The business establishment date is entered by the client during the eCenter sign up process.    For </w:t>
      </w:r>
      <w:proofErr w:type="spellStart"/>
      <w:r>
        <w:t>preventure</w:t>
      </w:r>
      <w:proofErr w:type="spellEnd"/>
      <w:r>
        <w:t xml:space="preserve"> clients that establish business at a later date, the business start is logged as a milestone in </w:t>
      </w:r>
      <w:proofErr w:type="gramStart"/>
      <w:r>
        <w:t>Neoserra</w:t>
      </w:r>
      <w:proofErr w:type="gramEnd"/>
      <w:r>
        <w:t xml:space="preserve"> and the profile is updated</w:t>
      </w:r>
    </w:p>
    <w:p w14:paraId="70609703" w14:textId="77777777" w:rsidR="00DB4AC9" w:rsidRPr="00472E95" w:rsidRDefault="00DB4AC9" w:rsidP="00DB4AC9">
      <w:pPr>
        <w:pStyle w:val="Heading4"/>
        <w:ind w:left="360"/>
        <w:rPr>
          <w:b/>
          <w:bCs/>
          <w:color w:val="000000" w:themeColor="text1"/>
        </w:rPr>
      </w:pPr>
      <w:bookmarkStart w:id="195" w:name="_320vgez" w:colFirst="0" w:colLast="0"/>
      <w:bookmarkEnd w:id="195"/>
      <w:r w:rsidRPr="00472E95">
        <w:rPr>
          <w:b/>
          <w:bCs/>
          <w:color w:val="000000" w:themeColor="text1"/>
        </w:rPr>
        <w:t>10.2.4 Client Address and Zip Code</w:t>
      </w:r>
    </w:p>
    <w:p w14:paraId="448E4D3E" w14:textId="77777777" w:rsidR="00DB4AC9" w:rsidRDefault="00DB4AC9" w:rsidP="00DB4AC9">
      <w:r>
        <w:t>Consultants must work with clients to obtain – and keep updated – the most correct/current contact information possible. Note that Neoserra has fields for both a ‘physical address’ and a ‘mailing address’. The client address MUST be entered in the physical address fields, and if the mailing address is the same, the box can be checked to make them the same.</w:t>
      </w:r>
    </w:p>
    <w:p w14:paraId="223626CE" w14:textId="77777777" w:rsidR="00DB4AC9" w:rsidRDefault="00DB4AC9" w:rsidP="00DB4AC9">
      <w:r>
        <w:lastRenderedPageBreak/>
        <w:t xml:space="preserve">Whenever an address is added or changed, the address must be validated by clicking the “Validate Address” button.  If the resulting zip code is only 5-digits long – or if </w:t>
      </w:r>
      <w:proofErr w:type="gramStart"/>
      <w:r>
        <w:t>in the course of</w:t>
      </w:r>
      <w:proofErr w:type="gramEnd"/>
      <w:r>
        <w:t xml:space="preserve"> working with client records you run across a record containing a 5-digit zip code – try the United States Postal Service website to look up zip codes (USPS.Com) to find the 9-digit zip code.  If you manually convert a 5-digit zip code to a 9-digit zip code, do NOT “Validate Address” or it will </w:t>
      </w:r>
      <w:proofErr w:type="gramStart"/>
      <w:r>
        <w:t>revert back</w:t>
      </w:r>
      <w:proofErr w:type="gramEnd"/>
      <w:r>
        <w:t xml:space="preserve"> to the 5-digit zip code; simply “Update” the record.  If you get a message that the address is not valid, try reentering the address with no abbreviations to see if that helps.  If not, contact the lead office for assistance.  It’s critical to enter a 9-digit zip code (or zip+4 as it’s sometimes called) whenever possible since Outreach Systems (who manages the Neoserra client database) syncs this information with state and federal congressional information to enter and/or update this as necessary; this information is no longer available for manual entry.</w:t>
      </w:r>
    </w:p>
    <w:p w14:paraId="127B7A2A" w14:textId="77777777" w:rsidR="00DB4AC9" w:rsidRDefault="00DB4AC9" w:rsidP="00DB4AC9">
      <w:r>
        <w:t>If mail sent to a client is returned as undeliverable, the client should be contacted to obtain their correct address.  If neither of these works, move any contact information, i.e., address, phone number, e-mail, web address, etc., to the Notes field and then delete from above.  [Note</w:t>
      </w:r>
      <w:proofErr w:type="gramStart"/>
      <w:r>
        <w:t>:  You’ll</w:t>
      </w:r>
      <w:proofErr w:type="gramEnd"/>
      <w:r>
        <w:t xml:space="preserve"> be unable to delete the zip code, however, so that will need to remain.]  Uncheck the “interested in mass e-mail” and “interested in mass mailings” boxes.  In the address field, write “DNM” [for Do Not Mail] and add any known information such as “moved to </w:t>
      </w:r>
      <w:proofErr w:type="gramStart"/>
      <w:r>
        <w:t>. . . .</w:t>
      </w:r>
      <w:proofErr w:type="gramEnd"/>
      <w:r>
        <w:t xml:space="preserve"> </w:t>
      </w:r>
      <w:proofErr w:type="gramStart"/>
      <w:r>
        <w:t>–“</w:t>
      </w:r>
      <w:proofErr w:type="gramEnd"/>
      <w:r>
        <w:t>to the Notes field as well.  You will then be prompted to make these changes to the contact record(s) as well and should do so for all that apply.</w:t>
      </w:r>
    </w:p>
    <w:p w14:paraId="260A621E" w14:textId="77777777" w:rsidR="00DB4AC9" w:rsidRPr="00472E95" w:rsidRDefault="00DB4AC9" w:rsidP="00DB4AC9">
      <w:pPr>
        <w:pStyle w:val="Heading4"/>
        <w:ind w:left="360"/>
        <w:rPr>
          <w:b/>
          <w:bCs/>
          <w:color w:val="000000" w:themeColor="text1"/>
        </w:rPr>
      </w:pPr>
      <w:bookmarkStart w:id="196" w:name="_1h65qms" w:colFirst="0" w:colLast="0"/>
      <w:bookmarkEnd w:id="196"/>
      <w:r w:rsidRPr="00472E95">
        <w:rPr>
          <w:b/>
          <w:bCs/>
          <w:color w:val="000000" w:themeColor="text1"/>
        </w:rPr>
        <w:t>10.2.5 Client Demographic Information</w:t>
      </w:r>
    </w:p>
    <w:p w14:paraId="7762EFF6" w14:textId="77777777" w:rsidR="00DB4AC9" w:rsidRDefault="00DB4AC9" w:rsidP="00DB4AC9">
      <w:r>
        <w:t xml:space="preserve">Client demographic information is gathered on the 641 during the </w:t>
      </w:r>
      <w:proofErr w:type="gramStart"/>
      <w:r>
        <w:t>sign up</w:t>
      </w:r>
      <w:proofErr w:type="gramEnd"/>
      <w:r>
        <w:t xml:space="preserve"> process (paper copy or online eCenter sign up). The fields for race, Hispanic origin, veteran status, reservist status and disability status should be populated with a type other than “Undefined.” This choice may include “Choose not to respond” or other choices as self-certified by the client on the completed 641 </w:t>
      </w:r>
      <w:proofErr w:type="gramStart"/>
      <w:r>
        <w:t>form</w:t>
      </w:r>
      <w:proofErr w:type="gramEnd"/>
      <w:r>
        <w:t xml:space="preserve">.  If a client self identifies as Hispanic </w:t>
      </w:r>
      <w:proofErr w:type="gramStart"/>
      <w:r>
        <w:t>and also</w:t>
      </w:r>
      <w:proofErr w:type="gramEnd"/>
      <w:r>
        <w:t xml:space="preserve"> selects an option under “Race,” enter it as is.  If, however, the client self identifies as Hispanic but leaves the race field empty, enter “Race” as “Choose not to respond”.</w:t>
      </w:r>
    </w:p>
    <w:p w14:paraId="299CB31E" w14:textId="77777777" w:rsidR="00DB4AC9" w:rsidRPr="00472E95" w:rsidRDefault="00DB4AC9" w:rsidP="00DB4AC9">
      <w:pPr>
        <w:pStyle w:val="Heading4"/>
        <w:ind w:left="360"/>
        <w:rPr>
          <w:b/>
          <w:bCs/>
          <w:color w:val="000000" w:themeColor="text1"/>
        </w:rPr>
      </w:pPr>
      <w:bookmarkStart w:id="197" w:name="_415t9al" w:colFirst="0" w:colLast="0"/>
      <w:bookmarkEnd w:id="197"/>
      <w:r w:rsidRPr="00472E95">
        <w:rPr>
          <w:b/>
          <w:bCs/>
          <w:color w:val="000000" w:themeColor="text1"/>
        </w:rPr>
        <w:t>10.2.6 Signature Date</w:t>
      </w:r>
    </w:p>
    <w:p w14:paraId="7B905E63" w14:textId="77777777" w:rsidR="00DB4AC9" w:rsidRDefault="00DB4AC9" w:rsidP="00DB4AC9">
      <w:r>
        <w:t xml:space="preserve">The signature date is the date of the initial signed 641 form (paper copy or online eCenter sign up).  Since the client will only be a new client once during his/her relationship with the SBDC, the date entered in this field will not change in the future, even if the client signs a revised 641 in the future. NOTE – a client </w:t>
      </w:r>
      <w:proofErr w:type="spellStart"/>
      <w:r>
        <w:t>can not</w:t>
      </w:r>
      <w:proofErr w:type="spellEnd"/>
      <w:r>
        <w:t xml:space="preserve"> work with a consultant until the 641 form or eCenter form is signed.</w:t>
      </w:r>
    </w:p>
    <w:p w14:paraId="6C81E9A8" w14:textId="77777777" w:rsidR="00DB4AC9" w:rsidRPr="00472E95" w:rsidRDefault="00DB4AC9" w:rsidP="00DB4AC9">
      <w:pPr>
        <w:pStyle w:val="Heading4"/>
        <w:ind w:left="360"/>
        <w:rPr>
          <w:b/>
          <w:bCs/>
          <w:color w:val="000000" w:themeColor="text1"/>
        </w:rPr>
      </w:pPr>
      <w:bookmarkStart w:id="198" w:name="_2gb3jie" w:colFirst="0" w:colLast="0"/>
      <w:bookmarkEnd w:id="198"/>
      <w:r w:rsidRPr="00472E95">
        <w:rPr>
          <w:b/>
          <w:bCs/>
          <w:color w:val="000000" w:themeColor="text1"/>
        </w:rPr>
        <w:t>10.2.7 Contacts Associated with More than One Company</w:t>
      </w:r>
    </w:p>
    <w:p w14:paraId="4EEDCF3C" w14:textId="77777777" w:rsidR="00DB4AC9" w:rsidRDefault="00DB4AC9" w:rsidP="00DB4AC9">
      <w:r>
        <w:t xml:space="preserve">The term “client” within Neoserra refers to an established business entity or pre-venture idea. A contact (the person receiving the </w:t>
      </w:r>
      <w:proofErr w:type="gramStart"/>
      <w:r>
        <w:t>consulting</w:t>
      </w:r>
      <w:proofErr w:type="gramEnd"/>
      <w:r>
        <w:t xml:space="preserve">) who is pursuing consulting regarding multiple businesses must have a record in Neoserra for each venture and must sign the 641 </w:t>
      </w:r>
      <w:proofErr w:type="gramStart"/>
      <w:r>
        <w:t>form</w:t>
      </w:r>
      <w:proofErr w:type="gramEnd"/>
      <w:r>
        <w:t xml:space="preserve"> (paper copy or online eCenter sign up). The contact record in Neoserra may be associated with both client records, however.</w:t>
      </w:r>
    </w:p>
    <w:p w14:paraId="14341EB8" w14:textId="77777777" w:rsidR="00DB4AC9" w:rsidRPr="00472E95" w:rsidRDefault="00DB4AC9" w:rsidP="00DB4AC9">
      <w:pPr>
        <w:pStyle w:val="Heading4"/>
        <w:ind w:left="360"/>
        <w:rPr>
          <w:b/>
          <w:bCs/>
          <w:color w:val="000000" w:themeColor="text1"/>
        </w:rPr>
      </w:pPr>
      <w:bookmarkStart w:id="199" w:name="_vgdtq7" w:colFirst="0" w:colLast="0"/>
      <w:bookmarkEnd w:id="199"/>
      <w:r w:rsidRPr="00472E95">
        <w:rPr>
          <w:b/>
          <w:bCs/>
          <w:color w:val="000000" w:themeColor="text1"/>
        </w:rPr>
        <w:t>10.2.8 NAICS Code</w:t>
      </w:r>
    </w:p>
    <w:p w14:paraId="2E8B3E3B" w14:textId="77777777" w:rsidR="00DB4AC9" w:rsidRDefault="00DB4AC9" w:rsidP="00DB4AC9">
      <w:r>
        <w:t xml:space="preserve">Entry </w:t>
      </w:r>
      <w:proofErr w:type="gramStart"/>
      <w:r>
        <w:t>of</w:t>
      </w:r>
      <w:proofErr w:type="gramEnd"/>
      <w:r>
        <w:t xml:space="preserve"> the client’s NAICS code is required for in-business clients.  The SIC code entry is optional. If the client is pre-</w:t>
      </w:r>
      <w:proofErr w:type="gramStart"/>
      <w:r>
        <w:t>venture</w:t>
      </w:r>
      <w:proofErr w:type="gramEnd"/>
      <w:r>
        <w:t xml:space="preserve"> or nascent, the NAICS code entry will be associated with the sector that the individual is seeking to open his/her business in.</w:t>
      </w:r>
    </w:p>
    <w:p w14:paraId="2EDF188E" w14:textId="77777777" w:rsidR="00DB4AC9" w:rsidRPr="00472E95" w:rsidRDefault="00DB4AC9" w:rsidP="00DB4AC9">
      <w:pPr>
        <w:pStyle w:val="Heading4"/>
        <w:ind w:left="360"/>
        <w:rPr>
          <w:b/>
          <w:bCs/>
          <w:color w:val="000000" w:themeColor="text1"/>
        </w:rPr>
      </w:pPr>
      <w:bookmarkStart w:id="200" w:name="_3fg1ce0" w:colFirst="0" w:colLast="0"/>
      <w:bookmarkEnd w:id="200"/>
      <w:r w:rsidRPr="00472E95">
        <w:rPr>
          <w:b/>
          <w:bCs/>
          <w:color w:val="000000" w:themeColor="text1"/>
        </w:rPr>
        <w:t>10.2.9 Mass Mailings?</w:t>
      </w:r>
    </w:p>
    <w:p w14:paraId="3FBDBF20" w14:textId="77777777" w:rsidR="00DB4AC9" w:rsidRDefault="00DB4AC9" w:rsidP="00DB4AC9">
      <w:r>
        <w:t>If the client refuses to participate in mass mailings (i.e., satisfaction survey, newsletters), the check box for “company interested in receiving mass mailings?” should be unchecked.  A notation regarding the request must be added to the “notes” section.</w:t>
      </w:r>
    </w:p>
    <w:p w14:paraId="6D5A09A9" w14:textId="77777777" w:rsidR="00DB4AC9" w:rsidRPr="00472E95" w:rsidRDefault="00DB4AC9" w:rsidP="00DB4AC9">
      <w:pPr>
        <w:pStyle w:val="Heading4"/>
        <w:ind w:left="360"/>
        <w:rPr>
          <w:b/>
          <w:bCs/>
          <w:color w:val="000000" w:themeColor="text1"/>
        </w:rPr>
      </w:pPr>
      <w:bookmarkStart w:id="201" w:name="_1ulbmlt" w:colFirst="0" w:colLast="0"/>
      <w:bookmarkEnd w:id="201"/>
      <w:r w:rsidRPr="00472E95">
        <w:rPr>
          <w:b/>
          <w:bCs/>
          <w:color w:val="000000" w:themeColor="text1"/>
        </w:rPr>
        <w:lastRenderedPageBreak/>
        <w:t>10.2.10 Mass E-mailings?</w:t>
      </w:r>
    </w:p>
    <w:p w14:paraId="32318CD6" w14:textId="77777777" w:rsidR="00DB4AC9" w:rsidRDefault="00DB4AC9" w:rsidP="00DB4AC9">
      <w:r>
        <w:t>If the client refuses to participate in mass e-mails mailings (i.e., informational emails, electronic newsletters), the check box for “company interested in receiving mass e-mailings?” should be      unchecked. A notation regarding the request must be added to the “notes” section.</w:t>
      </w:r>
    </w:p>
    <w:p w14:paraId="31F4ABB6"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202" w:name="_4ekz59m" w:colFirst="0" w:colLast="0"/>
      <w:bookmarkEnd w:id="202"/>
      <w:r w:rsidRPr="000D565A">
        <w:rPr>
          <w:rFonts w:ascii="Calibri" w:eastAsia="Calibri" w:hAnsi="Calibri" w:cs="Calibri"/>
          <w:b/>
          <w:smallCaps/>
          <w:color w:val="000000"/>
          <w:sz w:val="28"/>
          <w:szCs w:val="28"/>
        </w:rPr>
        <w:t xml:space="preserve">10.3 Consulting Session Entry           </w:t>
      </w:r>
    </w:p>
    <w:p w14:paraId="126C20EA" w14:textId="77777777" w:rsidR="00DB4AC9" w:rsidRPr="00472E95" w:rsidRDefault="00DB4AC9" w:rsidP="00DB4AC9">
      <w:pPr>
        <w:pStyle w:val="Heading4"/>
        <w:ind w:left="360"/>
        <w:rPr>
          <w:b/>
          <w:bCs/>
          <w:color w:val="000000" w:themeColor="text1"/>
        </w:rPr>
      </w:pPr>
      <w:bookmarkStart w:id="203" w:name="_2tq9fhf" w:colFirst="0" w:colLast="0"/>
      <w:bookmarkEnd w:id="203"/>
      <w:r w:rsidRPr="00472E95">
        <w:rPr>
          <w:b/>
          <w:bCs/>
          <w:color w:val="000000" w:themeColor="text1"/>
        </w:rPr>
        <w:t>10.3.1 Recording Consulting Activity</w:t>
      </w:r>
    </w:p>
    <w:p w14:paraId="59376289" w14:textId="77777777" w:rsidR="00DB4AC9" w:rsidRDefault="00DB4AC9" w:rsidP="00DB4AC9">
      <w:r>
        <w:t xml:space="preserve">Consulting activity entered in Neoserra must be listed as the date it </w:t>
      </w:r>
      <w:proofErr w:type="gramStart"/>
      <w:r>
        <w:t>actually occurs</w:t>
      </w:r>
      <w:proofErr w:type="gramEnd"/>
      <w:r>
        <w:t xml:space="preserve">, as opposed to grouping several sessions in one Neoserra entry.  Consulting sessions, at a minimum, must be recorded on a weekly basis </w:t>
      </w:r>
      <w:proofErr w:type="gramStart"/>
      <w:r>
        <w:t>and</w:t>
      </w:r>
      <w:proofErr w:type="gramEnd"/>
      <w:r>
        <w:t xml:space="preserve"> are recommended to be entered at the conclusion of each client session when the information is still fresh. </w:t>
      </w:r>
    </w:p>
    <w:p w14:paraId="3CCBFE15" w14:textId="77777777" w:rsidR="00DB4AC9" w:rsidRPr="00472E95" w:rsidRDefault="00DB4AC9" w:rsidP="00DB4AC9">
      <w:pPr>
        <w:pStyle w:val="Heading4"/>
        <w:ind w:left="360"/>
        <w:rPr>
          <w:b/>
          <w:bCs/>
          <w:color w:val="000000" w:themeColor="text1"/>
        </w:rPr>
      </w:pPr>
      <w:bookmarkStart w:id="204" w:name="_18vjpp8" w:colFirst="0" w:colLast="0"/>
      <w:bookmarkEnd w:id="204"/>
      <w:r w:rsidRPr="00472E95">
        <w:rPr>
          <w:b/>
          <w:bCs/>
          <w:color w:val="000000" w:themeColor="text1"/>
        </w:rPr>
        <w:t>10.3.2 Quality of Consulting Notes</w:t>
      </w:r>
    </w:p>
    <w:p w14:paraId="78DF3D13" w14:textId="77777777" w:rsidR="00DB4AC9" w:rsidRDefault="00DB4AC9" w:rsidP="00DB4AC9">
      <w:r>
        <w:t>Each consulting session record must include at least the following. The 5-point format listed in the consulting session is preferred as the format to use:</w:t>
      </w:r>
    </w:p>
    <w:p w14:paraId="2736ECC0" w14:textId="77777777" w:rsidR="00DB4AC9" w:rsidRDefault="00DB4AC9" w:rsidP="00DB4AC9">
      <w:pPr>
        <w:numPr>
          <w:ilvl w:val="0"/>
          <w:numId w:val="17"/>
        </w:numPr>
        <w:ind w:hanging="360"/>
      </w:pPr>
      <w:bookmarkStart w:id="205" w:name="_3sv78d1" w:colFirst="0" w:colLast="0"/>
      <w:bookmarkEnd w:id="205"/>
      <w:r>
        <w:t xml:space="preserve">A summary of the business and business owners (new/initial session only), however as the engagement unfolds, additional assistance may be </w:t>
      </w:r>
      <w:proofErr w:type="gramStart"/>
      <w:r>
        <w:t>required</w:t>
      </w:r>
      <w:proofErr w:type="gramEnd"/>
      <w:r>
        <w:t xml:space="preserve"> and the new assistance should be listed in this section.</w:t>
      </w:r>
    </w:p>
    <w:p w14:paraId="01255C7E" w14:textId="77777777" w:rsidR="00DB4AC9" w:rsidRDefault="00DB4AC9" w:rsidP="00DB4AC9">
      <w:pPr>
        <w:numPr>
          <w:ilvl w:val="0"/>
          <w:numId w:val="17"/>
        </w:numPr>
        <w:ind w:hanging="360"/>
      </w:pPr>
      <w:r>
        <w:t>An analysis of the client’s problem.</w:t>
      </w:r>
    </w:p>
    <w:p w14:paraId="1159FFFB" w14:textId="77777777" w:rsidR="00DB4AC9" w:rsidRDefault="00DB4AC9" w:rsidP="00DB4AC9">
      <w:pPr>
        <w:numPr>
          <w:ilvl w:val="0"/>
          <w:numId w:val="17"/>
        </w:numPr>
        <w:ind w:hanging="360"/>
      </w:pPr>
      <w:r>
        <w:t>A summary of what the consultant did during the session.</w:t>
      </w:r>
    </w:p>
    <w:p w14:paraId="44BDE81F" w14:textId="77777777" w:rsidR="00DB4AC9" w:rsidRDefault="00DB4AC9" w:rsidP="00DB4AC9">
      <w:pPr>
        <w:numPr>
          <w:ilvl w:val="0"/>
          <w:numId w:val="17"/>
        </w:numPr>
        <w:ind w:hanging="360"/>
      </w:pPr>
      <w:r>
        <w:t>Recommendations.</w:t>
      </w:r>
    </w:p>
    <w:p w14:paraId="447ECB7C" w14:textId="77777777" w:rsidR="00DB4AC9" w:rsidRDefault="00DB4AC9" w:rsidP="00DB4AC9">
      <w:pPr>
        <w:numPr>
          <w:ilvl w:val="0"/>
          <w:numId w:val="17"/>
        </w:numPr>
        <w:ind w:hanging="360"/>
      </w:pPr>
      <w:r>
        <w:t>Follow-up required by the consultant and the client.</w:t>
      </w:r>
    </w:p>
    <w:p w14:paraId="4F512A83" w14:textId="77777777" w:rsidR="00DB4AC9" w:rsidRDefault="00DB4AC9" w:rsidP="00DB4AC9">
      <w:pPr>
        <w:numPr>
          <w:ilvl w:val="0"/>
          <w:numId w:val="17"/>
        </w:numPr>
        <w:ind w:hanging="360"/>
      </w:pPr>
      <w:r>
        <w:t>Any other documentation deemed appropriate by the consultant.</w:t>
      </w:r>
    </w:p>
    <w:p w14:paraId="77D8D4F4" w14:textId="77777777" w:rsidR="00DB4AC9" w:rsidRDefault="00DB4AC9" w:rsidP="00DB4AC9">
      <w:r>
        <w:t>If consulting sessions are not adequate in detail, the state office reserves the right to disallow the consulting session entry. A sample of regional consulting notes will be reviewed by the state office during the annual site review process.</w:t>
      </w:r>
    </w:p>
    <w:p w14:paraId="546E8E06" w14:textId="77777777" w:rsidR="00DB4AC9" w:rsidRPr="00472E95" w:rsidRDefault="00DB4AC9" w:rsidP="00DB4AC9">
      <w:pPr>
        <w:pStyle w:val="Heading4"/>
        <w:ind w:left="360"/>
        <w:rPr>
          <w:b/>
          <w:bCs/>
          <w:color w:val="000000" w:themeColor="text1"/>
        </w:rPr>
      </w:pPr>
      <w:bookmarkStart w:id="206" w:name="_280hiku" w:colFirst="0" w:colLast="0"/>
      <w:bookmarkEnd w:id="206"/>
      <w:r w:rsidRPr="00472E95">
        <w:rPr>
          <w:b/>
          <w:bCs/>
          <w:color w:val="000000" w:themeColor="text1"/>
        </w:rPr>
        <w:t>10.3.3 Documentation of Reports</w:t>
      </w:r>
    </w:p>
    <w:p w14:paraId="304B5FE9" w14:textId="77777777" w:rsidR="00DB4AC9" w:rsidRDefault="00DB4AC9" w:rsidP="00DB4AC9">
      <w:r>
        <w:t>If services provided to the client results in the generation of any financial analysis/Performa, publication, study, marketing material, research report or related document such as a business plan, an electronic version (e.g., scanned pdf, Word, Excel) of the most current or final document must be included on the “ upload document” section of the Neoserra client file.</w:t>
      </w:r>
    </w:p>
    <w:p w14:paraId="56AB3E6B"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207" w:name="_p0jgskh0l6e1" w:colFirst="0" w:colLast="0"/>
      <w:bookmarkEnd w:id="207"/>
      <w:r w:rsidRPr="000D565A">
        <w:rPr>
          <w:rFonts w:ascii="Calibri" w:eastAsia="Calibri" w:hAnsi="Calibri" w:cs="Calibri"/>
          <w:b/>
          <w:smallCaps/>
          <w:color w:val="000000"/>
          <w:sz w:val="28"/>
          <w:szCs w:val="28"/>
        </w:rPr>
        <w:t>10.4 Entry of Investment</w:t>
      </w:r>
    </w:p>
    <w:p w14:paraId="0286615F" w14:textId="77777777" w:rsidR="00DB4AC9" w:rsidRPr="00472E95" w:rsidRDefault="00DB4AC9" w:rsidP="00DB4AC9">
      <w:pPr>
        <w:pStyle w:val="Heading4"/>
        <w:ind w:left="360"/>
        <w:rPr>
          <w:b/>
          <w:bCs/>
          <w:color w:val="000000" w:themeColor="text1"/>
        </w:rPr>
      </w:pPr>
      <w:bookmarkStart w:id="208" w:name="_375fbgg" w:colFirst="0" w:colLast="0"/>
      <w:bookmarkEnd w:id="208"/>
      <w:r w:rsidRPr="00472E95">
        <w:rPr>
          <w:b/>
          <w:bCs/>
          <w:color w:val="000000" w:themeColor="text1"/>
        </w:rPr>
        <w:t>10.4.1 Denial of loans</w:t>
      </w:r>
    </w:p>
    <w:p w14:paraId="78522C76" w14:textId="77777777" w:rsidR="00DB4AC9" w:rsidRDefault="00DB4AC9" w:rsidP="00DB4AC9">
      <w:r>
        <w:t>If a loan is denied, comments regarding the denial should be added to the “notes” section (</w:t>
      </w:r>
      <w:proofErr w:type="gramStart"/>
      <w:r>
        <w:t>i.e.;</w:t>
      </w:r>
      <w:proofErr w:type="gramEnd"/>
      <w:r>
        <w:t xml:space="preserve"> client withdrew loan application). </w:t>
      </w:r>
    </w:p>
    <w:p w14:paraId="0380987E"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209" w:name="_1maplo9" w:colFirst="0" w:colLast="0"/>
      <w:bookmarkEnd w:id="209"/>
      <w:r w:rsidRPr="000D565A">
        <w:rPr>
          <w:rFonts w:ascii="Calibri" w:eastAsia="Calibri" w:hAnsi="Calibri" w:cs="Calibri"/>
          <w:b/>
          <w:smallCaps/>
          <w:color w:val="000000"/>
          <w:sz w:val="28"/>
          <w:szCs w:val="28"/>
        </w:rPr>
        <w:t xml:space="preserve">10.5 Entry of Conferences </w:t>
      </w:r>
    </w:p>
    <w:p w14:paraId="7766DA49" w14:textId="77777777" w:rsidR="00DB4AC9" w:rsidRPr="00472E95" w:rsidRDefault="00DB4AC9" w:rsidP="00DB4AC9">
      <w:pPr>
        <w:pStyle w:val="Heading4"/>
        <w:ind w:left="360"/>
        <w:rPr>
          <w:b/>
          <w:bCs/>
          <w:color w:val="000000" w:themeColor="text1"/>
        </w:rPr>
      </w:pPr>
      <w:bookmarkStart w:id="210" w:name="_46ad4c2" w:colFirst="0" w:colLast="0"/>
      <w:bookmarkEnd w:id="210"/>
      <w:r w:rsidRPr="00472E95">
        <w:rPr>
          <w:b/>
          <w:bCs/>
          <w:color w:val="000000" w:themeColor="text1"/>
        </w:rPr>
        <w:t>10.5.1 Minimum Duration</w:t>
      </w:r>
    </w:p>
    <w:p w14:paraId="3FD10B6B" w14:textId="77777777" w:rsidR="00DB4AC9" w:rsidRDefault="00DB4AC9" w:rsidP="00DB4AC9">
      <w:r>
        <w:t xml:space="preserve">Training events must be a minimum duration of 60 minutes to qualify. </w:t>
      </w:r>
    </w:p>
    <w:p w14:paraId="51AFED19" w14:textId="77777777" w:rsidR="00DB4AC9" w:rsidRPr="00472E95" w:rsidRDefault="00DB4AC9" w:rsidP="00DB4AC9">
      <w:pPr>
        <w:pStyle w:val="Heading4"/>
        <w:ind w:left="360"/>
        <w:rPr>
          <w:b/>
          <w:bCs/>
          <w:color w:val="000000" w:themeColor="text1"/>
        </w:rPr>
      </w:pPr>
      <w:bookmarkStart w:id="211" w:name="_2lfnejv" w:colFirst="0" w:colLast="0"/>
      <w:bookmarkEnd w:id="211"/>
      <w:r w:rsidRPr="00472E95">
        <w:rPr>
          <w:b/>
          <w:bCs/>
          <w:color w:val="000000" w:themeColor="text1"/>
        </w:rPr>
        <w:lastRenderedPageBreak/>
        <w:t>10.5.2 Minimum Attendance Number</w:t>
      </w:r>
    </w:p>
    <w:p w14:paraId="6527C121" w14:textId="77777777" w:rsidR="00DB4AC9" w:rsidRDefault="00DB4AC9" w:rsidP="00DB4AC9">
      <w:r>
        <w:t>Training events must have a minimum of two attendees to qualify as a ‘training event’ under SBA guidelines.</w:t>
      </w:r>
    </w:p>
    <w:p w14:paraId="41290227" w14:textId="77777777" w:rsidR="00DB4AC9" w:rsidRPr="00472E95" w:rsidRDefault="00DB4AC9" w:rsidP="00DB4AC9">
      <w:pPr>
        <w:pStyle w:val="Heading4"/>
        <w:ind w:left="360"/>
        <w:rPr>
          <w:b/>
          <w:bCs/>
          <w:color w:val="000000" w:themeColor="text1"/>
        </w:rPr>
      </w:pPr>
      <w:bookmarkStart w:id="212" w:name="_10kxoro" w:colFirst="0" w:colLast="0"/>
      <w:bookmarkEnd w:id="212"/>
      <w:r w:rsidRPr="00472E95">
        <w:rPr>
          <w:b/>
          <w:bCs/>
          <w:color w:val="000000" w:themeColor="text1"/>
        </w:rPr>
        <w:t>10.5.3 Training Hours</w:t>
      </w:r>
    </w:p>
    <w:p w14:paraId="5D4472F9" w14:textId="77777777" w:rsidR="00DB4AC9" w:rsidRDefault="00DB4AC9" w:rsidP="00DB4AC9">
      <w:r>
        <w:t xml:space="preserve">Training hours are defined as total curriculum hours. </w:t>
      </w:r>
    </w:p>
    <w:p w14:paraId="25FBAE5F" w14:textId="77777777" w:rsidR="00DB4AC9" w:rsidRPr="00472E95" w:rsidRDefault="00DB4AC9" w:rsidP="00DB4AC9">
      <w:pPr>
        <w:pStyle w:val="Heading4"/>
        <w:ind w:left="360"/>
        <w:rPr>
          <w:b/>
          <w:bCs/>
          <w:color w:val="000000" w:themeColor="text1"/>
        </w:rPr>
      </w:pPr>
      <w:bookmarkStart w:id="213" w:name="_3kkl7fh" w:colFirst="0" w:colLast="0"/>
      <w:bookmarkEnd w:id="213"/>
      <w:r w:rsidRPr="00472E95">
        <w:rPr>
          <w:b/>
          <w:bCs/>
          <w:color w:val="000000" w:themeColor="text1"/>
        </w:rPr>
        <w:t>10.5.4 Multi-Day Course</w:t>
      </w:r>
    </w:p>
    <w:p w14:paraId="435D4C47" w14:textId="77777777" w:rsidR="00DB4AC9" w:rsidRDefault="00DB4AC9" w:rsidP="00DB4AC9">
      <w:r>
        <w:t>A multi-day course is considered as one training event.</w:t>
      </w:r>
    </w:p>
    <w:p w14:paraId="6D440A7E" w14:textId="77777777" w:rsidR="00DB4AC9" w:rsidRPr="00472E95" w:rsidRDefault="00DB4AC9" w:rsidP="00DB4AC9">
      <w:pPr>
        <w:pStyle w:val="Heading4"/>
        <w:ind w:left="360"/>
        <w:rPr>
          <w:b/>
          <w:bCs/>
          <w:color w:val="000000" w:themeColor="text1"/>
        </w:rPr>
      </w:pPr>
      <w:bookmarkStart w:id="214" w:name="_1zpvhna" w:colFirst="0" w:colLast="0"/>
      <w:bookmarkEnd w:id="214"/>
      <w:r w:rsidRPr="00472E95">
        <w:rPr>
          <w:b/>
          <w:bCs/>
          <w:color w:val="000000" w:themeColor="text1"/>
        </w:rPr>
        <w:t>10.5.5 Co-Sponsor POC</w:t>
      </w:r>
    </w:p>
    <w:p w14:paraId="665387A5" w14:textId="77777777" w:rsidR="00DB4AC9" w:rsidRDefault="00DB4AC9" w:rsidP="00DB4AC9">
      <w:r>
        <w:t>A co-sponsor point of contact (POC) is a person, not an organization.</w:t>
      </w:r>
    </w:p>
    <w:p w14:paraId="2D87B928" w14:textId="77777777" w:rsidR="00DB4AC9" w:rsidRPr="00472E95" w:rsidRDefault="00DB4AC9" w:rsidP="00DB4AC9">
      <w:pPr>
        <w:pStyle w:val="Heading4"/>
        <w:ind w:left="360"/>
        <w:rPr>
          <w:b/>
          <w:bCs/>
          <w:color w:val="000000" w:themeColor="text1"/>
        </w:rPr>
      </w:pPr>
      <w:bookmarkStart w:id="215" w:name="_4jpj0b3" w:colFirst="0" w:colLast="0"/>
      <w:bookmarkEnd w:id="215"/>
      <w:r w:rsidRPr="00472E95">
        <w:rPr>
          <w:b/>
          <w:bCs/>
          <w:color w:val="000000" w:themeColor="text1"/>
        </w:rPr>
        <w:t>10.5.6 Funding Source</w:t>
      </w:r>
    </w:p>
    <w:p w14:paraId="4AD702CE" w14:textId="77777777" w:rsidR="00DB4AC9" w:rsidRDefault="00DB4AC9" w:rsidP="00DB4AC9">
      <w:r>
        <w:t>Funding source, which is the source of funds used for the training event, will always be SBA unless otherwise directed by the state office.</w:t>
      </w:r>
    </w:p>
    <w:p w14:paraId="3593796B" w14:textId="77777777" w:rsidR="00DB4AC9" w:rsidRPr="00472E95" w:rsidRDefault="00DB4AC9" w:rsidP="00DB4AC9">
      <w:pPr>
        <w:pStyle w:val="Heading4"/>
        <w:ind w:left="360"/>
        <w:rPr>
          <w:b/>
          <w:bCs/>
          <w:color w:val="000000" w:themeColor="text1"/>
        </w:rPr>
      </w:pPr>
      <w:bookmarkStart w:id="216" w:name="_2yutaiw" w:colFirst="0" w:colLast="0"/>
      <w:bookmarkEnd w:id="216"/>
      <w:r w:rsidRPr="00472E95">
        <w:rPr>
          <w:b/>
          <w:bCs/>
          <w:color w:val="000000" w:themeColor="text1"/>
        </w:rPr>
        <w:t>10.5.7 Reportable?</w:t>
      </w:r>
    </w:p>
    <w:p w14:paraId="75A5DCE1" w14:textId="77777777" w:rsidR="00DB4AC9" w:rsidRDefault="00DB4AC9" w:rsidP="00DB4AC9">
      <w:r>
        <w:t xml:space="preserve">When the funding source is SBA, the training events must always be checked as reportable, unless they do not meet </w:t>
      </w:r>
      <w:proofErr w:type="gramStart"/>
      <w:r>
        <w:t>all of</w:t>
      </w:r>
      <w:proofErr w:type="gramEnd"/>
      <w:r>
        <w:t xml:space="preserve"> the requirements of </w:t>
      </w:r>
      <w:proofErr w:type="gramStart"/>
      <w:r>
        <w:t>the Form</w:t>
      </w:r>
      <w:proofErr w:type="gramEnd"/>
      <w:r>
        <w:t xml:space="preserve"> 888. In that case, the entry should be recorded as ‘administrative’.</w:t>
      </w:r>
    </w:p>
    <w:p w14:paraId="771789DD" w14:textId="77777777" w:rsidR="00DB4AC9" w:rsidRPr="00472E95" w:rsidRDefault="00DB4AC9" w:rsidP="00DB4AC9">
      <w:pPr>
        <w:pStyle w:val="Heading4"/>
        <w:ind w:left="360"/>
        <w:rPr>
          <w:b/>
          <w:bCs/>
          <w:color w:val="000000" w:themeColor="text1"/>
        </w:rPr>
      </w:pPr>
      <w:bookmarkStart w:id="217" w:name="_1e03kqp" w:colFirst="0" w:colLast="0"/>
      <w:bookmarkEnd w:id="217"/>
      <w:r w:rsidRPr="00472E95">
        <w:rPr>
          <w:b/>
          <w:bCs/>
          <w:color w:val="000000" w:themeColor="text1"/>
        </w:rPr>
        <w:t>10.5.8 Consultant Instructor</w:t>
      </w:r>
    </w:p>
    <w:p w14:paraId="5D10D34D" w14:textId="77777777" w:rsidR="00DB4AC9" w:rsidRDefault="00DB4AC9" w:rsidP="00DB4AC9">
      <w:r>
        <w:t>The consultant instructor should be noted from the Neoserra drop down list option. If not listed, the consultant should be added to the consultant listing in Neoserra so they can be listed as the instructor, and only as an exception should it be noted as “TBD”.</w:t>
      </w:r>
    </w:p>
    <w:p w14:paraId="69872017" w14:textId="77777777" w:rsidR="00DB4AC9" w:rsidRPr="00472E95" w:rsidRDefault="00DB4AC9" w:rsidP="00DB4AC9">
      <w:pPr>
        <w:pStyle w:val="Heading4"/>
        <w:ind w:left="360"/>
        <w:rPr>
          <w:b/>
          <w:bCs/>
          <w:color w:val="000000" w:themeColor="text1"/>
        </w:rPr>
      </w:pPr>
      <w:bookmarkStart w:id="218" w:name="_3xzr3ei" w:colFirst="0" w:colLast="0"/>
      <w:bookmarkEnd w:id="218"/>
      <w:r w:rsidRPr="00472E95">
        <w:rPr>
          <w:b/>
          <w:bCs/>
          <w:color w:val="000000" w:themeColor="text1"/>
        </w:rPr>
        <w:t>10.5.9 eCenter Posting</w:t>
      </w:r>
    </w:p>
    <w:p w14:paraId="7FE6FA81" w14:textId="77777777" w:rsidR="00DB4AC9" w:rsidRDefault="00DB4AC9" w:rsidP="00DB4AC9">
      <w:r>
        <w:t xml:space="preserve">All training events should be posted to eCenter unless otherwise directed by the state office. Additional information regarding the regional center’s payment policy and registration policy must be added to the “additional information” section. After entry of a training event into Neoserra, the regional center posting on eCenter should be checked to verify correct information has been posted to the site. An administrative e-mail of confirmation from the </w:t>
      </w:r>
      <w:proofErr w:type="gramStart"/>
      <w:r>
        <w:t>regional</w:t>
      </w:r>
      <w:proofErr w:type="gramEnd"/>
      <w:r>
        <w:t xml:space="preserve"> is required to be sent to all individuals that submit a conference registration via eCenter. Regional center payment terms should be noted on the e-mail. </w:t>
      </w:r>
    </w:p>
    <w:p w14:paraId="5B251322" w14:textId="77777777" w:rsidR="00DB4AC9" w:rsidRPr="00472E95" w:rsidRDefault="00DB4AC9" w:rsidP="00DB4AC9">
      <w:pPr>
        <w:pStyle w:val="Heading4"/>
        <w:ind w:left="360"/>
        <w:rPr>
          <w:b/>
          <w:bCs/>
          <w:color w:val="000000" w:themeColor="text1"/>
        </w:rPr>
      </w:pPr>
      <w:bookmarkStart w:id="219" w:name="_2d51dmb" w:colFirst="0" w:colLast="0"/>
      <w:bookmarkEnd w:id="219"/>
      <w:r w:rsidRPr="00472E95">
        <w:rPr>
          <w:b/>
          <w:bCs/>
          <w:color w:val="000000" w:themeColor="text1"/>
        </w:rPr>
        <w:t>10.5.10 Canceled Conferences</w:t>
      </w:r>
    </w:p>
    <w:p w14:paraId="385BEB53" w14:textId="77777777" w:rsidR="00DB4AC9" w:rsidRDefault="00DB4AC9" w:rsidP="00DB4AC9">
      <w:r>
        <w:t xml:space="preserve">If a training event is canceled, the status of the event should be changed to “cancelled” or “postponed,” whichever is more appropriate. </w:t>
      </w:r>
    </w:p>
    <w:p w14:paraId="395F9F2D" w14:textId="77777777" w:rsidR="00DB4AC9" w:rsidRPr="000D565A" w:rsidRDefault="00DB4AC9" w:rsidP="000D565A">
      <w:pPr>
        <w:pStyle w:val="Heading2"/>
        <w:spacing w:before="0" w:after="240"/>
        <w:rPr>
          <w:rFonts w:ascii="Calibri" w:eastAsia="Calibri" w:hAnsi="Calibri" w:cs="Calibri"/>
          <w:b/>
          <w:smallCaps/>
          <w:color w:val="000000"/>
          <w:sz w:val="28"/>
          <w:szCs w:val="28"/>
        </w:rPr>
      </w:pPr>
      <w:bookmarkStart w:id="220" w:name="_sabnu4" w:colFirst="0" w:colLast="0"/>
      <w:bookmarkEnd w:id="220"/>
      <w:r w:rsidRPr="000D565A">
        <w:rPr>
          <w:rFonts w:ascii="Calibri" w:eastAsia="Calibri" w:hAnsi="Calibri" w:cs="Calibri"/>
          <w:b/>
          <w:smallCaps/>
          <w:color w:val="000000"/>
          <w:sz w:val="28"/>
          <w:szCs w:val="28"/>
        </w:rPr>
        <w:t>10.6 eCenter Consulting Request</w:t>
      </w:r>
    </w:p>
    <w:p w14:paraId="246A5AE4" w14:textId="77777777" w:rsidR="00DB4AC9" w:rsidRDefault="00DB4AC9" w:rsidP="00DB4AC9">
      <w:r>
        <w:t xml:space="preserve">Consulting requests that are submitted to the regional center via </w:t>
      </w:r>
      <w:proofErr w:type="gramStart"/>
      <w:r>
        <w:t>eCenter,</w:t>
      </w:r>
      <w:proofErr w:type="gramEnd"/>
      <w:r>
        <w:t xml:space="preserve"> must be reviewed for information quality and checked for possible existing client or contact entries. By following this policy, duplicate entries can be avoided. It is up to the discretion of the regional center if the consulting request </w:t>
      </w:r>
      <w:proofErr w:type="gramStart"/>
      <w:r>
        <w:t>contact</w:t>
      </w:r>
      <w:proofErr w:type="gramEnd"/>
      <w:r>
        <w:t xml:space="preserve"> is updated as a new client upon time of information review or until the first initial consulting or administration session. By checking their concurrence of the disclaimer terms stated on the eCenter site, the client is noting their acceptance of the SBDC disclaimer by the electronic signature </w:t>
      </w:r>
      <w:proofErr w:type="gramStart"/>
      <w:r>
        <w:t>process</w:t>
      </w:r>
      <w:proofErr w:type="gramEnd"/>
      <w:r>
        <w:t xml:space="preserve"> and this must be in place prior to their first consulting session date.  </w:t>
      </w:r>
    </w:p>
    <w:p w14:paraId="1F2D92A1" w14:textId="43AD6735" w:rsidR="00DB4AC9" w:rsidRPr="00912CFC" w:rsidRDefault="00DB4AC9" w:rsidP="00912CFC">
      <w:pPr>
        <w:pStyle w:val="Heading2"/>
        <w:spacing w:before="0" w:after="240"/>
        <w:rPr>
          <w:rFonts w:ascii="Calibri" w:eastAsia="Calibri" w:hAnsi="Calibri" w:cs="Calibri"/>
          <w:b/>
          <w:smallCaps/>
          <w:color w:val="000000"/>
          <w:sz w:val="28"/>
          <w:szCs w:val="28"/>
        </w:rPr>
      </w:pPr>
      <w:bookmarkStart w:id="221" w:name="_3c9z6hx" w:colFirst="0" w:colLast="0"/>
      <w:bookmarkStart w:id="222" w:name="_1rf9gpq" w:colFirst="0" w:colLast="0"/>
      <w:bookmarkEnd w:id="221"/>
      <w:bookmarkEnd w:id="222"/>
      <w:r w:rsidRPr="00912CFC">
        <w:rPr>
          <w:rFonts w:ascii="Calibri" w:eastAsia="Calibri" w:hAnsi="Calibri" w:cs="Calibri"/>
          <w:b/>
          <w:smallCaps/>
          <w:color w:val="000000"/>
          <w:sz w:val="28"/>
          <w:szCs w:val="28"/>
        </w:rPr>
        <w:lastRenderedPageBreak/>
        <w:t>10.</w:t>
      </w:r>
      <w:r w:rsidR="00912CFC">
        <w:rPr>
          <w:rFonts w:ascii="Calibri" w:eastAsia="Calibri" w:hAnsi="Calibri" w:cs="Calibri"/>
          <w:b/>
          <w:smallCaps/>
          <w:color w:val="000000"/>
          <w:sz w:val="28"/>
          <w:szCs w:val="28"/>
        </w:rPr>
        <w:t>7</w:t>
      </w:r>
      <w:r w:rsidRPr="00912CFC">
        <w:rPr>
          <w:rFonts w:ascii="Calibri" w:eastAsia="Calibri" w:hAnsi="Calibri" w:cs="Calibri"/>
          <w:b/>
          <w:smallCaps/>
          <w:color w:val="000000"/>
          <w:sz w:val="28"/>
          <w:szCs w:val="28"/>
        </w:rPr>
        <w:t xml:space="preserve"> Database Clean-Up</w:t>
      </w:r>
    </w:p>
    <w:p w14:paraId="325EEE00" w14:textId="77777777" w:rsidR="00DB4AC9" w:rsidRDefault="00DB4AC9" w:rsidP="00DB4AC9">
      <w:r>
        <w:t>Regional centers must perform database cleanup to ensure the SBDC management information system contains only allowable client, consulting, investment and training data. Center administrators should refer to the appendix “Neoserra Review and Database Clean-Up Procedures” to perform this function. Centers are advised to perform database clean-up on a quarterly basis by the 15</w:t>
      </w:r>
      <w:r>
        <w:rPr>
          <w:vertAlign w:val="superscript"/>
        </w:rPr>
        <w:t>th</w:t>
      </w:r>
      <w:r>
        <w:t xml:space="preserve"> for the month which contains the quarter-end report (April 15, July 15, October 15, January 15), but it is recommended that clean-up occur </w:t>
      </w:r>
      <w:proofErr w:type="gramStart"/>
      <w:r>
        <w:t>on a monthly basis</w:t>
      </w:r>
      <w:proofErr w:type="gramEnd"/>
      <w:r>
        <w:t xml:space="preserve">. It is critical that the </w:t>
      </w:r>
      <w:proofErr w:type="spellStart"/>
      <w:r>
        <w:t>clean up</w:t>
      </w:r>
      <w:proofErr w:type="spellEnd"/>
      <w:r>
        <w:t xml:space="preserve"> </w:t>
      </w:r>
      <w:proofErr w:type="gramStart"/>
      <w:r>
        <w:t>happen</w:t>
      </w:r>
      <w:proofErr w:type="gramEnd"/>
      <w:r>
        <w:t xml:space="preserve"> for the October 15 report, since the SBA uses this to close out the federal fiscal year.</w:t>
      </w:r>
    </w:p>
    <w:p w14:paraId="7EDD42B9" w14:textId="0AD3F2AB" w:rsidR="00DB4AC9" w:rsidRPr="00912CFC" w:rsidRDefault="00DB4AC9" w:rsidP="00912CFC">
      <w:pPr>
        <w:pStyle w:val="Heading2"/>
        <w:spacing w:before="0" w:after="240"/>
        <w:rPr>
          <w:rFonts w:ascii="Calibri" w:eastAsia="Calibri" w:hAnsi="Calibri" w:cs="Calibri"/>
          <w:b/>
          <w:smallCaps/>
          <w:color w:val="000000"/>
          <w:sz w:val="28"/>
          <w:szCs w:val="28"/>
        </w:rPr>
      </w:pPr>
      <w:bookmarkStart w:id="223" w:name="_4bewzdj" w:colFirst="0" w:colLast="0"/>
      <w:bookmarkEnd w:id="223"/>
      <w:r w:rsidRPr="00912CFC">
        <w:rPr>
          <w:rFonts w:ascii="Calibri" w:eastAsia="Calibri" w:hAnsi="Calibri" w:cs="Calibri"/>
          <w:b/>
          <w:smallCaps/>
          <w:color w:val="000000"/>
          <w:sz w:val="28"/>
          <w:szCs w:val="28"/>
        </w:rPr>
        <w:t>10.</w:t>
      </w:r>
      <w:r w:rsidR="00912CFC">
        <w:rPr>
          <w:rFonts w:ascii="Calibri" w:eastAsia="Calibri" w:hAnsi="Calibri" w:cs="Calibri"/>
          <w:b/>
          <w:smallCaps/>
          <w:color w:val="000000"/>
          <w:sz w:val="28"/>
          <w:szCs w:val="28"/>
        </w:rPr>
        <w:t>8</w:t>
      </w:r>
      <w:r w:rsidRPr="00912CFC">
        <w:rPr>
          <w:rFonts w:ascii="Calibri" w:eastAsia="Calibri" w:hAnsi="Calibri" w:cs="Calibri"/>
          <w:b/>
          <w:smallCaps/>
          <w:color w:val="000000"/>
          <w:sz w:val="28"/>
          <w:szCs w:val="28"/>
        </w:rPr>
        <w:t xml:space="preserve"> Client Validation and Attribution</w:t>
      </w:r>
    </w:p>
    <w:p w14:paraId="0955B36A" w14:textId="77777777" w:rsidR="00DB4AC9" w:rsidRDefault="00DB4AC9" w:rsidP="00DB4AC9">
      <w:r>
        <w:t xml:space="preserve">As proposed by the ASBDC Accreditation Committee and approved by the ASBDC Board of Directors, all client impact must be validated by the client and attributed by the client to the actions of </w:t>
      </w:r>
      <w:proofErr w:type="gramStart"/>
      <w:r>
        <w:t>the Minnesota</w:t>
      </w:r>
      <w:proofErr w:type="gramEnd"/>
      <w:r>
        <w:t xml:space="preserve"> SBDC. The goal in this action is to ensure absolute integrity in SBDC client impact data nationwide, by using the client as the final ‘judge’ of what has or has not been achieved in the process. This process also has a secondary effect of allowing the client to recognize and acknowledge the valuable assistance provided by the MnSBDC </w:t>
      </w:r>
      <w:proofErr w:type="gramStart"/>
      <w:r>
        <w:t>network, and</w:t>
      </w:r>
      <w:proofErr w:type="gramEnd"/>
      <w:r>
        <w:t xml:space="preserve"> strengthen both the MnSBDC ‘brand’ and the client relationship.</w:t>
      </w:r>
    </w:p>
    <w:p w14:paraId="37D094E4" w14:textId="77777777" w:rsidR="00DB4AC9" w:rsidRDefault="00DB4AC9" w:rsidP="00DB4AC9">
      <w:r>
        <w:t xml:space="preserve"> As defined above in 4.1.1, consulting is individual advice, guidance or instruction given to a small </w:t>
      </w:r>
      <w:proofErr w:type="gramStart"/>
      <w:r>
        <w:t>business person</w:t>
      </w:r>
      <w:proofErr w:type="gramEnd"/>
      <w:r>
        <w:t xml:space="preserve"> or entity. The issues presented by the client must be substantive in nature and require assistance from the SBDC in the formation, management</w:t>
      </w:r>
      <w:proofErr w:type="gramStart"/>
      <w:r>
        <w:t>, financing</w:t>
      </w:r>
      <w:proofErr w:type="gramEnd"/>
      <w:r>
        <w:t xml:space="preserve"> or operation of a small business enterprise and are specific to the needs of the business. Hence, the client must verify that the consulting was ‘substantive in nature’ and ‘specific to the needs of the business’ and resulted in the recorded impact.</w:t>
      </w:r>
    </w:p>
    <w:p w14:paraId="57ECCF2F" w14:textId="30246BE0" w:rsidR="00DB4AC9" w:rsidRPr="00472E95" w:rsidRDefault="00DB4AC9" w:rsidP="00DB4AC9">
      <w:pPr>
        <w:pStyle w:val="Heading4"/>
        <w:ind w:left="360"/>
        <w:rPr>
          <w:b/>
          <w:bCs/>
          <w:color w:val="000000" w:themeColor="text1"/>
        </w:rPr>
      </w:pPr>
      <w:r w:rsidRPr="00472E95">
        <w:rPr>
          <w:b/>
          <w:bCs/>
          <w:color w:val="000000" w:themeColor="text1"/>
        </w:rPr>
        <w:t>10.</w:t>
      </w:r>
      <w:r w:rsidR="00912CFC" w:rsidRPr="00472E95">
        <w:rPr>
          <w:b/>
          <w:bCs/>
          <w:color w:val="000000" w:themeColor="text1"/>
        </w:rPr>
        <w:t>8</w:t>
      </w:r>
      <w:r w:rsidRPr="00472E95">
        <w:rPr>
          <w:b/>
          <w:bCs/>
          <w:color w:val="000000" w:themeColor="text1"/>
        </w:rPr>
        <w:t>.1 Client Attribution Documentation Required</w:t>
      </w:r>
    </w:p>
    <w:p w14:paraId="32D52E8B" w14:textId="77777777" w:rsidR="00DB4AC9" w:rsidRDefault="00DB4AC9" w:rsidP="00DB4AC9">
      <w:r>
        <w:t>The documentation must be written, signed and dated by the client. The format may be a paper form, verifying the impact and attributing it to the services of the MnSBDC, or an electronic format, such as an email, that clearly identifies it was sent by the client. If the format is an email, coming from the client email account provides ‘</w:t>
      </w:r>
      <w:hyperlink r:id="rId17">
        <w:r>
          <w:rPr>
            <w:color w:val="0000FF"/>
            <w:u w:val="single"/>
          </w:rPr>
          <w:t>prima facie’</w:t>
        </w:r>
      </w:hyperlink>
      <w:r>
        <w:t xml:space="preserve"> evidence that it was sent by the client. The email may originate from the Regional Center or Professional Business Consultant in the engagement, listing the impact and verifying the substantive role of the MnSBDC, soliciting a response of affirmation.</w:t>
      </w:r>
    </w:p>
    <w:p w14:paraId="376756A0" w14:textId="77777777" w:rsidR="00DB4AC9" w:rsidRDefault="00DB4AC9" w:rsidP="00DB4AC9">
      <w:r>
        <w:t xml:space="preserve">The documentation must be uploaded to Neoserra in PDF </w:t>
      </w:r>
      <w:proofErr w:type="gramStart"/>
      <w:r>
        <w:t>format, and</w:t>
      </w:r>
      <w:proofErr w:type="gramEnd"/>
      <w:r>
        <w:t xml:space="preserve"> stored in the client file in Neoserra.</w:t>
      </w:r>
    </w:p>
    <w:p w14:paraId="12730095" w14:textId="63653F8C" w:rsidR="00DB4AC9" w:rsidRPr="00472E95" w:rsidRDefault="00DB4AC9" w:rsidP="00DB4AC9">
      <w:pPr>
        <w:pStyle w:val="Heading4"/>
        <w:ind w:left="360"/>
        <w:rPr>
          <w:b/>
          <w:bCs/>
          <w:color w:val="000000" w:themeColor="text1"/>
        </w:rPr>
      </w:pPr>
      <w:r w:rsidRPr="00472E95">
        <w:rPr>
          <w:b/>
          <w:bCs/>
          <w:color w:val="000000" w:themeColor="text1"/>
        </w:rPr>
        <w:t>10.</w:t>
      </w:r>
      <w:r w:rsidR="00912CFC" w:rsidRPr="00472E95">
        <w:rPr>
          <w:b/>
          <w:bCs/>
          <w:color w:val="000000" w:themeColor="text1"/>
        </w:rPr>
        <w:t>8</w:t>
      </w:r>
      <w:r w:rsidRPr="00472E95">
        <w:rPr>
          <w:b/>
          <w:bCs/>
          <w:color w:val="000000" w:themeColor="text1"/>
        </w:rPr>
        <w:t>.2 Regional Center Validation Required</w:t>
      </w:r>
    </w:p>
    <w:p w14:paraId="60EA2067" w14:textId="77777777" w:rsidR="00DB4AC9" w:rsidRDefault="00DB4AC9" w:rsidP="00DB4AC9">
      <w:r>
        <w:t xml:space="preserve">After documentation is collected from the client and uploaded to Neoserra, the Regional Director reviews it for accuracy, completeness, and validity. If the Regional Director is assured that it meets the criteria for validation and attribution, they choose the option in Minnesota SBDC checkbox at the bottom of the page in Neoserra that states “Yes-Backup Documentation Attached to Client Record”. If the documentation does not meet the criteria, they choose the box that states “Not attributed to the center”. If there are any questions or concerns on a specific case or about the process, contact the State Director for </w:t>
      </w:r>
      <w:proofErr w:type="gramStart"/>
      <w:r>
        <w:t>follow up</w:t>
      </w:r>
      <w:proofErr w:type="gramEnd"/>
      <w:r>
        <w:t>.</w:t>
      </w:r>
    </w:p>
    <w:p w14:paraId="10EA0C2D" w14:textId="486C5CC1" w:rsidR="00DB4AC9" w:rsidRPr="00472E95" w:rsidRDefault="00DB4AC9" w:rsidP="00DB4AC9">
      <w:pPr>
        <w:pStyle w:val="Heading4"/>
        <w:ind w:left="360"/>
        <w:rPr>
          <w:b/>
          <w:bCs/>
          <w:color w:val="000000" w:themeColor="text1"/>
        </w:rPr>
      </w:pPr>
      <w:r w:rsidRPr="00472E95">
        <w:rPr>
          <w:b/>
          <w:bCs/>
          <w:color w:val="000000" w:themeColor="text1"/>
        </w:rPr>
        <w:lastRenderedPageBreak/>
        <w:t>10.</w:t>
      </w:r>
      <w:r w:rsidR="00912CFC" w:rsidRPr="00472E95">
        <w:rPr>
          <w:b/>
          <w:bCs/>
          <w:color w:val="000000" w:themeColor="text1"/>
        </w:rPr>
        <w:t>8</w:t>
      </w:r>
      <w:r w:rsidRPr="00472E95">
        <w:rPr>
          <w:b/>
          <w:bCs/>
          <w:color w:val="000000" w:themeColor="text1"/>
        </w:rPr>
        <w:t>.3 Lead Center Validation Review</w:t>
      </w:r>
    </w:p>
    <w:p w14:paraId="7DE1DE61" w14:textId="77777777" w:rsidR="00DB4AC9" w:rsidRDefault="00DB4AC9" w:rsidP="00DB4AC9">
      <w:r>
        <w:t>The Lead Center will review validation documentation on a sample basis to ensure quality standards are maintained, and as a check on data integrity. This review will be performed no less than on a quarterly basis.</w:t>
      </w:r>
    </w:p>
    <w:p w14:paraId="5D1D2CBE" w14:textId="77777777" w:rsidR="00DB4AC9" w:rsidRDefault="00DB4AC9" w:rsidP="00DB4AC9"/>
    <w:p w14:paraId="434A5874" w14:textId="77777777" w:rsidR="00DB4AC9" w:rsidRDefault="00DB4AC9" w:rsidP="00DB4AC9"/>
    <w:p w14:paraId="16303568" w14:textId="77777777" w:rsidR="00DB4AC9" w:rsidRDefault="00DB4AC9" w:rsidP="00DB4AC9"/>
    <w:p w14:paraId="527D9366" w14:textId="77777777" w:rsidR="00DB4AC9" w:rsidRDefault="00DB4AC9" w:rsidP="00DB4AC9"/>
    <w:p w14:paraId="368C87DF" w14:textId="77777777" w:rsidR="00DB4AC9" w:rsidRDefault="00DB4AC9" w:rsidP="00DB4AC9"/>
    <w:p w14:paraId="48454B5B" w14:textId="77777777" w:rsidR="00DB4AC9" w:rsidRDefault="00DB4AC9" w:rsidP="00DB4AC9">
      <w:pPr>
        <w:spacing w:after="0"/>
      </w:pPr>
      <w:bookmarkStart w:id="224" w:name="_2qk79lc" w:colFirst="0" w:colLast="0"/>
      <w:bookmarkEnd w:id="224"/>
    </w:p>
    <w:p w14:paraId="2568B7A1" w14:textId="77777777" w:rsidR="00DB4AC9" w:rsidRDefault="00DB4AC9" w:rsidP="00DB4AC9">
      <w:r>
        <w:br w:type="page"/>
      </w:r>
    </w:p>
    <w:p w14:paraId="3D595F99" w14:textId="77777777" w:rsidR="00DB4AC9" w:rsidRDefault="00DB4AC9" w:rsidP="00DB4AC9">
      <w:pPr>
        <w:widowControl w:val="0"/>
        <w:spacing w:after="0" w:line="276" w:lineRule="auto"/>
      </w:pPr>
    </w:p>
    <w:p w14:paraId="28B54EB2" w14:textId="77777777" w:rsidR="00DB4AC9" w:rsidRDefault="00DB4AC9" w:rsidP="00DB4AC9">
      <w:pPr>
        <w:pStyle w:val="Heading1"/>
      </w:pPr>
      <w:bookmarkStart w:id="225" w:name="_15phjt5" w:colFirst="0" w:colLast="0"/>
      <w:bookmarkEnd w:id="225"/>
      <w:r>
        <w:t>Appendix 1 – Core Competency</w:t>
      </w:r>
    </w:p>
    <w:p w14:paraId="4E98BB89" w14:textId="77777777" w:rsidR="00DB4AC9" w:rsidRDefault="00DB4AC9" w:rsidP="00DB4AC9">
      <w:pPr>
        <w:spacing w:after="0"/>
      </w:pPr>
      <w:r>
        <w:rPr>
          <w:sz w:val="40"/>
          <w:szCs w:val="40"/>
        </w:rPr>
        <w:t xml:space="preserve">Core Competencies </w:t>
      </w:r>
    </w:p>
    <w:p w14:paraId="545F4B70" w14:textId="77777777" w:rsidR="00DB4AC9" w:rsidRDefault="00DB4AC9" w:rsidP="00DB4AC9">
      <w:pPr>
        <w:spacing w:after="0"/>
      </w:pPr>
      <w:r>
        <w:t xml:space="preserve">In keeping with terms of the enabling statute that sets forth activities of the SBDC program "to serve as an active information dissemination and service delivery mechanism..." through the utilization of institutions of higher education, broad areas of expected business proficiency are listed. </w:t>
      </w:r>
    </w:p>
    <w:p w14:paraId="66DDEB44" w14:textId="77777777" w:rsidR="00DB4AC9" w:rsidRDefault="00DB4AC9" w:rsidP="00DB4AC9">
      <w:pPr>
        <w:spacing w:after="0"/>
      </w:pPr>
    </w:p>
    <w:p w14:paraId="6A9778E6" w14:textId="77777777" w:rsidR="00DB4AC9" w:rsidRDefault="00DB4AC9" w:rsidP="00DB4AC9">
      <w:pPr>
        <w:spacing w:after="0"/>
      </w:pPr>
      <w:r>
        <w:rPr>
          <w:sz w:val="40"/>
          <w:szCs w:val="40"/>
        </w:rPr>
        <w:t xml:space="preserve">1. Business Planning, including Strategic Planning and Business Plan Development </w:t>
      </w:r>
    </w:p>
    <w:p w14:paraId="500610A8" w14:textId="77777777" w:rsidR="00DB4AC9" w:rsidRDefault="00DB4AC9" w:rsidP="00DB4AC9">
      <w:pPr>
        <w:spacing w:after="0"/>
      </w:pPr>
    </w:p>
    <w:p w14:paraId="13B9D599" w14:textId="77777777" w:rsidR="00DB4AC9" w:rsidRDefault="00DB4AC9" w:rsidP="00DB4AC9">
      <w:pPr>
        <w:spacing w:after="0"/>
      </w:pPr>
      <w:r>
        <w:rPr>
          <w:rFonts w:ascii="Arial" w:eastAsia="Arial" w:hAnsi="Arial" w:cs="Arial"/>
          <w:b/>
          <w:sz w:val="26"/>
          <w:szCs w:val="26"/>
        </w:rPr>
        <w:t xml:space="preserve">The Consultant/Counselor will be able to: </w:t>
      </w:r>
    </w:p>
    <w:p w14:paraId="5B441CE1" w14:textId="77777777" w:rsidR="00DB4AC9" w:rsidRDefault="00DB4AC9" w:rsidP="00DB4AC9">
      <w:pPr>
        <w:numPr>
          <w:ilvl w:val="0"/>
          <w:numId w:val="6"/>
        </w:numPr>
        <w:spacing w:after="0"/>
        <w:ind w:hanging="360"/>
      </w:pPr>
      <w:r>
        <w:t xml:space="preserve">Identify and assess the critical business issues facing the existing business client based on inputs such as client interviews, financial statements, operating information and external customer/market data. </w:t>
      </w:r>
    </w:p>
    <w:p w14:paraId="5F14DCD2" w14:textId="77777777" w:rsidR="00DB4AC9" w:rsidRDefault="00DB4AC9" w:rsidP="00DB4AC9">
      <w:pPr>
        <w:numPr>
          <w:ilvl w:val="0"/>
          <w:numId w:val="6"/>
        </w:numPr>
        <w:spacing w:after="0"/>
        <w:ind w:hanging="360"/>
      </w:pPr>
      <w:r>
        <w:t xml:space="preserve">Assess the start-up client’s readiness and needs </w:t>
      </w:r>
    </w:p>
    <w:p w14:paraId="3E685282" w14:textId="77777777" w:rsidR="00DB4AC9" w:rsidRDefault="00DB4AC9" w:rsidP="00DB4AC9">
      <w:pPr>
        <w:numPr>
          <w:ilvl w:val="0"/>
          <w:numId w:val="6"/>
        </w:numPr>
        <w:spacing w:after="0"/>
        <w:ind w:hanging="360"/>
      </w:pPr>
      <w:r>
        <w:t xml:space="preserve">Identify and convey to the client the basic steps and considerations for starting or buying a business or franchise and selling, transferring or liquidating a business or franchise. </w:t>
      </w:r>
    </w:p>
    <w:p w14:paraId="4332267C" w14:textId="77777777" w:rsidR="00DB4AC9" w:rsidRDefault="00DB4AC9" w:rsidP="00DB4AC9">
      <w:pPr>
        <w:numPr>
          <w:ilvl w:val="0"/>
          <w:numId w:val="6"/>
        </w:numPr>
        <w:spacing w:after="0"/>
        <w:ind w:hanging="360"/>
      </w:pPr>
      <w:r>
        <w:t xml:space="preserve">Identify available resources and tools including government regulations and services available via multiple sources. </w:t>
      </w:r>
    </w:p>
    <w:p w14:paraId="75FB340B" w14:textId="77777777" w:rsidR="00DB4AC9" w:rsidRDefault="00DB4AC9" w:rsidP="00DB4AC9">
      <w:pPr>
        <w:numPr>
          <w:ilvl w:val="0"/>
          <w:numId w:val="6"/>
        </w:numPr>
        <w:spacing w:after="0"/>
        <w:ind w:hanging="360"/>
      </w:pPr>
      <w:r>
        <w:t xml:space="preserve">Assist in developing a strategic plan using tools such as a SWOT analysis, Porter’s 5-Forces or other strategic tools. </w:t>
      </w:r>
    </w:p>
    <w:p w14:paraId="41087166" w14:textId="77777777" w:rsidR="00DB4AC9" w:rsidRDefault="00DB4AC9" w:rsidP="00DB4AC9">
      <w:pPr>
        <w:numPr>
          <w:ilvl w:val="0"/>
          <w:numId w:val="6"/>
        </w:numPr>
        <w:spacing w:after="0"/>
        <w:ind w:hanging="360"/>
      </w:pPr>
      <w:r>
        <w:t xml:space="preserve">Identify different types of business plans and the purpose and use of each </w:t>
      </w:r>
    </w:p>
    <w:p w14:paraId="7BF32301" w14:textId="77777777" w:rsidR="00DB4AC9" w:rsidRDefault="00DB4AC9" w:rsidP="00DB4AC9">
      <w:pPr>
        <w:numPr>
          <w:ilvl w:val="0"/>
          <w:numId w:val="6"/>
        </w:numPr>
        <w:spacing w:after="0"/>
        <w:ind w:hanging="360"/>
      </w:pPr>
      <w:r>
        <w:t xml:space="preserve">Understand the components of a business plan and be able to explain/demonstrate them to a client </w:t>
      </w:r>
    </w:p>
    <w:p w14:paraId="3992CC1C" w14:textId="77777777" w:rsidR="00DB4AC9" w:rsidRDefault="00DB4AC9" w:rsidP="00DB4AC9">
      <w:pPr>
        <w:numPr>
          <w:ilvl w:val="0"/>
          <w:numId w:val="6"/>
        </w:numPr>
        <w:spacing w:after="0"/>
        <w:ind w:hanging="360"/>
      </w:pPr>
      <w:r>
        <w:t xml:space="preserve">Effectively assist clients to develop a business plan </w:t>
      </w:r>
    </w:p>
    <w:p w14:paraId="4FAD13A1" w14:textId="77777777" w:rsidR="00DB4AC9" w:rsidRDefault="00DB4AC9" w:rsidP="00DB4AC9">
      <w:pPr>
        <w:numPr>
          <w:ilvl w:val="0"/>
          <w:numId w:val="6"/>
        </w:numPr>
        <w:spacing w:after="0"/>
        <w:ind w:hanging="360"/>
      </w:pPr>
      <w:r>
        <w:t xml:space="preserve">Effectively assist clients in implementing their business plan </w:t>
      </w:r>
    </w:p>
    <w:p w14:paraId="3DD6EFF0" w14:textId="77777777" w:rsidR="00DB4AC9" w:rsidRDefault="00DB4AC9" w:rsidP="00DB4AC9">
      <w:pPr>
        <w:numPr>
          <w:ilvl w:val="0"/>
          <w:numId w:val="6"/>
        </w:numPr>
        <w:spacing w:after="0"/>
        <w:ind w:hanging="360"/>
      </w:pPr>
      <w:r>
        <w:t xml:space="preserve">Develop an action plan with activities and next steps with the client </w:t>
      </w:r>
    </w:p>
    <w:p w14:paraId="79BFABF7" w14:textId="77777777" w:rsidR="00DB4AC9" w:rsidRDefault="00DB4AC9" w:rsidP="00DB4AC9">
      <w:pPr>
        <w:spacing w:after="0"/>
      </w:pPr>
    </w:p>
    <w:p w14:paraId="49352482" w14:textId="77777777" w:rsidR="00DB4AC9" w:rsidRDefault="00DB4AC9" w:rsidP="00DB4AC9">
      <w:pPr>
        <w:spacing w:after="0"/>
      </w:pPr>
      <w:r>
        <w:rPr>
          <w:sz w:val="40"/>
          <w:szCs w:val="40"/>
        </w:rPr>
        <w:t xml:space="preserve">2. Financial Analysis </w:t>
      </w:r>
    </w:p>
    <w:p w14:paraId="16C659C8" w14:textId="77777777" w:rsidR="00DB4AC9" w:rsidRDefault="00DB4AC9" w:rsidP="00DB4AC9">
      <w:pPr>
        <w:spacing w:after="0"/>
      </w:pPr>
    </w:p>
    <w:p w14:paraId="526F1D3B" w14:textId="77777777" w:rsidR="00DB4AC9" w:rsidRDefault="00DB4AC9" w:rsidP="00DB4AC9">
      <w:pPr>
        <w:spacing w:after="0"/>
      </w:pPr>
      <w:r>
        <w:rPr>
          <w:rFonts w:ascii="Arial" w:eastAsia="Arial" w:hAnsi="Arial" w:cs="Arial"/>
          <w:b/>
          <w:sz w:val="26"/>
          <w:szCs w:val="26"/>
        </w:rPr>
        <w:t xml:space="preserve">The Consultant/Counselor will be able to: </w:t>
      </w:r>
    </w:p>
    <w:p w14:paraId="0BC13688" w14:textId="77777777" w:rsidR="00DB4AC9" w:rsidRDefault="00DB4AC9" w:rsidP="00DB4AC9">
      <w:pPr>
        <w:numPr>
          <w:ilvl w:val="0"/>
          <w:numId w:val="9"/>
        </w:numPr>
        <w:spacing w:after="0"/>
        <w:ind w:hanging="360"/>
      </w:pPr>
      <w:r>
        <w:t xml:space="preserve">Identify businesses costs. </w:t>
      </w:r>
    </w:p>
    <w:p w14:paraId="0E55A792" w14:textId="77777777" w:rsidR="00DB4AC9" w:rsidRDefault="00DB4AC9" w:rsidP="00DB4AC9">
      <w:pPr>
        <w:numPr>
          <w:ilvl w:val="0"/>
          <w:numId w:val="9"/>
        </w:numPr>
        <w:spacing w:after="0"/>
        <w:ind w:hanging="360"/>
      </w:pPr>
      <w:r>
        <w:t xml:space="preserve">Determine what the gross profit margin is and relate to the client why it is important. </w:t>
      </w:r>
    </w:p>
    <w:p w14:paraId="070A4D4E" w14:textId="77777777" w:rsidR="00DB4AC9" w:rsidRDefault="00DB4AC9" w:rsidP="00DB4AC9">
      <w:pPr>
        <w:numPr>
          <w:ilvl w:val="0"/>
          <w:numId w:val="9"/>
        </w:numPr>
        <w:spacing w:after="0"/>
        <w:ind w:hanging="360"/>
      </w:pPr>
      <w:r>
        <w:t xml:space="preserve">Determine what sales volume is needed to break even. </w:t>
      </w:r>
    </w:p>
    <w:p w14:paraId="314464D5" w14:textId="77777777" w:rsidR="00DB4AC9" w:rsidRDefault="00DB4AC9" w:rsidP="00DB4AC9">
      <w:pPr>
        <w:numPr>
          <w:ilvl w:val="0"/>
          <w:numId w:val="9"/>
        </w:numPr>
        <w:spacing w:after="0"/>
        <w:ind w:hanging="360"/>
      </w:pPr>
      <w:r>
        <w:t xml:space="preserve">Track and forecast cash flow. </w:t>
      </w:r>
    </w:p>
    <w:p w14:paraId="27DCFB66" w14:textId="77777777" w:rsidR="00DB4AC9" w:rsidRDefault="00DB4AC9" w:rsidP="00DB4AC9">
      <w:pPr>
        <w:numPr>
          <w:ilvl w:val="0"/>
          <w:numId w:val="9"/>
        </w:numPr>
        <w:spacing w:after="0"/>
        <w:ind w:hanging="360"/>
      </w:pPr>
      <w:r>
        <w:t xml:space="preserve">Know the effect of delayed collections on cash flow. </w:t>
      </w:r>
    </w:p>
    <w:p w14:paraId="63A53E7C" w14:textId="77777777" w:rsidR="00DB4AC9" w:rsidRDefault="00DB4AC9" w:rsidP="00DB4AC9">
      <w:pPr>
        <w:numPr>
          <w:ilvl w:val="0"/>
          <w:numId w:val="9"/>
        </w:numPr>
        <w:spacing w:after="0"/>
        <w:ind w:hanging="360"/>
      </w:pPr>
      <w:r>
        <w:t xml:space="preserve">Know the difference between margin and markup. </w:t>
      </w:r>
    </w:p>
    <w:p w14:paraId="555B115C" w14:textId="77777777" w:rsidR="00DB4AC9" w:rsidRDefault="00DB4AC9" w:rsidP="00DB4AC9">
      <w:pPr>
        <w:numPr>
          <w:ilvl w:val="0"/>
          <w:numId w:val="9"/>
        </w:numPr>
        <w:spacing w:after="0"/>
        <w:ind w:hanging="360"/>
      </w:pPr>
      <w:r>
        <w:t xml:space="preserve">Know how to monitor gross, operating, and net profit margins. </w:t>
      </w:r>
    </w:p>
    <w:p w14:paraId="21B5C8FF" w14:textId="77777777" w:rsidR="00DB4AC9" w:rsidRDefault="00DB4AC9" w:rsidP="00DB4AC9">
      <w:pPr>
        <w:numPr>
          <w:ilvl w:val="0"/>
          <w:numId w:val="9"/>
        </w:numPr>
        <w:spacing w:after="0"/>
        <w:ind w:hanging="360"/>
      </w:pPr>
      <w:r>
        <w:t xml:space="preserve">Know how to estimate minimum cash (working capital) reserves. </w:t>
      </w:r>
    </w:p>
    <w:p w14:paraId="55EC988E" w14:textId="77777777" w:rsidR="00DB4AC9" w:rsidRDefault="00DB4AC9" w:rsidP="00DB4AC9">
      <w:pPr>
        <w:numPr>
          <w:ilvl w:val="0"/>
          <w:numId w:val="9"/>
        </w:numPr>
        <w:spacing w:after="0"/>
        <w:ind w:hanging="360"/>
      </w:pPr>
      <w:r>
        <w:t xml:space="preserve">Know how to use business ratios and industry averages. </w:t>
      </w:r>
    </w:p>
    <w:p w14:paraId="70A56915" w14:textId="77777777" w:rsidR="00DB4AC9" w:rsidRDefault="00DB4AC9" w:rsidP="00DB4AC9">
      <w:pPr>
        <w:numPr>
          <w:ilvl w:val="0"/>
          <w:numId w:val="9"/>
        </w:numPr>
        <w:spacing w:after="0"/>
        <w:ind w:hanging="360"/>
      </w:pPr>
      <w:r>
        <w:lastRenderedPageBreak/>
        <w:t xml:space="preserve">Effectively convey </w:t>
      </w:r>
      <w:proofErr w:type="gramStart"/>
      <w:r>
        <w:t>all of</w:t>
      </w:r>
      <w:proofErr w:type="gramEnd"/>
      <w:r>
        <w:t xml:space="preserve"> the above concepts to clients. </w:t>
      </w:r>
    </w:p>
    <w:p w14:paraId="14BD413E" w14:textId="77777777" w:rsidR="00DB4AC9" w:rsidRDefault="00DB4AC9" w:rsidP="00DB4AC9">
      <w:pPr>
        <w:numPr>
          <w:ilvl w:val="0"/>
          <w:numId w:val="9"/>
        </w:numPr>
        <w:spacing w:after="0"/>
        <w:ind w:hanging="360"/>
      </w:pPr>
      <w:r>
        <w:t xml:space="preserve">Understand and effectively convey to </w:t>
      </w:r>
      <w:proofErr w:type="gramStart"/>
      <w:r>
        <w:t>clients</w:t>
      </w:r>
      <w:proofErr w:type="gramEnd"/>
      <w:r>
        <w:t xml:space="preserve"> key financial management issues including costs, cash flow, break-even, gross profit margin, forecasting, business ratios and industry averages, and financial statements. </w:t>
      </w:r>
    </w:p>
    <w:p w14:paraId="3B7CAFAE" w14:textId="77777777" w:rsidR="00DB4AC9" w:rsidRDefault="00DB4AC9" w:rsidP="00DB4AC9">
      <w:pPr>
        <w:spacing w:after="0"/>
      </w:pPr>
    </w:p>
    <w:p w14:paraId="396C7CFB" w14:textId="77777777" w:rsidR="00DB4AC9" w:rsidRDefault="00DB4AC9" w:rsidP="00DB4AC9">
      <w:pPr>
        <w:spacing w:after="0"/>
      </w:pPr>
      <w:r>
        <w:rPr>
          <w:sz w:val="40"/>
          <w:szCs w:val="40"/>
        </w:rPr>
        <w:t xml:space="preserve">3. Accounting </w:t>
      </w:r>
    </w:p>
    <w:p w14:paraId="120369B3" w14:textId="77777777" w:rsidR="00DB4AC9" w:rsidRDefault="00DB4AC9" w:rsidP="00DB4AC9">
      <w:pPr>
        <w:spacing w:after="0"/>
      </w:pPr>
    </w:p>
    <w:p w14:paraId="27FABA91" w14:textId="77777777" w:rsidR="00DB4AC9" w:rsidRDefault="00DB4AC9" w:rsidP="00DB4AC9">
      <w:pPr>
        <w:spacing w:after="0"/>
      </w:pPr>
      <w:r>
        <w:rPr>
          <w:rFonts w:ascii="Arial" w:eastAsia="Arial" w:hAnsi="Arial" w:cs="Arial"/>
          <w:b/>
          <w:sz w:val="26"/>
          <w:szCs w:val="26"/>
        </w:rPr>
        <w:t xml:space="preserve">The Consultant/Counselor will be able to: </w:t>
      </w:r>
    </w:p>
    <w:p w14:paraId="58D40B8A" w14:textId="77777777" w:rsidR="00DB4AC9" w:rsidRDefault="00DB4AC9" w:rsidP="00DB4AC9">
      <w:pPr>
        <w:numPr>
          <w:ilvl w:val="0"/>
          <w:numId w:val="11"/>
        </w:numPr>
        <w:spacing w:after="0"/>
        <w:ind w:hanging="360"/>
      </w:pPr>
      <w:r>
        <w:t xml:space="preserve">Reconcile a bank statement. </w:t>
      </w:r>
    </w:p>
    <w:p w14:paraId="59CB962E" w14:textId="77777777" w:rsidR="00DB4AC9" w:rsidRDefault="00DB4AC9" w:rsidP="00DB4AC9">
      <w:pPr>
        <w:numPr>
          <w:ilvl w:val="0"/>
          <w:numId w:val="11"/>
        </w:numPr>
        <w:spacing w:after="0"/>
        <w:ind w:hanging="360"/>
      </w:pPr>
      <w:r>
        <w:t xml:space="preserve">Be able to teach a client how to hire and pay an employee in </w:t>
      </w:r>
      <w:proofErr w:type="gramStart"/>
      <w:r>
        <w:t>the</w:t>
      </w:r>
      <w:proofErr w:type="gramEnd"/>
      <w:r>
        <w:t xml:space="preserve"> specific State/Region. </w:t>
      </w:r>
    </w:p>
    <w:p w14:paraId="724D55DF" w14:textId="77777777" w:rsidR="00DB4AC9" w:rsidRDefault="00DB4AC9" w:rsidP="00DB4AC9">
      <w:pPr>
        <w:numPr>
          <w:ilvl w:val="0"/>
          <w:numId w:val="11"/>
        </w:numPr>
        <w:spacing w:after="0"/>
        <w:ind w:hanging="360"/>
      </w:pPr>
      <w:r>
        <w:t xml:space="preserve">Be knowledgeable and have a basic understanding of electronic and paper recordkeeping systems. </w:t>
      </w:r>
    </w:p>
    <w:p w14:paraId="1BE4532F" w14:textId="77777777" w:rsidR="00DB4AC9" w:rsidRDefault="00DB4AC9" w:rsidP="00DB4AC9">
      <w:pPr>
        <w:numPr>
          <w:ilvl w:val="0"/>
          <w:numId w:val="11"/>
        </w:numPr>
        <w:spacing w:after="0"/>
        <w:ind w:hanging="360"/>
      </w:pPr>
      <w:r>
        <w:t xml:space="preserve">Cash basis vs. Accrual basis of accounting </w:t>
      </w:r>
    </w:p>
    <w:p w14:paraId="2157FFA1" w14:textId="77777777" w:rsidR="00DB4AC9" w:rsidRDefault="00DB4AC9" w:rsidP="00DB4AC9">
      <w:pPr>
        <w:numPr>
          <w:ilvl w:val="0"/>
          <w:numId w:val="11"/>
        </w:numPr>
        <w:spacing w:after="0"/>
        <w:ind w:hanging="360"/>
      </w:pPr>
      <w:r>
        <w:t xml:space="preserve">Provide resources for setting up a company using electronic software such as Quick Books. </w:t>
      </w:r>
    </w:p>
    <w:p w14:paraId="47F676E4" w14:textId="77777777" w:rsidR="00DB4AC9" w:rsidRDefault="00DB4AC9" w:rsidP="00DB4AC9">
      <w:pPr>
        <w:numPr>
          <w:ilvl w:val="0"/>
          <w:numId w:val="11"/>
        </w:numPr>
        <w:spacing w:after="0"/>
        <w:ind w:hanging="360"/>
      </w:pPr>
      <w:r>
        <w:t xml:space="preserve">Assign appropriate expense categories to expenses incurred within a checking register. </w:t>
      </w:r>
    </w:p>
    <w:p w14:paraId="553BD388" w14:textId="77777777" w:rsidR="00DB4AC9" w:rsidRDefault="00DB4AC9" w:rsidP="00DB4AC9">
      <w:pPr>
        <w:numPr>
          <w:ilvl w:val="0"/>
          <w:numId w:val="11"/>
        </w:numPr>
        <w:spacing w:after="0"/>
        <w:ind w:hanging="360"/>
      </w:pPr>
      <w:r>
        <w:t xml:space="preserve">Create financial statements. </w:t>
      </w:r>
    </w:p>
    <w:p w14:paraId="732EE5EA" w14:textId="77777777" w:rsidR="00DB4AC9" w:rsidRDefault="00DB4AC9" w:rsidP="00DB4AC9">
      <w:pPr>
        <w:numPr>
          <w:ilvl w:val="0"/>
          <w:numId w:val="11"/>
        </w:numPr>
        <w:spacing w:after="0"/>
        <w:ind w:hanging="360"/>
      </w:pPr>
      <w:r>
        <w:t xml:space="preserve">Account for A/P and A/R. </w:t>
      </w:r>
    </w:p>
    <w:p w14:paraId="69373638" w14:textId="77777777" w:rsidR="00DB4AC9" w:rsidRDefault="00DB4AC9" w:rsidP="00DB4AC9">
      <w:pPr>
        <w:numPr>
          <w:ilvl w:val="0"/>
          <w:numId w:val="11"/>
        </w:numPr>
        <w:spacing w:after="0"/>
        <w:ind w:hanging="360"/>
      </w:pPr>
      <w:r>
        <w:t xml:space="preserve">Account for COGS (Beg. Inv + Purchases – End Inventory) </w:t>
      </w:r>
    </w:p>
    <w:p w14:paraId="0627F80F" w14:textId="77777777" w:rsidR="00DB4AC9" w:rsidRDefault="00DB4AC9" w:rsidP="00DB4AC9">
      <w:pPr>
        <w:numPr>
          <w:ilvl w:val="0"/>
          <w:numId w:val="11"/>
        </w:numPr>
        <w:spacing w:after="0"/>
        <w:ind w:hanging="360"/>
      </w:pPr>
      <w:r>
        <w:t xml:space="preserve">Demonstrate knowledge of each part of the Accounting Equation </w:t>
      </w:r>
    </w:p>
    <w:p w14:paraId="466418A3" w14:textId="77777777" w:rsidR="00DB4AC9" w:rsidRDefault="00DB4AC9" w:rsidP="00DB4AC9">
      <w:pPr>
        <w:numPr>
          <w:ilvl w:val="0"/>
          <w:numId w:val="11"/>
        </w:numPr>
        <w:spacing w:after="0"/>
        <w:ind w:hanging="360"/>
      </w:pPr>
      <w:r>
        <w:t xml:space="preserve">Demonstrate knowledge of invoicing and collections. </w:t>
      </w:r>
    </w:p>
    <w:p w14:paraId="0912001B" w14:textId="77777777" w:rsidR="00DB4AC9" w:rsidRDefault="00DB4AC9" w:rsidP="00DB4AC9">
      <w:pPr>
        <w:numPr>
          <w:ilvl w:val="0"/>
          <w:numId w:val="11"/>
        </w:numPr>
        <w:spacing w:after="0"/>
        <w:ind w:hanging="360"/>
      </w:pPr>
      <w:r>
        <w:t xml:space="preserve">Demonstrate knowledge of internal controls necessary to minimize theft. </w:t>
      </w:r>
    </w:p>
    <w:p w14:paraId="129ACBF3" w14:textId="77777777" w:rsidR="00DB4AC9" w:rsidRDefault="00DB4AC9" w:rsidP="00DB4AC9">
      <w:pPr>
        <w:numPr>
          <w:ilvl w:val="0"/>
          <w:numId w:val="11"/>
        </w:numPr>
        <w:spacing w:after="0"/>
        <w:ind w:hanging="360"/>
      </w:pPr>
      <w:r>
        <w:t xml:space="preserve">General knowledge of federal, state and local taxes. </w:t>
      </w:r>
    </w:p>
    <w:p w14:paraId="578EEF56" w14:textId="77777777" w:rsidR="00DB4AC9" w:rsidRDefault="00DB4AC9" w:rsidP="00DB4AC9">
      <w:pPr>
        <w:spacing w:after="0"/>
      </w:pPr>
    </w:p>
    <w:p w14:paraId="218089B7" w14:textId="77777777" w:rsidR="00DB4AC9" w:rsidRDefault="00DB4AC9" w:rsidP="00DB4AC9">
      <w:pPr>
        <w:spacing w:after="0"/>
      </w:pPr>
      <w:r>
        <w:rPr>
          <w:sz w:val="40"/>
          <w:szCs w:val="40"/>
        </w:rPr>
        <w:t xml:space="preserve">4. Marketing </w:t>
      </w:r>
    </w:p>
    <w:p w14:paraId="5B2FF24B" w14:textId="77777777" w:rsidR="00DB4AC9" w:rsidRDefault="00DB4AC9" w:rsidP="00DB4AC9">
      <w:pPr>
        <w:spacing w:after="0"/>
      </w:pPr>
    </w:p>
    <w:p w14:paraId="596F05A8" w14:textId="77777777" w:rsidR="00DB4AC9" w:rsidRDefault="00DB4AC9" w:rsidP="00DB4AC9">
      <w:pPr>
        <w:spacing w:after="0"/>
      </w:pPr>
      <w:r>
        <w:rPr>
          <w:rFonts w:ascii="Arial" w:eastAsia="Arial" w:hAnsi="Arial" w:cs="Arial"/>
          <w:b/>
          <w:sz w:val="26"/>
          <w:szCs w:val="26"/>
        </w:rPr>
        <w:t xml:space="preserve">The Consultant/Counselor will be able to: </w:t>
      </w:r>
    </w:p>
    <w:p w14:paraId="1338D2C7" w14:textId="77777777" w:rsidR="00DB4AC9" w:rsidRDefault="00DB4AC9" w:rsidP="00DB4AC9">
      <w:pPr>
        <w:numPr>
          <w:ilvl w:val="0"/>
          <w:numId w:val="13"/>
        </w:numPr>
        <w:spacing w:after="0"/>
        <w:ind w:hanging="360"/>
      </w:pPr>
      <w:r>
        <w:t xml:space="preserve">Identify and define four </w:t>
      </w:r>
      <w:proofErr w:type="gramStart"/>
      <w:r>
        <w:t>P’s</w:t>
      </w:r>
      <w:proofErr w:type="gramEnd"/>
      <w:r>
        <w:t xml:space="preserve"> of marketing – product, price, place &amp; promotion </w:t>
      </w:r>
    </w:p>
    <w:p w14:paraId="05FAE07B" w14:textId="77777777" w:rsidR="00DB4AC9" w:rsidRDefault="00DB4AC9" w:rsidP="00DB4AC9">
      <w:pPr>
        <w:numPr>
          <w:ilvl w:val="0"/>
          <w:numId w:val="13"/>
        </w:numPr>
        <w:spacing w:after="0"/>
        <w:ind w:hanging="360"/>
      </w:pPr>
      <w:r>
        <w:t xml:space="preserve">Identify and define the five segments of promotion – advertising, personal selling, public relations, sales promotion and direct marketing </w:t>
      </w:r>
    </w:p>
    <w:p w14:paraId="04828D67" w14:textId="77777777" w:rsidR="00DB4AC9" w:rsidRDefault="00DB4AC9" w:rsidP="00DB4AC9">
      <w:pPr>
        <w:numPr>
          <w:ilvl w:val="0"/>
          <w:numId w:val="13"/>
        </w:numPr>
        <w:spacing w:after="0"/>
        <w:ind w:hanging="360"/>
      </w:pPr>
      <w:r>
        <w:t xml:space="preserve">Direct clients to proper sources for market research (SBDC net services) </w:t>
      </w:r>
    </w:p>
    <w:p w14:paraId="1F775D2B" w14:textId="77777777" w:rsidR="00DB4AC9" w:rsidRDefault="00DB4AC9" w:rsidP="00DB4AC9">
      <w:pPr>
        <w:numPr>
          <w:ilvl w:val="0"/>
          <w:numId w:val="13"/>
        </w:numPr>
        <w:spacing w:after="0"/>
        <w:ind w:hanging="360"/>
      </w:pPr>
      <w:r>
        <w:t xml:space="preserve">Understand competitive strengths and how to perform a competitive analysis (SWOT) </w:t>
      </w:r>
    </w:p>
    <w:p w14:paraId="413E0FAA" w14:textId="77777777" w:rsidR="00DB4AC9" w:rsidRDefault="00DB4AC9" w:rsidP="00DB4AC9">
      <w:pPr>
        <w:numPr>
          <w:ilvl w:val="0"/>
          <w:numId w:val="13"/>
        </w:numPr>
        <w:spacing w:after="0"/>
        <w:ind w:hanging="360"/>
      </w:pPr>
      <w:r>
        <w:t xml:space="preserve">Assist clients in developing a “superior” value proposition </w:t>
      </w:r>
    </w:p>
    <w:p w14:paraId="04EBCCD2" w14:textId="77777777" w:rsidR="00DB4AC9" w:rsidRDefault="00DB4AC9" w:rsidP="00DB4AC9">
      <w:pPr>
        <w:numPr>
          <w:ilvl w:val="0"/>
          <w:numId w:val="13"/>
        </w:numPr>
        <w:spacing w:after="0"/>
        <w:ind w:hanging="360"/>
      </w:pPr>
      <w:r>
        <w:t xml:space="preserve">Effectively assist clients to understand basic selling skills </w:t>
      </w:r>
    </w:p>
    <w:p w14:paraId="651D4285" w14:textId="77777777" w:rsidR="00DB4AC9" w:rsidRDefault="00DB4AC9" w:rsidP="00DB4AC9">
      <w:pPr>
        <w:numPr>
          <w:ilvl w:val="0"/>
          <w:numId w:val="13"/>
        </w:numPr>
        <w:spacing w:after="0"/>
        <w:ind w:hanging="360"/>
      </w:pPr>
      <w:r>
        <w:t xml:space="preserve">Effectively assist clients in developing a compelling, professional sales presentation </w:t>
      </w:r>
    </w:p>
    <w:p w14:paraId="2E8DC4EE" w14:textId="77777777" w:rsidR="00DB4AC9" w:rsidRDefault="00DB4AC9" w:rsidP="00DB4AC9">
      <w:pPr>
        <w:numPr>
          <w:ilvl w:val="0"/>
          <w:numId w:val="13"/>
        </w:numPr>
        <w:spacing w:after="0"/>
        <w:ind w:hanging="360"/>
      </w:pPr>
      <w:r>
        <w:t>Assist clients in developing a marketing plan consisting of a strategic plan and a tactical plan. Concise strategies will be developed for:</w:t>
      </w:r>
    </w:p>
    <w:p w14:paraId="0FC8A56C" w14:textId="77777777" w:rsidR="00DB4AC9" w:rsidRDefault="00DB4AC9" w:rsidP="00DB4AC9">
      <w:pPr>
        <w:numPr>
          <w:ilvl w:val="0"/>
          <w:numId w:val="14"/>
        </w:numPr>
        <w:spacing w:after="0"/>
        <w:ind w:hanging="360"/>
      </w:pPr>
      <w:r>
        <w:t xml:space="preserve">Products/services </w:t>
      </w:r>
    </w:p>
    <w:p w14:paraId="1F7ED43D" w14:textId="77777777" w:rsidR="00DB4AC9" w:rsidRDefault="00DB4AC9" w:rsidP="00DB4AC9">
      <w:pPr>
        <w:numPr>
          <w:ilvl w:val="0"/>
          <w:numId w:val="14"/>
        </w:numPr>
        <w:spacing w:after="0"/>
        <w:ind w:hanging="360"/>
      </w:pPr>
      <w:r>
        <w:t xml:space="preserve">Targeting </w:t>
      </w:r>
    </w:p>
    <w:p w14:paraId="5FA0DDE2" w14:textId="77777777" w:rsidR="00DB4AC9" w:rsidRDefault="00DB4AC9" w:rsidP="00DB4AC9">
      <w:pPr>
        <w:numPr>
          <w:ilvl w:val="0"/>
          <w:numId w:val="14"/>
        </w:numPr>
        <w:spacing w:after="0"/>
        <w:ind w:hanging="360"/>
      </w:pPr>
      <w:r>
        <w:t xml:space="preserve">Positioning </w:t>
      </w:r>
    </w:p>
    <w:p w14:paraId="396D0A02" w14:textId="77777777" w:rsidR="00DB4AC9" w:rsidRDefault="00DB4AC9" w:rsidP="00DB4AC9">
      <w:pPr>
        <w:numPr>
          <w:ilvl w:val="0"/>
          <w:numId w:val="14"/>
        </w:numPr>
        <w:spacing w:after="0"/>
        <w:ind w:hanging="360"/>
      </w:pPr>
      <w:r>
        <w:t xml:space="preserve">Pricing </w:t>
      </w:r>
    </w:p>
    <w:p w14:paraId="2725BF93" w14:textId="77777777" w:rsidR="00DB4AC9" w:rsidRDefault="00DB4AC9" w:rsidP="00DB4AC9">
      <w:pPr>
        <w:numPr>
          <w:ilvl w:val="0"/>
          <w:numId w:val="14"/>
        </w:numPr>
        <w:spacing w:after="0"/>
        <w:ind w:hanging="360"/>
      </w:pPr>
      <w:r>
        <w:t xml:space="preserve">Value proposition (Why should I choose you?) </w:t>
      </w:r>
    </w:p>
    <w:p w14:paraId="6E3343DD" w14:textId="77777777" w:rsidR="00DB4AC9" w:rsidRDefault="00DB4AC9" w:rsidP="00DB4AC9">
      <w:pPr>
        <w:numPr>
          <w:ilvl w:val="0"/>
          <w:numId w:val="14"/>
        </w:numPr>
        <w:spacing w:after="0"/>
        <w:ind w:hanging="360"/>
      </w:pPr>
      <w:r>
        <w:t xml:space="preserve">Distribution (Go to market strategy) </w:t>
      </w:r>
    </w:p>
    <w:p w14:paraId="3FBF70D8" w14:textId="77777777" w:rsidR="00DB4AC9" w:rsidRDefault="00DB4AC9" w:rsidP="00DB4AC9">
      <w:pPr>
        <w:numPr>
          <w:ilvl w:val="0"/>
          <w:numId w:val="14"/>
        </w:numPr>
        <w:spacing w:after="0"/>
        <w:ind w:hanging="360"/>
      </w:pPr>
      <w:r>
        <w:t xml:space="preserve">Communication (the message and the media) </w:t>
      </w:r>
    </w:p>
    <w:p w14:paraId="2E58D62D" w14:textId="77777777" w:rsidR="00DB4AC9" w:rsidRDefault="00DB4AC9" w:rsidP="00DB4AC9">
      <w:pPr>
        <w:spacing w:after="0"/>
      </w:pPr>
    </w:p>
    <w:p w14:paraId="211D4FAC" w14:textId="77777777" w:rsidR="00DB4AC9" w:rsidRDefault="00DB4AC9" w:rsidP="00DB4AC9">
      <w:pPr>
        <w:numPr>
          <w:ilvl w:val="0"/>
          <w:numId w:val="13"/>
        </w:numPr>
        <w:spacing w:after="0"/>
        <w:ind w:hanging="360"/>
      </w:pPr>
      <w:r>
        <w:t xml:space="preserve">Assist clients in developing and implementing an action plan </w:t>
      </w:r>
    </w:p>
    <w:p w14:paraId="7C862C5B" w14:textId="77777777" w:rsidR="00DB4AC9" w:rsidRDefault="00DB4AC9" w:rsidP="00DB4AC9">
      <w:pPr>
        <w:numPr>
          <w:ilvl w:val="0"/>
          <w:numId w:val="13"/>
        </w:numPr>
        <w:spacing w:after="0"/>
        <w:ind w:hanging="360"/>
      </w:pPr>
      <w:r>
        <w:lastRenderedPageBreak/>
        <w:t>Assist clients in how to do fundamental, cost effective:</w:t>
      </w:r>
    </w:p>
    <w:p w14:paraId="4260AC13" w14:textId="77777777" w:rsidR="00DB4AC9" w:rsidRDefault="00DB4AC9" w:rsidP="00DB4AC9">
      <w:pPr>
        <w:numPr>
          <w:ilvl w:val="1"/>
          <w:numId w:val="18"/>
        </w:numPr>
        <w:spacing w:after="0"/>
        <w:ind w:hanging="360"/>
      </w:pPr>
      <w:r>
        <w:t xml:space="preserve">Market research </w:t>
      </w:r>
    </w:p>
    <w:p w14:paraId="11B6290D" w14:textId="77777777" w:rsidR="00DB4AC9" w:rsidRDefault="00DB4AC9" w:rsidP="00DB4AC9">
      <w:pPr>
        <w:numPr>
          <w:ilvl w:val="1"/>
          <w:numId w:val="18"/>
        </w:numPr>
        <w:spacing w:after="0"/>
        <w:ind w:hanging="360"/>
      </w:pPr>
      <w:r>
        <w:t xml:space="preserve">Market analysis </w:t>
      </w:r>
    </w:p>
    <w:p w14:paraId="14518A87" w14:textId="77777777" w:rsidR="00DB4AC9" w:rsidRDefault="00DB4AC9" w:rsidP="00DB4AC9">
      <w:pPr>
        <w:numPr>
          <w:ilvl w:val="1"/>
          <w:numId w:val="18"/>
        </w:numPr>
        <w:spacing w:after="0"/>
        <w:ind w:hanging="360"/>
      </w:pPr>
      <w:r>
        <w:t xml:space="preserve">Customer research </w:t>
      </w:r>
    </w:p>
    <w:p w14:paraId="173C165E" w14:textId="77777777" w:rsidR="00DB4AC9" w:rsidRDefault="00DB4AC9" w:rsidP="00DB4AC9">
      <w:pPr>
        <w:numPr>
          <w:ilvl w:val="1"/>
          <w:numId w:val="18"/>
        </w:numPr>
        <w:spacing w:after="0"/>
        <w:ind w:hanging="360"/>
      </w:pPr>
      <w:r>
        <w:t xml:space="preserve">Competitive analysis </w:t>
      </w:r>
    </w:p>
    <w:p w14:paraId="7732C5E6" w14:textId="77777777" w:rsidR="00DB4AC9" w:rsidRDefault="00DB4AC9" w:rsidP="00DB4AC9">
      <w:pPr>
        <w:spacing w:after="0"/>
      </w:pPr>
    </w:p>
    <w:p w14:paraId="71DEF9C5" w14:textId="77777777" w:rsidR="00DB4AC9" w:rsidRDefault="00DB4AC9" w:rsidP="00DB4AC9">
      <w:pPr>
        <w:numPr>
          <w:ilvl w:val="0"/>
          <w:numId w:val="13"/>
        </w:numPr>
        <w:spacing w:after="0"/>
        <w:ind w:hanging="360"/>
      </w:pPr>
      <w:r>
        <w:t>Assist clients in developing strategies and tactics to:</w:t>
      </w:r>
    </w:p>
    <w:p w14:paraId="1220E617" w14:textId="77777777" w:rsidR="00DB4AC9" w:rsidRDefault="00DB4AC9" w:rsidP="00DB4AC9">
      <w:pPr>
        <w:numPr>
          <w:ilvl w:val="1"/>
          <w:numId w:val="19"/>
        </w:numPr>
        <w:spacing w:after="0"/>
        <w:ind w:hanging="360"/>
      </w:pPr>
      <w:r>
        <w:t xml:space="preserve">Find/acquire new customers </w:t>
      </w:r>
    </w:p>
    <w:p w14:paraId="1327CD03" w14:textId="77777777" w:rsidR="00DB4AC9" w:rsidRDefault="00DB4AC9" w:rsidP="00DB4AC9">
      <w:pPr>
        <w:numPr>
          <w:ilvl w:val="1"/>
          <w:numId w:val="19"/>
        </w:numPr>
        <w:spacing w:after="0"/>
        <w:ind w:hanging="360"/>
      </w:pPr>
      <w:r>
        <w:t xml:space="preserve">Satisfy </w:t>
      </w:r>
    </w:p>
    <w:p w14:paraId="78F09898" w14:textId="77777777" w:rsidR="00DB4AC9" w:rsidRDefault="00DB4AC9" w:rsidP="00DB4AC9">
      <w:pPr>
        <w:numPr>
          <w:ilvl w:val="1"/>
          <w:numId w:val="19"/>
        </w:numPr>
        <w:spacing w:after="0"/>
        <w:ind w:hanging="360"/>
      </w:pPr>
      <w:r>
        <w:t xml:space="preserve">Grow </w:t>
      </w:r>
    </w:p>
    <w:p w14:paraId="411AFB60" w14:textId="77777777" w:rsidR="00DB4AC9" w:rsidRDefault="00DB4AC9" w:rsidP="00DB4AC9">
      <w:pPr>
        <w:numPr>
          <w:ilvl w:val="1"/>
          <w:numId w:val="19"/>
        </w:numPr>
        <w:spacing w:after="0"/>
        <w:ind w:hanging="360"/>
      </w:pPr>
      <w:r>
        <w:t xml:space="preserve">Keep </w:t>
      </w:r>
    </w:p>
    <w:p w14:paraId="432A6AF7" w14:textId="77777777" w:rsidR="00DB4AC9" w:rsidRDefault="00DB4AC9" w:rsidP="00DB4AC9">
      <w:pPr>
        <w:spacing w:after="0"/>
      </w:pPr>
    </w:p>
    <w:p w14:paraId="4D565E72" w14:textId="77777777" w:rsidR="00DB4AC9" w:rsidRDefault="00DB4AC9" w:rsidP="00DB4AC9">
      <w:pPr>
        <w:numPr>
          <w:ilvl w:val="0"/>
          <w:numId w:val="13"/>
        </w:numPr>
        <w:spacing w:after="0"/>
        <w:ind w:hanging="360"/>
      </w:pPr>
      <w:r>
        <w:t xml:space="preserve">Internet marketing </w:t>
      </w:r>
    </w:p>
    <w:p w14:paraId="057217A8" w14:textId="77777777" w:rsidR="00DB4AC9" w:rsidRDefault="00DB4AC9" w:rsidP="00DB4AC9">
      <w:pPr>
        <w:numPr>
          <w:ilvl w:val="0"/>
          <w:numId w:val="13"/>
        </w:numPr>
        <w:spacing w:after="0"/>
        <w:ind w:hanging="360"/>
      </w:pPr>
      <w:r>
        <w:t xml:space="preserve">Research </w:t>
      </w:r>
    </w:p>
    <w:p w14:paraId="05022C27" w14:textId="77777777" w:rsidR="00DB4AC9" w:rsidRDefault="00DB4AC9" w:rsidP="00DB4AC9">
      <w:pPr>
        <w:numPr>
          <w:ilvl w:val="0"/>
          <w:numId w:val="13"/>
        </w:numPr>
        <w:spacing w:after="0"/>
        <w:ind w:hanging="360"/>
      </w:pPr>
      <w:r>
        <w:t xml:space="preserve">Newsletters </w:t>
      </w:r>
    </w:p>
    <w:p w14:paraId="3F647669" w14:textId="77777777" w:rsidR="00DB4AC9" w:rsidRDefault="00DB4AC9" w:rsidP="00DB4AC9">
      <w:pPr>
        <w:numPr>
          <w:ilvl w:val="0"/>
          <w:numId w:val="13"/>
        </w:numPr>
        <w:spacing w:after="0"/>
        <w:ind w:hanging="360"/>
      </w:pPr>
      <w:r>
        <w:t xml:space="preserve">Blogs and other emerging electronic and social networking tools that can </w:t>
      </w:r>
      <w:proofErr w:type="gramStart"/>
      <w:r>
        <w:t>used</w:t>
      </w:r>
      <w:proofErr w:type="gramEnd"/>
      <w:r>
        <w:t xml:space="preserve"> by small business clients </w:t>
      </w:r>
    </w:p>
    <w:p w14:paraId="0C1F745D" w14:textId="77777777" w:rsidR="00DB4AC9" w:rsidRDefault="00DB4AC9" w:rsidP="00DB4AC9">
      <w:pPr>
        <w:numPr>
          <w:ilvl w:val="0"/>
          <w:numId w:val="13"/>
        </w:numPr>
        <w:spacing w:after="0"/>
        <w:ind w:hanging="360"/>
      </w:pPr>
      <w:r>
        <w:t xml:space="preserve">Relationship marketing </w:t>
      </w:r>
    </w:p>
    <w:p w14:paraId="2DBFBB93" w14:textId="77777777" w:rsidR="00DB4AC9" w:rsidRDefault="00DB4AC9" w:rsidP="00DB4AC9">
      <w:pPr>
        <w:spacing w:after="0"/>
      </w:pPr>
    </w:p>
    <w:p w14:paraId="2F8BBB30" w14:textId="77777777" w:rsidR="00DB4AC9" w:rsidRDefault="00DB4AC9" w:rsidP="00DB4AC9">
      <w:pPr>
        <w:spacing w:after="0"/>
      </w:pPr>
      <w:r>
        <w:rPr>
          <w:sz w:val="40"/>
          <w:szCs w:val="40"/>
        </w:rPr>
        <w:t xml:space="preserve">5. Assistance with Access to Capital </w:t>
      </w:r>
    </w:p>
    <w:p w14:paraId="1E98F08A" w14:textId="77777777" w:rsidR="00DB4AC9" w:rsidRDefault="00DB4AC9" w:rsidP="00DB4AC9">
      <w:pPr>
        <w:spacing w:after="0"/>
      </w:pPr>
    </w:p>
    <w:p w14:paraId="6C509846" w14:textId="77777777" w:rsidR="00DB4AC9" w:rsidRDefault="00DB4AC9" w:rsidP="00DB4AC9">
      <w:pPr>
        <w:spacing w:after="0"/>
      </w:pPr>
      <w:r>
        <w:rPr>
          <w:rFonts w:ascii="Arial" w:eastAsia="Arial" w:hAnsi="Arial" w:cs="Arial"/>
          <w:b/>
          <w:sz w:val="26"/>
          <w:szCs w:val="26"/>
        </w:rPr>
        <w:t xml:space="preserve">The Consultant/Counselor will be able to: </w:t>
      </w:r>
    </w:p>
    <w:p w14:paraId="6AEEB3D5" w14:textId="77777777" w:rsidR="00DB4AC9" w:rsidRDefault="00DB4AC9" w:rsidP="00DB4AC9">
      <w:pPr>
        <w:numPr>
          <w:ilvl w:val="0"/>
          <w:numId w:val="20"/>
        </w:numPr>
        <w:spacing w:after="0"/>
        <w:ind w:hanging="360"/>
      </w:pPr>
      <w:r>
        <w:t>Identify financing sources to include:</w:t>
      </w:r>
    </w:p>
    <w:p w14:paraId="6275DCB3" w14:textId="77777777" w:rsidR="00DB4AC9" w:rsidRDefault="00DB4AC9" w:rsidP="00DB4AC9">
      <w:pPr>
        <w:numPr>
          <w:ilvl w:val="1"/>
          <w:numId w:val="21"/>
        </w:numPr>
        <w:spacing w:after="0"/>
        <w:ind w:hanging="360"/>
      </w:pPr>
      <w:r>
        <w:t xml:space="preserve">State and local loan/economic development programs </w:t>
      </w:r>
    </w:p>
    <w:p w14:paraId="5EA0B5A3" w14:textId="77777777" w:rsidR="00DB4AC9" w:rsidRDefault="00DB4AC9" w:rsidP="00DB4AC9">
      <w:pPr>
        <w:numPr>
          <w:ilvl w:val="1"/>
          <w:numId w:val="21"/>
        </w:numPr>
        <w:spacing w:after="0"/>
        <w:ind w:hanging="360"/>
      </w:pPr>
      <w:r>
        <w:t xml:space="preserve">Federally sponsored programs </w:t>
      </w:r>
    </w:p>
    <w:p w14:paraId="56651CA8" w14:textId="77777777" w:rsidR="00DB4AC9" w:rsidRDefault="00DB4AC9" w:rsidP="00DB4AC9">
      <w:pPr>
        <w:numPr>
          <w:ilvl w:val="1"/>
          <w:numId w:val="21"/>
        </w:numPr>
        <w:spacing w:after="0"/>
        <w:ind w:hanging="360"/>
      </w:pPr>
      <w:r>
        <w:t xml:space="preserve">Banks </w:t>
      </w:r>
    </w:p>
    <w:p w14:paraId="00094F33" w14:textId="77777777" w:rsidR="00DB4AC9" w:rsidRDefault="00DB4AC9" w:rsidP="00DB4AC9">
      <w:pPr>
        <w:numPr>
          <w:ilvl w:val="1"/>
          <w:numId w:val="21"/>
        </w:numPr>
        <w:spacing w:after="0"/>
        <w:ind w:hanging="360"/>
      </w:pPr>
      <w:r>
        <w:t xml:space="preserve">Internal methods of financing – bootstrapping </w:t>
      </w:r>
    </w:p>
    <w:p w14:paraId="002FF5CD" w14:textId="77777777" w:rsidR="00DB4AC9" w:rsidRDefault="00DB4AC9" w:rsidP="00DB4AC9">
      <w:pPr>
        <w:numPr>
          <w:ilvl w:val="1"/>
          <w:numId w:val="21"/>
        </w:numPr>
        <w:spacing w:after="0"/>
        <w:ind w:hanging="360"/>
      </w:pPr>
      <w:r>
        <w:t xml:space="preserve">Initial public offering, funding using an LLC </w:t>
      </w:r>
    </w:p>
    <w:p w14:paraId="4AF57BA3" w14:textId="77777777" w:rsidR="00DB4AC9" w:rsidRDefault="00DB4AC9" w:rsidP="00DB4AC9">
      <w:pPr>
        <w:numPr>
          <w:ilvl w:val="1"/>
          <w:numId w:val="21"/>
        </w:numPr>
        <w:spacing w:after="0"/>
        <w:ind w:hanging="360"/>
      </w:pPr>
      <w:r>
        <w:t xml:space="preserve">Angel investing groups </w:t>
      </w:r>
    </w:p>
    <w:p w14:paraId="4694EC42" w14:textId="77777777" w:rsidR="00DB4AC9" w:rsidRDefault="00DB4AC9" w:rsidP="00DB4AC9">
      <w:pPr>
        <w:numPr>
          <w:ilvl w:val="1"/>
          <w:numId w:val="21"/>
        </w:numPr>
        <w:spacing w:after="0"/>
        <w:ind w:hanging="360"/>
      </w:pPr>
      <w:r>
        <w:t xml:space="preserve">Venture capital </w:t>
      </w:r>
    </w:p>
    <w:p w14:paraId="5A386ECD" w14:textId="77777777" w:rsidR="00DB4AC9" w:rsidRDefault="00DB4AC9" w:rsidP="00DB4AC9">
      <w:pPr>
        <w:numPr>
          <w:ilvl w:val="1"/>
          <w:numId w:val="21"/>
        </w:numPr>
        <w:spacing w:after="0"/>
        <w:ind w:hanging="360"/>
      </w:pPr>
      <w:r>
        <w:t xml:space="preserve">Equity capital </w:t>
      </w:r>
    </w:p>
    <w:p w14:paraId="41FF8B9C" w14:textId="77777777" w:rsidR="00DB4AC9" w:rsidRDefault="00DB4AC9" w:rsidP="00DB4AC9">
      <w:pPr>
        <w:spacing w:after="0"/>
      </w:pPr>
    </w:p>
    <w:p w14:paraId="039BB10C" w14:textId="77777777" w:rsidR="00DB4AC9" w:rsidRDefault="00DB4AC9" w:rsidP="00DB4AC9">
      <w:pPr>
        <w:numPr>
          <w:ilvl w:val="0"/>
          <w:numId w:val="20"/>
        </w:numPr>
        <w:spacing w:after="0"/>
        <w:ind w:hanging="360"/>
      </w:pPr>
      <w:r>
        <w:t xml:space="preserve">Identify and define financing strategies </w:t>
      </w:r>
    </w:p>
    <w:p w14:paraId="06E3D6E1" w14:textId="77777777" w:rsidR="00DB4AC9" w:rsidRDefault="00DB4AC9" w:rsidP="00DB4AC9">
      <w:pPr>
        <w:numPr>
          <w:ilvl w:val="0"/>
          <w:numId w:val="20"/>
        </w:numPr>
        <w:spacing w:after="0"/>
        <w:ind w:hanging="360"/>
      </w:pPr>
      <w:r>
        <w:t xml:space="preserve">The factors considered for project/loan approval via each financing vehicle </w:t>
      </w:r>
    </w:p>
    <w:p w14:paraId="6DB72E15" w14:textId="77777777" w:rsidR="00DB4AC9" w:rsidRDefault="00DB4AC9" w:rsidP="00DB4AC9">
      <w:pPr>
        <w:numPr>
          <w:ilvl w:val="0"/>
          <w:numId w:val="20"/>
        </w:numPr>
        <w:spacing w:after="0"/>
        <w:ind w:hanging="360"/>
      </w:pPr>
      <w:r>
        <w:t xml:space="preserve">How to convert an unfundable project/proposal to one that is fundable </w:t>
      </w:r>
    </w:p>
    <w:p w14:paraId="276FCC3F" w14:textId="77777777" w:rsidR="00DB4AC9" w:rsidRDefault="00DB4AC9" w:rsidP="00DB4AC9">
      <w:pPr>
        <w:numPr>
          <w:ilvl w:val="0"/>
          <w:numId w:val="20"/>
        </w:numPr>
        <w:spacing w:after="0"/>
        <w:ind w:hanging="360"/>
      </w:pPr>
      <w:r>
        <w:t xml:space="preserve">Understanding how to effectively combine a myriad of financing programs – investors, banks and government loans when necessary to fund the project </w:t>
      </w:r>
    </w:p>
    <w:p w14:paraId="06FB6707" w14:textId="77777777" w:rsidR="00DB4AC9" w:rsidRDefault="00DB4AC9" w:rsidP="00DB4AC9">
      <w:pPr>
        <w:numPr>
          <w:ilvl w:val="0"/>
          <w:numId w:val="20"/>
        </w:numPr>
        <w:spacing w:after="0"/>
        <w:ind w:hanging="360"/>
      </w:pPr>
      <w:r>
        <w:t xml:space="preserve">Understand and demonstrate a fundable loan proposal </w:t>
      </w:r>
    </w:p>
    <w:p w14:paraId="75AC3EB9" w14:textId="77777777" w:rsidR="00DB4AC9" w:rsidRDefault="00DB4AC9" w:rsidP="00DB4AC9">
      <w:pPr>
        <w:numPr>
          <w:ilvl w:val="0"/>
          <w:numId w:val="20"/>
        </w:numPr>
        <w:spacing w:after="0"/>
        <w:ind w:hanging="360"/>
      </w:pPr>
      <w:r>
        <w:t xml:space="preserve">Assist in developing the loan proposal to include </w:t>
      </w:r>
      <w:proofErr w:type="gramStart"/>
      <w:r>
        <w:t>two year</w:t>
      </w:r>
      <w:proofErr w:type="gramEnd"/>
      <w:r>
        <w:t xml:space="preserve"> month to </w:t>
      </w:r>
      <w:proofErr w:type="gramStart"/>
      <w:r>
        <w:t>month</w:t>
      </w:r>
      <w:proofErr w:type="gramEnd"/>
      <w:r>
        <w:t xml:space="preserve"> financial projections </w:t>
      </w:r>
    </w:p>
    <w:p w14:paraId="6BEF2E79" w14:textId="77777777" w:rsidR="00DB4AC9" w:rsidRDefault="00DB4AC9" w:rsidP="00DB4AC9">
      <w:pPr>
        <w:numPr>
          <w:ilvl w:val="0"/>
          <w:numId w:val="20"/>
        </w:numPr>
        <w:spacing w:after="0"/>
        <w:ind w:hanging="360"/>
      </w:pPr>
      <w:r>
        <w:t xml:space="preserve">Time value of money </w:t>
      </w:r>
    </w:p>
    <w:p w14:paraId="51D6CE1E" w14:textId="77777777" w:rsidR="00DB4AC9" w:rsidRDefault="00DB4AC9" w:rsidP="00DB4AC9">
      <w:pPr>
        <w:numPr>
          <w:ilvl w:val="0"/>
          <w:numId w:val="20"/>
        </w:numPr>
        <w:spacing w:after="0"/>
        <w:ind w:hanging="360"/>
      </w:pPr>
      <w:r>
        <w:t>Capital budgeting</w:t>
      </w:r>
    </w:p>
    <w:p w14:paraId="38AE3FF9" w14:textId="77777777" w:rsidR="00DB4AC9" w:rsidRDefault="00DB4AC9" w:rsidP="00DB4AC9">
      <w:pPr>
        <w:numPr>
          <w:ilvl w:val="1"/>
          <w:numId w:val="22"/>
        </w:numPr>
        <w:spacing w:after="0"/>
        <w:ind w:hanging="360"/>
      </w:pPr>
      <w:r>
        <w:t xml:space="preserve">Payback period </w:t>
      </w:r>
    </w:p>
    <w:p w14:paraId="0FD8FC97" w14:textId="77777777" w:rsidR="00DB4AC9" w:rsidRDefault="00DB4AC9" w:rsidP="00DB4AC9">
      <w:pPr>
        <w:numPr>
          <w:ilvl w:val="1"/>
          <w:numId w:val="22"/>
        </w:numPr>
        <w:spacing w:after="0"/>
        <w:ind w:hanging="360"/>
      </w:pPr>
      <w:r>
        <w:t xml:space="preserve">NPV and IRR </w:t>
      </w:r>
    </w:p>
    <w:p w14:paraId="125EEB20" w14:textId="77777777" w:rsidR="00DB4AC9" w:rsidRDefault="00DB4AC9" w:rsidP="00DB4AC9">
      <w:pPr>
        <w:spacing w:after="0"/>
      </w:pPr>
    </w:p>
    <w:p w14:paraId="5E6EDBED" w14:textId="77777777" w:rsidR="00DB4AC9" w:rsidRDefault="00DB4AC9" w:rsidP="00DB4AC9">
      <w:pPr>
        <w:numPr>
          <w:ilvl w:val="0"/>
          <w:numId w:val="20"/>
        </w:numPr>
        <w:spacing w:after="0"/>
        <w:ind w:hanging="360"/>
      </w:pPr>
      <w:r>
        <w:t xml:space="preserve">Amortization schedules </w:t>
      </w:r>
    </w:p>
    <w:p w14:paraId="5DF800DE" w14:textId="77777777" w:rsidR="00DB4AC9" w:rsidRDefault="00DB4AC9" w:rsidP="00DB4AC9">
      <w:pPr>
        <w:numPr>
          <w:ilvl w:val="0"/>
          <w:numId w:val="20"/>
        </w:numPr>
        <w:spacing w:after="0"/>
        <w:ind w:hanging="360"/>
      </w:pPr>
      <w:r>
        <w:lastRenderedPageBreak/>
        <w:t xml:space="preserve">Leases </w:t>
      </w:r>
    </w:p>
    <w:p w14:paraId="0E462276" w14:textId="77777777" w:rsidR="00DB4AC9" w:rsidRDefault="00DB4AC9" w:rsidP="00DB4AC9">
      <w:pPr>
        <w:numPr>
          <w:ilvl w:val="0"/>
          <w:numId w:val="20"/>
        </w:numPr>
        <w:spacing w:after="0"/>
        <w:ind w:hanging="360"/>
      </w:pPr>
      <w:r>
        <w:t xml:space="preserve">General knowledge of credit reports and credit scoring </w:t>
      </w:r>
    </w:p>
    <w:p w14:paraId="33A4CC3B" w14:textId="77777777" w:rsidR="00DB4AC9" w:rsidRDefault="00DB4AC9" w:rsidP="00DB4AC9">
      <w:pPr>
        <w:spacing w:after="0"/>
      </w:pPr>
    </w:p>
    <w:p w14:paraId="543BB239" w14:textId="77777777" w:rsidR="00DB4AC9" w:rsidRDefault="00DB4AC9" w:rsidP="00DB4AC9">
      <w:pPr>
        <w:spacing w:after="0"/>
      </w:pPr>
    </w:p>
    <w:p w14:paraId="113116CB" w14:textId="77777777" w:rsidR="00DB4AC9" w:rsidRDefault="00DB4AC9" w:rsidP="00DB4AC9">
      <w:pPr>
        <w:spacing w:after="0"/>
      </w:pPr>
      <w:r>
        <w:rPr>
          <w:b/>
          <w:color w:val="FF0000"/>
        </w:rPr>
        <w:t xml:space="preserve">FOUNDATIONAL SKILLS </w:t>
      </w:r>
    </w:p>
    <w:p w14:paraId="2344144F" w14:textId="77777777" w:rsidR="00DB4AC9" w:rsidRDefault="00DB4AC9" w:rsidP="00DB4AC9">
      <w:pPr>
        <w:spacing w:after="0"/>
      </w:pPr>
    </w:p>
    <w:p w14:paraId="05CBD4C6" w14:textId="77777777" w:rsidR="00DB4AC9" w:rsidRDefault="00DB4AC9" w:rsidP="00DB4AC9">
      <w:pPr>
        <w:spacing w:after="0"/>
      </w:pPr>
      <w:r>
        <w:rPr>
          <w:sz w:val="40"/>
          <w:szCs w:val="40"/>
        </w:rPr>
        <w:t>6. Communication skills</w:t>
      </w:r>
    </w:p>
    <w:p w14:paraId="77AE5AA3" w14:textId="77777777" w:rsidR="00DB4AC9" w:rsidRDefault="00DB4AC9" w:rsidP="00DB4AC9">
      <w:pPr>
        <w:spacing w:after="0"/>
      </w:pPr>
    </w:p>
    <w:p w14:paraId="76D80D95" w14:textId="77777777" w:rsidR="00DB4AC9" w:rsidRDefault="00DB4AC9" w:rsidP="00DB4AC9">
      <w:pPr>
        <w:spacing w:after="0"/>
      </w:pPr>
      <w:r>
        <w:rPr>
          <w:rFonts w:ascii="Arial" w:eastAsia="Arial" w:hAnsi="Arial" w:cs="Arial"/>
          <w:b/>
          <w:sz w:val="26"/>
          <w:szCs w:val="26"/>
        </w:rPr>
        <w:t xml:space="preserve">The Consultant/Counselor will be able to: </w:t>
      </w:r>
    </w:p>
    <w:p w14:paraId="598DFC65" w14:textId="77777777" w:rsidR="00DB4AC9" w:rsidRDefault="00DB4AC9" w:rsidP="00DB4AC9">
      <w:pPr>
        <w:spacing w:after="0"/>
      </w:pPr>
      <w:r>
        <w:t xml:space="preserve">a. Active listening </w:t>
      </w:r>
    </w:p>
    <w:p w14:paraId="3718A4DB" w14:textId="77777777" w:rsidR="00DB4AC9" w:rsidRDefault="00DB4AC9" w:rsidP="00DB4AC9">
      <w:pPr>
        <w:spacing w:after="0"/>
      </w:pPr>
      <w:r>
        <w:t xml:space="preserve">b. Effective client interviewing using </w:t>
      </w:r>
      <w:proofErr w:type="gramStart"/>
      <w:r>
        <w:t>open ended</w:t>
      </w:r>
      <w:proofErr w:type="gramEnd"/>
      <w:r>
        <w:t xml:space="preserve"> questions </w:t>
      </w:r>
    </w:p>
    <w:p w14:paraId="47792A31" w14:textId="77777777" w:rsidR="00DB4AC9" w:rsidRDefault="00DB4AC9" w:rsidP="00DB4AC9">
      <w:pPr>
        <w:spacing w:after="0"/>
      </w:pPr>
      <w:r>
        <w:t xml:space="preserve">c. Creative problem solving </w:t>
      </w:r>
    </w:p>
    <w:p w14:paraId="0E548254" w14:textId="77777777" w:rsidR="00DB4AC9" w:rsidRDefault="00DB4AC9" w:rsidP="00DB4AC9">
      <w:pPr>
        <w:spacing w:after="0"/>
      </w:pPr>
      <w:r>
        <w:t xml:space="preserve">d. The ability to handle difficult people </w:t>
      </w:r>
    </w:p>
    <w:p w14:paraId="5B1892E7" w14:textId="77777777" w:rsidR="00DB4AC9" w:rsidRDefault="00DB4AC9" w:rsidP="00DB4AC9">
      <w:pPr>
        <w:spacing w:after="0"/>
      </w:pPr>
    </w:p>
    <w:p w14:paraId="58C87F35" w14:textId="77777777" w:rsidR="00DB4AC9" w:rsidRDefault="00DB4AC9" w:rsidP="00DB4AC9">
      <w:pPr>
        <w:spacing w:after="0"/>
      </w:pPr>
    </w:p>
    <w:p w14:paraId="1EC5058C" w14:textId="77777777" w:rsidR="00DB4AC9" w:rsidRDefault="00DB4AC9" w:rsidP="00DB4AC9">
      <w:pPr>
        <w:spacing w:after="0"/>
      </w:pPr>
      <w:r>
        <w:rPr>
          <w:sz w:val="40"/>
          <w:szCs w:val="40"/>
        </w:rPr>
        <w:t>7. Consulting/Counseling Techniques</w:t>
      </w:r>
    </w:p>
    <w:p w14:paraId="077297EA" w14:textId="77777777" w:rsidR="00DB4AC9" w:rsidRDefault="00DB4AC9" w:rsidP="00DB4AC9">
      <w:pPr>
        <w:spacing w:after="0"/>
      </w:pPr>
    </w:p>
    <w:p w14:paraId="523AAD7F" w14:textId="77777777" w:rsidR="00DB4AC9" w:rsidRDefault="00DB4AC9" w:rsidP="00DB4AC9">
      <w:pPr>
        <w:spacing w:after="0"/>
      </w:pPr>
      <w:r>
        <w:rPr>
          <w:rFonts w:ascii="Arial" w:eastAsia="Arial" w:hAnsi="Arial" w:cs="Arial"/>
          <w:b/>
          <w:sz w:val="26"/>
          <w:szCs w:val="26"/>
        </w:rPr>
        <w:t xml:space="preserve">The Consultant/Counselor will be able to: </w:t>
      </w:r>
    </w:p>
    <w:p w14:paraId="301EB189" w14:textId="77777777" w:rsidR="00DB4AC9" w:rsidRDefault="00DB4AC9" w:rsidP="00DB4AC9">
      <w:pPr>
        <w:numPr>
          <w:ilvl w:val="0"/>
          <w:numId w:val="4"/>
        </w:numPr>
        <w:spacing w:after="0"/>
        <w:ind w:hanging="360"/>
      </w:pPr>
      <w:r>
        <w:t xml:space="preserve">Display knowledge and use of effective consulting/counseling and coaching techniques </w:t>
      </w:r>
    </w:p>
    <w:p w14:paraId="248DAACA" w14:textId="77777777" w:rsidR="00DB4AC9" w:rsidRDefault="00DB4AC9" w:rsidP="00DB4AC9">
      <w:pPr>
        <w:numPr>
          <w:ilvl w:val="0"/>
          <w:numId w:val="4"/>
        </w:numPr>
        <w:spacing w:after="0"/>
        <w:ind w:hanging="360"/>
      </w:pPr>
      <w:r>
        <w:t xml:space="preserve">Assist client to set goals within an action plan </w:t>
      </w:r>
    </w:p>
    <w:p w14:paraId="69DDCEF0" w14:textId="77777777" w:rsidR="00DB4AC9" w:rsidRDefault="00DB4AC9" w:rsidP="00DB4AC9">
      <w:pPr>
        <w:numPr>
          <w:ilvl w:val="0"/>
          <w:numId w:val="4"/>
        </w:numPr>
        <w:spacing w:after="0"/>
        <w:ind w:hanging="360"/>
      </w:pPr>
      <w:r>
        <w:t xml:space="preserve">Understand how to develop a standard consulting/counseling session outline that serves as a diagnostic tool for effectively assessing the client </w:t>
      </w:r>
    </w:p>
    <w:p w14:paraId="7D58B8EE" w14:textId="77777777" w:rsidR="00DB4AC9" w:rsidRDefault="00DB4AC9" w:rsidP="00DB4AC9">
      <w:pPr>
        <w:numPr>
          <w:ilvl w:val="0"/>
          <w:numId w:val="4"/>
        </w:numPr>
        <w:spacing w:after="0"/>
        <w:ind w:hanging="360"/>
      </w:pPr>
      <w:r>
        <w:t xml:space="preserve">Identify consulting/counseling tools/resources and how they would be used </w:t>
      </w:r>
    </w:p>
    <w:p w14:paraId="4FBB8A4E" w14:textId="77777777" w:rsidR="00DB4AC9" w:rsidRDefault="00DB4AC9" w:rsidP="00DB4AC9">
      <w:pPr>
        <w:numPr>
          <w:ilvl w:val="0"/>
          <w:numId w:val="4"/>
        </w:numPr>
        <w:spacing w:after="0"/>
        <w:ind w:hanging="360"/>
      </w:pPr>
      <w:r>
        <w:t xml:space="preserve">Understand and demonstrate when </w:t>
      </w:r>
      <w:proofErr w:type="gramStart"/>
      <w:r>
        <w:t>team based</w:t>
      </w:r>
      <w:proofErr w:type="gramEnd"/>
      <w:r>
        <w:t xml:space="preserve"> consulting/counseling would be used </w:t>
      </w:r>
    </w:p>
    <w:p w14:paraId="68B5B850" w14:textId="77777777" w:rsidR="00DB4AC9" w:rsidRDefault="00DB4AC9" w:rsidP="00DB4AC9">
      <w:pPr>
        <w:numPr>
          <w:ilvl w:val="0"/>
          <w:numId w:val="4"/>
        </w:numPr>
        <w:spacing w:after="0"/>
        <w:ind w:hanging="360"/>
      </w:pPr>
      <w:r>
        <w:t xml:space="preserve">Understand how to use SBDCNet, any web-based client database, such as WebCATS, Center IC, EDMIS, etc. and consulting/counseling resources and how to develop effective documentation </w:t>
      </w:r>
    </w:p>
    <w:p w14:paraId="1E6CB712" w14:textId="77777777" w:rsidR="00DB4AC9" w:rsidRDefault="00DB4AC9" w:rsidP="00DB4AC9">
      <w:pPr>
        <w:numPr>
          <w:ilvl w:val="0"/>
          <w:numId w:val="4"/>
        </w:numPr>
        <w:spacing w:after="0"/>
        <w:ind w:hanging="360"/>
      </w:pPr>
      <w:r>
        <w:t xml:space="preserve">Demonstrate understanding of identifying high growth/high opportunity clients and how to engage the state/region-wide services available </w:t>
      </w:r>
    </w:p>
    <w:p w14:paraId="4BB7F77E" w14:textId="77777777" w:rsidR="00DB4AC9" w:rsidRDefault="00DB4AC9" w:rsidP="00DB4AC9">
      <w:pPr>
        <w:numPr>
          <w:ilvl w:val="0"/>
          <w:numId w:val="4"/>
        </w:numPr>
        <w:spacing w:after="0"/>
        <w:ind w:hanging="360"/>
      </w:pPr>
      <w:r>
        <w:t xml:space="preserve">Demonstrate an understanding and awareness of Cultural diversity </w:t>
      </w:r>
    </w:p>
    <w:p w14:paraId="6B9E8153" w14:textId="77777777" w:rsidR="00DB4AC9" w:rsidRDefault="00DB4AC9" w:rsidP="00DB4AC9">
      <w:pPr>
        <w:numPr>
          <w:ilvl w:val="0"/>
          <w:numId w:val="4"/>
        </w:numPr>
        <w:spacing w:after="0"/>
        <w:ind w:hanging="360"/>
      </w:pPr>
      <w:r>
        <w:t>Understand and comply with the State/Region Code of Professional Conduct:</w:t>
      </w:r>
    </w:p>
    <w:p w14:paraId="3AD44437" w14:textId="77777777" w:rsidR="00DB4AC9" w:rsidRDefault="00DB4AC9" w:rsidP="00DB4AC9">
      <w:pPr>
        <w:numPr>
          <w:ilvl w:val="1"/>
          <w:numId w:val="7"/>
        </w:numPr>
        <w:spacing w:after="0"/>
        <w:ind w:hanging="360"/>
      </w:pPr>
      <w:r>
        <w:t xml:space="preserve">Conflict of interest policies </w:t>
      </w:r>
    </w:p>
    <w:p w14:paraId="7C49BD94" w14:textId="77777777" w:rsidR="00DB4AC9" w:rsidRDefault="00DB4AC9" w:rsidP="00DB4AC9">
      <w:pPr>
        <w:numPr>
          <w:ilvl w:val="1"/>
          <w:numId w:val="7"/>
        </w:numPr>
        <w:spacing w:after="0"/>
        <w:ind w:hanging="360"/>
      </w:pPr>
      <w:r>
        <w:t xml:space="preserve">Client confidentiality requirements </w:t>
      </w:r>
    </w:p>
    <w:p w14:paraId="33FAE189" w14:textId="77777777" w:rsidR="00DB4AC9" w:rsidRDefault="00DB4AC9" w:rsidP="00DB4AC9">
      <w:pPr>
        <w:numPr>
          <w:ilvl w:val="1"/>
          <w:numId w:val="7"/>
        </w:numPr>
        <w:spacing w:after="0"/>
        <w:ind w:hanging="360"/>
      </w:pPr>
      <w:r>
        <w:t xml:space="preserve">Ethics </w:t>
      </w:r>
    </w:p>
    <w:p w14:paraId="3AAB0788" w14:textId="77777777" w:rsidR="00DB4AC9" w:rsidRDefault="00DB4AC9" w:rsidP="00DB4AC9">
      <w:pPr>
        <w:numPr>
          <w:ilvl w:val="1"/>
          <w:numId w:val="7"/>
        </w:numPr>
        <w:spacing w:after="0"/>
        <w:ind w:hanging="360"/>
      </w:pPr>
      <w:r>
        <w:t xml:space="preserve">Educational or host organization policies </w:t>
      </w:r>
      <w:r>
        <w:rPr>
          <w:i/>
        </w:rPr>
        <w:t xml:space="preserve">(to be covered by </w:t>
      </w:r>
      <w:proofErr w:type="gramStart"/>
      <w:r>
        <w:rPr>
          <w:i/>
        </w:rPr>
        <w:t>College</w:t>
      </w:r>
      <w:proofErr w:type="gramEnd"/>
      <w:r>
        <w:rPr>
          <w:i/>
        </w:rPr>
        <w:t xml:space="preserve"> or host organization) </w:t>
      </w:r>
    </w:p>
    <w:p w14:paraId="4E4CC02D" w14:textId="77777777" w:rsidR="00DB4AC9" w:rsidRDefault="00DB4AC9" w:rsidP="00DB4AC9">
      <w:pPr>
        <w:numPr>
          <w:ilvl w:val="1"/>
          <w:numId w:val="7"/>
        </w:numPr>
        <w:spacing w:after="0"/>
        <w:ind w:hanging="360"/>
      </w:pPr>
      <w:r>
        <w:t xml:space="preserve">Introduction to core competencies </w:t>
      </w:r>
    </w:p>
    <w:p w14:paraId="71755B08" w14:textId="77777777" w:rsidR="00DB4AC9" w:rsidRDefault="00DB4AC9" w:rsidP="00DB4AC9">
      <w:pPr>
        <w:spacing w:after="0"/>
      </w:pPr>
    </w:p>
    <w:p w14:paraId="3E323632" w14:textId="77777777" w:rsidR="00DB4AC9" w:rsidRDefault="00DB4AC9" w:rsidP="00DB4AC9">
      <w:pPr>
        <w:spacing w:after="0"/>
      </w:pPr>
    </w:p>
    <w:p w14:paraId="2755F269" w14:textId="77777777" w:rsidR="00DB4AC9" w:rsidRDefault="00DB4AC9" w:rsidP="00DB4AC9">
      <w:pPr>
        <w:spacing w:after="0"/>
      </w:pPr>
    </w:p>
    <w:p w14:paraId="27415C3F" w14:textId="77777777" w:rsidR="00DB4AC9" w:rsidRDefault="00DB4AC9" w:rsidP="00DB4AC9">
      <w:r>
        <w:br w:type="page"/>
      </w:r>
    </w:p>
    <w:p w14:paraId="117C95E9" w14:textId="77777777" w:rsidR="00DB4AC9" w:rsidRDefault="00DB4AC9" w:rsidP="00DB4AC9">
      <w:pPr>
        <w:widowControl w:val="0"/>
        <w:spacing w:after="0" w:line="276" w:lineRule="auto"/>
      </w:pPr>
    </w:p>
    <w:p w14:paraId="738FC7E2" w14:textId="77777777" w:rsidR="00DB4AC9" w:rsidRDefault="00DB4AC9" w:rsidP="00DB4AC9">
      <w:pPr>
        <w:spacing w:after="0"/>
      </w:pPr>
    </w:p>
    <w:p w14:paraId="6DF42ACD" w14:textId="77777777" w:rsidR="00DB4AC9" w:rsidRDefault="00DB4AC9" w:rsidP="00DB4AC9">
      <w:pPr>
        <w:pStyle w:val="Heading1"/>
      </w:pPr>
      <w:bookmarkStart w:id="226" w:name="_3pp52gy" w:colFirst="0" w:colLast="0"/>
      <w:bookmarkEnd w:id="226"/>
      <w:r>
        <w:t>Appendix 2 – Neoserra Manual</w:t>
      </w:r>
    </w:p>
    <w:p w14:paraId="4B1AE47F" w14:textId="77777777" w:rsidR="00DB4AC9" w:rsidRDefault="00DB4AC9" w:rsidP="00DB4AC9">
      <w:pPr>
        <w:spacing w:after="0"/>
      </w:pPr>
    </w:p>
    <w:tbl>
      <w:tblPr>
        <w:tblW w:w="0" w:type="auto"/>
        <w:tblInd w:w="-216" w:type="dxa"/>
        <w:tblLayout w:type="fixed"/>
        <w:tblCellMar>
          <w:top w:w="216" w:type="dxa"/>
          <w:left w:w="216" w:type="dxa"/>
          <w:bottom w:w="216" w:type="dxa"/>
          <w:right w:w="216" w:type="dxa"/>
        </w:tblCellMar>
        <w:tblLook w:val="0400" w:firstRow="0" w:lastRow="0" w:firstColumn="0" w:lastColumn="0" w:noHBand="0" w:noVBand="1"/>
      </w:tblPr>
      <w:tblGrid>
        <w:gridCol w:w="3120"/>
        <w:gridCol w:w="3120"/>
        <w:gridCol w:w="3120"/>
      </w:tblGrid>
      <w:tr w:rsidR="00DB4AC9" w14:paraId="54668E3A" w14:textId="77777777" w:rsidTr="00AD6AC8">
        <w:tc>
          <w:tcPr>
            <w:tcW w:w="3120" w:type="dxa"/>
            <w:tcBorders>
              <w:bottom w:val="single" w:sz="18" w:space="0" w:color="808080"/>
              <w:right w:val="single" w:sz="18" w:space="0" w:color="808080"/>
            </w:tcBorders>
            <w:vAlign w:val="center"/>
          </w:tcPr>
          <w:p w14:paraId="61BCB6E0" w14:textId="77777777" w:rsidR="00DB4AC9" w:rsidRDefault="00DB4AC9" w:rsidP="00AD6AC8">
            <w:pPr>
              <w:spacing w:after="0"/>
            </w:pPr>
            <w:r>
              <w:rPr>
                <w:rFonts w:ascii="Cambria" w:eastAsia="Cambria" w:hAnsi="Cambria" w:cs="Cambria"/>
                <w:sz w:val="76"/>
                <w:szCs w:val="76"/>
              </w:rPr>
              <w:t>Neoserra</w:t>
            </w:r>
          </w:p>
          <w:p w14:paraId="1FC087F1" w14:textId="77777777" w:rsidR="00DB4AC9" w:rsidRDefault="00DB4AC9" w:rsidP="00AD6AC8">
            <w:pPr>
              <w:spacing w:after="0"/>
            </w:pPr>
            <w:r>
              <w:rPr>
                <w:rFonts w:ascii="Cambria" w:eastAsia="Cambria" w:hAnsi="Cambria" w:cs="Cambria"/>
                <w:b/>
                <w:sz w:val="56"/>
                <w:szCs w:val="56"/>
              </w:rPr>
              <w:t>Training Manual</w:t>
            </w:r>
          </w:p>
        </w:tc>
        <w:tc>
          <w:tcPr>
            <w:tcW w:w="6240" w:type="dxa"/>
            <w:gridSpan w:val="2"/>
            <w:tcBorders>
              <w:left w:val="single" w:sz="18" w:space="0" w:color="808080"/>
              <w:bottom w:val="single" w:sz="18" w:space="0" w:color="808080"/>
            </w:tcBorders>
            <w:vAlign w:val="center"/>
          </w:tcPr>
          <w:p w14:paraId="382BF6DA" w14:textId="77777777" w:rsidR="00DB4AC9" w:rsidRDefault="00DB4AC9" w:rsidP="00AD6AC8">
            <w:pPr>
              <w:spacing w:after="0"/>
            </w:pPr>
            <w:r>
              <w:rPr>
                <w:rFonts w:ascii="Cambria" w:eastAsia="Cambria" w:hAnsi="Cambria" w:cs="Cambria"/>
                <w:sz w:val="24"/>
                <w:szCs w:val="24"/>
              </w:rPr>
              <w:t>Last Updated: May 9</w:t>
            </w:r>
          </w:p>
          <w:p w14:paraId="09A9DBEB" w14:textId="77777777" w:rsidR="00DB4AC9" w:rsidRDefault="00DB4AC9" w:rsidP="00AD6AC8">
            <w:pPr>
              <w:spacing w:after="0"/>
            </w:pPr>
            <w:r>
              <w:rPr>
                <w:color w:val="D11242"/>
                <w:sz w:val="200"/>
                <w:szCs w:val="200"/>
              </w:rPr>
              <w:t>2014</w:t>
            </w:r>
          </w:p>
        </w:tc>
      </w:tr>
      <w:tr w:rsidR="00DB4AC9" w14:paraId="264F5C11" w14:textId="77777777" w:rsidTr="00AD6AC8">
        <w:tc>
          <w:tcPr>
            <w:tcW w:w="6240" w:type="dxa"/>
            <w:gridSpan w:val="2"/>
            <w:tcBorders>
              <w:top w:val="single" w:sz="18" w:space="0" w:color="808080"/>
            </w:tcBorders>
            <w:vAlign w:val="center"/>
          </w:tcPr>
          <w:p w14:paraId="7D6B2853" w14:textId="77777777" w:rsidR="00DB4AC9" w:rsidRDefault="00DB4AC9" w:rsidP="00AD6AC8">
            <w:pPr>
              <w:spacing w:after="0"/>
            </w:pPr>
            <w:r>
              <w:t xml:space="preserve">A guide to the navigation and entry of client information and history within Neoserra. All staff and consultants of </w:t>
            </w:r>
            <w:proofErr w:type="gramStart"/>
            <w:r>
              <w:t>the Minnesota</w:t>
            </w:r>
            <w:proofErr w:type="gramEnd"/>
            <w:r>
              <w:t xml:space="preserve"> SBDC should be familiar with this management information system and should use all diligence to ensure that the information entered is accurate, timely and meets the highest of standards.</w:t>
            </w:r>
          </w:p>
        </w:tc>
        <w:tc>
          <w:tcPr>
            <w:tcW w:w="3120" w:type="dxa"/>
            <w:tcBorders>
              <w:top w:val="single" w:sz="18" w:space="0" w:color="808080"/>
            </w:tcBorders>
            <w:vAlign w:val="center"/>
          </w:tcPr>
          <w:p w14:paraId="12F6EF84" w14:textId="77777777" w:rsidR="00DB4AC9" w:rsidRDefault="00DB4AC9" w:rsidP="00AD6AC8">
            <w:pPr>
              <w:spacing w:after="0"/>
            </w:pPr>
            <w:r>
              <w:rPr>
                <w:rFonts w:ascii="Cambria" w:eastAsia="Cambria" w:hAnsi="Cambria" w:cs="Cambria"/>
                <w:sz w:val="36"/>
                <w:szCs w:val="36"/>
              </w:rPr>
              <w:t>Guide to Navigating and Entering Information into Neoserra</w:t>
            </w:r>
          </w:p>
        </w:tc>
      </w:tr>
    </w:tbl>
    <w:p w14:paraId="4D8BCC18" w14:textId="77777777" w:rsidR="00DB4AC9" w:rsidRDefault="00DB4AC9" w:rsidP="00DB4AC9">
      <w:pPr>
        <w:keepNext/>
        <w:spacing w:after="180"/>
      </w:pPr>
    </w:p>
    <w:p w14:paraId="07219F58" w14:textId="77777777" w:rsidR="00DB4AC9" w:rsidRDefault="00DB4AC9" w:rsidP="00DB4AC9">
      <w:pPr>
        <w:keepNext/>
        <w:spacing w:after="180"/>
      </w:pPr>
    </w:p>
    <w:p w14:paraId="2FEAB8A7" w14:textId="77777777" w:rsidR="00DB4AC9" w:rsidRDefault="00DB4AC9" w:rsidP="00DB4AC9">
      <w:pPr>
        <w:keepNext/>
        <w:spacing w:after="180"/>
      </w:pPr>
    </w:p>
    <w:p w14:paraId="5ABAB5A9" w14:textId="77777777" w:rsidR="00DB4AC9" w:rsidRDefault="00DB4AC9" w:rsidP="00DB4AC9">
      <w:pPr>
        <w:spacing w:after="0"/>
      </w:pPr>
      <w:r>
        <w:rPr>
          <w:noProof/>
        </w:rPr>
        <w:drawing>
          <wp:inline distT="0" distB="0" distL="0" distR="0" wp14:anchorId="4BA9169C" wp14:editId="30D53D4F">
            <wp:extent cx="2466975" cy="1457325"/>
            <wp:effectExtent l="0" t="0" r="0" b="0"/>
            <wp:docPr id="3" name="image05.png" descr="MnSBDC_Logo_2013"/>
            <wp:cNvGraphicFramePr/>
            <a:graphic xmlns:a="http://schemas.openxmlformats.org/drawingml/2006/main">
              <a:graphicData uri="http://schemas.openxmlformats.org/drawingml/2006/picture">
                <pic:pic xmlns:pic="http://schemas.openxmlformats.org/drawingml/2006/picture">
                  <pic:nvPicPr>
                    <pic:cNvPr id="0" name="image05.png" descr="MnSBDC_Logo_2013"/>
                    <pic:cNvPicPr preferRelativeResize="0"/>
                  </pic:nvPicPr>
                  <pic:blipFill>
                    <a:blip r:embed="rId18"/>
                    <a:srcRect/>
                    <a:stretch>
                      <a:fillRect/>
                    </a:stretch>
                  </pic:blipFill>
                  <pic:spPr>
                    <a:xfrm>
                      <a:off x="0" y="0"/>
                      <a:ext cx="2466975" cy="1457325"/>
                    </a:xfrm>
                    <a:prstGeom prst="rect">
                      <a:avLst/>
                    </a:prstGeom>
                    <a:ln/>
                  </pic:spPr>
                </pic:pic>
              </a:graphicData>
            </a:graphic>
          </wp:inline>
        </w:drawing>
      </w:r>
    </w:p>
    <w:p w14:paraId="47D7E9D0" w14:textId="77777777" w:rsidR="00DB4AC9" w:rsidRDefault="00DB4AC9" w:rsidP="00DB4AC9">
      <w:pPr>
        <w:spacing w:after="0"/>
      </w:pPr>
    </w:p>
    <w:p w14:paraId="4131AD19" w14:textId="77777777" w:rsidR="00DB4AC9" w:rsidRDefault="00DB4AC9" w:rsidP="00DB4AC9">
      <w:r>
        <w:br w:type="page"/>
      </w:r>
    </w:p>
    <w:p w14:paraId="29CA7E70" w14:textId="77777777" w:rsidR="00DB4AC9" w:rsidRDefault="00DB4AC9" w:rsidP="00DB4AC9">
      <w:pPr>
        <w:keepNext/>
        <w:spacing w:after="180"/>
      </w:pPr>
    </w:p>
    <w:p w14:paraId="586146CF" w14:textId="77777777" w:rsidR="00DB4AC9" w:rsidRDefault="00DB4AC9" w:rsidP="00DB4AC9">
      <w:pPr>
        <w:tabs>
          <w:tab w:val="right" w:pos="9720"/>
        </w:tabs>
        <w:spacing w:before="120"/>
      </w:pPr>
    </w:p>
    <w:p w14:paraId="26E64EEA" w14:textId="77777777" w:rsidR="00DB4AC9" w:rsidRDefault="00DB4AC9" w:rsidP="00DB4AC9">
      <w:pPr>
        <w:tabs>
          <w:tab w:val="right" w:pos="9720"/>
        </w:tabs>
        <w:spacing w:before="120"/>
      </w:pPr>
      <w:r>
        <w:rPr>
          <w:b/>
          <w:smallCaps/>
          <w:color w:val="0000FF"/>
          <w:sz w:val="20"/>
          <w:szCs w:val="20"/>
          <w:u w:val="single"/>
        </w:rPr>
        <w:t>NEOSERRA BASICS</w:t>
      </w:r>
      <w:r>
        <w:rPr>
          <w:b/>
          <w:smallCaps/>
          <w:sz w:val="20"/>
          <w:szCs w:val="20"/>
        </w:rPr>
        <w:tab/>
      </w:r>
    </w:p>
    <w:p w14:paraId="6C6E2712" w14:textId="77777777" w:rsidR="00DB4AC9" w:rsidRDefault="00DB4AC9" w:rsidP="00DB4AC9">
      <w:pPr>
        <w:tabs>
          <w:tab w:val="right" w:pos="9720"/>
        </w:tabs>
        <w:spacing w:after="0"/>
        <w:ind w:left="240"/>
      </w:pPr>
      <w:r>
        <w:rPr>
          <w:smallCaps/>
          <w:color w:val="0000FF"/>
          <w:sz w:val="20"/>
          <w:szCs w:val="20"/>
          <w:u w:val="single"/>
        </w:rPr>
        <w:t>About Neoserra</w:t>
      </w:r>
      <w:r>
        <w:rPr>
          <w:smallCaps/>
          <w:sz w:val="20"/>
          <w:szCs w:val="20"/>
        </w:rPr>
        <w:tab/>
      </w:r>
    </w:p>
    <w:p w14:paraId="58DDC2FE" w14:textId="77777777" w:rsidR="00DB4AC9" w:rsidRDefault="00DB4AC9" w:rsidP="00DB4AC9">
      <w:pPr>
        <w:tabs>
          <w:tab w:val="right" w:pos="9720"/>
        </w:tabs>
        <w:spacing w:after="0"/>
        <w:ind w:left="240"/>
      </w:pPr>
      <w:r>
        <w:rPr>
          <w:smallCaps/>
          <w:color w:val="0000FF"/>
          <w:sz w:val="20"/>
          <w:szCs w:val="20"/>
          <w:u w:val="single"/>
        </w:rPr>
        <w:t>Obtaining User-name and Password</w:t>
      </w:r>
      <w:r>
        <w:rPr>
          <w:smallCaps/>
          <w:sz w:val="20"/>
          <w:szCs w:val="20"/>
        </w:rPr>
        <w:tab/>
      </w:r>
    </w:p>
    <w:p w14:paraId="4E8E6204" w14:textId="77777777" w:rsidR="00DB4AC9" w:rsidRDefault="00DB4AC9" w:rsidP="00DB4AC9">
      <w:pPr>
        <w:tabs>
          <w:tab w:val="right" w:pos="9720"/>
        </w:tabs>
        <w:spacing w:after="0"/>
        <w:ind w:left="240"/>
      </w:pPr>
      <w:r>
        <w:rPr>
          <w:smallCaps/>
          <w:color w:val="0000FF"/>
          <w:sz w:val="20"/>
          <w:szCs w:val="20"/>
          <w:u w:val="single"/>
        </w:rPr>
        <w:t>User Permissions</w:t>
      </w:r>
      <w:r>
        <w:rPr>
          <w:smallCaps/>
          <w:sz w:val="20"/>
          <w:szCs w:val="20"/>
        </w:rPr>
        <w:tab/>
      </w:r>
    </w:p>
    <w:p w14:paraId="475301D4" w14:textId="77777777" w:rsidR="00DB4AC9" w:rsidRDefault="00DB4AC9" w:rsidP="00DB4AC9">
      <w:pPr>
        <w:tabs>
          <w:tab w:val="right" w:pos="9720"/>
        </w:tabs>
        <w:spacing w:after="0"/>
        <w:ind w:left="240"/>
      </w:pPr>
      <w:r>
        <w:rPr>
          <w:smallCaps/>
          <w:color w:val="0000FF"/>
          <w:sz w:val="20"/>
          <w:szCs w:val="20"/>
          <w:u w:val="single"/>
        </w:rPr>
        <w:t>Changing Your Password and Account Preferences</w:t>
      </w:r>
      <w:r>
        <w:rPr>
          <w:smallCaps/>
          <w:sz w:val="20"/>
          <w:szCs w:val="20"/>
        </w:rPr>
        <w:tab/>
      </w:r>
    </w:p>
    <w:p w14:paraId="5679FBB4" w14:textId="77777777" w:rsidR="00DB4AC9" w:rsidRDefault="00DB4AC9" w:rsidP="00DB4AC9">
      <w:pPr>
        <w:tabs>
          <w:tab w:val="right" w:pos="9720"/>
        </w:tabs>
        <w:spacing w:after="0"/>
        <w:ind w:left="240"/>
      </w:pPr>
      <w:r>
        <w:rPr>
          <w:smallCaps/>
          <w:color w:val="0000FF"/>
          <w:sz w:val="20"/>
          <w:szCs w:val="20"/>
          <w:u w:val="single"/>
        </w:rPr>
        <w:t>Resetting Your Password</w:t>
      </w:r>
      <w:r>
        <w:rPr>
          <w:smallCaps/>
          <w:sz w:val="20"/>
          <w:szCs w:val="20"/>
        </w:rPr>
        <w:tab/>
      </w:r>
    </w:p>
    <w:p w14:paraId="20BA127E" w14:textId="77777777" w:rsidR="00DB4AC9" w:rsidRDefault="00DB4AC9" w:rsidP="00DB4AC9">
      <w:pPr>
        <w:tabs>
          <w:tab w:val="right" w:pos="9720"/>
        </w:tabs>
        <w:spacing w:after="0"/>
        <w:ind w:left="240"/>
      </w:pPr>
      <w:r>
        <w:rPr>
          <w:smallCaps/>
          <w:color w:val="0000FF"/>
          <w:sz w:val="20"/>
          <w:szCs w:val="20"/>
          <w:u w:val="single"/>
        </w:rPr>
        <w:t>Logging Off</w:t>
      </w:r>
      <w:r>
        <w:rPr>
          <w:smallCaps/>
          <w:sz w:val="20"/>
          <w:szCs w:val="20"/>
        </w:rPr>
        <w:tab/>
      </w:r>
    </w:p>
    <w:p w14:paraId="1D64270B" w14:textId="77777777" w:rsidR="00DB4AC9" w:rsidRDefault="00DB4AC9" w:rsidP="00DB4AC9">
      <w:pPr>
        <w:tabs>
          <w:tab w:val="right" w:pos="9720"/>
        </w:tabs>
        <w:spacing w:before="120"/>
      </w:pPr>
      <w:r>
        <w:rPr>
          <w:b/>
          <w:smallCaps/>
          <w:color w:val="0000FF"/>
          <w:sz w:val="20"/>
          <w:szCs w:val="20"/>
          <w:u w:val="single"/>
        </w:rPr>
        <w:t>ECENTER</w:t>
      </w:r>
      <w:r>
        <w:rPr>
          <w:b/>
          <w:smallCaps/>
          <w:sz w:val="20"/>
          <w:szCs w:val="20"/>
        </w:rPr>
        <w:tab/>
      </w:r>
    </w:p>
    <w:p w14:paraId="263A9E79" w14:textId="77777777" w:rsidR="00DB4AC9" w:rsidRDefault="00DB4AC9" w:rsidP="00DB4AC9">
      <w:pPr>
        <w:tabs>
          <w:tab w:val="right" w:pos="9720"/>
        </w:tabs>
        <w:spacing w:after="0"/>
        <w:ind w:left="240"/>
      </w:pPr>
      <w:r>
        <w:rPr>
          <w:smallCaps/>
          <w:color w:val="0000FF"/>
          <w:sz w:val="20"/>
          <w:szCs w:val="20"/>
          <w:u w:val="single"/>
        </w:rPr>
        <w:t>eCenter New Client Sign-up</w:t>
      </w:r>
      <w:r>
        <w:rPr>
          <w:smallCaps/>
          <w:sz w:val="20"/>
          <w:szCs w:val="20"/>
        </w:rPr>
        <w:tab/>
      </w:r>
    </w:p>
    <w:p w14:paraId="31DE5AC1" w14:textId="77777777" w:rsidR="00DB4AC9" w:rsidRDefault="00DB4AC9" w:rsidP="00DB4AC9">
      <w:pPr>
        <w:tabs>
          <w:tab w:val="right" w:pos="9720"/>
        </w:tabs>
        <w:spacing w:after="0"/>
        <w:ind w:left="240"/>
      </w:pPr>
      <w:r>
        <w:rPr>
          <w:smallCaps/>
          <w:color w:val="0000FF"/>
          <w:sz w:val="20"/>
          <w:szCs w:val="20"/>
          <w:u w:val="single"/>
        </w:rPr>
        <w:t>Processing an eCenter Request</w:t>
      </w:r>
      <w:r>
        <w:rPr>
          <w:smallCaps/>
          <w:sz w:val="20"/>
          <w:szCs w:val="20"/>
        </w:rPr>
        <w:tab/>
      </w:r>
    </w:p>
    <w:p w14:paraId="3A4C6CF0" w14:textId="77777777" w:rsidR="00DB4AC9" w:rsidRDefault="00DB4AC9" w:rsidP="00DB4AC9">
      <w:pPr>
        <w:tabs>
          <w:tab w:val="right" w:pos="9720"/>
        </w:tabs>
        <w:spacing w:before="120"/>
      </w:pPr>
      <w:r>
        <w:rPr>
          <w:b/>
          <w:smallCaps/>
          <w:color w:val="0000FF"/>
          <w:sz w:val="20"/>
          <w:szCs w:val="20"/>
          <w:u w:val="single"/>
        </w:rPr>
        <w:t>SEARCHING FOR A CLIENT RECORD</w:t>
      </w:r>
      <w:r>
        <w:rPr>
          <w:b/>
          <w:smallCaps/>
          <w:sz w:val="20"/>
          <w:szCs w:val="20"/>
        </w:rPr>
        <w:tab/>
      </w:r>
    </w:p>
    <w:p w14:paraId="20FC1053" w14:textId="77777777" w:rsidR="00DB4AC9" w:rsidRDefault="00DB4AC9" w:rsidP="00DB4AC9">
      <w:pPr>
        <w:tabs>
          <w:tab w:val="right" w:pos="9720"/>
        </w:tabs>
        <w:spacing w:after="0"/>
        <w:ind w:left="240"/>
      </w:pPr>
      <w:r>
        <w:rPr>
          <w:smallCaps/>
          <w:color w:val="0000FF"/>
          <w:sz w:val="20"/>
          <w:szCs w:val="20"/>
          <w:u w:val="single"/>
        </w:rPr>
        <w:t>Client Search</w:t>
      </w:r>
      <w:r>
        <w:rPr>
          <w:smallCaps/>
          <w:sz w:val="20"/>
          <w:szCs w:val="20"/>
        </w:rPr>
        <w:tab/>
      </w:r>
    </w:p>
    <w:p w14:paraId="010B1187" w14:textId="77777777" w:rsidR="00DB4AC9" w:rsidRDefault="00DB4AC9" w:rsidP="00DB4AC9">
      <w:pPr>
        <w:tabs>
          <w:tab w:val="right" w:pos="9720"/>
        </w:tabs>
        <w:spacing w:after="0"/>
        <w:ind w:left="240"/>
      </w:pPr>
      <w:r>
        <w:rPr>
          <w:smallCaps/>
          <w:color w:val="0000FF"/>
          <w:sz w:val="20"/>
          <w:szCs w:val="20"/>
          <w:u w:val="single"/>
        </w:rPr>
        <w:t>Client/Pre-client List</w:t>
      </w:r>
      <w:r>
        <w:rPr>
          <w:smallCaps/>
          <w:sz w:val="20"/>
          <w:szCs w:val="20"/>
        </w:rPr>
        <w:tab/>
      </w:r>
    </w:p>
    <w:p w14:paraId="20AC2590" w14:textId="77777777" w:rsidR="00DB4AC9" w:rsidRDefault="00DB4AC9" w:rsidP="00DB4AC9">
      <w:pPr>
        <w:tabs>
          <w:tab w:val="right" w:pos="9720"/>
        </w:tabs>
        <w:spacing w:before="120"/>
      </w:pPr>
      <w:r>
        <w:rPr>
          <w:b/>
          <w:smallCaps/>
          <w:color w:val="0000FF"/>
          <w:sz w:val="20"/>
          <w:szCs w:val="20"/>
          <w:u w:val="single"/>
        </w:rPr>
        <w:t>CLIENT DETAILS</w:t>
      </w:r>
      <w:r>
        <w:rPr>
          <w:b/>
          <w:smallCaps/>
          <w:sz w:val="20"/>
          <w:szCs w:val="20"/>
        </w:rPr>
        <w:tab/>
      </w:r>
    </w:p>
    <w:p w14:paraId="0729BDAA" w14:textId="77777777" w:rsidR="00DB4AC9" w:rsidRDefault="00DB4AC9" w:rsidP="00DB4AC9">
      <w:pPr>
        <w:tabs>
          <w:tab w:val="right" w:pos="9720"/>
        </w:tabs>
        <w:spacing w:before="120"/>
      </w:pPr>
      <w:r>
        <w:rPr>
          <w:b/>
          <w:smallCaps/>
          <w:color w:val="0000FF"/>
          <w:sz w:val="20"/>
          <w:szCs w:val="20"/>
          <w:u w:val="single"/>
        </w:rPr>
        <w:t>ACTIVITY RECORDS</w:t>
      </w:r>
      <w:r>
        <w:rPr>
          <w:b/>
          <w:smallCaps/>
          <w:sz w:val="20"/>
          <w:szCs w:val="20"/>
        </w:rPr>
        <w:tab/>
      </w:r>
    </w:p>
    <w:p w14:paraId="675DD226" w14:textId="77777777" w:rsidR="00DB4AC9" w:rsidRDefault="00DB4AC9" w:rsidP="00DB4AC9">
      <w:pPr>
        <w:tabs>
          <w:tab w:val="right" w:pos="9720"/>
        </w:tabs>
        <w:spacing w:after="0"/>
        <w:ind w:left="240"/>
      </w:pPr>
      <w:r>
        <w:rPr>
          <w:smallCaps/>
          <w:color w:val="0000FF"/>
          <w:sz w:val="20"/>
          <w:szCs w:val="20"/>
          <w:u w:val="single"/>
        </w:rPr>
        <w:t>Adding an Activity (Consulting Sessions, Milestones, Capital Funding, and Awards)</w:t>
      </w:r>
      <w:r>
        <w:rPr>
          <w:smallCaps/>
          <w:sz w:val="20"/>
          <w:szCs w:val="20"/>
        </w:rPr>
        <w:tab/>
      </w:r>
    </w:p>
    <w:p w14:paraId="1553E485" w14:textId="77777777" w:rsidR="00DB4AC9" w:rsidRDefault="00DB4AC9" w:rsidP="00DB4AC9">
      <w:pPr>
        <w:tabs>
          <w:tab w:val="right" w:pos="9720"/>
        </w:tabs>
        <w:spacing w:after="0"/>
        <w:ind w:left="240"/>
      </w:pPr>
      <w:r>
        <w:rPr>
          <w:smallCaps/>
          <w:color w:val="0000FF"/>
          <w:sz w:val="20"/>
          <w:szCs w:val="20"/>
          <w:u w:val="single"/>
        </w:rPr>
        <w:t>Counseling/Consulting</w:t>
      </w:r>
      <w:r>
        <w:rPr>
          <w:smallCaps/>
          <w:sz w:val="20"/>
          <w:szCs w:val="20"/>
        </w:rPr>
        <w:tab/>
      </w:r>
    </w:p>
    <w:p w14:paraId="4E7282E7" w14:textId="77777777" w:rsidR="00DB4AC9" w:rsidRDefault="00DB4AC9" w:rsidP="00DB4AC9">
      <w:pPr>
        <w:tabs>
          <w:tab w:val="right" w:pos="9720"/>
        </w:tabs>
        <w:spacing w:after="0"/>
        <w:ind w:left="240"/>
      </w:pPr>
      <w:r>
        <w:rPr>
          <w:smallCaps/>
          <w:color w:val="0000FF"/>
          <w:sz w:val="20"/>
          <w:szCs w:val="20"/>
          <w:u w:val="single"/>
        </w:rPr>
        <w:t>Capital Funding (Investments)</w:t>
      </w:r>
      <w:r>
        <w:rPr>
          <w:smallCaps/>
          <w:sz w:val="20"/>
          <w:szCs w:val="20"/>
        </w:rPr>
        <w:tab/>
      </w:r>
    </w:p>
    <w:p w14:paraId="1A14C7CA" w14:textId="77777777" w:rsidR="00DB4AC9" w:rsidRDefault="00DB4AC9" w:rsidP="00DB4AC9">
      <w:pPr>
        <w:tabs>
          <w:tab w:val="right" w:pos="9720"/>
        </w:tabs>
        <w:spacing w:after="0"/>
        <w:ind w:left="240"/>
      </w:pPr>
      <w:r>
        <w:rPr>
          <w:smallCaps/>
          <w:color w:val="0000FF"/>
          <w:sz w:val="20"/>
          <w:szCs w:val="20"/>
          <w:u w:val="single"/>
        </w:rPr>
        <w:t>Awards</w:t>
      </w:r>
      <w:r>
        <w:rPr>
          <w:smallCaps/>
          <w:sz w:val="20"/>
          <w:szCs w:val="20"/>
        </w:rPr>
        <w:tab/>
      </w:r>
    </w:p>
    <w:p w14:paraId="2A414B21" w14:textId="77777777" w:rsidR="00DB4AC9" w:rsidRDefault="00DB4AC9" w:rsidP="00DB4AC9">
      <w:pPr>
        <w:tabs>
          <w:tab w:val="right" w:pos="9720"/>
        </w:tabs>
        <w:spacing w:after="0"/>
        <w:ind w:left="240"/>
      </w:pPr>
      <w:r>
        <w:rPr>
          <w:smallCaps/>
          <w:color w:val="0000FF"/>
          <w:sz w:val="20"/>
          <w:szCs w:val="20"/>
          <w:u w:val="single"/>
        </w:rPr>
        <w:t>Milestones</w:t>
      </w:r>
      <w:r>
        <w:rPr>
          <w:smallCaps/>
          <w:sz w:val="20"/>
          <w:szCs w:val="20"/>
        </w:rPr>
        <w:tab/>
      </w:r>
    </w:p>
    <w:p w14:paraId="25EBF40D" w14:textId="77777777" w:rsidR="00DB4AC9" w:rsidRDefault="00DB4AC9" w:rsidP="00DB4AC9">
      <w:pPr>
        <w:tabs>
          <w:tab w:val="right" w:pos="9720"/>
        </w:tabs>
        <w:spacing w:before="120"/>
      </w:pPr>
      <w:r>
        <w:rPr>
          <w:b/>
          <w:smallCaps/>
          <w:color w:val="0000FF"/>
          <w:sz w:val="20"/>
          <w:szCs w:val="20"/>
          <w:u w:val="single"/>
        </w:rPr>
        <w:t>CONSULTANT REPORTS</w:t>
      </w:r>
      <w:r>
        <w:rPr>
          <w:b/>
          <w:smallCaps/>
          <w:sz w:val="20"/>
          <w:szCs w:val="20"/>
        </w:rPr>
        <w:tab/>
      </w:r>
    </w:p>
    <w:p w14:paraId="67FE6000" w14:textId="77777777" w:rsidR="00DB4AC9" w:rsidRDefault="00DB4AC9" w:rsidP="00DB4AC9">
      <w:pPr>
        <w:tabs>
          <w:tab w:val="right" w:pos="9720"/>
        </w:tabs>
        <w:spacing w:before="120"/>
      </w:pPr>
      <w:r>
        <w:rPr>
          <w:b/>
          <w:smallCaps/>
          <w:color w:val="0000FF"/>
          <w:sz w:val="20"/>
          <w:szCs w:val="20"/>
          <w:u w:val="single"/>
        </w:rPr>
        <w:t>FIELD CHARTS</w:t>
      </w:r>
      <w:r>
        <w:rPr>
          <w:b/>
          <w:smallCaps/>
          <w:sz w:val="20"/>
          <w:szCs w:val="20"/>
        </w:rPr>
        <w:tab/>
      </w:r>
    </w:p>
    <w:p w14:paraId="24B5D291" w14:textId="77777777" w:rsidR="00DB4AC9" w:rsidRDefault="00DB4AC9" w:rsidP="00DB4AC9">
      <w:pPr>
        <w:tabs>
          <w:tab w:val="right" w:pos="9720"/>
        </w:tabs>
        <w:spacing w:after="0"/>
        <w:ind w:left="240"/>
      </w:pPr>
      <w:r>
        <w:rPr>
          <w:smallCaps/>
          <w:color w:val="0000FF"/>
          <w:sz w:val="20"/>
          <w:szCs w:val="20"/>
          <w:u w:val="single"/>
        </w:rPr>
        <w:t>Client Field Definitions</w:t>
      </w:r>
      <w:r>
        <w:rPr>
          <w:smallCaps/>
          <w:sz w:val="20"/>
          <w:szCs w:val="20"/>
        </w:rPr>
        <w:tab/>
      </w:r>
    </w:p>
    <w:p w14:paraId="6E5BD419" w14:textId="77777777" w:rsidR="00DB4AC9" w:rsidRDefault="00DB4AC9" w:rsidP="00DB4AC9">
      <w:pPr>
        <w:tabs>
          <w:tab w:val="right" w:pos="9720"/>
        </w:tabs>
        <w:spacing w:after="0"/>
        <w:ind w:left="240"/>
      </w:pPr>
      <w:r>
        <w:rPr>
          <w:smallCaps/>
          <w:color w:val="0000FF"/>
          <w:sz w:val="20"/>
          <w:szCs w:val="20"/>
          <w:u w:val="single"/>
        </w:rPr>
        <w:t>Counseling Session Field Definitions</w:t>
      </w:r>
      <w:r>
        <w:rPr>
          <w:smallCaps/>
          <w:sz w:val="20"/>
          <w:szCs w:val="20"/>
        </w:rPr>
        <w:tab/>
      </w:r>
    </w:p>
    <w:p w14:paraId="53E4B19A" w14:textId="77777777" w:rsidR="00DB4AC9" w:rsidRDefault="00DB4AC9" w:rsidP="00DB4AC9">
      <w:pPr>
        <w:tabs>
          <w:tab w:val="right" w:pos="9720"/>
        </w:tabs>
        <w:spacing w:after="0"/>
        <w:ind w:left="240"/>
      </w:pPr>
      <w:r>
        <w:rPr>
          <w:smallCaps/>
          <w:color w:val="0000FF"/>
          <w:sz w:val="20"/>
          <w:szCs w:val="20"/>
          <w:u w:val="single"/>
        </w:rPr>
        <w:t>SBA Counseling Area Definitions</w:t>
      </w:r>
      <w:r>
        <w:rPr>
          <w:smallCaps/>
          <w:sz w:val="20"/>
          <w:szCs w:val="20"/>
        </w:rPr>
        <w:tab/>
      </w:r>
    </w:p>
    <w:p w14:paraId="077E37CA" w14:textId="77777777" w:rsidR="00DB4AC9" w:rsidRDefault="00DB4AC9" w:rsidP="00DB4AC9">
      <w:pPr>
        <w:tabs>
          <w:tab w:val="right" w:pos="9720"/>
        </w:tabs>
        <w:spacing w:after="0"/>
        <w:ind w:left="240"/>
      </w:pPr>
      <w:r>
        <w:rPr>
          <w:smallCaps/>
          <w:color w:val="0000FF"/>
          <w:sz w:val="20"/>
          <w:szCs w:val="20"/>
          <w:u w:val="single"/>
        </w:rPr>
        <w:t>Capital Funding (Investment) Field Definitions</w:t>
      </w:r>
      <w:r>
        <w:rPr>
          <w:smallCaps/>
          <w:sz w:val="20"/>
          <w:szCs w:val="20"/>
        </w:rPr>
        <w:tab/>
      </w:r>
    </w:p>
    <w:p w14:paraId="102F07DE" w14:textId="77777777" w:rsidR="00DB4AC9" w:rsidRDefault="00DB4AC9" w:rsidP="00DB4AC9">
      <w:pPr>
        <w:tabs>
          <w:tab w:val="right" w:pos="9720"/>
        </w:tabs>
        <w:spacing w:before="120"/>
      </w:pPr>
      <w:r>
        <w:rPr>
          <w:b/>
          <w:smallCaps/>
          <w:color w:val="0000FF"/>
          <w:sz w:val="20"/>
          <w:szCs w:val="20"/>
          <w:u w:val="single"/>
        </w:rPr>
        <w:t>EXAMPLES OF CLIENT NARRATIVE WRITE UPS</w:t>
      </w:r>
      <w:r>
        <w:rPr>
          <w:b/>
          <w:smallCaps/>
          <w:sz w:val="20"/>
          <w:szCs w:val="20"/>
        </w:rPr>
        <w:tab/>
      </w:r>
    </w:p>
    <w:p w14:paraId="774D8E10" w14:textId="77777777" w:rsidR="00DB4AC9" w:rsidRDefault="00DB4AC9" w:rsidP="00DB4AC9">
      <w:pPr>
        <w:tabs>
          <w:tab w:val="right" w:pos="9720"/>
        </w:tabs>
        <w:spacing w:after="0"/>
        <w:ind w:left="240"/>
      </w:pPr>
      <w:r>
        <w:rPr>
          <w:smallCaps/>
          <w:color w:val="0000FF"/>
          <w:sz w:val="20"/>
          <w:szCs w:val="20"/>
          <w:u w:val="single"/>
        </w:rPr>
        <w:t>Example of Financial Assistance Counseling</w:t>
      </w:r>
      <w:r>
        <w:rPr>
          <w:smallCaps/>
          <w:sz w:val="20"/>
          <w:szCs w:val="20"/>
        </w:rPr>
        <w:tab/>
      </w:r>
    </w:p>
    <w:p w14:paraId="754FE16A" w14:textId="77777777" w:rsidR="00DB4AC9" w:rsidRDefault="00DB4AC9" w:rsidP="00DB4AC9">
      <w:pPr>
        <w:tabs>
          <w:tab w:val="right" w:pos="9720"/>
        </w:tabs>
        <w:spacing w:after="0"/>
        <w:ind w:left="240"/>
      </w:pPr>
      <w:r>
        <w:rPr>
          <w:smallCaps/>
          <w:color w:val="0000FF"/>
          <w:sz w:val="20"/>
          <w:szCs w:val="20"/>
          <w:u w:val="single"/>
        </w:rPr>
        <w:t>Example of Marketing Assistance Counseling</w:t>
      </w:r>
      <w:r>
        <w:rPr>
          <w:smallCaps/>
          <w:sz w:val="20"/>
          <w:szCs w:val="20"/>
        </w:rPr>
        <w:tab/>
      </w:r>
    </w:p>
    <w:p w14:paraId="1487850A" w14:textId="77777777" w:rsidR="00DB4AC9" w:rsidRDefault="00DB4AC9" w:rsidP="00DB4AC9">
      <w:pPr>
        <w:tabs>
          <w:tab w:val="right" w:pos="9720"/>
        </w:tabs>
        <w:spacing w:after="0"/>
        <w:ind w:left="240"/>
      </w:pPr>
      <w:r>
        <w:rPr>
          <w:smallCaps/>
          <w:color w:val="0000FF"/>
          <w:sz w:val="20"/>
          <w:szCs w:val="20"/>
          <w:u w:val="single"/>
        </w:rPr>
        <w:t>Example of Business Start-Up Assistance Counseling</w:t>
      </w:r>
      <w:hyperlink w:anchor="_Toc387698733">
        <w:r>
          <w:rPr>
            <w:smallCaps/>
            <w:sz w:val="20"/>
            <w:szCs w:val="20"/>
          </w:rPr>
          <w:tab/>
        </w:r>
      </w:hyperlink>
    </w:p>
    <w:p w14:paraId="2E0788E8" w14:textId="77777777" w:rsidR="00DB4AC9" w:rsidRDefault="00DB4AC9" w:rsidP="00DB4AC9">
      <w:pPr>
        <w:spacing w:after="0"/>
      </w:pPr>
    </w:p>
    <w:p w14:paraId="721BEF90" w14:textId="77777777" w:rsidR="00DB4AC9" w:rsidRDefault="00DB4AC9" w:rsidP="00DB4AC9">
      <w:r>
        <w:br w:type="page"/>
      </w:r>
    </w:p>
    <w:p w14:paraId="34C26BDD" w14:textId="77777777" w:rsidR="00DB4AC9" w:rsidRDefault="00DB4AC9" w:rsidP="00DB4AC9">
      <w:pPr>
        <w:keepNext/>
        <w:spacing w:after="180"/>
        <w:jc w:val="both"/>
      </w:pPr>
      <w:bookmarkStart w:id="227" w:name="_24ufcor" w:colFirst="0" w:colLast="0"/>
      <w:bookmarkEnd w:id="227"/>
      <w:r>
        <w:rPr>
          <w:b/>
          <w:sz w:val="32"/>
          <w:szCs w:val="32"/>
        </w:rPr>
        <w:lastRenderedPageBreak/>
        <w:t>Neoserra Basics</w:t>
      </w:r>
    </w:p>
    <w:p w14:paraId="21B0BD33" w14:textId="77777777" w:rsidR="00DB4AC9" w:rsidRDefault="00DB4AC9" w:rsidP="00DB4AC9">
      <w:pPr>
        <w:keepNext/>
        <w:spacing w:before="240"/>
        <w:jc w:val="both"/>
      </w:pPr>
      <w:bookmarkStart w:id="228" w:name="_jzpmwk" w:colFirst="0" w:colLast="0"/>
      <w:bookmarkEnd w:id="228"/>
      <w:r>
        <w:rPr>
          <w:rFonts w:ascii="Arial" w:eastAsia="Arial" w:hAnsi="Arial" w:cs="Arial"/>
          <w:b/>
          <w:sz w:val="24"/>
          <w:szCs w:val="24"/>
        </w:rPr>
        <w:t>About Neoserra</w:t>
      </w:r>
    </w:p>
    <w:p w14:paraId="1457250C" w14:textId="77777777" w:rsidR="00DB4AC9" w:rsidRDefault="00DB4AC9" w:rsidP="00DB4AC9">
      <w:pPr>
        <w:jc w:val="both"/>
      </w:pPr>
      <w:r>
        <w:rPr>
          <w:sz w:val="24"/>
          <w:szCs w:val="24"/>
        </w:rPr>
        <w:t>Neoserra is a web-based interface for the client database used by the Minnesota Small Business Development Centers. It is run and managed by Outreach Systems Inc. Neoserra was launched in late 2013 and will replace WebCATS as the main database tool by 2015. It is the main tool for tracking client data and consulting activity.</w:t>
      </w:r>
    </w:p>
    <w:p w14:paraId="6E34F6D4" w14:textId="77777777" w:rsidR="00DB4AC9" w:rsidRDefault="00DB4AC9" w:rsidP="00DB4AC9">
      <w:pPr>
        <w:jc w:val="both"/>
      </w:pPr>
      <w:r>
        <w:rPr>
          <w:sz w:val="24"/>
          <w:szCs w:val="24"/>
        </w:rPr>
        <w:t xml:space="preserve">Neoserra is accessed at the following website: </w:t>
      </w:r>
      <w:hyperlink r:id="rId19">
        <w:r>
          <w:rPr>
            <w:color w:val="0000FF"/>
            <w:sz w:val="24"/>
            <w:szCs w:val="24"/>
            <w:u w:val="single"/>
          </w:rPr>
          <w:t>https://mnsbdc.neoserra.com/</w:t>
        </w:r>
      </w:hyperlink>
      <w:r>
        <w:rPr>
          <w:sz w:val="24"/>
          <w:szCs w:val="24"/>
        </w:rPr>
        <w:t xml:space="preserve"> </w:t>
      </w:r>
    </w:p>
    <w:p w14:paraId="00EE0912" w14:textId="77777777" w:rsidR="00DB4AC9" w:rsidRDefault="00DB4AC9" w:rsidP="00DB4AC9">
      <w:pPr>
        <w:keepNext/>
        <w:spacing w:before="240"/>
      </w:pPr>
      <w:bookmarkStart w:id="229" w:name="_33zd5kd" w:colFirst="0" w:colLast="0"/>
      <w:bookmarkEnd w:id="229"/>
      <w:r>
        <w:rPr>
          <w:rFonts w:ascii="Arial" w:eastAsia="Arial" w:hAnsi="Arial" w:cs="Arial"/>
          <w:b/>
          <w:sz w:val="24"/>
          <w:szCs w:val="24"/>
        </w:rPr>
        <w:t xml:space="preserve">Obtaining </w:t>
      </w:r>
      <w:proofErr w:type="gramStart"/>
      <w:r>
        <w:rPr>
          <w:rFonts w:ascii="Arial" w:eastAsia="Arial" w:hAnsi="Arial" w:cs="Arial"/>
          <w:b/>
          <w:sz w:val="24"/>
          <w:szCs w:val="24"/>
        </w:rPr>
        <w:t>User-name</w:t>
      </w:r>
      <w:proofErr w:type="gramEnd"/>
      <w:r>
        <w:rPr>
          <w:rFonts w:ascii="Arial" w:eastAsia="Arial" w:hAnsi="Arial" w:cs="Arial"/>
          <w:b/>
          <w:sz w:val="24"/>
          <w:szCs w:val="24"/>
        </w:rPr>
        <w:t xml:space="preserve"> and Password</w:t>
      </w:r>
    </w:p>
    <w:p w14:paraId="46DEBA4D" w14:textId="77777777" w:rsidR="00DB4AC9" w:rsidRDefault="00DB4AC9" w:rsidP="00DB4AC9">
      <w:pPr>
        <w:spacing w:after="0"/>
      </w:pPr>
      <w:r>
        <w:rPr>
          <w:sz w:val="24"/>
          <w:szCs w:val="24"/>
        </w:rPr>
        <w:t>User accounts are requested by local program administrators, such as your director or program coordinator, to the SBDC lead office hosted by the Department of Employment and Economic Development. Access to Neoserra is contingent upon agreement to the MnSBDC Code of Conduct. Once the request has been made, a new user can expect an e-mail from the lead office containing a username and a temporary password.</w:t>
      </w:r>
    </w:p>
    <w:p w14:paraId="699DEFBE" w14:textId="77777777" w:rsidR="00DB4AC9" w:rsidRDefault="00DB4AC9" w:rsidP="00DB4AC9">
      <w:pPr>
        <w:keepNext/>
        <w:spacing w:before="240"/>
        <w:jc w:val="both"/>
      </w:pPr>
      <w:bookmarkStart w:id="230" w:name="_1j4nfs6" w:colFirst="0" w:colLast="0"/>
      <w:bookmarkEnd w:id="230"/>
      <w:r>
        <w:rPr>
          <w:rFonts w:ascii="Arial" w:eastAsia="Arial" w:hAnsi="Arial" w:cs="Arial"/>
          <w:b/>
          <w:sz w:val="24"/>
          <w:szCs w:val="24"/>
        </w:rPr>
        <w:t>User Permissions</w:t>
      </w:r>
    </w:p>
    <w:p w14:paraId="6B03342C" w14:textId="77777777" w:rsidR="00DB4AC9" w:rsidRDefault="00DB4AC9" w:rsidP="00DB4AC9">
      <w:pPr>
        <w:jc w:val="both"/>
      </w:pPr>
      <w:r>
        <w:rPr>
          <w:sz w:val="24"/>
          <w:szCs w:val="24"/>
        </w:rPr>
        <w:t xml:space="preserve">Permission levels are set by the SBDC Lead Office. If you find that your permissions are insufficient to perform the work assigned, contact your local program coordinator to request additional capabilities. They will determine </w:t>
      </w:r>
      <w:proofErr w:type="gramStart"/>
      <w:r>
        <w:rPr>
          <w:sz w:val="24"/>
          <w:szCs w:val="24"/>
        </w:rPr>
        <w:t>whether or not</w:t>
      </w:r>
      <w:proofErr w:type="gramEnd"/>
      <w:r>
        <w:rPr>
          <w:sz w:val="24"/>
          <w:szCs w:val="24"/>
        </w:rPr>
        <w:t xml:space="preserve"> that capacity is needed and make the request to the Lead Office if so.</w:t>
      </w:r>
    </w:p>
    <w:p w14:paraId="74F56841" w14:textId="77777777" w:rsidR="00DB4AC9" w:rsidRDefault="00DB4AC9" w:rsidP="00DB4AC9">
      <w:pPr>
        <w:jc w:val="both"/>
      </w:pPr>
      <w:proofErr w:type="gramStart"/>
      <w:r>
        <w:rPr>
          <w:sz w:val="24"/>
          <w:szCs w:val="24"/>
        </w:rPr>
        <w:t>Generally speaking, most</w:t>
      </w:r>
      <w:proofErr w:type="gramEnd"/>
      <w:r>
        <w:rPr>
          <w:sz w:val="24"/>
          <w:szCs w:val="24"/>
        </w:rPr>
        <w:t xml:space="preserve"> consultants will have view, add and edit capabilities for all records contained in their host center and will have viewing rights to records stored in the entire network. Consultants may or may not have </w:t>
      </w:r>
      <w:proofErr w:type="gramStart"/>
      <w:r>
        <w:rPr>
          <w:sz w:val="24"/>
          <w:szCs w:val="24"/>
        </w:rPr>
        <w:t>delete</w:t>
      </w:r>
      <w:proofErr w:type="gramEnd"/>
      <w:r>
        <w:rPr>
          <w:sz w:val="24"/>
          <w:szCs w:val="24"/>
        </w:rPr>
        <w:t xml:space="preserve"> capabilities depending on the rights given. If you do not and need something deleted, contact your program coordinator.</w:t>
      </w:r>
    </w:p>
    <w:p w14:paraId="05AD7197" w14:textId="77777777" w:rsidR="00DB4AC9" w:rsidRDefault="00DB4AC9" w:rsidP="00DB4AC9">
      <w:pPr>
        <w:keepNext/>
        <w:spacing w:before="240"/>
      </w:pPr>
      <w:bookmarkStart w:id="231" w:name="_434ayfz" w:colFirst="0" w:colLast="0"/>
      <w:bookmarkEnd w:id="231"/>
      <w:r>
        <w:rPr>
          <w:rFonts w:ascii="Arial" w:eastAsia="Arial" w:hAnsi="Arial" w:cs="Arial"/>
          <w:b/>
          <w:sz w:val="24"/>
          <w:szCs w:val="24"/>
        </w:rPr>
        <w:t>Changing Your Password and Account Preferences</w:t>
      </w:r>
    </w:p>
    <w:p w14:paraId="69EB5797" w14:textId="77777777" w:rsidR="00DB4AC9" w:rsidRDefault="00DB4AC9" w:rsidP="00DB4AC9">
      <w:pPr>
        <w:spacing w:after="0"/>
      </w:pPr>
      <w:r>
        <w:rPr>
          <w:sz w:val="24"/>
          <w:szCs w:val="24"/>
        </w:rPr>
        <w:t>Once you have obtained your log-in information and have successfully entered Neoserra, please immediately change your password (see picture below) to something you can easily remember, but others would have a difficult time guessing. Keep in mind that passwords must meet the following criteria:</w:t>
      </w:r>
    </w:p>
    <w:p w14:paraId="048C1C5E" w14:textId="77777777" w:rsidR="00DB4AC9" w:rsidRDefault="00DB4AC9" w:rsidP="00DB4AC9">
      <w:pPr>
        <w:numPr>
          <w:ilvl w:val="0"/>
          <w:numId w:val="12"/>
        </w:numPr>
        <w:spacing w:after="0"/>
        <w:ind w:hanging="360"/>
        <w:rPr>
          <w:sz w:val="24"/>
          <w:szCs w:val="24"/>
        </w:rPr>
      </w:pPr>
      <w:r>
        <w:rPr>
          <w:sz w:val="24"/>
          <w:szCs w:val="24"/>
        </w:rPr>
        <w:t>8 characters or more</w:t>
      </w:r>
    </w:p>
    <w:p w14:paraId="0E28F3D4" w14:textId="77777777" w:rsidR="00DB4AC9" w:rsidRDefault="00DB4AC9" w:rsidP="00DB4AC9">
      <w:pPr>
        <w:numPr>
          <w:ilvl w:val="0"/>
          <w:numId w:val="12"/>
        </w:numPr>
        <w:spacing w:after="0"/>
        <w:ind w:hanging="360"/>
        <w:rPr>
          <w:sz w:val="24"/>
          <w:szCs w:val="24"/>
        </w:rPr>
      </w:pPr>
      <w:r>
        <w:rPr>
          <w:sz w:val="24"/>
          <w:szCs w:val="24"/>
        </w:rPr>
        <w:t>Mix of capital and short case letters</w:t>
      </w:r>
    </w:p>
    <w:p w14:paraId="541ECFE6" w14:textId="77777777" w:rsidR="00DB4AC9" w:rsidRDefault="00DB4AC9" w:rsidP="00DB4AC9">
      <w:pPr>
        <w:numPr>
          <w:ilvl w:val="0"/>
          <w:numId w:val="12"/>
        </w:numPr>
        <w:spacing w:after="0"/>
        <w:ind w:hanging="360"/>
        <w:rPr>
          <w:sz w:val="24"/>
          <w:szCs w:val="24"/>
        </w:rPr>
      </w:pPr>
      <w:r>
        <w:rPr>
          <w:sz w:val="24"/>
          <w:szCs w:val="24"/>
        </w:rPr>
        <w:t>At least one digit</w:t>
      </w:r>
    </w:p>
    <w:p w14:paraId="3D1A9A20" w14:textId="77777777" w:rsidR="00DB4AC9" w:rsidRDefault="00DB4AC9" w:rsidP="00DB4AC9">
      <w:pPr>
        <w:numPr>
          <w:ilvl w:val="0"/>
          <w:numId w:val="12"/>
        </w:numPr>
        <w:spacing w:after="0"/>
        <w:ind w:hanging="360"/>
        <w:rPr>
          <w:sz w:val="24"/>
          <w:szCs w:val="24"/>
        </w:rPr>
      </w:pPr>
      <w:r>
        <w:rPr>
          <w:sz w:val="24"/>
          <w:szCs w:val="24"/>
        </w:rPr>
        <w:t>At least one punctuation mark</w:t>
      </w:r>
    </w:p>
    <w:p w14:paraId="409782DC" w14:textId="77777777" w:rsidR="00DB4AC9" w:rsidRDefault="00DB4AC9" w:rsidP="00DB4AC9">
      <w:pPr>
        <w:spacing w:after="0"/>
      </w:pPr>
    </w:p>
    <w:p w14:paraId="0F840578" w14:textId="77777777" w:rsidR="00DB4AC9" w:rsidRDefault="00DB4AC9" w:rsidP="00DB4AC9">
      <w:pPr>
        <w:spacing w:after="0"/>
      </w:pPr>
      <w:r>
        <w:rPr>
          <w:sz w:val="24"/>
          <w:szCs w:val="24"/>
        </w:rPr>
        <w:t>To change your password, click on your name in the upper right of the screen and select “preferences”:</w:t>
      </w:r>
    </w:p>
    <w:p w14:paraId="56D29460" w14:textId="77777777" w:rsidR="00DB4AC9" w:rsidRDefault="00DB4AC9" w:rsidP="00DB4AC9">
      <w:pPr>
        <w:spacing w:after="0"/>
      </w:pPr>
    </w:p>
    <w:p w14:paraId="67930129" w14:textId="77777777" w:rsidR="00DB4AC9" w:rsidRDefault="00DB4AC9" w:rsidP="00DB4AC9">
      <w:pPr>
        <w:spacing w:after="0"/>
      </w:pPr>
      <w:r>
        <w:rPr>
          <w:noProof/>
        </w:rPr>
        <w:lastRenderedPageBreak/>
        <w:drawing>
          <wp:inline distT="0" distB="0" distL="0" distR="0" wp14:anchorId="7F9DC2FB" wp14:editId="624E1BBB">
            <wp:extent cx="6267450" cy="695325"/>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20"/>
                    <a:srcRect l="34836" t="11199" r="3039" b="80200"/>
                    <a:stretch>
                      <a:fillRect/>
                    </a:stretch>
                  </pic:blipFill>
                  <pic:spPr>
                    <a:xfrm>
                      <a:off x="0" y="0"/>
                      <a:ext cx="6267450" cy="6953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0" hidden="0" allowOverlap="1" wp14:anchorId="698ABB35" wp14:editId="0A3CDE23">
                <wp:simplePos x="0" y="0"/>
                <wp:positionH relativeFrom="margin">
                  <wp:posOffset>4419600</wp:posOffset>
                </wp:positionH>
                <wp:positionV relativeFrom="paragraph">
                  <wp:posOffset>101600</wp:posOffset>
                </wp:positionV>
                <wp:extent cx="419100" cy="254000"/>
                <wp:effectExtent l="0" t="0" r="0" b="0"/>
                <wp:wrapNone/>
                <wp:docPr id="59" name="Straight Arrow Connector 59"/>
                <wp:cNvGraphicFramePr/>
                <a:graphic xmlns:a="http://schemas.openxmlformats.org/drawingml/2006/main">
                  <a:graphicData uri="http://schemas.microsoft.com/office/word/2010/wordprocessingShape">
                    <wps:wsp>
                      <wps:cNvCnPr/>
                      <wps:spPr>
                        <a:xfrm>
                          <a:off x="5160262" y="3679987"/>
                          <a:ext cx="371474" cy="200024"/>
                        </a:xfrm>
                        <a:prstGeom prst="straightConnector1">
                          <a:avLst/>
                        </a:prstGeom>
                        <a:noFill/>
                        <a:ln w="57150" cap="flat" cmpd="sng">
                          <a:solidFill>
                            <a:srgbClr val="FF0000"/>
                          </a:solidFill>
                          <a:prstDash val="solid"/>
                          <a:round/>
                          <a:headEnd type="none" w="med" len="med"/>
                          <a:tailEnd type="triangle" w="lg" len="lg"/>
                        </a:ln>
                      </wps:spPr>
                      <wps:bodyPr/>
                    </wps:wsp>
                  </a:graphicData>
                </a:graphic>
              </wp:anchor>
            </w:drawing>
          </mc:Choice>
          <mc:Fallback>
            <w:pict>
              <v:shapetype w14:anchorId="4D56F486" id="_x0000_t32" coordsize="21600,21600" o:spt="32" o:oned="t" path="m,l21600,21600e" filled="f">
                <v:path arrowok="t" fillok="f" o:connecttype="none"/>
                <o:lock v:ext="edit" shapetype="t"/>
              </v:shapetype>
              <v:shape id="Straight Arrow Connector 59" o:spid="_x0000_s1026" type="#_x0000_t32" style="position:absolute;margin-left:348pt;margin-top:8pt;width:33pt;height:20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" o:allowincell="f" strokecolor="red" strokeweight="4.5pt">
                <v:stroke endarrow="block" endarrowwidth="wide" endarrowlength="long"/>
                <w10:wrap anchorx="margin"/>
              </v:shape>
            </w:pict>
          </mc:Fallback>
        </mc:AlternateContent>
      </w:r>
    </w:p>
    <w:p w14:paraId="0DA07D61" w14:textId="77777777" w:rsidR="00DB4AC9" w:rsidRDefault="00DB4AC9" w:rsidP="00DB4AC9">
      <w:pPr>
        <w:spacing w:after="0"/>
      </w:pPr>
    </w:p>
    <w:p w14:paraId="60F6B2E6" w14:textId="77777777" w:rsidR="00DB4AC9" w:rsidRDefault="00DB4AC9" w:rsidP="00DB4AC9">
      <w:pPr>
        <w:tabs>
          <w:tab w:val="left" w:pos="8190"/>
        </w:tabs>
        <w:spacing w:after="0"/>
      </w:pPr>
      <w:r>
        <w:rPr>
          <w:sz w:val="24"/>
          <w:szCs w:val="24"/>
        </w:rPr>
        <w:t xml:space="preserve">In the preferences screen you have the options of changing your associated e-mail and your password. You also have several options for customizing the look of your Neoserra. </w:t>
      </w:r>
    </w:p>
    <w:p w14:paraId="733A1863" w14:textId="77777777" w:rsidR="00DB4AC9" w:rsidRDefault="00DB4AC9" w:rsidP="00DB4AC9">
      <w:pPr>
        <w:spacing w:after="0"/>
      </w:pPr>
      <w:r>
        <w:rPr>
          <w:noProof/>
        </w:rPr>
        <w:drawing>
          <wp:inline distT="0" distB="0" distL="0" distR="0" wp14:anchorId="5C229E2F" wp14:editId="371B5721">
            <wp:extent cx="6315075" cy="3705225"/>
            <wp:effectExtent l="0" t="0" r="0" b="0"/>
            <wp:docPr id="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1"/>
                    <a:srcRect t="5400" r="28798" b="42413"/>
                    <a:stretch>
                      <a:fillRect/>
                    </a:stretch>
                  </pic:blipFill>
                  <pic:spPr>
                    <a:xfrm>
                      <a:off x="0" y="0"/>
                      <a:ext cx="6315075" cy="3705225"/>
                    </a:xfrm>
                    <a:prstGeom prst="rect">
                      <a:avLst/>
                    </a:prstGeom>
                    <a:ln/>
                  </pic:spPr>
                </pic:pic>
              </a:graphicData>
            </a:graphic>
          </wp:inline>
        </w:drawing>
      </w:r>
      <w:r>
        <w:rPr>
          <w:noProof/>
        </w:rPr>
        <mc:AlternateContent>
          <mc:Choice Requires="wps">
            <w:drawing>
              <wp:anchor distT="0" distB="0" distL="114300" distR="114300" simplePos="0" relativeHeight="251658241" behindDoc="0" locked="0" layoutInCell="0" hidden="0" allowOverlap="1" wp14:anchorId="2EEA4F9A" wp14:editId="6DFC8CC7">
                <wp:simplePos x="0" y="0"/>
                <wp:positionH relativeFrom="margin">
                  <wp:posOffset>850900</wp:posOffset>
                </wp:positionH>
                <wp:positionV relativeFrom="paragraph">
                  <wp:posOffset>914400</wp:posOffset>
                </wp:positionV>
                <wp:extent cx="2235200" cy="863600"/>
                <wp:effectExtent l="0" t="0" r="0" b="0"/>
                <wp:wrapNone/>
                <wp:docPr id="58" name="Oval 58"/>
                <wp:cNvGraphicFramePr/>
                <a:graphic xmlns:a="http://schemas.openxmlformats.org/drawingml/2006/main">
                  <a:graphicData uri="http://schemas.microsoft.com/office/word/2010/wordprocessingShape">
                    <wps:wsp>
                      <wps:cNvSpPr/>
                      <wps:spPr>
                        <a:xfrm>
                          <a:off x="4236337" y="3356137"/>
                          <a:ext cx="2219325" cy="847725"/>
                        </a:xfrm>
                        <a:prstGeom prst="ellipse">
                          <a:avLst/>
                        </a:prstGeom>
                        <a:noFill/>
                        <a:ln w="19050" cap="flat" cmpd="sng">
                          <a:solidFill>
                            <a:srgbClr val="FF0000"/>
                          </a:solidFill>
                          <a:prstDash val="solid"/>
                          <a:round/>
                          <a:headEnd type="none" w="med" len="med"/>
                          <a:tailEnd type="none" w="med" len="med"/>
                        </a:ln>
                      </wps:spPr>
                      <wps:txbx>
                        <w:txbxContent>
                          <w:p w14:paraId="1EF46803"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2EEA4F9A" id="Oval 58" o:spid="_x0000_s1026" style="position:absolute;margin-left:67pt;margin-top:1in;width:176pt;height:68pt;z-index:25165824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" o:allowincell="f" filled="f" strokecolor="red" strokeweight="1.5pt">
                <v:textbox inset="2.53958mm,2.53958mm,2.53958mm,2.53958mm">
                  <w:txbxContent>
                    <w:p w14:paraId="1EF46803" w14:textId="77777777" w:rsidR="00DB4AC9" w:rsidRDefault="00DB4AC9" w:rsidP="00DB4AC9">
                      <w:pPr>
                        <w:spacing w:after="0"/>
                        <w:textDirection w:val="btLr"/>
                      </w:pPr>
                    </w:p>
                  </w:txbxContent>
                </v:textbox>
                <w10:wrap anchorx="margin"/>
              </v:oval>
            </w:pict>
          </mc:Fallback>
        </mc:AlternateContent>
      </w:r>
    </w:p>
    <w:p w14:paraId="16C69151" w14:textId="77777777" w:rsidR="00DB4AC9" w:rsidRDefault="00DB4AC9" w:rsidP="00DB4AC9">
      <w:pPr>
        <w:keepNext/>
        <w:spacing w:before="240"/>
      </w:pPr>
      <w:bookmarkStart w:id="232" w:name="_2i9l8ns" w:colFirst="0" w:colLast="0"/>
      <w:bookmarkEnd w:id="232"/>
      <w:r>
        <w:rPr>
          <w:rFonts w:ascii="Arial" w:eastAsia="Arial" w:hAnsi="Arial" w:cs="Arial"/>
          <w:b/>
          <w:sz w:val="24"/>
          <w:szCs w:val="24"/>
        </w:rPr>
        <w:t>Resetting Your Password</w:t>
      </w:r>
    </w:p>
    <w:p w14:paraId="5AC193EF" w14:textId="77777777" w:rsidR="00DB4AC9" w:rsidRDefault="00DB4AC9" w:rsidP="00DB4AC9">
      <w:pPr>
        <w:spacing w:after="0"/>
      </w:pPr>
      <w:r>
        <w:rPr>
          <w:sz w:val="24"/>
          <w:szCs w:val="24"/>
        </w:rPr>
        <w:t xml:space="preserve">If you have forgotten your Neoserra password, you may reset it by clicking the link on the login page. </w:t>
      </w:r>
      <w:proofErr w:type="gramStart"/>
      <w:r>
        <w:rPr>
          <w:sz w:val="24"/>
          <w:szCs w:val="24"/>
        </w:rPr>
        <w:t>Assuming that</w:t>
      </w:r>
      <w:proofErr w:type="gramEnd"/>
      <w:r>
        <w:rPr>
          <w:sz w:val="24"/>
          <w:szCs w:val="24"/>
        </w:rPr>
        <w:t xml:space="preserve"> the e-mail listed for the user is correct, the user should see a system generated e-mail from Outreach Systems supplying a temporary password within a few minutes. If the e-mail is not obtained, contact your lead office system administrator (Hayley Rowan) at 651-259-7422.</w:t>
      </w:r>
    </w:p>
    <w:p w14:paraId="4F552AEA" w14:textId="77777777" w:rsidR="00DB4AC9" w:rsidRDefault="00DB4AC9" w:rsidP="00DB4AC9">
      <w:pPr>
        <w:spacing w:after="0"/>
      </w:pPr>
    </w:p>
    <w:p w14:paraId="115C2CDA" w14:textId="77777777" w:rsidR="00DB4AC9" w:rsidRDefault="00DB4AC9" w:rsidP="00DB4AC9">
      <w:pPr>
        <w:spacing w:after="0"/>
      </w:pPr>
      <w:r>
        <w:rPr>
          <w:sz w:val="24"/>
          <w:szCs w:val="24"/>
        </w:rPr>
        <w:t xml:space="preserve">After a successful login, be sure to </w:t>
      </w:r>
      <w:r w:rsidRPr="00B243D6">
        <w:rPr>
          <w:sz w:val="24"/>
          <w:szCs w:val="24"/>
        </w:rPr>
        <w:t>change your passwor</w:t>
      </w:r>
      <w:hyperlink w:anchor="_Changing_Your_Password">
        <w:r w:rsidRPr="00B243D6">
          <w:rPr>
            <w:sz w:val="24"/>
            <w:szCs w:val="24"/>
          </w:rPr>
          <w:t>d</w:t>
        </w:r>
      </w:hyperlink>
      <w:r>
        <w:rPr>
          <w:sz w:val="24"/>
          <w:szCs w:val="24"/>
        </w:rPr>
        <w:t xml:space="preserve"> to something you can remember. The system will force you to change your password every 180 days.</w:t>
      </w:r>
    </w:p>
    <w:p w14:paraId="18315282" w14:textId="77777777" w:rsidR="00DB4AC9" w:rsidRDefault="00DB4AC9" w:rsidP="00DB4AC9">
      <w:pPr>
        <w:spacing w:after="0"/>
      </w:pPr>
      <w:r>
        <w:rPr>
          <w:sz w:val="24"/>
          <w:szCs w:val="24"/>
        </w:rPr>
        <w:t xml:space="preserve"> </w:t>
      </w:r>
    </w:p>
    <w:p w14:paraId="3736F841" w14:textId="77777777" w:rsidR="00DB4AC9" w:rsidRDefault="00DB4AC9" w:rsidP="00DB4AC9">
      <w:pPr>
        <w:spacing w:after="0"/>
      </w:pPr>
      <w:r>
        <w:rPr>
          <w:noProof/>
        </w:rPr>
        <w:lastRenderedPageBreak/>
        <mc:AlternateContent>
          <mc:Choice Requires="wps">
            <w:drawing>
              <wp:anchor distT="0" distB="0" distL="114300" distR="114300" simplePos="0" relativeHeight="251658242" behindDoc="0" locked="0" layoutInCell="0" hidden="0" allowOverlap="1" wp14:anchorId="0CB1933A" wp14:editId="1369BEF6">
                <wp:simplePos x="0" y="0"/>
                <wp:positionH relativeFrom="margin">
                  <wp:posOffset>1993900</wp:posOffset>
                </wp:positionH>
                <wp:positionV relativeFrom="paragraph">
                  <wp:posOffset>1485900</wp:posOffset>
                </wp:positionV>
                <wp:extent cx="1257300" cy="292100"/>
                <wp:effectExtent l="0" t="0" r="0" b="0"/>
                <wp:wrapNone/>
                <wp:docPr id="61" name="Oval 61"/>
                <wp:cNvGraphicFramePr/>
                <a:graphic xmlns:a="http://schemas.openxmlformats.org/drawingml/2006/main">
                  <a:graphicData uri="http://schemas.microsoft.com/office/word/2010/wordprocessingShape">
                    <wps:wsp>
                      <wps:cNvSpPr/>
                      <wps:spPr>
                        <a:xfrm>
                          <a:off x="4722112" y="3641887"/>
                          <a:ext cx="1247774" cy="276224"/>
                        </a:xfrm>
                        <a:prstGeom prst="ellipse">
                          <a:avLst/>
                        </a:prstGeom>
                        <a:noFill/>
                        <a:ln w="19050" cap="flat" cmpd="sng">
                          <a:solidFill>
                            <a:srgbClr val="FF0000"/>
                          </a:solidFill>
                          <a:prstDash val="solid"/>
                          <a:round/>
                          <a:headEnd type="none" w="med" len="med"/>
                          <a:tailEnd type="none" w="med" len="med"/>
                        </a:ln>
                      </wps:spPr>
                      <wps:txbx>
                        <w:txbxContent>
                          <w:p w14:paraId="3AEA2EF3"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0CB1933A" id="Oval 61" o:spid="_x0000_s1027" style="position:absolute;margin-left:157pt;margin-top:117pt;width:99pt;height:23pt;z-index:25165824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" o:allowincell="f" filled="f" strokecolor="red" strokeweight="1.5pt">
                <v:textbox inset="2.53958mm,2.53958mm,2.53958mm,2.53958mm">
                  <w:txbxContent>
                    <w:p w14:paraId="3AEA2EF3" w14:textId="77777777" w:rsidR="00DB4AC9" w:rsidRDefault="00DB4AC9" w:rsidP="00DB4AC9">
                      <w:pPr>
                        <w:spacing w:after="0"/>
                        <w:textDirection w:val="btLr"/>
                      </w:pPr>
                    </w:p>
                  </w:txbxContent>
                </v:textbox>
                <w10:wrap anchorx="margin"/>
              </v:oval>
            </w:pict>
          </mc:Fallback>
        </mc:AlternateContent>
      </w:r>
      <w:r>
        <w:rPr>
          <w:noProof/>
        </w:rPr>
        <w:drawing>
          <wp:anchor distT="0" distB="0" distL="114300" distR="114300" simplePos="0" relativeHeight="251658243" behindDoc="0" locked="0" layoutInCell="0" hidden="0" allowOverlap="1" wp14:anchorId="5ACFA142" wp14:editId="6A6A3C29">
            <wp:simplePos x="0" y="0"/>
            <wp:positionH relativeFrom="margin">
              <wp:posOffset>1690687</wp:posOffset>
            </wp:positionH>
            <wp:positionV relativeFrom="paragraph">
              <wp:posOffset>4445</wp:posOffset>
            </wp:positionV>
            <wp:extent cx="2562225" cy="1924050"/>
            <wp:effectExtent l="0" t="0" r="0" b="0"/>
            <wp:wrapTopAndBottom distT="0" distB="0"/>
            <wp:docPr id="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2"/>
                    <a:srcRect l="3520" t="18401" r="77921" b="64199"/>
                    <a:stretch>
                      <a:fillRect/>
                    </a:stretch>
                  </pic:blipFill>
                  <pic:spPr>
                    <a:xfrm>
                      <a:off x="0" y="0"/>
                      <a:ext cx="2562225" cy="1924050"/>
                    </a:xfrm>
                    <a:prstGeom prst="rect">
                      <a:avLst/>
                    </a:prstGeom>
                    <a:ln/>
                  </pic:spPr>
                </pic:pic>
              </a:graphicData>
            </a:graphic>
          </wp:anchor>
        </w:drawing>
      </w:r>
    </w:p>
    <w:p w14:paraId="52DEA3D6" w14:textId="77777777" w:rsidR="00DB4AC9" w:rsidRDefault="00DB4AC9" w:rsidP="00DB4AC9">
      <w:pPr>
        <w:keepNext/>
        <w:spacing w:before="240"/>
      </w:pPr>
      <w:bookmarkStart w:id="233" w:name="_xevivl" w:colFirst="0" w:colLast="0"/>
      <w:bookmarkEnd w:id="233"/>
      <w:r>
        <w:rPr>
          <w:rFonts w:ascii="Arial" w:eastAsia="Arial" w:hAnsi="Arial" w:cs="Arial"/>
          <w:b/>
          <w:sz w:val="24"/>
          <w:szCs w:val="24"/>
        </w:rPr>
        <w:t>Logging Off</w:t>
      </w:r>
    </w:p>
    <w:p w14:paraId="42403ADC" w14:textId="77777777" w:rsidR="00DB4AC9" w:rsidRDefault="00DB4AC9" w:rsidP="00DB4AC9">
      <w:pPr>
        <w:jc w:val="both"/>
      </w:pPr>
      <w:r>
        <w:rPr>
          <w:sz w:val="24"/>
          <w:szCs w:val="24"/>
        </w:rPr>
        <w:t>Because there is a limit of 25 user licenses to be on the database at any one time, make sure you use the log off button in the upper right when you are not using the database. Closing the browser may not free up the license.</w:t>
      </w:r>
    </w:p>
    <w:p w14:paraId="351ED5E6" w14:textId="77777777" w:rsidR="00DB4AC9" w:rsidRDefault="00DB4AC9" w:rsidP="00DB4AC9">
      <w:pPr>
        <w:keepNext/>
        <w:spacing w:after="180"/>
      </w:pPr>
      <w:bookmarkStart w:id="234" w:name="_3hej1je" w:colFirst="0" w:colLast="0"/>
      <w:bookmarkEnd w:id="234"/>
      <w:r>
        <w:rPr>
          <w:b/>
          <w:sz w:val="32"/>
          <w:szCs w:val="32"/>
        </w:rPr>
        <w:t>eCenter</w:t>
      </w:r>
    </w:p>
    <w:p w14:paraId="7B00B96F" w14:textId="77777777" w:rsidR="00DB4AC9" w:rsidRDefault="00DB4AC9" w:rsidP="00DB4AC9">
      <w:pPr>
        <w:keepNext/>
        <w:spacing w:before="240"/>
        <w:jc w:val="both"/>
      </w:pPr>
      <w:bookmarkStart w:id="235" w:name="_1wjtbr7" w:colFirst="0" w:colLast="0"/>
      <w:bookmarkEnd w:id="235"/>
      <w:r>
        <w:rPr>
          <w:rFonts w:ascii="Arial" w:eastAsia="Arial" w:hAnsi="Arial" w:cs="Arial"/>
          <w:b/>
          <w:sz w:val="24"/>
          <w:szCs w:val="24"/>
        </w:rPr>
        <w:t>eCenter New Client Sign-up</w:t>
      </w:r>
    </w:p>
    <w:p w14:paraId="65D6D234" w14:textId="77777777" w:rsidR="00DB4AC9" w:rsidRDefault="00DB4AC9" w:rsidP="00DB4AC9">
      <w:pPr>
        <w:jc w:val="both"/>
      </w:pPr>
      <w:r>
        <w:rPr>
          <w:sz w:val="24"/>
          <w:szCs w:val="24"/>
        </w:rPr>
        <w:t xml:space="preserve">eCenter is an add-on to Neoserra that allows new clients to sign up for services with </w:t>
      </w:r>
      <w:proofErr w:type="gramStart"/>
      <w:r>
        <w:rPr>
          <w:sz w:val="24"/>
          <w:szCs w:val="24"/>
        </w:rPr>
        <w:t>the SBDC</w:t>
      </w:r>
      <w:proofErr w:type="gramEnd"/>
      <w:r>
        <w:rPr>
          <w:sz w:val="24"/>
          <w:szCs w:val="24"/>
        </w:rPr>
        <w:t>. Completion of the paper 641 “Request for Services” is not required if a client opts to sign up electronically. People may also sign up for training events offered by the regional centers.</w:t>
      </w:r>
    </w:p>
    <w:p w14:paraId="7D4B10E5" w14:textId="77777777" w:rsidR="00DB4AC9" w:rsidRDefault="00DB4AC9" w:rsidP="00DB4AC9">
      <w:pPr>
        <w:jc w:val="both"/>
      </w:pPr>
      <w:r>
        <w:rPr>
          <w:sz w:val="24"/>
          <w:szCs w:val="24"/>
        </w:rPr>
        <w:t xml:space="preserve">eCenter can be </w:t>
      </w:r>
      <w:proofErr w:type="gramStart"/>
      <w:r>
        <w:rPr>
          <w:sz w:val="24"/>
          <w:szCs w:val="24"/>
        </w:rPr>
        <w:t>accesses</w:t>
      </w:r>
      <w:proofErr w:type="gramEnd"/>
      <w:r>
        <w:rPr>
          <w:sz w:val="24"/>
          <w:szCs w:val="24"/>
        </w:rPr>
        <w:t xml:space="preserve"> at URL: </w:t>
      </w:r>
      <w:hyperlink r:id="rId23">
        <w:r>
          <w:rPr>
            <w:color w:val="0000FF"/>
            <w:sz w:val="24"/>
            <w:szCs w:val="24"/>
            <w:u w:val="single"/>
          </w:rPr>
          <w:t>http://mnsbdc.ecenterdirect.com</w:t>
        </w:r>
      </w:hyperlink>
      <w:r>
        <w:rPr>
          <w:sz w:val="24"/>
          <w:szCs w:val="24"/>
        </w:rPr>
        <w:t xml:space="preserve">, or via hyperlink with a </w:t>
      </w:r>
      <w:proofErr w:type="gramStart"/>
      <w:r>
        <w:rPr>
          <w:sz w:val="24"/>
          <w:szCs w:val="24"/>
        </w:rPr>
        <w:t>region specific</w:t>
      </w:r>
      <w:proofErr w:type="gramEnd"/>
      <w:r>
        <w:rPr>
          <w:sz w:val="24"/>
          <w:szCs w:val="24"/>
        </w:rPr>
        <w:t xml:space="preserve"> code.</w:t>
      </w:r>
    </w:p>
    <w:p w14:paraId="43D412A2" w14:textId="77777777" w:rsidR="00DB4AC9" w:rsidRDefault="00DB4AC9" w:rsidP="00DB4AC9">
      <w:pPr>
        <w:jc w:val="both"/>
      </w:pPr>
      <w:r>
        <w:rPr>
          <w:sz w:val="24"/>
          <w:szCs w:val="24"/>
        </w:rPr>
        <w:t>The client will be asked to complete several details containing their contact and demographic information and business status. The expectations for the clients and a legal agreement are also contained on this page, as well as a place for their electronic signature.</w:t>
      </w:r>
    </w:p>
    <w:p w14:paraId="39DBAAFE" w14:textId="77777777" w:rsidR="00DB4AC9" w:rsidRDefault="00DB4AC9" w:rsidP="00DB4AC9">
      <w:pPr>
        <w:jc w:val="both"/>
      </w:pPr>
      <w:r>
        <w:rPr>
          <w:sz w:val="24"/>
          <w:szCs w:val="24"/>
        </w:rPr>
        <w:t xml:space="preserve">A unique and valid e-mail address from the client is required to </w:t>
      </w:r>
      <w:proofErr w:type="gramStart"/>
      <w:r>
        <w:rPr>
          <w:sz w:val="24"/>
          <w:szCs w:val="24"/>
        </w:rPr>
        <w:t>sign-up</w:t>
      </w:r>
      <w:proofErr w:type="gramEnd"/>
      <w:r>
        <w:rPr>
          <w:sz w:val="24"/>
          <w:szCs w:val="24"/>
        </w:rPr>
        <w:t xml:space="preserve"> for services through eCenter. </w:t>
      </w:r>
    </w:p>
    <w:p w14:paraId="3B3B9975" w14:textId="77777777" w:rsidR="00DB4AC9" w:rsidRDefault="00DB4AC9" w:rsidP="00DB4AC9">
      <w:pPr>
        <w:spacing w:after="0"/>
        <w:jc w:val="center"/>
      </w:pPr>
    </w:p>
    <w:p w14:paraId="787AE668" w14:textId="77777777" w:rsidR="00DB4AC9" w:rsidRDefault="00DB4AC9" w:rsidP="00DB4AC9">
      <w:r>
        <w:rPr>
          <w:noProof/>
        </w:rPr>
        <w:lastRenderedPageBreak/>
        <w:drawing>
          <wp:inline distT="0" distB="0" distL="0" distR="0" wp14:anchorId="0892F346" wp14:editId="088B7A02">
            <wp:extent cx="6429375" cy="2819400"/>
            <wp:effectExtent l="0" t="0" r="0" b="0"/>
            <wp:docPr id="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4"/>
                    <a:srcRect r="11200" b="51199"/>
                    <a:stretch>
                      <a:fillRect/>
                    </a:stretch>
                  </pic:blipFill>
                  <pic:spPr>
                    <a:xfrm>
                      <a:off x="0" y="0"/>
                      <a:ext cx="6429375" cy="2819400"/>
                    </a:xfrm>
                    <a:prstGeom prst="rect">
                      <a:avLst/>
                    </a:prstGeom>
                    <a:ln/>
                  </pic:spPr>
                </pic:pic>
              </a:graphicData>
            </a:graphic>
          </wp:inline>
        </w:drawing>
      </w:r>
      <w:r>
        <w:br w:type="page"/>
      </w:r>
    </w:p>
    <w:p w14:paraId="1DE619DF" w14:textId="77777777" w:rsidR="00DB4AC9" w:rsidRDefault="00DB4AC9" w:rsidP="00DB4AC9">
      <w:r>
        <w:rPr>
          <w:b/>
          <w:sz w:val="24"/>
          <w:szCs w:val="24"/>
        </w:rPr>
        <w:lastRenderedPageBreak/>
        <w:t>eCenter Client Sign-up Continued</w:t>
      </w:r>
      <w:r>
        <w:rPr>
          <w:noProof/>
        </w:rPr>
        <mc:AlternateContent>
          <mc:Choice Requires="wps">
            <w:drawing>
              <wp:anchor distT="0" distB="0" distL="114300" distR="114300" simplePos="0" relativeHeight="251658244" behindDoc="0" locked="0" layoutInCell="0" hidden="0" allowOverlap="1" wp14:anchorId="69D44D54" wp14:editId="10A78EF9">
                <wp:simplePos x="0" y="0"/>
                <wp:positionH relativeFrom="margin">
                  <wp:posOffset>0</wp:posOffset>
                </wp:positionH>
                <wp:positionV relativeFrom="paragraph">
                  <wp:posOffset>1549400</wp:posOffset>
                </wp:positionV>
                <wp:extent cx="774700" cy="190500"/>
                <wp:effectExtent l="0" t="0" r="0" b="0"/>
                <wp:wrapNone/>
                <wp:docPr id="60" name="Oval 60"/>
                <wp:cNvGraphicFramePr/>
                <a:graphic xmlns:a="http://schemas.openxmlformats.org/drawingml/2006/main">
                  <a:graphicData uri="http://schemas.microsoft.com/office/word/2010/wordprocessingShape">
                    <wps:wsp>
                      <wps:cNvSpPr/>
                      <wps:spPr>
                        <a:xfrm>
                          <a:off x="4965000" y="3688242"/>
                          <a:ext cx="762000" cy="183514"/>
                        </a:xfrm>
                        <a:prstGeom prst="ellipse">
                          <a:avLst/>
                        </a:prstGeom>
                        <a:noFill/>
                        <a:ln w="19050" cap="flat" cmpd="sng">
                          <a:solidFill>
                            <a:srgbClr val="FF0000"/>
                          </a:solidFill>
                          <a:prstDash val="solid"/>
                          <a:round/>
                          <a:headEnd type="none" w="med" len="med"/>
                          <a:tailEnd type="none" w="med" len="med"/>
                        </a:ln>
                      </wps:spPr>
                      <wps:txbx>
                        <w:txbxContent>
                          <w:p w14:paraId="432B2AD9"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69D44D54" id="Oval 60" o:spid="_x0000_s1028" style="position:absolute;margin-left:0;margin-top:122pt;width:61pt;height:15pt;z-index:2516582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" o:allowincell="f" filled="f" strokecolor="red" strokeweight="1.5pt">
                <v:textbox inset="2.53958mm,2.53958mm,2.53958mm,2.53958mm">
                  <w:txbxContent>
                    <w:p w14:paraId="432B2AD9" w14:textId="77777777" w:rsidR="00DB4AC9" w:rsidRDefault="00DB4AC9" w:rsidP="00DB4AC9">
                      <w:pPr>
                        <w:spacing w:after="0"/>
                        <w:textDirection w:val="btLr"/>
                      </w:pPr>
                    </w:p>
                  </w:txbxContent>
                </v:textbox>
                <w10:wrap anchorx="margin"/>
              </v:oval>
            </w:pict>
          </mc:Fallback>
        </mc:AlternateContent>
      </w:r>
    </w:p>
    <w:p w14:paraId="1F7B3DAE" w14:textId="77777777" w:rsidR="00DB4AC9" w:rsidRDefault="00DB4AC9" w:rsidP="00DB4AC9">
      <w:pPr>
        <w:spacing w:after="0"/>
        <w:jc w:val="both"/>
      </w:pPr>
      <w:r>
        <w:rPr>
          <w:sz w:val="24"/>
          <w:szCs w:val="24"/>
        </w:rPr>
        <w:t>*Form is longer than displayed on this sample</w:t>
      </w:r>
    </w:p>
    <w:p w14:paraId="55FA027E" w14:textId="77777777" w:rsidR="00DB4AC9" w:rsidRDefault="00DB4AC9" w:rsidP="00DB4AC9">
      <w:pPr>
        <w:spacing w:after="0"/>
        <w:jc w:val="center"/>
      </w:pPr>
    </w:p>
    <w:p w14:paraId="733E8425" w14:textId="77777777" w:rsidR="00DB4AC9" w:rsidRDefault="00DB4AC9" w:rsidP="00DB4AC9">
      <w:pPr>
        <w:spacing w:after="0"/>
      </w:pPr>
      <w:r>
        <w:rPr>
          <w:noProof/>
        </w:rPr>
        <w:drawing>
          <wp:inline distT="0" distB="0" distL="0" distR="0" wp14:anchorId="072498D0" wp14:editId="22071970">
            <wp:extent cx="5724525" cy="5305425"/>
            <wp:effectExtent l="0" t="0" r="0" b="0"/>
            <wp:docPr id="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5"/>
                    <a:srcRect l="24374" t="8749" r="1875"/>
                    <a:stretch>
                      <a:fillRect/>
                    </a:stretch>
                  </pic:blipFill>
                  <pic:spPr>
                    <a:xfrm>
                      <a:off x="0" y="0"/>
                      <a:ext cx="5724525" cy="5305425"/>
                    </a:xfrm>
                    <a:prstGeom prst="rect">
                      <a:avLst/>
                    </a:prstGeom>
                    <a:ln/>
                  </pic:spPr>
                </pic:pic>
              </a:graphicData>
            </a:graphic>
          </wp:inline>
        </w:drawing>
      </w:r>
      <w:r>
        <w:rPr>
          <w:noProof/>
        </w:rPr>
        <mc:AlternateContent>
          <mc:Choice Requires="wps">
            <w:drawing>
              <wp:anchor distT="0" distB="0" distL="114300" distR="114300" simplePos="0" relativeHeight="251658245" behindDoc="0" locked="0" layoutInCell="0" hidden="0" allowOverlap="1" wp14:anchorId="0567A82C" wp14:editId="74AB4239">
                <wp:simplePos x="0" y="0"/>
                <wp:positionH relativeFrom="margin">
                  <wp:posOffset>495300</wp:posOffset>
                </wp:positionH>
                <wp:positionV relativeFrom="paragraph">
                  <wp:posOffset>698500</wp:posOffset>
                </wp:positionV>
                <wp:extent cx="1206500" cy="88900"/>
                <wp:effectExtent l="0" t="0" r="0" b="0"/>
                <wp:wrapNone/>
                <wp:docPr id="63" name="Rectangle 63"/>
                <wp:cNvGraphicFramePr/>
                <a:graphic xmlns:a="http://schemas.openxmlformats.org/drawingml/2006/main">
                  <a:graphicData uri="http://schemas.microsoft.com/office/word/2010/wordprocessingShape">
                    <wps:wsp>
                      <wps:cNvSpPr/>
                      <wps:spPr>
                        <a:xfrm>
                          <a:off x="4745925" y="3734598"/>
                          <a:ext cx="1200150" cy="90805"/>
                        </a:xfrm>
                        <a:prstGeom prst="rect">
                          <a:avLst/>
                        </a:prstGeom>
                        <a:solidFill>
                          <a:srgbClr val="000000"/>
                        </a:solidFill>
                        <a:ln w="9525" cap="flat" cmpd="sng">
                          <a:solidFill>
                            <a:srgbClr val="000000"/>
                          </a:solidFill>
                          <a:prstDash val="solid"/>
                          <a:miter/>
                          <a:headEnd type="none" w="med" len="med"/>
                          <a:tailEnd type="none" w="med" len="med"/>
                        </a:ln>
                      </wps:spPr>
                      <wps:txbx>
                        <w:txbxContent>
                          <w:p w14:paraId="26B28136"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rect w14:anchorId="0567A82C" id="Rectangle 63" o:spid="_x0000_s1029" style="position:absolute;margin-left:39pt;margin-top:55pt;width:95pt;height:7pt;z-index:25165824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" o:allowincell="f" fillcolor="black">
                <v:textbox inset="2.53958mm,2.53958mm,2.53958mm,2.53958mm">
                  <w:txbxContent>
                    <w:p w14:paraId="26B28136" w14:textId="77777777" w:rsidR="00DB4AC9" w:rsidRDefault="00DB4AC9" w:rsidP="00DB4AC9">
                      <w:pPr>
                        <w:spacing w:after="0"/>
                        <w:textDirection w:val="btLr"/>
                      </w:pPr>
                    </w:p>
                  </w:txbxContent>
                </v:textbox>
                <w10:wrap anchorx="margin"/>
              </v:rect>
            </w:pict>
          </mc:Fallback>
        </mc:AlternateContent>
      </w:r>
    </w:p>
    <w:p w14:paraId="4060809E" w14:textId="77777777" w:rsidR="00DB4AC9" w:rsidRDefault="00DB4AC9" w:rsidP="00DB4AC9">
      <w:pPr>
        <w:spacing w:after="0"/>
      </w:pPr>
    </w:p>
    <w:p w14:paraId="51330CEE" w14:textId="77777777" w:rsidR="00DB4AC9" w:rsidRDefault="00DB4AC9" w:rsidP="00DB4AC9">
      <w:pPr>
        <w:spacing w:after="0"/>
      </w:pPr>
      <w:r>
        <w:rPr>
          <w:noProof/>
        </w:rPr>
        <w:lastRenderedPageBreak/>
        <w:drawing>
          <wp:inline distT="0" distB="0" distL="0" distR="0" wp14:anchorId="69188548" wp14:editId="6CBE0FAB">
            <wp:extent cx="5648325" cy="2571750"/>
            <wp:effectExtent l="0" t="0" r="0" b="0"/>
            <wp:docPr id="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6"/>
                    <a:srcRect l="26249" t="51250" r="1875" b="5000"/>
                    <a:stretch>
                      <a:fillRect/>
                    </a:stretch>
                  </pic:blipFill>
                  <pic:spPr>
                    <a:xfrm>
                      <a:off x="0" y="0"/>
                      <a:ext cx="5648325" cy="2571750"/>
                    </a:xfrm>
                    <a:prstGeom prst="rect">
                      <a:avLst/>
                    </a:prstGeom>
                    <a:ln/>
                  </pic:spPr>
                </pic:pic>
              </a:graphicData>
            </a:graphic>
          </wp:inline>
        </w:drawing>
      </w:r>
    </w:p>
    <w:p w14:paraId="2E83F701" w14:textId="77777777" w:rsidR="00DB4AC9" w:rsidRDefault="00DB4AC9" w:rsidP="00DB4AC9">
      <w:pPr>
        <w:keepNext/>
        <w:spacing w:before="240"/>
      </w:pPr>
      <w:bookmarkStart w:id="236" w:name="_4gjguf0" w:colFirst="0" w:colLast="0"/>
      <w:bookmarkEnd w:id="236"/>
      <w:r>
        <w:rPr>
          <w:rFonts w:ascii="Arial" w:eastAsia="Arial" w:hAnsi="Arial" w:cs="Arial"/>
          <w:b/>
          <w:sz w:val="24"/>
          <w:szCs w:val="24"/>
        </w:rPr>
        <w:t>Processing an eCenter Request</w:t>
      </w:r>
    </w:p>
    <w:p w14:paraId="17A7B476" w14:textId="77777777" w:rsidR="00DB4AC9" w:rsidRDefault="00DB4AC9" w:rsidP="00DB4AC9">
      <w:pPr>
        <w:jc w:val="both"/>
      </w:pPr>
      <w:r>
        <w:rPr>
          <w:sz w:val="24"/>
          <w:szCs w:val="24"/>
        </w:rPr>
        <w:t xml:space="preserve">Users can view new Client intake requests by choosing “view” and “Intake Requests.” Pending clients are denoted by “New Request” under the status category. may be denied because it is determined that the client record is a duplicate, checked no to sharing information or it is deemed by the host center that the client will not receive beneficial aid from </w:t>
      </w:r>
      <w:proofErr w:type="gramStart"/>
      <w:r>
        <w:rPr>
          <w:sz w:val="24"/>
          <w:szCs w:val="24"/>
        </w:rPr>
        <w:t>the SBDC</w:t>
      </w:r>
      <w:proofErr w:type="gramEnd"/>
      <w:r>
        <w:rPr>
          <w:sz w:val="24"/>
          <w:szCs w:val="24"/>
        </w:rPr>
        <w:t xml:space="preserve">. </w:t>
      </w:r>
    </w:p>
    <w:p w14:paraId="17C2D734" w14:textId="77777777" w:rsidR="00DB4AC9" w:rsidRDefault="00DB4AC9" w:rsidP="00DB4AC9">
      <w:pPr>
        <w:jc w:val="both"/>
      </w:pPr>
    </w:p>
    <w:p w14:paraId="28C6B28B" w14:textId="77777777" w:rsidR="00DB4AC9" w:rsidRDefault="00DB4AC9" w:rsidP="00DB4AC9">
      <w:pPr>
        <w:jc w:val="both"/>
      </w:pPr>
      <w:r>
        <w:rPr>
          <w:noProof/>
        </w:rPr>
        <w:drawing>
          <wp:inline distT="0" distB="0" distL="0" distR="0" wp14:anchorId="526BFE45" wp14:editId="14066D51">
            <wp:extent cx="6477000" cy="2571750"/>
            <wp:effectExtent l="0" t="0" r="0" b="0"/>
            <wp:docPr id="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7"/>
                    <a:srcRect r="39998" b="70222"/>
                    <a:stretch>
                      <a:fillRect/>
                    </a:stretch>
                  </pic:blipFill>
                  <pic:spPr>
                    <a:xfrm>
                      <a:off x="0" y="0"/>
                      <a:ext cx="6477000" cy="2571750"/>
                    </a:xfrm>
                    <a:prstGeom prst="rect">
                      <a:avLst/>
                    </a:prstGeom>
                    <a:ln/>
                  </pic:spPr>
                </pic:pic>
              </a:graphicData>
            </a:graphic>
          </wp:inline>
        </w:drawing>
      </w:r>
      <w:r>
        <w:rPr>
          <w:noProof/>
        </w:rPr>
        <mc:AlternateContent>
          <mc:Choice Requires="wps">
            <w:drawing>
              <wp:anchor distT="0" distB="0" distL="114300" distR="114300" simplePos="0" relativeHeight="251658246" behindDoc="0" locked="0" layoutInCell="0" hidden="0" allowOverlap="1" wp14:anchorId="559C8481" wp14:editId="70943F06">
                <wp:simplePos x="0" y="0"/>
                <wp:positionH relativeFrom="margin">
                  <wp:posOffset>5651500</wp:posOffset>
                </wp:positionH>
                <wp:positionV relativeFrom="paragraph">
                  <wp:posOffset>2222500</wp:posOffset>
                </wp:positionV>
                <wp:extent cx="381000" cy="266700"/>
                <wp:effectExtent l="0" t="0" r="0" b="0"/>
                <wp:wrapNone/>
                <wp:docPr id="62" name="Rectangle 62"/>
                <wp:cNvGraphicFramePr/>
                <a:graphic xmlns:a="http://schemas.openxmlformats.org/drawingml/2006/main">
                  <a:graphicData uri="http://schemas.microsoft.com/office/word/2010/wordprocessingShape">
                    <wps:wsp>
                      <wps:cNvSpPr/>
                      <wps:spPr>
                        <a:xfrm>
                          <a:off x="5155182" y="3646650"/>
                          <a:ext cx="381634" cy="266699"/>
                        </a:xfrm>
                        <a:prstGeom prst="rect">
                          <a:avLst/>
                        </a:prstGeom>
                        <a:solidFill>
                          <a:srgbClr val="FFFFFF"/>
                        </a:solidFill>
                        <a:ln>
                          <a:noFill/>
                        </a:ln>
                      </wps:spPr>
                      <wps:txbx>
                        <w:txbxContent>
                          <w:p w14:paraId="750FD0C3"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rect w14:anchorId="559C8481" id="Rectangle 62" o:spid="_x0000_s1030" style="position:absolute;left:0;text-align:left;margin-left:445pt;margin-top:175pt;width:30pt;height:21pt;z-index:25165824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" o:allowincell="f" stroked="f">
                <v:textbox inset="2.53958mm,2.53958mm,2.53958mm,2.53958mm">
                  <w:txbxContent>
                    <w:p w14:paraId="750FD0C3" w14:textId="77777777" w:rsidR="00DB4AC9" w:rsidRDefault="00DB4AC9" w:rsidP="00DB4AC9">
                      <w:pPr>
                        <w:spacing w:after="0"/>
                        <w:textDirection w:val="btLr"/>
                      </w:pPr>
                    </w:p>
                  </w:txbxContent>
                </v:textbox>
                <w10:wrap anchorx="margin"/>
              </v:rect>
            </w:pict>
          </mc:Fallback>
        </mc:AlternateContent>
      </w:r>
      <w:r>
        <w:rPr>
          <w:noProof/>
        </w:rPr>
        <mc:AlternateContent>
          <mc:Choice Requires="wps">
            <w:drawing>
              <wp:anchor distT="0" distB="0" distL="114300" distR="114300" simplePos="0" relativeHeight="251658247" behindDoc="0" locked="0" layoutInCell="0" hidden="0" allowOverlap="1" wp14:anchorId="0242B42E" wp14:editId="54070ADF">
                <wp:simplePos x="0" y="0"/>
                <wp:positionH relativeFrom="margin">
                  <wp:posOffset>1308100</wp:posOffset>
                </wp:positionH>
                <wp:positionV relativeFrom="paragraph">
                  <wp:posOffset>2222500</wp:posOffset>
                </wp:positionV>
                <wp:extent cx="1219200" cy="279400"/>
                <wp:effectExtent l="0" t="0" r="0" b="0"/>
                <wp:wrapNone/>
                <wp:docPr id="65" name="Oval 65"/>
                <wp:cNvGraphicFramePr/>
                <a:graphic xmlns:a="http://schemas.openxmlformats.org/drawingml/2006/main">
                  <a:graphicData uri="http://schemas.microsoft.com/office/word/2010/wordprocessingShape">
                    <wps:wsp>
                      <wps:cNvSpPr/>
                      <wps:spPr>
                        <a:xfrm>
                          <a:off x="4745925" y="3646650"/>
                          <a:ext cx="1200150" cy="266699"/>
                        </a:xfrm>
                        <a:prstGeom prst="ellipse">
                          <a:avLst/>
                        </a:prstGeom>
                        <a:noFill/>
                        <a:ln w="19050" cap="flat" cmpd="sng">
                          <a:solidFill>
                            <a:srgbClr val="FF0000"/>
                          </a:solidFill>
                          <a:prstDash val="solid"/>
                          <a:round/>
                          <a:headEnd type="none" w="med" len="med"/>
                          <a:tailEnd type="none" w="med" len="med"/>
                        </a:ln>
                      </wps:spPr>
                      <wps:txbx>
                        <w:txbxContent>
                          <w:p w14:paraId="042BB8DE"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0242B42E" id="Oval 65" o:spid="_x0000_s1031" style="position:absolute;left:0;text-align:left;margin-left:103pt;margin-top:175pt;width:96pt;height:22pt;z-index:25165824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" o:allowincell="f" filled="f" strokecolor="red" strokeweight="1.5pt">
                <v:textbox inset="2.53958mm,2.53958mm,2.53958mm,2.53958mm">
                  <w:txbxContent>
                    <w:p w14:paraId="042BB8DE" w14:textId="77777777" w:rsidR="00DB4AC9" w:rsidRDefault="00DB4AC9" w:rsidP="00DB4AC9">
                      <w:pPr>
                        <w:spacing w:after="0"/>
                        <w:textDirection w:val="btLr"/>
                      </w:pPr>
                    </w:p>
                  </w:txbxContent>
                </v:textbox>
                <w10:wrap anchorx="margin"/>
              </v:oval>
            </w:pict>
          </mc:Fallback>
        </mc:AlternateContent>
      </w:r>
    </w:p>
    <w:p w14:paraId="69BC515D" w14:textId="77777777" w:rsidR="00DB4AC9" w:rsidRDefault="00DB4AC9" w:rsidP="00DB4AC9">
      <w:pPr>
        <w:jc w:val="both"/>
      </w:pPr>
      <w:r>
        <w:rPr>
          <w:sz w:val="24"/>
          <w:szCs w:val="24"/>
        </w:rPr>
        <w:t xml:space="preserve">By clicking on the date you can review the request, check for duplicates and complete any missing required data. This is usually done by administrative staff at your host center. Once the request is </w:t>
      </w:r>
      <w:proofErr w:type="gramStart"/>
      <w:r>
        <w:rPr>
          <w:sz w:val="24"/>
          <w:szCs w:val="24"/>
        </w:rPr>
        <w:t>accepted</w:t>
      </w:r>
      <w:proofErr w:type="gramEnd"/>
      <w:r>
        <w:rPr>
          <w:sz w:val="24"/>
          <w:szCs w:val="24"/>
        </w:rPr>
        <w:t xml:space="preserve"> they will typically contact the client and the assigned consultant. Some centers may use slightly differing processes.</w:t>
      </w:r>
    </w:p>
    <w:p w14:paraId="788A58F0" w14:textId="77777777" w:rsidR="00DB4AC9" w:rsidRDefault="00DB4AC9" w:rsidP="00DB4AC9">
      <w:pPr>
        <w:jc w:val="both"/>
      </w:pPr>
    </w:p>
    <w:p w14:paraId="6E82EE90" w14:textId="77777777" w:rsidR="00DB4AC9" w:rsidRDefault="00DB4AC9" w:rsidP="00DB4AC9">
      <w:r>
        <w:br w:type="page"/>
      </w:r>
    </w:p>
    <w:p w14:paraId="3007026D" w14:textId="77777777" w:rsidR="00DB4AC9" w:rsidRDefault="00DB4AC9" w:rsidP="00DB4AC9">
      <w:pPr>
        <w:keepNext/>
        <w:spacing w:after="180"/>
      </w:pPr>
      <w:bookmarkStart w:id="237" w:name="_2vor4mt" w:colFirst="0" w:colLast="0"/>
      <w:bookmarkEnd w:id="237"/>
      <w:r>
        <w:rPr>
          <w:b/>
          <w:sz w:val="32"/>
          <w:szCs w:val="32"/>
        </w:rPr>
        <w:lastRenderedPageBreak/>
        <w:t>Searching for a</w:t>
      </w:r>
      <w:r>
        <w:rPr>
          <w:b/>
          <w:sz w:val="28"/>
          <w:szCs w:val="28"/>
        </w:rPr>
        <w:t xml:space="preserve"> </w:t>
      </w:r>
      <w:r>
        <w:rPr>
          <w:b/>
          <w:sz w:val="32"/>
          <w:szCs w:val="32"/>
        </w:rPr>
        <w:t>Client Record</w:t>
      </w:r>
    </w:p>
    <w:p w14:paraId="17F4C9AB" w14:textId="77777777" w:rsidR="00DB4AC9" w:rsidRDefault="00DB4AC9" w:rsidP="00DB4AC9">
      <w:r>
        <w:rPr>
          <w:sz w:val="24"/>
          <w:szCs w:val="24"/>
        </w:rPr>
        <w:t>There are several ways to search for a specific client or contact record:</w:t>
      </w:r>
    </w:p>
    <w:p w14:paraId="24E97632" w14:textId="77777777" w:rsidR="00DB4AC9" w:rsidRDefault="00DB4AC9" w:rsidP="00DB4AC9">
      <w:pPr>
        <w:numPr>
          <w:ilvl w:val="0"/>
          <w:numId w:val="8"/>
        </w:numPr>
        <w:spacing w:after="0"/>
        <w:ind w:left="0"/>
        <w:rPr>
          <w:sz w:val="24"/>
          <w:szCs w:val="24"/>
        </w:rPr>
      </w:pPr>
      <w:r>
        <w:rPr>
          <w:sz w:val="24"/>
          <w:szCs w:val="24"/>
        </w:rPr>
        <w:t>Client Search (on banner)</w:t>
      </w:r>
    </w:p>
    <w:p w14:paraId="2B68242C" w14:textId="77777777" w:rsidR="00DB4AC9" w:rsidRDefault="00DB4AC9" w:rsidP="00DB4AC9">
      <w:pPr>
        <w:numPr>
          <w:ilvl w:val="0"/>
          <w:numId w:val="8"/>
        </w:numPr>
        <w:spacing w:after="0"/>
        <w:ind w:left="0"/>
        <w:rPr>
          <w:sz w:val="24"/>
          <w:szCs w:val="24"/>
        </w:rPr>
      </w:pPr>
      <w:r>
        <w:rPr>
          <w:sz w:val="24"/>
          <w:szCs w:val="24"/>
        </w:rPr>
        <w:t>Client/Pre-client List</w:t>
      </w:r>
    </w:p>
    <w:p w14:paraId="554074D0" w14:textId="77777777" w:rsidR="00DB4AC9" w:rsidRDefault="00DB4AC9" w:rsidP="00DB4AC9">
      <w:pPr>
        <w:keepNext/>
        <w:spacing w:before="240"/>
      </w:pPr>
      <w:bookmarkStart w:id="238" w:name="_1au1eum" w:colFirst="0" w:colLast="0"/>
      <w:bookmarkEnd w:id="238"/>
      <w:r>
        <w:rPr>
          <w:b/>
          <w:sz w:val="24"/>
          <w:szCs w:val="24"/>
        </w:rPr>
        <w:t>Client Search</w:t>
      </w:r>
    </w:p>
    <w:p w14:paraId="24CE3EAF" w14:textId="77777777" w:rsidR="00DB4AC9" w:rsidRDefault="00DB4AC9" w:rsidP="00DB4AC9">
      <w:pPr>
        <w:jc w:val="both"/>
      </w:pPr>
      <w:r>
        <w:rPr>
          <w:sz w:val="24"/>
          <w:szCs w:val="24"/>
        </w:rPr>
        <w:t>One of the easiest ways to find a client or contact record in Neoserra is by using the search box on the banner to search for client number, contact name, business name, email, etc. to find client, pre-client and contact records. Once you start filling in information it will give you suggestions for the most likely records.</w:t>
      </w:r>
    </w:p>
    <w:p w14:paraId="1747815D" w14:textId="77777777" w:rsidR="00DB4AC9" w:rsidRDefault="00DB4AC9" w:rsidP="00DB4AC9">
      <w:pPr>
        <w:spacing w:after="0"/>
      </w:pPr>
      <w:r>
        <w:rPr>
          <w:noProof/>
        </w:rPr>
        <mc:AlternateContent>
          <mc:Choice Requires="wps">
            <w:drawing>
              <wp:anchor distT="0" distB="0" distL="114300" distR="114300" simplePos="0" relativeHeight="251658248" behindDoc="0" locked="0" layoutInCell="0" hidden="0" allowOverlap="1" wp14:anchorId="2D38F5C4" wp14:editId="7D392822">
                <wp:simplePos x="0" y="0"/>
                <wp:positionH relativeFrom="margin">
                  <wp:posOffset>2082800</wp:posOffset>
                </wp:positionH>
                <wp:positionV relativeFrom="paragraph">
                  <wp:posOffset>101600</wp:posOffset>
                </wp:positionV>
                <wp:extent cx="2933700" cy="622300"/>
                <wp:effectExtent l="0" t="0" r="0" b="0"/>
                <wp:wrapNone/>
                <wp:docPr id="64" name="Oval 64"/>
                <wp:cNvGraphicFramePr/>
                <a:graphic xmlns:a="http://schemas.openxmlformats.org/drawingml/2006/main">
                  <a:graphicData uri="http://schemas.microsoft.com/office/word/2010/wordprocessingShape">
                    <wps:wsp>
                      <wps:cNvSpPr/>
                      <wps:spPr>
                        <a:xfrm>
                          <a:off x="3886453" y="3475200"/>
                          <a:ext cx="2919094" cy="609599"/>
                        </a:xfrm>
                        <a:prstGeom prst="ellipse">
                          <a:avLst/>
                        </a:prstGeom>
                        <a:noFill/>
                        <a:ln w="19050" cap="flat" cmpd="sng">
                          <a:solidFill>
                            <a:srgbClr val="FF0000"/>
                          </a:solidFill>
                          <a:prstDash val="solid"/>
                          <a:round/>
                          <a:headEnd type="none" w="med" len="med"/>
                          <a:tailEnd type="none" w="med" len="med"/>
                        </a:ln>
                      </wps:spPr>
                      <wps:txbx>
                        <w:txbxContent>
                          <w:p w14:paraId="227570A9"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2D38F5C4" id="Oval 64" o:spid="_x0000_s1032" style="position:absolute;margin-left:164pt;margin-top:8pt;width:231pt;height:49pt;z-index:251658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" o:allowincell="f" filled="f" strokecolor="red" strokeweight="1.5pt">
                <v:textbox inset="2.53958mm,2.53958mm,2.53958mm,2.53958mm">
                  <w:txbxContent>
                    <w:p w14:paraId="227570A9" w14:textId="77777777" w:rsidR="00DB4AC9" w:rsidRDefault="00DB4AC9" w:rsidP="00DB4AC9">
                      <w:pPr>
                        <w:spacing w:after="0"/>
                        <w:textDirection w:val="btLr"/>
                      </w:pPr>
                    </w:p>
                  </w:txbxContent>
                </v:textbox>
                <w10:wrap anchorx="margin"/>
              </v:oval>
            </w:pict>
          </mc:Fallback>
        </mc:AlternateContent>
      </w:r>
      <w:r>
        <w:rPr>
          <w:noProof/>
        </w:rPr>
        <w:drawing>
          <wp:anchor distT="0" distB="0" distL="114300" distR="114300" simplePos="0" relativeHeight="251658249" behindDoc="0" locked="0" layoutInCell="0" hidden="0" allowOverlap="1" wp14:anchorId="14C58894" wp14:editId="791562B7">
            <wp:simplePos x="0" y="0"/>
            <wp:positionH relativeFrom="margin">
              <wp:posOffset>-33019</wp:posOffset>
            </wp:positionH>
            <wp:positionV relativeFrom="paragraph">
              <wp:posOffset>73660</wp:posOffset>
            </wp:positionV>
            <wp:extent cx="6286500" cy="2120265"/>
            <wp:effectExtent l="0" t="0" r="0" b="0"/>
            <wp:wrapSquare wrapText="bothSides" distT="0" distB="0" distL="114300" distR="114300"/>
            <wp:docPr id="1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8"/>
                    <a:srcRect t="5418" r="46399" b="72000"/>
                    <a:stretch>
                      <a:fillRect/>
                    </a:stretch>
                  </pic:blipFill>
                  <pic:spPr>
                    <a:xfrm>
                      <a:off x="0" y="0"/>
                      <a:ext cx="6286500" cy="2120265"/>
                    </a:xfrm>
                    <a:prstGeom prst="rect">
                      <a:avLst/>
                    </a:prstGeom>
                    <a:ln/>
                  </pic:spPr>
                </pic:pic>
              </a:graphicData>
            </a:graphic>
          </wp:anchor>
        </w:drawing>
      </w:r>
    </w:p>
    <w:p w14:paraId="2D3A92B2" w14:textId="77777777" w:rsidR="00DB4AC9" w:rsidRDefault="00DB4AC9" w:rsidP="00DB4AC9">
      <w:pPr>
        <w:spacing w:after="0"/>
      </w:pPr>
      <w:r>
        <w:rPr>
          <w:sz w:val="24"/>
          <w:szCs w:val="24"/>
        </w:rPr>
        <w:t xml:space="preserve">When you press the enter key it will give you all similar results </w:t>
      </w:r>
      <w:proofErr w:type="gramStart"/>
      <w:r>
        <w:rPr>
          <w:sz w:val="24"/>
          <w:szCs w:val="24"/>
        </w:rPr>
        <w:t>include</w:t>
      </w:r>
      <w:proofErr w:type="gramEnd"/>
      <w:r>
        <w:rPr>
          <w:sz w:val="24"/>
          <w:szCs w:val="24"/>
        </w:rPr>
        <w:t xml:space="preserve"> client and pre-client records, contacts and even consultants.</w:t>
      </w:r>
    </w:p>
    <w:p w14:paraId="3B1A7C33" w14:textId="77777777" w:rsidR="00DB4AC9" w:rsidRDefault="00DB4AC9" w:rsidP="00DB4AC9">
      <w:pPr>
        <w:spacing w:after="0"/>
      </w:pPr>
    </w:p>
    <w:p w14:paraId="021B7996" w14:textId="77777777" w:rsidR="00DB4AC9" w:rsidRDefault="00DB4AC9" w:rsidP="00DB4AC9">
      <w:r>
        <w:br w:type="page"/>
      </w:r>
    </w:p>
    <w:p w14:paraId="731426C9" w14:textId="77777777" w:rsidR="00DB4AC9" w:rsidRDefault="00DB4AC9" w:rsidP="00DB4AC9">
      <w:pPr>
        <w:keepNext/>
        <w:spacing w:before="240"/>
      </w:pPr>
      <w:bookmarkStart w:id="239" w:name="_3utoxif" w:colFirst="0" w:colLast="0"/>
      <w:bookmarkEnd w:id="239"/>
      <w:r>
        <w:rPr>
          <w:rFonts w:ascii="Arial" w:eastAsia="Arial" w:hAnsi="Arial" w:cs="Arial"/>
          <w:b/>
          <w:sz w:val="24"/>
          <w:szCs w:val="24"/>
        </w:rPr>
        <w:lastRenderedPageBreak/>
        <w:t>Client/Pre-client List</w:t>
      </w:r>
      <w:r>
        <w:rPr>
          <w:noProof/>
        </w:rPr>
        <w:drawing>
          <wp:anchor distT="0" distB="0" distL="114300" distR="114300" simplePos="0" relativeHeight="251658250" behindDoc="0" locked="0" layoutInCell="0" hidden="0" allowOverlap="1" wp14:anchorId="4478F539" wp14:editId="6F647787">
            <wp:simplePos x="0" y="0"/>
            <wp:positionH relativeFrom="margin">
              <wp:posOffset>485775</wp:posOffset>
            </wp:positionH>
            <wp:positionV relativeFrom="paragraph">
              <wp:posOffset>5080</wp:posOffset>
            </wp:positionV>
            <wp:extent cx="4972050" cy="2686050"/>
            <wp:effectExtent l="0" t="0" r="0" b="0"/>
            <wp:wrapSquare wrapText="bothSides" distT="0" distB="0" distL="114300" distR="114300"/>
            <wp:docPr id="1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9"/>
                    <a:srcRect t="13200" r="58240" b="58600"/>
                    <a:stretch>
                      <a:fillRect/>
                    </a:stretch>
                  </pic:blipFill>
                  <pic:spPr>
                    <a:xfrm>
                      <a:off x="0" y="0"/>
                      <a:ext cx="4972050" cy="2686050"/>
                    </a:xfrm>
                    <a:prstGeom prst="rect">
                      <a:avLst/>
                    </a:prstGeom>
                    <a:ln/>
                  </pic:spPr>
                </pic:pic>
              </a:graphicData>
            </a:graphic>
          </wp:anchor>
        </w:drawing>
      </w:r>
    </w:p>
    <w:p w14:paraId="6720EF2C" w14:textId="77777777" w:rsidR="00DB4AC9" w:rsidRDefault="00DB4AC9" w:rsidP="00DB4AC9">
      <w:pPr>
        <w:jc w:val="both"/>
      </w:pPr>
      <w:r>
        <w:rPr>
          <w:sz w:val="24"/>
          <w:szCs w:val="24"/>
        </w:rPr>
        <w:t>You can also use the Client/Pre-client list to browse for clients. The list is sortable by client ID, company name, etc.</w:t>
      </w:r>
    </w:p>
    <w:p w14:paraId="75844904" w14:textId="77777777" w:rsidR="00DB4AC9" w:rsidRDefault="00DB4AC9" w:rsidP="00DB4AC9">
      <w:pPr>
        <w:spacing w:after="0"/>
      </w:pPr>
    </w:p>
    <w:p w14:paraId="6EF21D14" w14:textId="77777777" w:rsidR="00DB4AC9" w:rsidRDefault="00DB4AC9" w:rsidP="00DB4AC9">
      <w:pPr>
        <w:spacing w:after="0"/>
      </w:pPr>
      <w:r>
        <w:rPr>
          <w:sz w:val="24"/>
          <w:szCs w:val="24"/>
        </w:rPr>
        <w:t xml:space="preserve"> </w:t>
      </w:r>
      <w:r>
        <w:rPr>
          <w:noProof/>
        </w:rPr>
        <w:drawing>
          <wp:inline distT="0" distB="0" distL="0" distR="0" wp14:anchorId="7C4A5E7D" wp14:editId="4C17E9B4">
            <wp:extent cx="6172200" cy="3495675"/>
            <wp:effectExtent l="0" t="0" r="0" b="0"/>
            <wp:docPr id="1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0"/>
                    <a:srcRect r="48319" b="63400"/>
                    <a:stretch>
                      <a:fillRect/>
                    </a:stretch>
                  </pic:blipFill>
                  <pic:spPr>
                    <a:xfrm>
                      <a:off x="0" y="0"/>
                      <a:ext cx="6172200" cy="3495675"/>
                    </a:xfrm>
                    <a:prstGeom prst="rect">
                      <a:avLst/>
                    </a:prstGeom>
                    <a:ln/>
                  </pic:spPr>
                </pic:pic>
              </a:graphicData>
            </a:graphic>
          </wp:inline>
        </w:drawing>
      </w:r>
      <w:r>
        <w:rPr>
          <w:noProof/>
        </w:rPr>
        <mc:AlternateContent>
          <mc:Choice Requires="wps">
            <w:drawing>
              <wp:anchor distT="0" distB="0" distL="114300" distR="114300" simplePos="0" relativeHeight="251658251" behindDoc="0" locked="0" layoutInCell="0" hidden="0" allowOverlap="1" wp14:anchorId="4C6D87D0" wp14:editId="21002635">
                <wp:simplePos x="0" y="0"/>
                <wp:positionH relativeFrom="margin">
                  <wp:posOffset>660400</wp:posOffset>
                </wp:positionH>
                <wp:positionV relativeFrom="paragraph">
                  <wp:posOffset>1270000</wp:posOffset>
                </wp:positionV>
                <wp:extent cx="1282700" cy="304800"/>
                <wp:effectExtent l="0" t="0" r="0" b="0"/>
                <wp:wrapNone/>
                <wp:docPr id="67" name="Oval 67"/>
                <wp:cNvGraphicFramePr/>
                <a:graphic xmlns:a="http://schemas.openxmlformats.org/drawingml/2006/main">
                  <a:graphicData uri="http://schemas.microsoft.com/office/word/2010/wordprocessingShape">
                    <wps:wsp>
                      <wps:cNvSpPr/>
                      <wps:spPr>
                        <a:xfrm>
                          <a:off x="4710364" y="3632680"/>
                          <a:ext cx="1271269" cy="294639"/>
                        </a:xfrm>
                        <a:prstGeom prst="ellipse">
                          <a:avLst/>
                        </a:prstGeom>
                        <a:noFill/>
                        <a:ln w="19050" cap="flat" cmpd="sng">
                          <a:solidFill>
                            <a:srgbClr val="FF0000"/>
                          </a:solidFill>
                          <a:prstDash val="solid"/>
                          <a:round/>
                          <a:headEnd type="none" w="med" len="med"/>
                          <a:tailEnd type="none" w="med" len="med"/>
                        </a:ln>
                      </wps:spPr>
                      <wps:txbx>
                        <w:txbxContent>
                          <w:p w14:paraId="734526F3"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4C6D87D0" id="Oval 67" o:spid="_x0000_s1033" style="position:absolute;margin-left:52pt;margin-top:100pt;width:101pt;height:24pt;z-index:25165825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" o:allowincell="f" filled="f" strokecolor="red" strokeweight="1.5pt">
                <v:textbox inset="2.53958mm,2.53958mm,2.53958mm,2.53958mm">
                  <w:txbxContent>
                    <w:p w14:paraId="734526F3" w14:textId="77777777" w:rsidR="00DB4AC9" w:rsidRDefault="00DB4AC9" w:rsidP="00DB4AC9">
                      <w:pPr>
                        <w:spacing w:after="0"/>
                        <w:textDirection w:val="btLr"/>
                      </w:pPr>
                    </w:p>
                  </w:txbxContent>
                </v:textbox>
                <w10:wrap anchorx="margin"/>
              </v:oval>
            </w:pict>
          </mc:Fallback>
        </mc:AlternateContent>
      </w:r>
    </w:p>
    <w:p w14:paraId="59528791" w14:textId="77777777" w:rsidR="00DB4AC9" w:rsidRDefault="00DB4AC9" w:rsidP="00DB4AC9">
      <w:pPr>
        <w:keepNext/>
        <w:spacing w:after="180"/>
      </w:pPr>
    </w:p>
    <w:p w14:paraId="4E27B6E4" w14:textId="77777777" w:rsidR="00DB4AC9" w:rsidRDefault="00DB4AC9" w:rsidP="00DB4AC9">
      <w:pPr>
        <w:keepNext/>
        <w:spacing w:after="180"/>
      </w:pPr>
      <w:bookmarkStart w:id="240" w:name="_29yz7q8" w:colFirst="0" w:colLast="0"/>
      <w:bookmarkEnd w:id="240"/>
      <w:r>
        <w:rPr>
          <w:b/>
          <w:sz w:val="32"/>
          <w:szCs w:val="32"/>
        </w:rPr>
        <w:t>Client Details</w:t>
      </w:r>
    </w:p>
    <w:p w14:paraId="64A03446" w14:textId="77777777" w:rsidR="00DB4AC9" w:rsidRDefault="00DB4AC9" w:rsidP="00DB4AC9">
      <w:pPr>
        <w:jc w:val="both"/>
      </w:pPr>
      <w:r>
        <w:rPr>
          <w:sz w:val="24"/>
          <w:szCs w:val="24"/>
        </w:rPr>
        <w:t xml:space="preserve">Once you have found the client you are looking for, click on their client ID number or company name to open the client detail page. From here you can view all the contact and business information for that client. On the </w:t>
      </w:r>
      <w:proofErr w:type="gramStart"/>
      <w:r>
        <w:rPr>
          <w:sz w:val="24"/>
          <w:szCs w:val="24"/>
        </w:rPr>
        <w:t>right hand</w:t>
      </w:r>
      <w:proofErr w:type="gramEnd"/>
      <w:r>
        <w:rPr>
          <w:sz w:val="24"/>
          <w:szCs w:val="24"/>
        </w:rPr>
        <w:t xml:space="preserve"> side of the screen you can see a summary of the client’s active history.</w:t>
      </w:r>
    </w:p>
    <w:p w14:paraId="71024D66" w14:textId="77777777" w:rsidR="00DB4AC9" w:rsidRDefault="00DB4AC9" w:rsidP="00DB4AC9">
      <w:pPr>
        <w:jc w:val="both"/>
      </w:pPr>
      <w:r>
        <w:rPr>
          <w:sz w:val="24"/>
          <w:szCs w:val="24"/>
        </w:rPr>
        <w:t xml:space="preserve">All MnSBDC consultants should </w:t>
      </w:r>
      <w:proofErr w:type="gramStart"/>
      <w:r>
        <w:rPr>
          <w:sz w:val="24"/>
          <w:szCs w:val="24"/>
        </w:rPr>
        <w:t>have the permissions</w:t>
      </w:r>
      <w:proofErr w:type="gramEnd"/>
      <w:r>
        <w:rPr>
          <w:sz w:val="24"/>
          <w:szCs w:val="24"/>
        </w:rPr>
        <w:t xml:space="preserve"> to edit the client detail page for all clients that are assigned to their host center. If you do not, contact your program coordinator. </w:t>
      </w:r>
    </w:p>
    <w:p w14:paraId="00603872" w14:textId="77777777" w:rsidR="00DB4AC9" w:rsidRDefault="00DB4AC9" w:rsidP="00DB4AC9">
      <w:pPr>
        <w:jc w:val="both"/>
      </w:pPr>
      <w:r>
        <w:rPr>
          <w:sz w:val="24"/>
          <w:szCs w:val="24"/>
        </w:rPr>
        <w:t>Consultants are responsible for the following:</w:t>
      </w:r>
    </w:p>
    <w:p w14:paraId="06622098" w14:textId="77777777" w:rsidR="00DB4AC9" w:rsidRDefault="00DB4AC9" w:rsidP="00DB4AC9">
      <w:pPr>
        <w:numPr>
          <w:ilvl w:val="0"/>
          <w:numId w:val="8"/>
        </w:numPr>
        <w:spacing w:after="0"/>
        <w:ind w:hanging="360"/>
        <w:jc w:val="both"/>
        <w:rPr>
          <w:sz w:val="24"/>
          <w:szCs w:val="24"/>
        </w:rPr>
      </w:pPr>
      <w:r>
        <w:rPr>
          <w:sz w:val="24"/>
          <w:szCs w:val="24"/>
        </w:rPr>
        <w:t>Recordin</w:t>
      </w:r>
      <w:hyperlink w:anchor="_2qk79lc">
        <w:r>
          <w:rPr>
            <w:sz w:val="24"/>
            <w:szCs w:val="24"/>
          </w:rPr>
          <w:t xml:space="preserve">g </w:t>
        </w:r>
      </w:hyperlink>
      <w:hyperlink w:anchor="_2qk79lc">
        <w:r>
          <w:rPr>
            <w:color w:val="0000FF"/>
            <w:sz w:val="24"/>
            <w:szCs w:val="24"/>
            <w:u w:val="single"/>
          </w:rPr>
          <w:t>consulting session</w:t>
        </w:r>
      </w:hyperlink>
      <w:hyperlink w:anchor="_Adding_an_Activity">
        <w:r>
          <w:rPr>
            <w:color w:val="0000FF"/>
            <w:sz w:val="24"/>
            <w:szCs w:val="24"/>
            <w:u w:val="single"/>
          </w:rPr>
          <w:t>s</w:t>
        </w:r>
      </w:hyperlink>
      <w:r>
        <w:rPr>
          <w:sz w:val="24"/>
          <w:szCs w:val="24"/>
        </w:rPr>
        <w:t xml:space="preserve"> and time diligently, and writing sufficient notes to justify the time spent and well as informing consultants who may continue services with the client in the future. Refer to the sectio</w:t>
      </w:r>
      <w:hyperlink w:anchor="_2qk79lc">
        <w:r>
          <w:rPr>
            <w:sz w:val="24"/>
            <w:szCs w:val="24"/>
          </w:rPr>
          <w:t xml:space="preserve">n </w:t>
        </w:r>
      </w:hyperlink>
      <w:hyperlink w:anchor="_2qk79lc">
        <w:r>
          <w:rPr>
            <w:color w:val="0000FF"/>
            <w:sz w:val="24"/>
            <w:szCs w:val="24"/>
            <w:u w:val="single"/>
          </w:rPr>
          <w:t>examples of client narrative write up</w:t>
        </w:r>
      </w:hyperlink>
      <w:hyperlink w:anchor="_Examples_of_Client">
        <w:r>
          <w:rPr>
            <w:color w:val="0000FF"/>
            <w:sz w:val="24"/>
            <w:szCs w:val="24"/>
            <w:u w:val="single"/>
          </w:rPr>
          <w:t>s</w:t>
        </w:r>
      </w:hyperlink>
      <w:r>
        <w:rPr>
          <w:sz w:val="24"/>
          <w:szCs w:val="24"/>
        </w:rPr>
        <w:t xml:space="preserve"> for samples.</w:t>
      </w:r>
    </w:p>
    <w:p w14:paraId="7D891D04" w14:textId="77777777" w:rsidR="00DB4AC9" w:rsidRDefault="00DB4AC9" w:rsidP="00DB4AC9">
      <w:pPr>
        <w:numPr>
          <w:ilvl w:val="0"/>
          <w:numId w:val="8"/>
        </w:numPr>
        <w:spacing w:after="0"/>
        <w:ind w:hanging="360"/>
        <w:jc w:val="both"/>
        <w:rPr>
          <w:sz w:val="24"/>
          <w:szCs w:val="24"/>
        </w:rPr>
      </w:pPr>
      <w:r>
        <w:rPr>
          <w:sz w:val="24"/>
          <w:szCs w:val="24"/>
        </w:rPr>
        <w:t>Verifying/updating your clients’ and contact information regularly to ensure data integrity. Please refer to the chart o</w:t>
      </w:r>
      <w:hyperlink w:anchor="_2qk79lc">
        <w:r>
          <w:rPr>
            <w:sz w:val="24"/>
            <w:szCs w:val="24"/>
          </w:rPr>
          <w:t xml:space="preserve">f </w:t>
        </w:r>
      </w:hyperlink>
      <w:hyperlink w:anchor="_2qk79lc">
        <w:r>
          <w:rPr>
            <w:color w:val="0000FF"/>
            <w:sz w:val="24"/>
            <w:szCs w:val="24"/>
            <w:u w:val="single"/>
          </w:rPr>
          <w:t>client field definition</w:t>
        </w:r>
      </w:hyperlink>
      <w:hyperlink w:anchor="_Client_Field_Definitions">
        <w:r>
          <w:rPr>
            <w:color w:val="0000FF"/>
            <w:sz w:val="24"/>
            <w:szCs w:val="24"/>
            <w:u w:val="single"/>
          </w:rPr>
          <w:t>s</w:t>
        </w:r>
      </w:hyperlink>
      <w:r>
        <w:rPr>
          <w:sz w:val="24"/>
          <w:szCs w:val="24"/>
        </w:rPr>
        <w:t xml:space="preserve">. </w:t>
      </w:r>
    </w:p>
    <w:p w14:paraId="102B1AB4" w14:textId="77777777" w:rsidR="00DB4AC9" w:rsidRDefault="00DB4AC9" w:rsidP="00DB4AC9">
      <w:pPr>
        <w:numPr>
          <w:ilvl w:val="0"/>
          <w:numId w:val="8"/>
        </w:numPr>
        <w:spacing w:after="0"/>
        <w:ind w:hanging="360"/>
        <w:jc w:val="both"/>
        <w:rPr>
          <w:sz w:val="24"/>
          <w:szCs w:val="24"/>
        </w:rPr>
      </w:pPr>
      <w:r>
        <w:rPr>
          <w:sz w:val="24"/>
          <w:szCs w:val="24"/>
        </w:rPr>
        <w:t xml:space="preserve">Recording changes to their clients’ status and adding </w:t>
      </w:r>
      <w:r>
        <w:rPr>
          <w:color w:val="0000FF"/>
          <w:sz w:val="24"/>
          <w:szCs w:val="24"/>
          <w:u w:val="single"/>
        </w:rPr>
        <w:t>milestone record</w:t>
      </w:r>
      <w:hyperlink w:anchor="_Milestones">
        <w:r>
          <w:rPr>
            <w:color w:val="0000FF"/>
            <w:sz w:val="24"/>
            <w:szCs w:val="24"/>
            <w:u w:val="single"/>
          </w:rPr>
          <w:t>s</w:t>
        </w:r>
      </w:hyperlink>
      <w:r>
        <w:rPr>
          <w:sz w:val="24"/>
          <w:szCs w:val="24"/>
        </w:rPr>
        <w:t xml:space="preserve"> (such as businesses </w:t>
      </w:r>
      <w:proofErr w:type="gramStart"/>
      <w:r>
        <w:rPr>
          <w:sz w:val="24"/>
          <w:szCs w:val="24"/>
        </w:rPr>
        <w:t>started/bought,</w:t>
      </w:r>
      <w:proofErr w:type="gramEnd"/>
      <w:r>
        <w:rPr>
          <w:sz w:val="24"/>
          <w:szCs w:val="24"/>
        </w:rPr>
        <w:t xml:space="preserve"> changes in number of employees, investment packages completed/closed, awards won and other relevant milestone accomplishments). If you are unsure about how to enter a particular piece of data, please check with your program coordinator to make sure you </w:t>
      </w:r>
      <w:proofErr w:type="gramStart"/>
      <w:r>
        <w:rPr>
          <w:sz w:val="24"/>
          <w:szCs w:val="24"/>
        </w:rPr>
        <w:t>are entering</w:t>
      </w:r>
      <w:proofErr w:type="gramEnd"/>
      <w:r>
        <w:rPr>
          <w:sz w:val="24"/>
          <w:szCs w:val="24"/>
        </w:rPr>
        <w:t xml:space="preserve"> information correctly.</w:t>
      </w:r>
    </w:p>
    <w:p w14:paraId="60AC1C78" w14:textId="77777777" w:rsidR="00DB4AC9" w:rsidRDefault="00DB4AC9" w:rsidP="00DB4AC9">
      <w:pPr>
        <w:ind w:left="720"/>
        <w:jc w:val="both"/>
      </w:pPr>
    </w:p>
    <w:p w14:paraId="45CD0075" w14:textId="77777777" w:rsidR="00DB4AC9" w:rsidRDefault="00DB4AC9" w:rsidP="00DB4AC9">
      <w:pPr>
        <w:spacing w:after="0"/>
      </w:pPr>
      <w:r>
        <w:rPr>
          <w:noProof/>
        </w:rPr>
        <w:lastRenderedPageBreak/>
        <w:drawing>
          <wp:inline distT="0" distB="0" distL="0" distR="0" wp14:anchorId="1DC68B75" wp14:editId="64E0D6ED">
            <wp:extent cx="5953125" cy="4762500"/>
            <wp:effectExtent l="0" t="0" r="0" b="0"/>
            <wp:docPr id="1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1"/>
                    <a:srcRect/>
                    <a:stretch>
                      <a:fillRect/>
                    </a:stretch>
                  </pic:blipFill>
                  <pic:spPr>
                    <a:xfrm>
                      <a:off x="0" y="0"/>
                      <a:ext cx="5953125" cy="4762500"/>
                    </a:xfrm>
                    <a:prstGeom prst="rect">
                      <a:avLst/>
                    </a:prstGeom>
                    <a:ln/>
                  </pic:spPr>
                </pic:pic>
              </a:graphicData>
            </a:graphic>
          </wp:inline>
        </w:drawing>
      </w:r>
      <w:r>
        <w:rPr>
          <w:sz w:val="24"/>
          <w:szCs w:val="24"/>
        </w:rPr>
        <w:tab/>
      </w:r>
      <w:r>
        <w:rPr>
          <w:noProof/>
        </w:rPr>
        <mc:AlternateContent>
          <mc:Choice Requires="wps">
            <w:drawing>
              <wp:anchor distT="0" distB="0" distL="114300" distR="114300" simplePos="0" relativeHeight="251658252" behindDoc="0" locked="0" layoutInCell="0" hidden="0" allowOverlap="1" wp14:anchorId="20A2309E" wp14:editId="092FF42B">
                <wp:simplePos x="0" y="0"/>
                <wp:positionH relativeFrom="margin">
                  <wp:posOffset>4330700</wp:posOffset>
                </wp:positionH>
                <wp:positionV relativeFrom="paragraph">
                  <wp:posOffset>1498600</wp:posOffset>
                </wp:positionV>
                <wp:extent cx="1536700" cy="1104900"/>
                <wp:effectExtent l="0" t="0" r="0" b="0"/>
                <wp:wrapNone/>
                <wp:docPr id="74" name="Rectangle 74"/>
                <wp:cNvGraphicFramePr/>
                <a:graphic xmlns:a="http://schemas.openxmlformats.org/drawingml/2006/main">
                  <a:graphicData uri="http://schemas.microsoft.com/office/word/2010/wordprocessingShape">
                    <wps:wsp>
                      <wps:cNvSpPr/>
                      <wps:spPr>
                        <a:xfrm>
                          <a:off x="4587175" y="3239298"/>
                          <a:ext cx="1517650" cy="1081404"/>
                        </a:xfrm>
                        <a:prstGeom prst="rect">
                          <a:avLst/>
                        </a:prstGeom>
                        <a:noFill/>
                        <a:ln w="28575" cap="flat" cmpd="sng">
                          <a:solidFill>
                            <a:srgbClr val="FF0000"/>
                          </a:solidFill>
                          <a:prstDash val="solid"/>
                          <a:miter/>
                          <a:headEnd type="none" w="med" len="med"/>
                          <a:tailEnd type="none" w="med" len="med"/>
                        </a:ln>
                      </wps:spPr>
                      <wps:txbx>
                        <w:txbxContent>
                          <w:p w14:paraId="3A445723"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rect w14:anchorId="20A2309E" id="Rectangle 74" o:spid="_x0000_s1034" style="position:absolute;margin-left:341pt;margin-top:118pt;width:121pt;height:87pt;z-index:2516582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" o:allowincell="f" filled="f" strokecolor="red" strokeweight="2.25pt">
                <v:textbox inset="2.53958mm,2.53958mm,2.53958mm,2.53958mm">
                  <w:txbxContent>
                    <w:p w14:paraId="3A445723" w14:textId="77777777" w:rsidR="00DB4AC9" w:rsidRDefault="00DB4AC9" w:rsidP="00DB4AC9">
                      <w:pPr>
                        <w:spacing w:after="0"/>
                        <w:textDirection w:val="btLr"/>
                      </w:pPr>
                    </w:p>
                  </w:txbxContent>
                </v:textbox>
                <w10:wrap anchorx="margin"/>
              </v:rect>
            </w:pict>
          </mc:Fallback>
        </mc:AlternateContent>
      </w:r>
      <w:r>
        <w:rPr>
          <w:noProof/>
        </w:rPr>
        <mc:AlternateContent>
          <mc:Choice Requires="wps">
            <w:drawing>
              <wp:anchor distT="0" distB="0" distL="114300" distR="114300" simplePos="0" relativeHeight="251658253" behindDoc="0" locked="0" layoutInCell="0" hidden="0" allowOverlap="1" wp14:anchorId="0FB6D623" wp14:editId="7441BF40">
                <wp:simplePos x="0" y="0"/>
                <wp:positionH relativeFrom="margin">
                  <wp:posOffset>1981200</wp:posOffset>
                </wp:positionH>
                <wp:positionV relativeFrom="paragraph">
                  <wp:posOffset>1320800</wp:posOffset>
                </wp:positionV>
                <wp:extent cx="2273300" cy="292100"/>
                <wp:effectExtent l="0" t="0" r="0" b="0"/>
                <wp:wrapNone/>
                <wp:docPr id="72" name="Rectangle 72"/>
                <wp:cNvGraphicFramePr/>
                <a:graphic xmlns:a="http://schemas.openxmlformats.org/drawingml/2006/main">
                  <a:graphicData uri="http://schemas.microsoft.com/office/word/2010/wordprocessingShape">
                    <wps:wsp>
                      <wps:cNvSpPr/>
                      <wps:spPr>
                        <a:xfrm>
                          <a:off x="4209032" y="3636807"/>
                          <a:ext cx="2273934" cy="286384"/>
                        </a:xfrm>
                        <a:prstGeom prst="rect">
                          <a:avLst/>
                        </a:prstGeom>
                        <a:noFill/>
                        <a:ln>
                          <a:noFill/>
                        </a:ln>
                      </wps:spPr>
                      <wps:txbx>
                        <w:txbxContent>
                          <w:p w14:paraId="3DB4F9EC" w14:textId="77777777" w:rsidR="00DB4AC9" w:rsidRDefault="00DB4AC9" w:rsidP="00DB4AC9">
                            <w:pPr>
                              <w:jc w:val="right"/>
                              <w:textDirection w:val="btLr"/>
                            </w:pPr>
                            <w:r>
                              <w:rPr>
                                <w:b/>
                                <w:color w:val="FF0000"/>
                              </w:rPr>
                              <w:t>Client Information (use tabs)</w:t>
                            </w:r>
                          </w:p>
                        </w:txbxContent>
                      </wps:txbx>
                      <wps:bodyPr lIns="91425" tIns="45700" rIns="91425" bIns="45700" anchor="t" anchorCtr="0"/>
                    </wps:wsp>
                  </a:graphicData>
                </a:graphic>
              </wp:anchor>
            </w:drawing>
          </mc:Choice>
          <mc:Fallback>
            <w:pict>
              <v:rect w14:anchorId="0FB6D623" id="Rectangle 72" o:spid="_x0000_s1035" style="position:absolute;margin-left:156pt;margin-top:104pt;width:179pt;height:23pt;z-index:25165825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" o:allowincell="f" filled="f" stroked="f">
                <v:textbox inset="2.53958mm,1.2694mm,2.53958mm,1.2694mm">
                  <w:txbxContent>
                    <w:p w14:paraId="3DB4F9EC" w14:textId="77777777" w:rsidR="00DB4AC9" w:rsidRDefault="00DB4AC9" w:rsidP="00DB4AC9">
                      <w:pPr>
                        <w:jc w:val="right"/>
                        <w:textDirection w:val="btLr"/>
                      </w:pPr>
                      <w:r>
                        <w:rPr>
                          <w:b/>
                          <w:color w:val="FF0000"/>
                        </w:rPr>
                        <w:t>Client Information (use tabs)</w:t>
                      </w:r>
                    </w:p>
                  </w:txbxContent>
                </v:textbox>
                <w10:wrap anchorx="margin"/>
              </v:rect>
            </w:pict>
          </mc:Fallback>
        </mc:AlternateContent>
      </w:r>
      <w:r>
        <w:rPr>
          <w:noProof/>
        </w:rPr>
        <mc:AlternateContent>
          <mc:Choice Requires="wps">
            <w:drawing>
              <wp:anchor distT="0" distB="0" distL="114300" distR="114300" simplePos="0" relativeHeight="251658254" behindDoc="0" locked="0" layoutInCell="0" hidden="0" allowOverlap="1" wp14:anchorId="1952DF7B" wp14:editId="1B543473">
                <wp:simplePos x="0" y="0"/>
                <wp:positionH relativeFrom="margin">
                  <wp:posOffset>2971800</wp:posOffset>
                </wp:positionH>
                <wp:positionV relativeFrom="paragraph">
                  <wp:posOffset>4254500</wp:posOffset>
                </wp:positionV>
                <wp:extent cx="1270000" cy="292100"/>
                <wp:effectExtent l="0" t="0" r="0" b="0"/>
                <wp:wrapNone/>
                <wp:docPr id="73" name="Rectangle 73"/>
                <wp:cNvGraphicFramePr/>
                <a:graphic xmlns:a="http://schemas.openxmlformats.org/drawingml/2006/main">
                  <a:graphicData uri="http://schemas.microsoft.com/office/word/2010/wordprocessingShape">
                    <wps:wsp>
                      <wps:cNvSpPr/>
                      <wps:spPr>
                        <a:xfrm>
                          <a:off x="4711635" y="3636807"/>
                          <a:ext cx="1268730" cy="286384"/>
                        </a:xfrm>
                        <a:prstGeom prst="rect">
                          <a:avLst/>
                        </a:prstGeom>
                        <a:noFill/>
                        <a:ln>
                          <a:noFill/>
                        </a:ln>
                      </wps:spPr>
                      <wps:txbx>
                        <w:txbxContent>
                          <w:p w14:paraId="782AE72D" w14:textId="77777777" w:rsidR="00DB4AC9" w:rsidRDefault="00DB4AC9" w:rsidP="00DB4AC9">
                            <w:pPr>
                              <w:jc w:val="right"/>
                              <w:textDirection w:val="btLr"/>
                            </w:pPr>
                            <w:r>
                              <w:rPr>
                                <w:b/>
                                <w:color w:val="FF0000"/>
                              </w:rPr>
                              <w:t>Client Activities</w:t>
                            </w:r>
                          </w:p>
                        </w:txbxContent>
                      </wps:txbx>
                      <wps:bodyPr lIns="91425" tIns="45700" rIns="91425" bIns="45700" anchor="t" anchorCtr="0"/>
                    </wps:wsp>
                  </a:graphicData>
                </a:graphic>
              </wp:anchor>
            </w:drawing>
          </mc:Choice>
          <mc:Fallback>
            <w:pict>
              <v:rect w14:anchorId="1952DF7B" id="Rectangle 73" o:spid="_x0000_s1036" style="position:absolute;margin-left:234pt;margin-top:335pt;width:100pt;height:23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" o:allowincell="f" filled="f" stroked="f">
                <v:textbox inset="2.53958mm,1.2694mm,2.53958mm,1.2694mm">
                  <w:txbxContent>
                    <w:p w14:paraId="782AE72D" w14:textId="77777777" w:rsidR="00DB4AC9" w:rsidRDefault="00DB4AC9" w:rsidP="00DB4AC9">
                      <w:pPr>
                        <w:jc w:val="right"/>
                        <w:textDirection w:val="btLr"/>
                      </w:pPr>
                      <w:r>
                        <w:rPr>
                          <w:b/>
                          <w:color w:val="FF0000"/>
                        </w:rPr>
                        <w:t>Client Activities</w:t>
                      </w:r>
                    </w:p>
                  </w:txbxContent>
                </v:textbox>
                <w10:wrap anchorx="margin"/>
              </v:rect>
            </w:pict>
          </mc:Fallback>
        </mc:AlternateContent>
      </w:r>
      <w:r>
        <w:rPr>
          <w:noProof/>
        </w:rPr>
        <mc:AlternateContent>
          <mc:Choice Requires="wps">
            <w:drawing>
              <wp:anchor distT="0" distB="0" distL="114300" distR="114300" simplePos="0" relativeHeight="251658255" behindDoc="0" locked="0" layoutInCell="0" hidden="0" allowOverlap="1" wp14:anchorId="086CCD30" wp14:editId="510860C3">
                <wp:simplePos x="0" y="0"/>
                <wp:positionH relativeFrom="margin">
                  <wp:posOffset>0</wp:posOffset>
                </wp:positionH>
                <wp:positionV relativeFrom="paragraph">
                  <wp:posOffset>660400</wp:posOffset>
                </wp:positionV>
                <wp:extent cx="4254500" cy="952500"/>
                <wp:effectExtent l="0" t="0" r="0" b="0"/>
                <wp:wrapNone/>
                <wp:docPr id="70" name="Rectangle 70"/>
                <wp:cNvGraphicFramePr/>
                <a:graphic xmlns:a="http://schemas.openxmlformats.org/drawingml/2006/main">
                  <a:graphicData uri="http://schemas.microsoft.com/office/word/2010/wordprocessingShape">
                    <wps:wsp>
                      <wps:cNvSpPr/>
                      <wps:spPr>
                        <a:xfrm>
                          <a:off x="3227005" y="3315814"/>
                          <a:ext cx="4237990" cy="928370"/>
                        </a:xfrm>
                        <a:prstGeom prst="rect">
                          <a:avLst/>
                        </a:prstGeom>
                        <a:noFill/>
                        <a:ln w="28575" cap="flat" cmpd="sng">
                          <a:solidFill>
                            <a:srgbClr val="FF0000"/>
                          </a:solidFill>
                          <a:prstDash val="solid"/>
                          <a:miter/>
                          <a:headEnd type="none" w="med" len="med"/>
                          <a:tailEnd type="none" w="med" len="med"/>
                        </a:ln>
                      </wps:spPr>
                      <wps:txbx>
                        <w:txbxContent>
                          <w:p w14:paraId="3EE49629"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rect w14:anchorId="086CCD30" id="Rectangle 70" o:spid="_x0000_s1037" style="position:absolute;margin-left:0;margin-top:52pt;width:335pt;height:75pt;z-index:25165825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" o:allowincell="f" filled="f" strokecolor="red" strokeweight="2.25pt">
                <v:textbox inset="2.53958mm,2.53958mm,2.53958mm,2.53958mm">
                  <w:txbxContent>
                    <w:p w14:paraId="3EE49629" w14:textId="77777777" w:rsidR="00DB4AC9" w:rsidRDefault="00DB4AC9" w:rsidP="00DB4AC9">
                      <w:pPr>
                        <w:spacing w:after="0"/>
                        <w:textDirection w:val="btLr"/>
                      </w:pPr>
                    </w:p>
                  </w:txbxContent>
                </v:textbox>
                <w10:wrap anchorx="margin"/>
              </v:rect>
            </w:pict>
          </mc:Fallback>
        </mc:AlternateContent>
      </w:r>
      <w:r>
        <w:rPr>
          <w:noProof/>
        </w:rPr>
        <mc:AlternateContent>
          <mc:Choice Requires="wps">
            <w:drawing>
              <wp:anchor distT="0" distB="0" distL="114300" distR="114300" simplePos="0" relativeHeight="251658256" behindDoc="0" locked="0" layoutInCell="0" hidden="0" allowOverlap="1" wp14:anchorId="4974E6C4" wp14:editId="24C5C373">
                <wp:simplePos x="0" y="0"/>
                <wp:positionH relativeFrom="margin">
                  <wp:posOffset>2565400</wp:posOffset>
                </wp:positionH>
                <wp:positionV relativeFrom="paragraph">
                  <wp:posOffset>304800</wp:posOffset>
                </wp:positionV>
                <wp:extent cx="1765300" cy="292100"/>
                <wp:effectExtent l="0" t="0" r="0" b="0"/>
                <wp:wrapNone/>
                <wp:docPr id="71" name="Rectangle 71"/>
                <wp:cNvGraphicFramePr/>
                <a:graphic xmlns:a="http://schemas.openxmlformats.org/drawingml/2006/main">
                  <a:graphicData uri="http://schemas.microsoft.com/office/word/2010/wordprocessingShape">
                    <wps:wsp>
                      <wps:cNvSpPr/>
                      <wps:spPr>
                        <a:xfrm>
                          <a:off x="4462080" y="3636807"/>
                          <a:ext cx="1767840" cy="286384"/>
                        </a:xfrm>
                        <a:prstGeom prst="rect">
                          <a:avLst/>
                        </a:prstGeom>
                        <a:noFill/>
                        <a:ln>
                          <a:noFill/>
                        </a:ln>
                      </wps:spPr>
                      <wps:txbx>
                        <w:txbxContent>
                          <w:p w14:paraId="4F0F8015" w14:textId="77777777" w:rsidR="00DB4AC9" w:rsidRDefault="00DB4AC9" w:rsidP="00DB4AC9">
                            <w:pPr>
                              <w:textDirection w:val="btLr"/>
                            </w:pPr>
                            <w:r>
                              <w:rPr>
                                <w:b/>
                                <w:color w:val="FF0000"/>
                              </w:rPr>
                              <w:t>Client Detail Edit Button</w:t>
                            </w:r>
                          </w:p>
                        </w:txbxContent>
                      </wps:txbx>
                      <wps:bodyPr lIns="91425" tIns="45700" rIns="91425" bIns="45700" anchor="t" anchorCtr="0"/>
                    </wps:wsp>
                  </a:graphicData>
                </a:graphic>
              </wp:anchor>
            </w:drawing>
          </mc:Choice>
          <mc:Fallback>
            <w:pict>
              <v:rect w14:anchorId="4974E6C4" id="Rectangle 71" o:spid="_x0000_s1038" style="position:absolute;margin-left:202pt;margin-top:24pt;width:139pt;height:23pt;z-index:251658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" o:allowincell="f" filled="f" stroked="f">
                <v:textbox inset="2.53958mm,1.2694mm,2.53958mm,1.2694mm">
                  <w:txbxContent>
                    <w:p w14:paraId="4F0F8015" w14:textId="77777777" w:rsidR="00DB4AC9" w:rsidRDefault="00DB4AC9" w:rsidP="00DB4AC9">
                      <w:pPr>
                        <w:textDirection w:val="btLr"/>
                      </w:pPr>
                      <w:r>
                        <w:rPr>
                          <w:b/>
                          <w:color w:val="FF0000"/>
                        </w:rPr>
                        <w:t>Client Detail Edit Button</w:t>
                      </w:r>
                    </w:p>
                  </w:txbxContent>
                </v:textbox>
                <w10:wrap anchorx="margin"/>
              </v:rect>
            </w:pict>
          </mc:Fallback>
        </mc:AlternateContent>
      </w:r>
      <w:r>
        <w:rPr>
          <w:noProof/>
        </w:rPr>
        <mc:AlternateContent>
          <mc:Choice Requires="wps">
            <w:drawing>
              <wp:anchor distT="0" distB="0" distL="114300" distR="114300" simplePos="0" relativeHeight="251658257" behindDoc="0" locked="0" layoutInCell="0" hidden="0" allowOverlap="1" wp14:anchorId="51E7C8E0" wp14:editId="441218C2">
                <wp:simplePos x="0" y="0"/>
                <wp:positionH relativeFrom="margin">
                  <wp:posOffset>2984500</wp:posOffset>
                </wp:positionH>
                <wp:positionV relativeFrom="paragraph">
                  <wp:posOffset>520700</wp:posOffset>
                </wp:positionV>
                <wp:extent cx="419100" cy="254000"/>
                <wp:effectExtent l="0" t="0" r="0" b="0"/>
                <wp:wrapNone/>
                <wp:docPr id="68" name="Straight Arrow Connector 68"/>
                <wp:cNvGraphicFramePr/>
                <a:graphic xmlns:a="http://schemas.openxmlformats.org/drawingml/2006/main">
                  <a:graphicData uri="http://schemas.microsoft.com/office/word/2010/wordprocessingShape">
                    <wps:wsp>
                      <wps:cNvCnPr/>
                      <wps:spPr>
                        <a:xfrm>
                          <a:off x="5160262" y="3679987"/>
                          <a:ext cx="371474" cy="200024"/>
                        </a:xfrm>
                        <a:prstGeom prst="straightConnector1">
                          <a:avLst/>
                        </a:prstGeom>
                        <a:noFill/>
                        <a:ln w="57150" cap="flat" cmpd="sng">
                          <a:solidFill>
                            <a:srgbClr val="FF0000"/>
                          </a:solidFill>
                          <a:prstDash val="solid"/>
                          <a:round/>
                          <a:headEnd type="none" w="med" len="med"/>
                          <a:tailEnd type="triangle" w="lg" len="lg"/>
                        </a:ln>
                      </wps:spPr>
                      <wps:bodyPr/>
                    </wps:wsp>
                  </a:graphicData>
                </a:graphic>
              </wp:anchor>
            </w:drawing>
          </mc:Choice>
          <mc:Fallback>
            <w:pict>
              <v:shape w14:anchorId="2F1CF786" id="Straight Arrow Connector 68" o:spid="_x0000_s1026" type="#_x0000_t32" style="position:absolute;margin-left:235pt;margin-top:41pt;width:33pt;height:20pt;z-index:251658257;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" o:allowincell="f" strokecolor="red" strokeweight="4.5pt">
                <v:stroke endarrow="block" endarrowwidth="wide" endarrowlength="long"/>
                <w10:wrap anchorx="margin"/>
              </v:shape>
            </w:pict>
          </mc:Fallback>
        </mc:AlternateContent>
      </w:r>
      <w:r>
        <w:rPr>
          <w:noProof/>
        </w:rPr>
        <mc:AlternateContent>
          <mc:Choice Requires="wps">
            <w:drawing>
              <wp:anchor distT="0" distB="0" distL="114300" distR="114300" simplePos="0" relativeHeight="251658258" behindDoc="0" locked="0" layoutInCell="0" hidden="0" allowOverlap="1" wp14:anchorId="054CAD16" wp14:editId="6998D9F7">
                <wp:simplePos x="0" y="0"/>
                <wp:positionH relativeFrom="margin">
                  <wp:posOffset>0</wp:posOffset>
                </wp:positionH>
                <wp:positionV relativeFrom="paragraph">
                  <wp:posOffset>1778000</wp:posOffset>
                </wp:positionV>
                <wp:extent cx="4254500" cy="2844800"/>
                <wp:effectExtent l="0" t="0" r="0" b="0"/>
                <wp:wrapNone/>
                <wp:docPr id="69" name="Rectangle 69"/>
                <wp:cNvGraphicFramePr/>
                <a:graphic xmlns:a="http://schemas.openxmlformats.org/drawingml/2006/main">
                  <a:graphicData uri="http://schemas.microsoft.com/office/word/2010/wordprocessingShape">
                    <wps:wsp>
                      <wps:cNvSpPr/>
                      <wps:spPr>
                        <a:xfrm>
                          <a:off x="3227005" y="2368713"/>
                          <a:ext cx="4237990" cy="2822574"/>
                        </a:xfrm>
                        <a:prstGeom prst="rect">
                          <a:avLst/>
                        </a:prstGeom>
                        <a:noFill/>
                        <a:ln w="28575" cap="flat" cmpd="sng">
                          <a:solidFill>
                            <a:srgbClr val="FF0000"/>
                          </a:solidFill>
                          <a:prstDash val="solid"/>
                          <a:miter/>
                          <a:headEnd type="none" w="med" len="med"/>
                          <a:tailEnd type="none" w="med" len="med"/>
                        </a:ln>
                      </wps:spPr>
                      <wps:txbx>
                        <w:txbxContent>
                          <w:p w14:paraId="5681F899"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rect w14:anchorId="054CAD16" id="Rectangle 69" o:spid="_x0000_s1039" style="position:absolute;margin-left:0;margin-top:140pt;width:335pt;height:224pt;z-index:25165825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" o:allowincell="f" filled="f" strokecolor="red" strokeweight="2.25pt">
                <v:textbox inset="2.53958mm,2.53958mm,2.53958mm,2.53958mm">
                  <w:txbxContent>
                    <w:p w14:paraId="5681F899" w14:textId="77777777" w:rsidR="00DB4AC9" w:rsidRDefault="00DB4AC9" w:rsidP="00DB4AC9">
                      <w:pPr>
                        <w:spacing w:after="0"/>
                        <w:textDirection w:val="btLr"/>
                      </w:pPr>
                    </w:p>
                  </w:txbxContent>
                </v:textbox>
                <w10:wrap anchorx="margin"/>
              </v:rect>
            </w:pict>
          </mc:Fallback>
        </mc:AlternateContent>
      </w:r>
      <w:r>
        <w:rPr>
          <w:noProof/>
        </w:rPr>
        <mc:AlternateContent>
          <mc:Choice Requires="wps">
            <w:drawing>
              <wp:anchor distT="0" distB="0" distL="114300" distR="114300" simplePos="0" relativeHeight="251658259" behindDoc="0" locked="0" layoutInCell="0" hidden="0" allowOverlap="1" wp14:anchorId="27EEC2AE" wp14:editId="0DAF60E9">
                <wp:simplePos x="0" y="0"/>
                <wp:positionH relativeFrom="margin">
                  <wp:posOffset>4965700</wp:posOffset>
                </wp:positionH>
                <wp:positionV relativeFrom="paragraph">
                  <wp:posOffset>2298700</wp:posOffset>
                </wp:positionV>
                <wp:extent cx="838200" cy="292100"/>
                <wp:effectExtent l="0" t="0" r="0" b="0"/>
                <wp:wrapNone/>
                <wp:docPr id="66" name="Rectangle 66"/>
                <wp:cNvGraphicFramePr/>
                <a:graphic xmlns:a="http://schemas.openxmlformats.org/drawingml/2006/main">
                  <a:graphicData uri="http://schemas.microsoft.com/office/word/2010/wordprocessingShape">
                    <wps:wsp>
                      <wps:cNvSpPr/>
                      <wps:spPr>
                        <a:xfrm>
                          <a:off x="4926264" y="3636807"/>
                          <a:ext cx="839469" cy="286384"/>
                        </a:xfrm>
                        <a:prstGeom prst="rect">
                          <a:avLst/>
                        </a:prstGeom>
                        <a:noFill/>
                        <a:ln>
                          <a:noFill/>
                        </a:ln>
                      </wps:spPr>
                      <wps:txbx>
                        <w:txbxContent>
                          <w:p w14:paraId="30AFCE0D" w14:textId="77777777" w:rsidR="00DB4AC9" w:rsidRDefault="00DB4AC9" w:rsidP="00DB4AC9">
                            <w:pPr>
                              <w:jc w:val="right"/>
                              <w:textDirection w:val="btLr"/>
                            </w:pPr>
                            <w:r>
                              <w:rPr>
                                <w:b/>
                                <w:color w:val="FF0000"/>
                              </w:rPr>
                              <w:t>Summary</w:t>
                            </w:r>
                          </w:p>
                        </w:txbxContent>
                      </wps:txbx>
                      <wps:bodyPr lIns="91425" tIns="45700" rIns="91425" bIns="45700" anchor="t" anchorCtr="0"/>
                    </wps:wsp>
                  </a:graphicData>
                </a:graphic>
              </wp:anchor>
            </w:drawing>
          </mc:Choice>
          <mc:Fallback>
            <w:pict>
              <v:rect w14:anchorId="27EEC2AE" id="Rectangle 66" o:spid="_x0000_s1040" style="position:absolute;margin-left:391pt;margin-top:181pt;width:66pt;height:23pt;z-index:25165825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" o:allowincell="f" filled="f" stroked="f">
                <v:textbox inset="2.53958mm,1.2694mm,2.53958mm,1.2694mm">
                  <w:txbxContent>
                    <w:p w14:paraId="30AFCE0D" w14:textId="77777777" w:rsidR="00DB4AC9" w:rsidRDefault="00DB4AC9" w:rsidP="00DB4AC9">
                      <w:pPr>
                        <w:jc w:val="right"/>
                        <w:textDirection w:val="btLr"/>
                      </w:pPr>
                      <w:r>
                        <w:rPr>
                          <w:b/>
                          <w:color w:val="FF0000"/>
                        </w:rPr>
                        <w:t>Summary</w:t>
                      </w:r>
                    </w:p>
                  </w:txbxContent>
                </v:textbox>
                <w10:wrap anchorx="margin"/>
              </v:rect>
            </w:pict>
          </mc:Fallback>
        </mc:AlternateContent>
      </w:r>
    </w:p>
    <w:p w14:paraId="649772AD" w14:textId="77777777" w:rsidR="00DB4AC9" w:rsidRDefault="00DB4AC9" w:rsidP="00DB4AC9">
      <w:pPr>
        <w:keepNext/>
        <w:spacing w:after="180"/>
      </w:pPr>
      <w:bookmarkStart w:id="241" w:name="_p49hy1" w:colFirst="0" w:colLast="0"/>
      <w:bookmarkEnd w:id="241"/>
      <w:r>
        <w:rPr>
          <w:b/>
          <w:sz w:val="32"/>
          <w:szCs w:val="32"/>
        </w:rPr>
        <w:t>Activity Records</w:t>
      </w:r>
    </w:p>
    <w:p w14:paraId="21173F73" w14:textId="77777777" w:rsidR="00DB4AC9" w:rsidRDefault="00DB4AC9" w:rsidP="00DB4AC9">
      <w:pPr>
        <w:keepNext/>
        <w:spacing w:before="240"/>
        <w:jc w:val="both"/>
      </w:pPr>
      <w:bookmarkStart w:id="242" w:name="_393x0lu" w:colFirst="0" w:colLast="0"/>
      <w:bookmarkEnd w:id="242"/>
      <w:r>
        <w:rPr>
          <w:rFonts w:ascii="Arial" w:eastAsia="Arial" w:hAnsi="Arial" w:cs="Arial"/>
          <w:b/>
          <w:sz w:val="24"/>
          <w:szCs w:val="24"/>
        </w:rPr>
        <w:t>Adding an Activity (Consulting Sessions, Milestones, Capital Funding, and Awards)</w:t>
      </w:r>
    </w:p>
    <w:p w14:paraId="13E9E823" w14:textId="77777777" w:rsidR="00DB4AC9" w:rsidRDefault="00DB4AC9" w:rsidP="00DB4AC9">
      <w:pPr>
        <w:jc w:val="both"/>
      </w:pPr>
      <w:r>
        <w:rPr>
          <w:sz w:val="24"/>
          <w:szCs w:val="24"/>
        </w:rPr>
        <w:t>Find the correct client that you want to add an activity to using any of the methods in th</w:t>
      </w:r>
      <w:hyperlink w:anchor="_2qk79lc">
        <w:r>
          <w:rPr>
            <w:sz w:val="24"/>
            <w:szCs w:val="24"/>
          </w:rPr>
          <w:t xml:space="preserve">e </w:t>
        </w:r>
      </w:hyperlink>
      <w:hyperlink w:anchor="_2qk79lc">
        <w:r>
          <w:rPr>
            <w:color w:val="0000FF"/>
            <w:sz w:val="24"/>
            <w:szCs w:val="24"/>
            <w:u w:val="single"/>
          </w:rPr>
          <w:t>Searching for a Client Recor</w:t>
        </w:r>
      </w:hyperlink>
      <w:hyperlink w:anchor="_Searching_for_a">
        <w:r>
          <w:rPr>
            <w:color w:val="0000FF"/>
            <w:sz w:val="24"/>
            <w:szCs w:val="24"/>
            <w:u w:val="single"/>
          </w:rPr>
          <w:t>d</w:t>
        </w:r>
      </w:hyperlink>
      <w:r>
        <w:rPr>
          <w:sz w:val="24"/>
          <w:szCs w:val="24"/>
        </w:rPr>
        <w:t xml:space="preserve"> section and click on the Client ID to access their client detail page. To add a consulting session, capital funding record (investment), or a milestone, click “new” and choose the appropriate category.</w:t>
      </w:r>
    </w:p>
    <w:p w14:paraId="0F7B3386" w14:textId="77777777" w:rsidR="00DB4AC9" w:rsidRDefault="00DB4AC9" w:rsidP="00DB4AC9">
      <w:pPr>
        <w:spacing w:after="0"/>
      </w:pPr>
      <w:r>
        <w:rPr>
          <w:noProof/>
        </w:rPr>
        <w:lastRenderedPageBreak/>
        <w:drawing>
          <wp:inline distT="0" distB="0" distL="0" distR="0" wp14:anchorId="1C257A00" wp14:editId="64C6240B">
            <wp:extent cx="6286500" cy="2362200"/>
            <wp:effectExtent l="0" t="0" r="0" b="0"/>
            <wp:docPr id="1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2"/>
                    <a:srcRect r="27999" b="66132"/>
                    <a:stretch>
                      <a:fillRect/>
                    </a:stretch>
                  </pic:blipFill>
                  <pic:spPr>
                    <a:xfrm>
                      <a:off x="0" y="0"/>
                      <a:ext cx="6286500" cy="2362200"/>
                    </a:xfrm>
                    <a:prstGeom prst="rect">
                      <a:avLst/>
                    </a:prstGeom>
                    <a:ln/>
                  </pic:spPr>
                </pic:pic>
              </a:graphicData>
            </a:graphic>
          </wp:inline>
        </w:drawing>
      </w:r>
      <w:r>
        <w:rPr>
          <w:noProof/>
        </w:rPr>
        <mc:AlternateContent>
          <mc:Choice Requires="wps">
            <w:drawing>
              <wp:anchor distT="0" distB="0" distL="114300" distR="114300" simplePos="0" relativeHeight="251658260" behindDoc="0" locked="0" layoutInCell="0" hidden="0" allowOverlap="1" wp14:anchorId="2061B63B" wp14:editId="5F98AF0D">
                <wp:simplePos x="0" y="0"/>
                <wp:positionH relativeFrom="margin">
                  <wp:posOffset>5143500</wp:posOffset>
                </wp:positionH>
                <wp:positionV relativeFrom="paragraph">
                  <wp:posOffset>838200</wp:posOffset>
                </wp:positionV>
                <wp:extent cx="419100" cy="254000"/>
                <wp:effectExtent l="0" t="0" r="0" b="0"/>
                <wp:wrapNone/>
                <wp:docPr id="76" name="Straight Arrow Connector 76"/>
                <wp:cNvGraphicFramePr/>
                <a:graphic xmlns:a="http://schemas.openxmlformats.org/drawingml/2006/main">
                  <a:graphicData uri="http://schemas.microsoft.com/office/word/2010/wordprocessingShape">
                    <wps:wsp>
                      <wps:cNvCnPr/>
                      <wps:spPr>
                        <a:xfrm>
                          <a:off x="5160262" y="3679987"/>
                          <a:ext cx="371474" cy="200024"/>
                        </a:xfrm>
                        <a:prstGeom prst="straightConnector1">
                          <a:avLst/>
                        </a:prstGeom>
                        <a:noFill/>
                        <a:ln w="57150" cap="flat" cmpd="sng">
                          <a:solidFill>
                            <a:srgbClr val="FF0000"/>
                          </a:solidFill>
                          <a:prstDash val="solid"/>
                          <a:round/>
                          <a:headEnd type="none" w="med" len="med"/>
                          <a:tailEnd type="triangle" w="lg" len="lg"/>
                        </a:ln>
                      </wps:spPr>
                      <wps:bodyPr/>
                    </wps:wsp>
                  </a:graphicData>
                </a:graphic>
              </wp:anchor>
            </w:drawing>
          </mc:Choice>
          <mc:Fallback>
            <w:pict>
              <v:shape w14:anchorId="02945DB8" id="Straight Arrow Connector 76" o:spid="_x0000_s1026" type="#_x0000_t32" style="position:absolute;margin-left:405pt;margin-top:66pt;width:33pt;height:20pt;z-index:2516582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" o:allowincell="f" strokecolor="red" strokeweight="4.5pt">
                <v:stroke endarrow="block" endarrowwidth="wide" endarrowlength="long"/>
                <w10:wrap anchorx="margin"/>
              </v:shape>
            </w:pict>
          </mc:Fallback>
        </mc:AlternateContent>
      </w:r>
    </w:p>
    <w:p w14:paraId="047466FD" w14:textId="77777777" w:rsidR="00DB4AC9" w:rsidRDefault="00DB4AC9" w:rsidP="00DB4AC9">
      <w:pPr>
        <w:keepNext/>
        <w:spacing w:before="240"/>
      </w:pPr>
      <w:bookmarkStart w:id="243" w:name="_1o97atn" w:colFirst="0" w:colLast="0"/>
      <w:bookmarkEnd w:id="243"/>
      <w:r>
        <w:rPr>
          <w:rFonts w:ascii="Arial" w:eastAsia="Arial" w:hAnsi="Arial" w:cs="Arial"/>
          <w:b/>
          <w:sz w:val="24"/>
          <w:szCs w:val="24"/>
        </w:rPr>
        <w:t xml:space="preserve">Counseling/Consulting </w:t>
      </w:r>
    </w:p>
    <w:p w14:paraId="009F9A15" w14:textId="77777777" w:rsidR="00DB4AC9" w:rsidRDefault="00DB4AC9" w:rsidP="00DB4AC9">
      <w:pPr>
        <w:spacing w:after="0"/>
        <w:jc w:val="both"/>
      </w:pPr>
      <w:r>
        <w:rPr>
          <w:sz w:val="24"/>
          <w:szCs w:val="24"/>
        </w:rPr>
        <w:t xml:space="preserve">Counseling records are one of the most important elements of the MnSBDC database. Consultants are expected to accurately capture their time spent </w:t>
      </w:r>
      <w:proofErr w:type="gramStart"/>
      <w:r>
        <w:rPr>
          <w:sz w:val="24"/>
          <w:szCs w:val="24"/>
        </w:rPr>
        <w:t>in</w:t>
      </w:r>
      <w:proofErr w:type="gramEnd"/>
      <w:r>
        <w:rPr>
          <w:sz w:val="24"/>
          <w:szCs w:val="24"/>
        </w:rPr>
        <w:t xml:space="preserve"> client engagement and preparatory work. See sectio</w:t>
      </w:r>
      <w:hyperlink w:anchor="_2qk79lc">
        <w:r>
          <w:rPr>
            <w:sz w:val="24"/>
            <w:szCs w:val="24"/>
          </w:rPr>
          <w:t xml:space="preserve">n </w:t>
        </w:r>
      </w:hyperlink>
      <w:hyperlink w:anchor="_2qk79lc">
        <w:r>
          <w:rPr>
            <w:color w:val="0000FF"/>
            <w:sz w:val="24"/>
            <w:szCs w:val="24"/>
            <w:u w:val="single"/>
          </w:rPr>
          <w:t>Counseling Session Field Definition</w:t>
        </w:r>
      </w:hyperlink>
      <w:hyperlink w:anchor="_Counseling_Session_Field">
        <w:r>
          <w:rPr>
            <w:color w:val="0000FF"/>
            <w:sz w:val="24"/>
            <w:szCs w:val="24"/>
            <w:u w:val="single"/>
          </w:rPr>
          <w:t>s</w:t>
        </w:r>
      </w:hyperlink>
      <w:r>
        <w:rPr>
          <w:sz w:val="24"/>
          <w:szCs w:val="24"/>
        </w:rPr>
        <w:t xml:space="preserve"> for guidance on completing each field of the counseling session record. </w:t>
      </w:r>
    </w:p>
    <w:p w14:paraId="05E6C484" w14:textId="77777777" w:rsidR="00DB4AC9" w:rsidRDefault="00DB4AC9" w:rsidP="00DB4AC9">
      <w:pPr>
        <w:spacing w:after="0"/>
        <w:jc w:val="both"/>
      </w:pPr>
    </w:p>
    <w:p w14:paraId="010DA7DE" w14:textId="77777777" w:rsidR="00DB4AC9" w:rsidRDefault="00DB4AC9" w:rsidP="00DB4AC9">
      <w:pPr>
        <w:spacing w:after="0"/>
        <w:jc w:val="both"/>
      </w:pPr>
      <w:r>
        <w:rPr>
          <w:sz w:val="24"/>
          <w:szCs w:val="24"/>
        </w:rPr>
        <w:t>State policy requires each client file must include sufficient detail that:</w:t>
      </w:r>
    </w:p>
    <w:p w14:paraId="03ED9932" w14:textId="77777777" w:rsidR="00DB4AC9" w:rsidRDefault="00DB4AC9" w:rsidP="00DB4AC9">
      <w:pPr>
        <w:numPr>
          <w:ilvl w:val="0"/>
          <w:numId w:val="2"/>
        </w:numPr>
        <w:spacing w:before="100" w:after="100"/>
        <w:ind w:left="1440" w:hanging="720"/>
        <w:rPr>
          <w:sz w:val="24"/>
          <w:szCs w:val="24"/>
        </w:rPr>
      </w:pPr>
      <w:r>
        <w:rPr>
          <w:sz w:val="24"/>
          <w:szCs w:val="24"/>
        </w:rPr>
        <w:t>Another MnSBDC professional business consultant could review the record (i.e. narrative and key documents) and continue the client relationship without interruption and substantive rework.</w:t>
      </w:r>
    </w:p>
    <w:p w14:paraId="4D1AC771" w14:textId="77777777" w:rsidR="00DB4AC9" w:rsidRDefault="00DB4AC9" w:rsidP="00DB4AC9">
      <w:pPr>
        <w:numPr>
          <w:ilvl w:val="0"/>
          <w:numId w:val="2"/>
        </w:numPr>
        <w:spacing w:before="100" w:after="100"/>
        <w:ind w:left="1440" w:hanging="720"/>
        <w:rPr>
          <w:sz w:val="24"/>
          <w:szCs w:val="24"/>
        </w:rPr>
      </w:pPr>
      <w:r>
        <w:rPr>
          <w:sz w:val="24"/>
          <w:szCs w:val="24"/>
        </w:rPr>
        <w:t>Properly categorizes (Se</w:t>
      </w:r>
      <w:hyperlink w:anchor="_2qk79lc">
        <w:r>
          <w:rPr>
            <w:sz w:val="24"/>
            <w:szCs w:val="24"/>
          </w:rPr>
          <w:t xml:space="preserve">e </w:t>
        </w:r>
      </w:hyperlink>
      <w:hyperlink w:anchor="_2qk79lc">
        <w:r>
          <w:rPr>
            <w:color w:val="0000FF"/>
            <w:sz w:val="24"/>
            <w:szCs w:val="24"/>
            <w:u w:val="single"/>
          </w:rPr>
          <w:t>SBA Counseling Area Definition</w:t>
        </w:r>
      </w:hyperlink>
      <w:hyperlink w:anchor="_SBA_Counseling_Area_1">
        <w:r>
          <w:rPr>
            <w:color w:val="0000FF"/>
            <w:sz w:val="24"/>
            <w:szCs w:val="24"/>
            <w:u w:val="single"/>
          </w:rPr>
          <w:t>s</w:t>
        </w:r>
      </w:hyperlink>
      <w:r>
        <w:rPr>
          <w:sz w:val="24"/>
          <w:szCs w:val="24"/>
        </w:rPr>
        <w:t>) and supports the total consulting time (prep and contact) recorded, and</w:t>
      </w:r>
    </w:p>
    <w:p w14:paraId="1762175E" w14:textId="77777777" w:rsidR="00DB4AC9" w:rsidRDefault="00DB4AC9" w:rsidP="00DB4AC9">
      <w:pPr>
        <w:numPr>
          <w:ilvl w:val="0"/>
          <w:numId w:val="2"/>
        </w:numPr>
        <w:spacing w:before="100" w:after="100"/>
        <w:ind w:left="1440" w:hanging="720"/>
        <w:rPr>
          <w:sz w:val="24"/>
          <w:szCs w:val="24"/>
        </w:rPr>
      </w:pPr>
      <w:r>
        <w:rPr>
          <w:sz w:val="24"/>
          <w:szCs w:val="24"/>
        </w:rPr>
        <w:t>Includes (attaches) the key documents that provide evidence of the quality of work completed.</w:t>
      </w:r>
    </w:p>
    <w:p w14:paraId="29273183" w14:textId="77777777" w:rsidR="00DB4AC9" w:rsidRDefault="00DB4AC9" w:rsidP="00DB4AC9">
      <w:pPr>
        <w:spacing w:after="200"/>
        <w:jc w:val="both"/>
      </w:pPr>
      <w:r>
        <w:rPr>
          <w:sz w:val="24"/>
          <w:szCs w:val="24"/>
        </w:rPr>
        <w:t xml:space="preserve">Centers must enter all consulting session information in Neoserra. Session information must include, </w:t>
      </w:r>
      <w:r>
        <w:rPr>
          <w:i/>
          <w:sz w:val="24"/>
          <w:szCs w:val="24"/>
        </w:rPr>
        <w:t>at a minimum</w:t>
      </w:r>
      <w:r>
        <w:rPr>
          <w:sz w:val="24"/>
          <w:szCs w:val="24"/>
        </w:rPr>
        <w:t>:</w:t>
      </w:r>
    </w:p>
    <w:p w14:paraId="5FA3498D" w14:textId="77777777" w:rsidR="00DB4AC9" w:rsidRDefault="00DB4AC9" w:rsidP="00DB4AC9">
      <w:pPr>
        <w:spacing w:after="0"/>
        <w:ind w:left="1440" w:hanging="720"/>
      </w:pPr>
      <w:r>
        <w:rPr>
          <w:sz w:val="24"/>
          <w:szCs w:val="24"/>
        </w:rPr>
        <w:t>A summary of the business and business owners (new/initial session only)</w:t>
      </w:r>
    </w:p>
    <w:p w14:paraId="164993B2" w14:textId="77777777" w:rsidR="00DB4AC9" w:rsidRDefault="00DB4AC9" w:rsidP="00DB4AC9">
      <w:pPr>
        <w:spacing w:after="0"/>
        <w:ind w:left="1440" w:hanging="720"/>
      </w:pPr>
      <w:r>
        <w:rPr>
          <w:sz w:val="24"/>
          <w:szCs w:val="24"/>
        </w:rPr>
        <w:t>An analysis of the client’s problem.</w:t>
      </w:r>
    </w:p>
    <w:p w14:paraId="1FB3D59A" w14:textId="77777777" w:rsidR="00DB4AC9" w:rsidRDefault="00DB4AC9" w:rsidP="00DB4AC9">
      <w:pPr>
        <w:spacing w:after="0"/>
        <w:ind w:left="1440" w:hanging="720"/>
      </w:pPr>
      <w:r>
        <w:rPr>
          <w:sz w:val="24"/>
          <w:szCs w:val="24"/>
        </w:rPr>
        <w:t>A summary of what the consultant did during the session.</w:t>
      </w:r>
    </w:p>
    <w:p w14:paraId="511648CA" w14:textId="77777777" w:rsidR="00DB4AC9" w:rsidRDefault="00DB4AC9" w:rsidP="00DB4AC9">
      <w:pPr>
        <w:spacing w:after="0"/>
        <w:ind w:left="1440" w:hanging="720"/>
      </w:pPr>
      <w:r>
        <w:rPr>
          <w:sz w:val="24"/>
          <w:szCs w:val="24"/>
        </w:rPr>
        <w:t>Recommendations.</w:t>
      </w:r>
    </w:p>
    <w:p w14:paraId="5EF35109" w14:textId="77777777" w:rsidR="00DB4AC9" w:rsidRDefault="00DB4AC9" w:rsidP="00DB4AC9">
      <w:pPr>
        <w:spacing w:after="0"/>
        <w:ind w:left="1440" w:hanging="720"/>
      </w:pPr>
      <w:r>
        <w:rPr>
          <w:sz w:val="24"/>
          <w:szCs w:val="24"/>
        </w:rPr>
        <w:t>Follow-up required by the consultant and the client.</w:t>
      </w:r>
    </w:p>
    <w:p w14:paraId="3778B670" w14:textId="77777777" w:rsidR="00DB4AC9" w:rsidRDefault="00DB4AC9" w:rsidP="00DB4AC9">
      <w:pPr>
        <w:spacing w:after="0"/>
        <w:ind w:left="1440" w:hanging="720"/>
      </w:pPr>
      <w:r>
        <w:rPr>
          <w:sz w:val="24"/>
          <w:szCs w:val="24"/>
        </w:rPr>
        <w:t>If applicable, an electronic version (e.g., scan pdf, Word, excel) of any financial analysis/Performa, publications, studies, marketing material, reports, research or other work performed for the client. (In the rare exception if this supplemental information is too voluminous to record in Neoserra, a hard copy may be placed in the client’s file).</w:t>
      </w:r>
    </w:p>
    <w:p w14:paraId="2CFBBD4E" w14:textId="77777777" w:rsidR="00DB4AC9" w:rsidRDefault="00DB4AC9" w:rsidP="00DB4AC9">
      <w:pPr>
        <w:spacing w:after="0"/>
        <w:ind w:left="1440" w:hanging="720"/>
      </w:pPr>
      <w:r>
        <w:rPr>
          <w:sz w:val="24"/>
          <w:szCs w:val="24"/>
        </w:rPr>
        <w:t>Any other documentation deemed appropriate by the consultant.</w:t>
      </w:r>
    </w:p>
    <w:p w14:paraId="509A3246" w14:textId="77777777" w:rsidR="00DB4AC9" w:rsidRDefault="00DB4AC9" w:rsidP="00DB4AC9">
      <w:pPr>
        <w:spacing w:after="200"/>
        <w:jc w:val="both"/>
      </w:pPr>
      <w:r>
        <w:rPr>
          <w:sz w:val="24"/>
          <w:szCs w:val="24"/>
        </w:rPr>
        <w:lastRenderedPageBreak/>
        <w:br/>
        <w:t>Refer t</w:t>
      </w:r>
      <w:hyperlink w:anchor="_2qk79lc">
        <w:r>
          <w:rPr>
            <w:sz w:val="24"/>
            <w:szCs w:val="24"/>
          </w:rPr>
          <w:t xml:space="preserve">o </w:t>
        </w:r>
      </w:hyperlink>
      <w:hyperlink w:anchor="_2qk79lc">
        <w:r>
          <w:rPr>
            <w:color w:val="0000FF"/>
            <w:sz w:val="24"/>
            <w:szCs w:val="24"/>
            <w:u w:val="single"/>
          </w:rPr>
          <w:t>Examples of Client Narrative Write Up</w:t>
        </w:r>
      </w:hyperlink>
      <w:hyperlink w:anchor="_Examples_of_Client_1">
        <w:r>
          <w:rPr>
            <w:color w:val="0000FF"/>
            <w:sz w:val="24"/>
            <w:szCs w:val="24"/>
            <w:u w:val="single"/>
          </w:rPr>
          <w:t>s</w:t>
        </w:r>
      </w:hyperlink>
      <w:r>
        <w:rPr>
          <w:sz w:val="24"/>
          <w:szCs w:val="24"/>
        </w:rPr>
        <w:t xml:space="preserve"> for samples of well written client narratives. The lead center requires entry of all consulting </w:t>
      </w:r>
      <w:proofErr w:type="gramStart"/>
      <w:r>
        <w:rPr>
          <w:sz w:val="24"/>
          <w:szCs w:val="24"/>
        </w:rPr>
        <w:t>session</w:t>
      </w:r>
      <w:proofErr w:type="gramEnd"/>
      <w:r>
        <w:rPr>
          <w:sz w:val="24"/>
          <w:szCs w:val="24"/>
        </w:rPr>
        <w:t xml:space="preserve"> in Neoserra by the 14</w:t>
      </w:r>
      <w:r>
        <w:rPr>
          <w:sz w:val="24"/>
          <w:szCs w:val="24"/>
          <w:vertAlign w:val="superscript"/>
        </w:rPr>
        <w:t>th</w:t>
      </w:r>
      <w:r>
        <w:rPr>
          <w:sz w:val="24"/>
          <w:szCs w:val="24"/>
        </w:rPr>
        <w:t xml:space="preserve"> of the month of the prior month activities. Regional centers are at liberty to employ a more restrictive or earlier date.</w:t>
      </w:r>
    </w:p>
    <w:p w14:paraId="46879892" w14:textId="77777777" w:rsidR="00DB4AC9" w:rsidRDefault="00DB4AC9" w:rsidP="00DB4AC9">
      <w:pPr>
        <w:keepNext/>
        <w:spacing w:before="240"/>
      </w:pPr>
      <w:bookmarkStart w:id="244" w:name="_488uthg" w:colFirst="0" w:colLast="0"/>
      <w:bookmarkEnd w:id="244"/>
      <w:r>
        <w:rPr>
          <w:rFonts w:ascii="Arial" w:eastAsia="Arial" w:hAnsi="Arial" w:cs="Arial"/>
          <w:b/>
          <w:sz w:val="24"/>
          <w:szCs w:val="24"/>
        </w:rPr>
        <w:t>Capital Funding (Investments)</w:t>
      </w:r>
    </w:p>
    <w:p w14:paraId="5AF4FD84" w14:textId="77777777" w:rsidR="00DB4AC9" w:rsidRDefault="00DB4AC9" w:rsidP="00DB4AC9">
      <w:pPr>
        <w:spacing w:after="0"/>
        <w:jc w:val="both"/>
      </w:pPr>
      <w:r>
        <w:rPr>
          <w:sz w:val="24"/>
          <w:szCs w:val="24"/>
        </w:rPr>
        <w:t xml:space="preserve">Investment Records track loan applications made on behalf of a client and are important for tracking key metrics of service deliverables of a regional center, and the </w:t>
      </w:r>
      <w:proofErr w:type="gramStart"/>
      <w:r>
        <w:rPr>
          <w:sz w:val="24"/>
          <w:szCs w:val="24"/>
        </w:rPr>
        <w:t>network as a whole</w:t>
      </w:r>
      <w:proofErr w:type="gramEnd"/>
      <w:r>
        <w:rPr>
          <w:sz w:val="24"/>
          <w:szCs w:val="24"/>
        </w:rPr>
        <w:t>. It is imperative that you check on the status of capital funding requests often and update when it becomes approved, denied or withdrawn. Below is a table that contains instructions for the entry into each field in Neoserra. Please refer to sectio</w:t>
      </w:r>
      <w:hyperlink w:anchor="_2qk79lc">
        <w:r>
          <w:rPr>
            <w:sz w:val="24"/>
            <w:szCs w:val="24"/>
          </w:rPr>
          <w:t xml:space="preserve">n </w:t>
        </w:r>
      </w:hyperlink>
      <w:hyperlink w:anchor="_2qk79lc">
        <w:r>
          <w:rPr>
            <w:color w:val="0000FF"/>
            <w:sz w:val="24"/>
            <w:szCs w:val="24"/>
            <w:u w:val="single"/>
          </w:rPr>
          <w:t>Capital Funding (Investment) Field Definition</w:t>
        </w:r>
      </w:hyperlink>
      <w:hyperlink w:anchor="_Capital_Funding_(Investment)">
        <w:r>
          <w:rPr>
            <w:color w:val="0000FF"/>
            <w:sz w:val="24"/>
            <w:szCs w:val="24"/>
            <w:u w:val="single"/>
          </w:rPr>
          <w:t>s</w:t>
        </w:r>
      </w:hyperlink>
      <w:r>
        <w:rPr>
          <w:sz w:val="24"/>
          <w:szCs w:val="24"/>
        </w:rPr>
        <w:t xml:space="preserve"> for guidance on completing each field of the capital funding record.</w:t>
      </w:r>
    </w:p>
    <w:p w14:paraId="03AEA10D" w14:textId="77777777" w:rsidR="00DB4AC9" w:rsidRDefault="00DB4AC9" w:rsidP="00DB4AC9">
      <w:pPr>
        <w:keepNext/>
        <w:spacing w:before="240"/>
      </w:pPr>
      <w:bookmarkStart w:id="245" w:name="_2ne53p9" w:colFirst="0" w:colLast="0"/>
      <w:bookmarkEnd w:id="245"/>
      <w:r>
        <w:rPr>
          <w:rFonts w:ascii="Arial" w:eastAsia="Arial" w:hAnsi="Arial" w:cs="Arial"/>
          <w:b/>
          <w:sz w:val="24"/>
          <w:szCs w:val="24"/>
        </w:rPr>
        <w:t>Awards</w:t>
      </w:r>
    </w:p>
    <w:p w14:paraId="5D651902" w14:textId="77777777" w:rsidR="00DB4AC9" w:rsidRDefault="00DB4AC9" w:rsidP="00DB4AC9">
      <w:pPr>
        <w:jc w:val="both"/>
      </w:pPr>
      <w:proofErr w:type="gramStart"/>
      <w:r>
        <w:rPr>
          <w:sz w:val="24"/>
          <w:szCs w:val="24"/>
        </w:rPr>
        <w:t>Award</w:t>
      </w:r>
      <w:proofErr w:type="gramEnd"/>
      <w:r>
        <w:rPr>
          <w:sz w:val="24"/>
          <w:szCs w:val="24"/>
        </w:rPr>
        <w:t xml:space="preserve"> refers to a business being selected for a contract like a government (Federal or State), commercial contract, etc. The Lead Office does not currently have a policy about the tracking of Award records, however your regional center may</w:t>
      </w:r>
      <w:r>
        <w:rPr>
          <w:color w:val="76923C"/>
          <w:sz w:val="24"/>
          <w:szCs w:val="24"/>
        </w:rPr>
        <w:t>.</w:t>
      </w:r>
    </w:p>
    <w:p w14:paraId="0A7D3ECB" w14:textId="77777777" w:rsidR="00DB4AC9" w:rsidRDefault="00DB4AC9" w:rsidP="00DB4AC9">
      <w:pPr>
        <w:keepNext/>
        <w:spacing w:before="240"/>
      </w:pPr>
      <w:bookmarkStart w:id="246" w:name="_12jfdx2" w:colFirst="0" w:colLast="0"/>
      <w:bookmarkEnd w:id="246"/>
      <w:r>
        <w:rPr>
          <w:rFonts w:ascii="Arial" w:eastAsia="Arial" w:hAnsi="Arial" w:cs="Arial"/>
          <w:b/>
          <w:sz w:val="24"/>
          <w:szCs w:val="24"/>
        </w:rPr>
        <w:t>Milestones</w:t>
      </w:r>
    </w:p>
    <w:p w14:paraId="01DE95CA" w14:textId="77777777" w:rsidR="00DB4AC9" w:rsidRDefault="00DB4AC9" w:rsidP="00DB4AC9">
      <w:pPr>
        <w:spacing w:after="0"/>
        <w:jc w:val="both"/>
      </w:pPr>
      <w:r>
        <w:rPr>
          <w:sz w:val="24"/>
          <w:szCs w:val="24"/>
        </w:rPr>
        <w:t xml:space="preserve">Milestones are records which track major accomplishments or markers in a business’ </w:t>
      </w:r>
      <w:proofErr w:type="gramStart"/>
      <w:r>
        <w:rPr>
          <w:sz w:val="24"/>
          <w:szCs w:val="24"/>
        </w:rPr>
        <w:t>status, and</w:t>
      </w:r>
      <w:proofErr w:type="gramEnd"/>
      <w:r>
        <w:rPr>
          <w:sz w:val="24"/>
          <w:szCs w:val="24"/>
        </w:rPr>
        <w:t xml:space="preserve"> are important to tracking key metrics. Milestone records are often prompted when a change is made in th</w:t>
      </w:r>
      <w:hyperlink w:anchor="_2qk79lc">
        <w:r>
          <w:rPr>
            <w:sz w:val="24"/>
            <w:szCs w:val="24"/>
          </w:rPr>
          <w:t xml:space="preserve">e </w:t>
        </w:r>
      </w:hyperlink>
      <w:hyperlink w:anchor="_2qk79lc">
        <w:r>
          <w:rPr>
            <w:color w:val="0000FF"/>
            <w:sz w:val="24"/>
            <w:szCs w:val="24"/>
            <w:u w:val="single"/>
          </w:rPr>
          <w:t>clients’ detail</w:t>
        </w:r>
      </w:hyperlink>
      <w:hyperlink w:anchor="_Client_Details">
        <w:r>
          <w:rPr>
            <w:color w:val="0000FF"/>
            <w:sz w:val="24"/>
            <w:szCs w:val="24"/>
            <w:u w:val="single"/>
          </w:rPr>
          <w:t>s</w:t>
        </w:r>
      </w:hyperlink>
      <w:r>
        <w:rPr>
          <w:sz w:val="24"/>
          <w:szCs w:val="24"/>
        </w:rPr>
        <w:t xml:space="preserve"> (for example if the current company status is changed to “in business” or additional employees are adding) and require only pressing “yes” for their creation (highly encouraged!), however they may also be entered manually just as consulting sessions, awards or capital funding.</w:t>
      </w:r>
    </w:p>
    <w:p w14:paraId="53252805" w14:textId="77777777" w:rsidR="00DB4AC9" w:rsidRDefault="00DB4AC9" w:rsidP="00DB4AC9">
      <w:pPr>
        <w:spacing w:after="0"/>
        <w:jc w:val="both"/>
      </w:pPr>
    </w:p>
    <w:p w14:paraId="537D2627" w14:textId="77777777" w:rsidR="00DB4AC9" w:rsidRDefault="00DB4AC9" w:rsidP="00DB4AC9">
      <w:pPr>
        <w:spacing w:after="0"/>
        <w:jc w:val="both"/>
      </w:pPr>
      <w:r>
        <w:rPr>
          <w:i/>
          <w:sz w:val="24"/>
          <w:szCs w:val="24"/>
        </w:rPr>
        <w:t>Important Note:</w:t>
      </w:r>
      <w:r>
        <w:rPr>
          <w:sz w:val="24"/>
          <w:szCs w:val="24"/>
        </w:rPr>
        <w:t xml:space="preserve"> Adding a milestone for “Business Start” does </w:t>
      </w:r>
      <w:r>
        <w:rPr>
          <w:i/>
          <w:sz w:val="24"/>
          <w:szCs w:val="24"/>
        </w:rPr>
        <w:t>not</w:t>
      </w:r>
      <w:r>
        <w:rPr>
          <w:sz w:val="24"/>
          <w:szCs w:val="24"/>
        </w:rPr>
        <w:t xml:space="preserve"> automatically mean that the client will be counted as a new business startup in the official reports to SBA and the MnSBDC Scorecard. To meet this criterion, the business start date must fall between the session dates of two consulting records. </w:t>
      </w:r>
      <w:proofErr w:type="gramStart"/>
      <w:r>
        <w:rPr>
          <w:sz w:val="24"/>
          <w:szCs w:val="24"/>
        </w:rPr>
        <w:t>However</w:t>
      </w:r>
      <w:proofErr w:type="gramEnd"/>
      <w:r>
        <w:rPr>
          <w:sz w:val="24"/>
          <w:szCs w:val="24"/>
        </w:rPr>
        <w:t xml:space="preserve"> the milestone record is useful for finding discrepancies.</w:t>
      </w:r>
    </w:p>
    <w:p w14:paraId="032D8AF3" w14:textId="77777777" w:rsidR="00DB4AC9" w:rsidRDefault="00DB4AC9" w:rsidP="00DB4AC9">
      <w:pPr>
        <w:spacing w:after="0"/>
      </w:pPr>
    </w:p>
    <w:p w14:paraId="05384B85" w14:textId="77777777" w:rsidR="00DB4AC9" w:rsidRDefault="00DB4AC9" w:rsidP="00DB4AC9">
      <w:pPr>
        <w:keepNext/>
        <w:spacing w:after="180"/>
      </w:pPr>
      <w:bookmarkStart w:id="247" w:name="_3mj2wkv" w:colFirst="0" w:colLast="0"/>
      <w:bookmarkEnd w:id="247"/>
      <w:r>
        <w:rPr>
          <w:b/>
          <w:sz w:val="32"/>
          <w:szCs w:val="32"/>
        </w:rPr>
        <w:t>Consultant Reports</w:t>
      </w:r>
    </w:p>
    <w:p w14:paraId="5BB5EC7B" w14:textId="77777777" w:rsidR="00DB4AC9" w:rsidRDefault="00DB4AC9" w:rsidP="00DB4AC9">
      <w:pPr>
        <w:spacing w:after="0"/>
      </w:pPr>
      <w:r>
        <w:rPr>
          <w:sz w:val="24"/>
          <w:szCs w:val="24"/>
        </w:rPr>
        <w:t xml:space="preserve">To see a list of your recent activities as a counselor click on “Activity” and select “Counseling.” Press the magnifying glass picture under “Filter” and select “Session Date” and “Counselors (Active Only).” Then enter in a date range and find your name among the list of counselors (If you start typing your last name it will narrow the list down). More fields may need to be selected if you work across multiple centers or are working with special project funding sources. Consult your program coordinator if you have any questions. The result </w:t>
      </w:r>
      <w:proofErr w:type="gramStart"/>
      <w:r>
        <w:rPr>
          <w:sz w:val="24"/>
          <w:szCs w:val="24"/>
        </w:rPr>
        <w:t>from</w:t>
      </w:r>
      <w:proofErr w:type="gramEnd"/>
      <w:r>
        <w:rPr>
          <w:sz w:val="24"/>
          <w:szCs w:val="24"/>
        </w:rPr>
        <w:t xml:space="preserve"> this filter will give a very basic list of session dates, associated clients, and time spent.</w:t>
      </w:r>
    </w:p>
    <w:p w14:paraId="6D3E203C" w14:textId="77777777" w:rsidR="00DB4AC9" w:rsidRDefault="00DB4AC9" w:rsidP="00DB4AC9">
      <w:pPr>
        <w:spacing w:after="0"/>
      </w:pPr>
    </w:p>
    <w:p w14:paraId="03678E7E" w14:textId="77777777" w:rsidR="00DB4AC9" w:rsidRDefault="00DB4AC9" w:rsidP="00DB4AC9">
      <w:pPr>
        <w:spacing w:after="0"/>
      </w:pPr>
    </w:p>
    <w:p w14:paraId="36D23271" w14:textId="77777777" w:rsidR="00DB4AC9" w:rsidRDefault="00DB4AC9" w:rsidP="00DB4AC9">
      <w:pPr>
        <w:spacing w:after="0"/>
      </w:pPr>
      <w:r>
        <w:rPr>
          <w:noProof/>
        </w:rPr>
        <w:lastRenderedPageBreak/>
        <w:drawing>
          <wp:inline distT="0" distB="0" distL="0" distR="0" wp14:anchorId="7F8079B5" wp14:editId="7ECA1BD9">
            <wp:extent cx="6391275" cy="2314575"/>
            <wp:effectExtent l="0" t="0" r="0" b="0"/>
            <wp:docPr id="1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3"/>
                    <a:srcRect t="7986" r="31058" b="47676"/>
                    <a:stretch>
                      <a:fillRect/>
                    </a:stretch>
                  </pic:blipFill>
                  <pic:spPr>
                    <a:xfrm>
                      <a:off x="0" y="0"/>
                      <a:ext cx="6391275" cy="2314575"/>
                    </a:xfrm>
                    <a:prstGeom prst="rect">
                      <a:avLst/>
                    </a:prstGeom>
                    <a:ln/>
                  </pic:spPr>
                </pic:pic>
              </a:graphicData>
            </a:graphic>
          </wp:inline>
        </w:drawing>
      </w:r>
      <w:r>
        <w:rPr>
          <w:noProof/>
        </w:rPr>
        <mc:AlternateContent>
          <mc:Choice Requires="wps">
            <w:drawing>
              <wp:anchor distT="0" distB="0" distL="114300" distR="114300" simplePos="0" relativeHeight="251658261" behindDoc="0" locked="0" layoutInCell="0" hidden="0" allowOverlap="1" wp14:anchorId="2A9B40DB" wp14:editId="2113D020">
                <wp:simplePos x="0" y="0"/>
                <wp:positionH relativeFrom="margin">
                  <wp:posOffset>-63499</wp:posOffset>
                </wp:positionH>
                <wp:positionV relativeFrom="paragraph">
                  <wp:posOffset>1003300</wp:posOffset>
                </wp:positionV>
                <wp:extent cx="2476500" cy="571500"/>
                <wp:effectExtent l="0" t="0" r="0" b="0"/>
                <wp:wrapNone/>
                <wp:docPr id="77" name="Oval 77"/>
                <wp:cNvGraphicFramePr/>
                <a:graphic xmlns:a="http://schemas.openxmlformats.org/drawingml/2006/main">
                  <a:graphicData uri="http://schemas.microsoft.com/office/word/2010/wordprocessingShape">
                    <wps:wsp>
                      <wps:cNvSpPr/>
                      <wps:spPr>
                        <a:xfrm>
                          <a:off x="4115053" y="3502505"/>
                          <a:ext cx="2461895" cy="554989"/>
                        </a:xfrm>
                        <a:prstGeom prst="ellipse">
                          <a:avLst/>
                        </a:prstGeom>
                        <a:noFill/>
                        <a:ln w="19050" cap="flat" cmpd="sng">
                          <a:solidFill>
                            <a:srgbClr val="FF0000"/>
                          </a:solidFill>
                          <a:prstDash val="solid"/>
                          <a:round/>
                          <a:headEnd type="none" w="med" len="med"/>
                          <a:tailEnd type="none" w="med" len="med"/>
                        </a:ln>
                      </wps:spPr>
                      <wps:txbx>
                        <w:txbxContent>
                          <w:p w14:paraId="57F4EAFA"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2A9B40DB" id="Oval 77" o:spid="_x0000_s1041" style="position:absolute;margin-left:-5pt;margin-top:79pt;width:195pt;height:45pt;z-index:25165826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" o:allowincell="f" filled="f" strokecolor="red" strokeweight="1.5pt">
                <v:textbox inset="2.53958mm,2.53958mm,2.53958mm,2.53958mm">
                  <w:txbxContent>
                    <w:p w14:paraId="57F4EAFA" w14:textId="77777777" w:rsidR="00DB4AC9" w:rsidRDefault="00DB4AC9" w:rsidP="00DB4AC9">
                      <w:pPr>
                        <w:spacing w:after="0"/>
                        <w:textDirection w:val="btLr"/>
                      </w:pPr>
                    </w:p>
                  </w:txbxContent>
                </v:textbox>
                <w10:wrap anchorx="margin"/>
              </v:oval>
            </w:pict>
          </mc:Fallback>
        </mc:AlternateContent>
      </w:r>
      <w:r>
        <w:rPr>
          <w:noProof/>
        </w:rPr>
        <mc:AlternateContent>
          <mc:Choice Requires="wps">
            <w:drawing>
              <wp:anchor distT="0" distB="0" distL="114300" distR="114300" simplePos="0" relativeHeight="251658262" behindDoc="0" locked="0" layoutInCell="0" hidden="0" allowOverlap="1" wp14:anchorId="102428CE" wp14:editId="563E1DC2">
                <wp:simplePos x="0" y="0"/>
                <wp:positionH relativeFrom="margin">
                  <wp:posOffset>2019300</wp:posOffset>
                </wp:positionH>
                <wp:positionV relativeFrom="paragraph">
                  <wp:posOffset>228600</wp:posOffset>
                </wp:positionV>
                <wp:extent cx="482600" cy="215900"/>
                <wp:effectExtent l="0" t="0" r="0" b="0"/>
                <wp:wrapNone/>
                <wp:docPr id="75" name="Oval 75"/>
                <wp:cNvGraphicFramePr/>
                <a:graphic xmlns:a="http://schemas.openxmlformats.org/drawingml/2006/main">
                  <a:graphicData uri="http://schemas.microsoft.com/office/word/2010/wordprocessingShape">
                    <wps:wsp>
                      <wps:cNvSpPr/>
                      <wps:spPr>
                        <a:xfrm>
                          <a:off x="5113273" y="3676494"/>
                          <a:ext cx="465454" cy="207010"/>
                        </a:xfrm>
                        <a:prstGeom prst="ellipse">
                          <a:avLst/>
                        </a:prstGeom>
                        <a:noFill/>
                        <a:ln w="19050" cap="flat" cmpd="sng">
                          <a:solidFill>
                            <a:srgbClr val="FF0000"/>
                          </a:solidFill>
                          <a:prstDash val="solid"/>
                          <a:round/>
                          <a:headEnd type="none" w="med" len="med"/>
                          <a:tailEnd type="none" w="med" len="med"/>
                        </a:ln>
                      </wps:spPr>
                      <wps:txbx>
                        <w:txbxContent>
                          <w:p w14:paraId="6B0A472D" w14:textId="77777777" w:rsidR="00DB4AC9" w:rsidRDefault="00DB4AC9" w:rsidP="00DB4AC9">
                            <w:pPr>
                              <w:spacing w:after="0"/>
                              <w:textDirection w:val="btLr"/>
                            </w:pPr>
                          </w:p>
                        </w:txbxContent>
                      </wps:txbx>
                      <wps:bodyPr lIns="91425" tIns="91425" rIns="91425" bIns="91425" anchor="ctr" anchorCtr="0"/>
                    </wps:wsp>
                  </a:graphicData>
                </a:graphic>
              </wp:anchor>
            </w:drawing>
          </mc:Choice>
          <mc:Fallback>
            <w:pict>
              <v:oval w14:anchorId="102428CE" id="Oval 75" o:spid="_x0000_s1042" style="position:absolute;margin-left:159pt;margin-top:18pt;width:38pt;height:17pt;z-index:25165826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" o:allowincell="f" filled="f" strokecolor="red" strokeweight="1.5pt">
                <v:textbox inset="2.53958mm,2.53958mm,2.53958mm,2.53958mm">
                  <w:txbxContent>
                    <w:p w14:paraId="6B0A472D" w14:textId="77777777" w:rsidR="00DB4AC9" w:rsidRDefault="00DB4AC9" w:rsidP="00DB4AC9">
                      <w:pPr>
                        <w:spacing w:after="0"/>
                        <w:textDirection w:val="btLr"/>
                      </w:pPr>
                    </w:p>
                  </w:txbxContent>
                </v:textbox>
                <w10:wrap anchorx="margin"/>
              </v:oval>
            </w:pict>
          </mc:Fallback>
        </mc:AlternateContent>
      </w:r>
    </w:p>
    <w:p w14:paraId="38E5FB82" w14:textId="77777777" w:rsidR="00DB4AC9" w:rsidRDefault="00DB4AC9" w:rsidP="00DB4AC9">
      <w:r>
        <w:br w:type="page"/>
      </w:r>
    </w:p>
    <w:p w14:paraId="69EE77A0" w14:textId="77777777" w:rsidR="00DB4AC9" w:rsidRDefault="00DB4AC9" w:rsidP="00DB4AC9">
      <w:pPr>
        <w:keepNext/>
        <w:spacing w:after="180"/>
      </w:pPr>
      <w:bookmarkStart w:id="248" w:name="_21od6so" w:colFirst="0" w:colLast="0"/>
      <w:bookmarkEnd w:id="248"/>
      <w:r>
        <w:rPr>
          <w:b/>
          <w:sz w:val="32"/>
          <w:szCs w:val="32"/>
        </w:rPr>
        <w:lastRenderedPageBreak/>
        <w:t xml:space="preserve">Field Charts </w:t>
      </w:r>
    </w:p>
    <w:p w14:paraId="7C702750" w14:textId="77777777" w:rsidR="00DB4AC9" w:rsidRDefault="00DB4AC9" w:rsidP="00DB4AC9">
      <w:pPr>
        <w:keepNext/>
        <w:spacing w:before="240"/>
      </w:pPr>
      <w:bookmarkStart w:id="249" w:name="_gtnh0h" w:colFirst="0" w:colLast="0"/>
      <w:bookmarkEnd w:id="249"/>
      <w:r>
        <w:rPr>
          <w:rFonts w:ascii="Arial" w:eastAsia="Arial" w:hAnsi="Arial" w:cs="Arial"/>
          <w:b/>
          <w:sz w:val="24"/>
          <w:szCs w:val="24"/>
        </w:rPr>
        <w:t>Client Field Definitions</w:t>
      </w:r>
    </w:p>
    <w:p w14:paraId="75A1215E" w14:textId="77777777" w:rsidR="00DB4AC9" w:rsidRDefault="00DB4AC9" w:rsidP="00DB4AC9">
      <w:pPr>
        <w:jc w:val="both"/>
      </w:pPr>
      <w:r>
        <w:rPr>
          <w:sz w:val="24"/>
          <w:szCs w:val="24"/>
        </w:rPr>
        <w:t xml:space="preserve">Below is a table that contains instructions for the entry into each field in Neoserra. Many are self-explanatory; </w:t>
      </w:r>
      <w:proofErr w:type="gramStart"/>
      <w:r>
        <w:rPr>
          <w:sz w:val="24"/>
          <w:szCs w:val="24"/>
        </w:rPr>
        <w:t>however</w:t>
      </w:r>
      <w:proofErr w:type="gramEnd"/>
      <w:r>
        <w:rPr>
          <w:sz w:val="24"/>
          <w:szCs w:val="24"/>
        </w:rPr>
        <w:t xml:space="preserve"> some requirements vary depending on the client’s current business status.</w:t>
      </w:r>
    </w:p>
    <w:p w14:paraId="418A1659" w14:textId="77777777" w:rsidR="00DB4AC9" w:rsidRDefault="00DB4AC9" w:rsidP="00DB4AC9">
      <w:pPr>
        <w:jc w:val="both"/>
      </w:pPr>
      <w:r>
        <w:rPr>
          <w:sz w:val="24"/>
          <w:szCs w:val="24"/>
        </w:rPr>
        <w:t xml:space="preserve">Clients </w:t>
      </w:r>
      <w:proofErr w:type="gramStart"/>
      <w:r>
        <w:rPr>
          <w:sz w:val="24"/>
          <w:szCs w:val="24"/>
        </w:rPr>
        <w:t>are considered to be</w:t>
      </w:r>
      <w:proofErr w:type="gramEnd"/>
      <w:r>
        <w:rPr>
          <w:sz w:val="24"/>
          <w:szCs w:val="24"/>
        </w:rPr>
        <w:t xml:space="preserve"> “in business” if they meet at least one of the following criteria:</w:t>
      </w:r>
    </w:p>
    <w:p w14:paraId="69883044" w14:textId="77777777" w:rsidR="00DB4AC9" w:rsidRDefault="00DB4AC9" w:rsidP="00DB4AC9">
      <w:pPr>
        <w:numPr>
          <w:ilvl w:val="0"/>
          <w:numId w:val="10"/>
        </w:numPr>
        <w:spacing w:after="0"/>
        <w:ind w:hanging="270"/>
        <w:jc w:val="both"/>
        <w:rPr>
          <w:sz w:val="24"/>
          <w:szCs w:val="24"/>
        </w:rPr>
      </w:pPr>
      <w:r>
        <w:rPr>
          <w:sz w:val="24"/>
          <w:szCs w:val="24"/>
        </w:rPr>
        <w:t xml:space="preserve">Has recognized revenue from the sale of a product or service, key to the </w:t>
      </w:r>
      <w:proofErr w:type="gramStart"/>
      <w:r>
        <w:rPr>
          <w:sz w:val="24"/>
          <w:szCs w:val="24"/>
        </w:rPr>
        <w:t>businesses</w:t>
      </w:r>
      <w:proofErr w:type="gramEnd"/>
      <w:r>
        <w:rPr>
          <w:sz w:val="24"/>
          <w:szCs w:val="24"/>
        </w:rPr>
        <w:t>’ purpose</w:t>
      </w:r>
    </w:p>
    <w:p w14:paraId="28B09C09" w14:textId="77777777" w:rsidR="00DB4AC9" w:rsidRDefault="00DB4AC9" w:rsidP="00DB4AC9">
      <w:pPr>
        <w:numPr>
          <w:ilvl w:val="0"/>
          <w:numId w:val="10"/>
        </w:numPr>
        <w:spacing w:after="0"/>
        <w:ind w:hanging="270"/>
        <w:jc w:val="both"/>
        <w:rPr>
          <w:sz w:val="24"/>
          <w:szCs w:val="24"/>
        </w:rPr>
      </w:pPr>
      <w:r>
        <w:rPr>
          <w:sz w:val="24"/>
          <w:szCs w:val="24"/>
        </w:rPr>
        <w:t>Has paid employees employed to perform essential functions</w:t>
      </w:r>
    </w:p>
    <w:p w14:paraId="1A5EDE5D" w14:textId="77777777" w:rsidR="00DB4AC9" w:rsidRDefault="00DB4AC9" w:rsidP="00DB4AC9">
      <w:pPr>
        <w:numPr>
          <w:ilvl w:val="0"/>
          <w:numId w:val="10"/>
        </w:numPr>
        <w:spacing w:after="0"/>
        <w:ind w:hanging="270"/>
        <w:jc w:val="both"/>
        <w:rPr>
          <w:sz w:val="24"/>
          <w:szCs w:val="24"/>
        </w:rPr>
      </w:pPr>
      <w:r>
        <w:rPr>
          <w:sz w:val="24"/>
          <w:szCs w:val="24"/>
        </w:rPr>
        <w:t>Has acquired capital to pursue business operations</w:t>
      </w:r>
    </w:p>
    <w:p w14:paraId="44854823" w14:textId="77777777" w:rsidR="00DB4AC9" w:rsidRDefault="00DB4AC9" w:rsidP="00DB4AC9">
      <w:pPr>
        <w:jc w:val="both"/>
      </w:pPr>
      <w:r>
        <w:rPr>
          <w:sz w:val="24"/>
          <w:szCs w:val="24"/>
        </w:rPr>
        <w:t xml:space="preserve">If a client starts with the SBDC as a pre-venture and </w:t>
      </w:r>
      <w:proofErr w:type="gramStart"/>
      <w:r>
        <w:rPr>
          <w:sz w:val="24"/>
          <w:szCs w:val="24"/>
        </w:rPr>
        <w:t>are</w:t>
      </w:r>
      <w:proofErr w:type="gramEnd"/>
      <w:r>
        <w:rPr>
          <w:sz w:val="24"/>
          <w:szCs w:val="24"/>
        </w:rPr>
        <w:t xml:space="preserve"> successful in opening their business, their client record will need to be edited accordingly to conform to the entry rules of an </w:t>
      </w:r>
      <w:proofErr w:type="gramStart"/>
      <w:r>
        <w:rPr>
          <w:sz w:val="24"/>
          <w:szCs w:val="24"/>
        </w:rPr>
        <w:t>in business</w:t>
      </w:r>
      <w:proofErr w:type="gramEnd"/>
      <w:r>
        <w:rPr>
          <w:sz w:val="24"/>
          <w:szCs w:val="24"/>
        </w:rPr>
        <w:t xml:space="preserve"> client. The key fields that will need editing are those under the category of “Details” (next page).</w:t>
      </w:r>
    </w:p>
    <w:p w14:paraId="482D42F4" w14:textId="77777777" w:rsidR="00DB4AC9" w:rsidRDefault="00DB4AC9" w:rsidP="00DB4AC9">
      <w:pPr>
        <w:spacing w:after="0"/>
      </w:pPr>
      <w:r>
        <w:rPr>
          <w:sz w:val="24"/>
          <w:szCs w:val="24"/>
        </w:rPr>
        <w:t xml:space="preserve">A red </w:t>
      </w:r>
      <w:r>
        <w:rPr>
          <w:b/>
          <w:color w:val="FF0000"/>
          <w:sz w:val="24"/>
          <w:szCs w:val="24"/>
        </w:rPr>
        <w:t>*</w:t>
      </w:r>
      <w:r>
        <w:rPr>
          <w:sz w:val="24"/>
          <w:szCs w:val="24"/>
        </w:rPr>
        <w:t xml:space="preserve"> indicates the field is mandatory.  </w:t>
      </w:r>
    </w:p>
    <w:tbl>
      <w:tblPr>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340"/>
        <w:gridCol w:w="2340"/>
        <w:gridCol w:w="2340"/>
        <w:gridCol w:w="2340"/>
      </w:tblGrid>
      <w:tr w:rsidR="00DB4AC9" w14:paraId="3F1A1070" w14:textId="77777777" w:rsidTr="00AD6AC8">
        <w:trPr>
          <w:trHeight w:val="300"/>
        </w:trPr>
        <w:tc>
          <w:tcPr>
            <w:tcW w:w="2340" w:type="dxa"/>
            <w:shd w:val="clear" w:color="auto" w:fill="262626"/>
          </w:tcPr>
          <w:p w14:paraId="0B6E551F" w14:textId="77777777" w:rsidR="00DB4AC9" w:rsidRDefault="00DB4AC9" w:rsidP="00AD6AC8">
            <w:pPr>
              <w:spacing w:after="0"/>
            </w:pPr>
            <w:r>
              <w:rPr>
                <w:color w:val="FFFFFF"/>
                <w:sz w:val="28"/>
                <w:szCs w:val="28"/>
              </w:rPr>
              <w:t>Field Name</w:t>
            </w:r>
          </w:p>
        </w:tc>
        <w:tc>
          <w:tcPr>
            <w:tcW w:w="4680" w:type="dxa"/>
            <w:gridSpan w:val="2"/>
            <w:shd w:val="clear" w:color="auto" w:fill="262626"/>
          </w:tcPr>
          <w:p w14:paraId="22C44EDF" w14:textId="77777777" w:rsidR="00DB4AC9" w:rsidRDefault="00DB4AC9" w:rsidP="00AD6AC8">
            <w:pPr>
              <w:spacing w:after="0"/>
            </w:pPr>
            <w:r>
              <w:rPr>
                <w:color w:val="FFFFFF"/>
                <w:sz w:val="28"/>
                <w:szCs w:val="28"/>
              </w:rPr>
              <w:t>In-Business Clients</w:t>
            </w:r>
          </w:p>
        </w:tc>
        <w:tc>
          <w:tcPr>
            <w:tcW w:w="2340" w:type="dxa"/>
            <w:shd w:val="clear" w:color="auto" w:fill="262626"/>
          </w:tcPr>
          <w:p w14:paraId="601274DC" w14:textId="77777777" w:rsidR="00DB4AC9" w:rsidRDefault="00DB4AC9" w:rsidP="00AD6AC8">
            <w:pPr>
              <w:spacing w:after="0"/>
            </w:pPr>
            <w:r>
              <w:rPr>
                <w:color w:val="FFFFFF"/>
                <w:sz w:val="28"/>
                <w:szCs w:val="28"/>
              </w:rPr>
              <w:t>Pre-Venture Clients</w:t>
            </w:r>
          </w:p>
        </w:tc>
      </w:tr>
      <w:tr w:rsidR="00DB4AC9" w14:paraId="2FF2E743" w14:textId="77777777" w:rsidTr="00AD6AC8">
        <w:trPr>
          <w:trHeight w:val="300"/>
        </w:trPr>
        <w:tc>
          <w:tcPr>
            <w:tcW w:w="2340" w:type="dxa"/>
          </w:tcPr>
          <w:p w14:paraId="65F55D78" w14:textId="77777777" w:rsidR="00DB4AC9" w:rsidRDefault="00DB4AC9" w:rsidP="00AD6AC8">
            <w:pPr>
              <w:spacing w:after="0"/>
            </w:pPr>
            <w:r>
              <w:rPr>
                <w:sz w:val="20"/>
                <w:szCs w:val="20"/>
              </w:rPr>
              <w:t>Client ID</w:t>
            </w:r>
          </w:p>
        </w:tc>
        <w:tc>
          <w:tcPr>
            <w:tcW w:w="4680" w:type="dxa"/>
            <w:gridSpan w:val="2"/>
          </w:tcPr>
          <w:p w14:paraId="110FBB0F" w14:textId="77777777" w:rsidR="00DB4AC9" w:rsidRDefault="00DB4AC9" w:rsidP="00AD6AC8">
            <w:pPr>
              <w:spacing w:after="0"/>
            </w:pPr>
            <w:r>
              <w:rPr>
                <w:sz w:val="20"/>
                <w:szCs w:val="20"/>
              </w:rPr>
              <w:t>Auto-generated</w:t>
            </w:r>
          </w:p>
        </w:tc>
        <w:tc>
          <w:tcPr>
            <w:tcW w:w="2340" w:type="dxa"/>
          </w:tcPr>
          <w:p w14:paraId="2387E898" w14:textId="77777777" w:rsidR="00DB4AC9" w:rsidRDefault="00DB4AC9" w:rsidP="00AD6AC8">
            <w:pPr>
              <w:spacing w:after="0"/>
            </w:pPr>
            <w:r>
              <w:rPr>
                <w:sz w:val="20"/>
                <w:szCs w:val="20"/>
              </w:rPr>
              <w:t>Auto-generated</w:t>
            </w:r>
          </w:p>
        </w:tc>
      </w:tr>
      <w:tr w:rsidR="00DB4AC9" w14:paraId="73B56C16" w14:textId="77777777" w:rsidTr="00AD6AC8">
        <w:trPr>
          <w:trHeight w:val="300"/>
        </w:trPr>
        <w:tc>
          <w:tcPr>
            <w:tcW w:w="2340" w:type="dxa"/>
          </w:tcPr>
          <w:p w14:paraId="149EB93A" w14:textId="77777777" w:rsidR="00DB4AC9" w:rsidRDefault="00DB4AC9" w:rsidP="00AD6AC8">
            <w:pPr>
              <w:spacing w:after="0"/>
            </w:pPr>
            <w:r>
              <w:rPr>
                <w:sz w:val="20"/>
                <w:szCs w:val="20"/>
              </w:rPr>
              <w:t>Client/Pre-client Type</w:t>
            </w:r>
          </w:p>
        </w:tc>
        <w:tc>
          <w:tcPr>
            <w:tcW w:w="4680" w:type="dxa"/>
            <w:gridSpan w:val="2"/>
          </w:tcPr>
          <w:p w14:paraId="2834AF47" w14:textId="77777777" w:rsidR="00DB4AC9" w:rsidRDefault="00DB4AC9" w:rsidP="00AD6AC8">
            <w:pPr>
              <w:spacing w:after="0"/>
            </w:pPr>
            <w:r>
              <w:rPr>
                <w:sz w:val="20"/>
                <w:szCs w:val="20"/>
              </w:rPr>
              <w:t>Always "Active"</w:t>
            </w:r>
          </w:p>
        </w:tc>
        <w:tc>
          <w:tcPr>
            <w:tcW w:w="2340" w:type="dxa"/>
          </w:tcPr>
          <w:p w14:paraId="0834FC08" w14:textId="77777777" w:rsidR="00DB4AC9" w:rsidRDefault="00DB4AC9" w:rsidP="00AD6AC8">
            <w:pPr>
              <w:spacing w:after="0"/>
            </w:pPr>
            <w:r>
              <w:rPr>
                <w:sz w:val="20"/>
                <w:szCs w:val="20"/>
              </w:rPr>
              <w:t>Always "Active"</w:t>
            </w:r>
          </w:p>
        </w:tc>
      </w:tr>
      <w:tr w:rsidR="00DB4AC9" w14:paraId="7582477D" w14:textId="77777777" w:rsidTr="00AD6AC8">
        <w:trPr>
          <w:trHeight w:val="300"/>
        </w:trPr>
        <w:tc>
          <w:tcPr>
            <w:tcW w:w="2340" w:type="dxa"/>
          </w:tcPr>
          <w:p w14:paraId="12007624" w14:textId="77777777" w:rsidR="00DB4AC9" w:rsidRDefault="00DB4AC9" w:rsidP="00AD6AC8">
            <w:pPr>
              <w:spacing w:after="0"/>
            </w:pPr>
            <w:r>
              <w:rPr>
                <w:color w:val="FF0000"/>
                <w:sz w:val="20"/>
                <w:szCs w:val="20"/>
              </w:rPr>
              <w:t>*</w:t>
            </w:r>
            <w:r>
              <w:rPr>
                <w:sz w:val="20"/>
                <w:szCs w:val="20"/>
              </w:rPr>
              <w:t>Company Name</w:t>
            </w:r>
          </w:p>
        </w:tc>
        <w:tc>
          <w:tcPr>
            <w:tcW w:w="4680" w:type="dxa"/>
            <w:gridSpan w:val="2"/>
          </w:tcPr>
          <w:p w14:paraId="36C0F727" w14:textId="77777777" w:rsidR="00DB4AC9" w:rsidRDefault="00DB4AC9" w:rsidP="00AD6AC8">
            <w:pPr>
              <w:spacing w:after="0"/>
            </w:pPr>
            <w:r>
              <w:rPr>
                <w:b/>
                <w:sz w:val="20"/>
                <w:szCs w:val="20"/>
              </w:rPr>
              <w:t>Enter full name of business, first letter capital format (e.g. Small Business, Inc.)</w:t>
            </w:r>
          </w:p>
        </w:tc>
        <w:tc>
          <w:tcPr>
            <w:tcW w:w="2340" w:type="dxa"/>
          </w:tcPr>
          <w:p w14:paraId="23D6763A" w14:textId="77777777" w:rsidR="00DB4AC9" w:rsidRDefault="00DB4AC9" w:rsidP="00AD6AC8">
            <w:pPr>
              <w:spacing w:after="0"/>
            </w:pPr>
            <w:r>
              <w:rPr>
                <w:sz w:val="20"/>
                <w:szCs w:val="20"/>
              </w:rPr>
              <w:t>Default = Last, First</w:t>
            </w:r>
          </w:p>
        </w:tc>
      </w:tr>
      <w:tr w:rsidR="00DB4AC9" w14:paraId="656A7D59" w14:textId="77777777" w:rsidTr="00AD6AC8">
        <w:trPr>
          <w:trHeight w:val="300"/>
        </w:trPr>
        <w:tc>
          <w:tcPr>
            <w:tcW w:w="2340" w:type="dxa"/>
          </w:tcPr>
          <w:p w14:paraId="21FD7DFF" w14:textId="77777777" w:rsidR="00DB4AC9" w:rsidRDefault="00DB4AC9" w:rsidP="00AD6AC8">
            <w:pPr>
              <w:spacing w:after="0"/>
            </w:pPr>
            <w:r>
              <w:rPr>
                <w:color w:val="FF0000"/>
                <w:sz w:val="20"/>
                <w:szCs w:val="20"/>
              </w:rPr>
              <w:t>*</w:t>
            </w:r>
            <w:r>
              <w:rPr>
                <w:sz w:val="20"/>
                <w:szCs w:val="20"/>
              </w:rPr>
              <w:t>Phone Number</w:t>
            </w:r>
          </w:p>
        </w:tc>
        <w:tc>
          <w:tcPr>
            <w:tcW w:w="4680" w:type="dxa"/>
            <w:gridSpan w:val="2"/>
          </w:tcPr>
          <w:p w14:paraId="14D77595" w14:textId="77777777" w:rsidR="00DB4AC9" w:rsidRDefault="00DB4AC9" w:rsidP="00AD6AC8">
            <w:pPr>
              <w:spacing w:after="0"/>
            </w:pPr>
            <w:r>
              <w:rPr>
                <w:b/>
                <w:sz w:val="20"/>
                <w:szCs w:val="20"/>
              </w:rPr>
              <w:t>Main contact Phone</w:t>
            </w:r>
          </w:p>
        </w:tc>
        <w:tc>
          <w:tcPr>
            <w:tcW w:w="2340" w:type="dxa"/>
          </w:tcPr>
          <w:p w14:paraId="28C695B8" w14:textId="77777777" w:rsidR="00DB4AC9" w:rsidRDefault="00DB4AC9" w:rsidP="00AD6AC8">
            <w:pPr>
              <w:spacing w:after="0"/>
            </w:pPr>
            <w:r>
              <w:rPr>
                <w:b/>
                <w:sz w:val="20"/>
                <w:szCs w:val="20"/>
              </w:rPr>
              <w:t>Main contact Phone</w:t>
            </w:r>
          </w:p>
        </w:tc>
      </w:tr>
      <w:tr w:rsidR="00DB4AC9" w14:paraId="1BBBFD21" w14:textId="77777777" w:rsidTr="00AD6AC8">
        <w:trPr>
          <w:trHeight w:val="300"/>
        </w:trPr>
        <w:tc>
          <w:tcPr>
            <w:tcW w:w="2340" w:type="dxa"/>
          </w:tcPr>
          <w:p w14:paraId="4157A070" w14:textId="77777777" w:rsidR="00DB4AC9" w:rsidRDefault="00DB4AC9" w:rsidP="00AD6AC8">
            <w:pPr>
              <w:spacing w:after="0"/>
            </w:pPr>
            <w:r>
              <w:rPr>
                <w:sz w:val="20"/>
                <w:szCs w:val="20"/>
              </w:rPr>
              <w:t>Secondary Phone Num.</w:t>
            </w:r>
          </w:p>
        </w:tc>
        <w:tc>
          <w:tcPr>
            <w:tcW w:w="4680" w:type="dxa"/>
            <w:gridSpan w:val="2"/>
          </w:tcPr>
          <w:p w14:paraId="59B2D21C" w14:textId="77777777" w:rsidR="00DB4AC9" w:rsidRDefault="00DB4AC9" w:rsidP="00AD6AC8">
            <w:pPr>
              <w:spacing w:after="0"/>
            </w:pPr>
            <w:r>
              <w:rPr>
                <w:sz w:val="20"/>
                <w:szCs w:val="20"/>
              </w:rPr>
              <w:t>Enter if Applicable</w:t>
            </w:r>
          </w:p>
        </w:tc>
        <w:tc>
          <w:tcPr>
            <w:tcW w:w="2340" w:type="dxa"/>
          </w:tcPr>
          <w:p w14:paraId="3C336BD1" w14:textId="77777777" w:rsidR="00DB4AC9" w:rsidRDefault="00DB4AC9" w:rsidP="00AD6AC8">
            <w:pPr>
              <w:spacing w:after="0"/>
            </w:pPr>
            <w:r>
              <w:rPr>
                <w:sz w:val="20"/>
                <w:szCs w:val="20"/>
              </w:rPr>
              <w:t>Enter if Applicable</w:t>
            </w:r>
          </w:p>
        </w:tc>
      </w:tr>
      <w:tr w:rsidR="00DB4AC9" w14:paraId="5154D78E" w14:textId="77777777" w:rsidTr="00AD6AC8">
        <w:trPr>
          <w:trHeight w:val="300"/>
        </w:trPr>
        <w:tc>
          <w:tcPr>
            <w:tcW w:w="2340" w:type="dxa"/>
          </w:tcPr>
          <w:p w14:paraId="15EAAA6A" w14:textId="77777777" w:rsidR="00DB4AC9" w:rsidRDefault="00DB4AC9" w:rsidP="00AD6AC8">
            <w:pPr>
              <w:spacing w:after="0"/>
            </w:pPr>
            <w:r>
              <w:rPr>
                <w:sz w:val="20"/>
                <w:szCs w:val="20"/>
              </w:rPr>
              <w:t>Fax Number</w:t>
            </w:r>
          </w:p>
        </w:tc>
        <w:tc>
          <w:tcPr>
            <w:tcW w:w="4680" w:type="dxa"/>
            <w:gridSpan w:val="2"/>
          </w:tcPr>
          <w:p w14:paraId="66986CA9" w14:textId="77777777" w:rsidR="00DB4AC9" w:rsidRDefault="00DB4AC9" w:rsidP="00AD6AC8">
            <w:pPr>
              <w:spacing w:after="0"/>
            </w:pPr>
            <w:r>
              <w:rPr>
                <w:sz w:val="20"/>
                <w:szCs w:val="20"/>
              </w:rPr>
              <w:t>Enter if Applicable</w:t>
            </w:r>
          </w:p>
        </w:tc>
        <w:tc>
          <w:tcPr>
            <w:tcW w:w="2340" w:type="dxa"/>
          </w:tcPr>
          <w:p w14:paraId="008D8C87" w14:textId="77777777" w:rsidR="00DB4AC9" w:rsidRDefault="00DB4AC9" w:rsidP="00AD6AC8">
            <w:pPr>
              <w:spacing w:after="0"/>
            </w:pPr>
            <w:r>
              <w:rPr>
                <w:sz w:val="20"/>
                <w:szCs w:val="20"/>
              </w:rPr>
              <w:t>Enter if Applicable</w:t>
            </w:r>
          </w:p>
        </w:tc>
      </w:tr>
      <w:tr w:rsidR="00DB4AC9" w14:paraId="1890D3D6" w14:textId="77777777" w:rsidTr="00AD6AC8">
        <w:trPr>
          <w:trHeight w:val="300"/>
        </w:trPr>
        <w:tc>
          <w:tcPr>
            <w:tcW w:w="2340" w:type="dxa"/>
          </w:tcPr>
          <w:p w14:paraId="3EDE4B7D" w14:textId="77777777" w:rsidR="00DB4AC9" w:rsidRDefault="00DB4AC9" w:rsidP="00AD6AC8">
            <w:pPr>
              <w:spacing w:after="0"/>
            </w:pPr>
            <w:r>
              <w:rPr>
                <w:color w:val="FF0000"/>
                <w:sz w:val="20"/>
                <w:szCs w:val="20"/>
              </w:rPr>
              <w:t>*</w:t>
            </w:r>
            <w:r>
              <w:rPr>
                <w:sz w:val="20"/>
                <w:szCs w:val="20"/>
              </w:rPr>
              <w:t>E-mail Address</w:t>
            </w:r>
          </w:p>
        </w:tc>
        <w:tc>
          <w:tcPr>
            <w:tcW w:w="4680" w:type="dxa"/>
            <w:gridSpan w:val="2"/>
          </w:tcPr>
          <w:p w14:paraId="7102C4BD" w14:textId="77777777" w:rsidR="00DB4AC9" w:rsidRDefault="00DB4AC9" w:rsidP="00AD6AC8">
            <w:pPr>
              <w:spacing w:after="0"/>
            </w:pPr>
            <w:r>
              <w:rPr>
                <w:b/>
                <w:sz w:val="20"/>
                <w:szCs w:val="20"/>
              </w:rPr>
              <w:t>Main e-mail required unless unavailable</w:t>
            </w:r>
          </w:p>
        </w:tc>
        <w:tc>
          <w:tcPr>
            <w:tcW w:w="2340" w:type="dxa"/>
          </w:tcPr>
          <w:p w14:paraId="124267B2" w14:textId="77777777" w:rsidR="00DB4AC9" w:rsidRDefault="00DB4AC9" w:rsidP="00AD6AC8">
            <w:pPr>
              <w:spacing w:after="0"/>
            </w:pPr>
            <w:r>
              <w:rPr>
                <w:b/>
                <w:sz w:val="20"/>
                <w:szCs w:val="20"/>
              </w:rPr>
              <w:t>Main e-mail required unless unavailable</w:t>
            </w:r>
          </w:p>
        </w:tc>
      </w:tr>
      <w:tr w:rsidR="00DB4AC9" w14:paraId="47A739E4" w14:textId="77777777" w:rsidTr="00AD6AC8">
        <w:trPr>
          <w:trHeight w:val="300"/>
        </w:trPr>
        <w:tc>
          <w:tcPr>
            <w:tcW w:w="2340" w:type="dxa"/>
          </w:tcPr>
          <w:p w14:paraId="071B66C1" w14:textId="77777777" w:rsidR="00DB4AC9" w:rsidRDefault="00DB4AC9" w:rsidP="00AD6AC8">
            <w:pPr>
              <w:spacing w:after="0"/>
            </w:pPr>
            <w:r>
              <w:rPr>
                <w:sz w:val="20"/>
                <w:szCs w:val="20"/>
              </w:rPr>
              <w:t>Subscribe to e-mails?</w:t>
            </w:r>
          </w:p>
        </w:tc>
        <w:tc>
          <w:tcPr>
            <w:tcW w:w="4680" w:type="dxa"/>
            <w:gridSpan w:val="2"/>
          </w:tcPr>
          <w:p w14:paraId="41419B75" w14:textId="77777777" w:rsidR="00DB4AC9" w:rsidRDefault="00DB4AC9" w:rsidP="00AD6AC8">
            <w:pPr>
              <w:spacing w:after="0"/>
            </w:pPr>
            <w:r>
              <w:rPr>
                <w:sz w:val="20"/>
                <w:szCs w:val="20"/>
              </w:rPr>
              <w:t>Uncheck only if client expresses desire to be taken off mailing list.</w:t>
            </w:r>
          </w:p>
        </w:tc>
        <w:tc>
          <w:tcPr>
            <w:tcW w:w="2340" w:type="dxa"/>
          </w:tcPr>
          <w:p w14:paraId="0CF5AAD4" w14:textId="77777777" w:rsidR="00DB4AC9" w:rsidRDefault="00DB4AC9" w:rsidP="00AD6AC8">
            <w:pPr>
              <w:spacing w:after="0"/>
            </w:pPr>
            <w:r>
              <w:rPr>
                <w:sz w:val="20"/>
                <w:szCs w:val="20"/>
              </w:rPr>
              <w:t>Uncheck only if client expresses desire to be taken off mailing list.</w:t>
            </w:r>
          </w:p>
        </w:tc>
      </w:tr>
      <w:tr w:rsidR="00DB4AC9" w14:paraId="121FE67D" w14:textId="77777777" w:rsidTr="00AD6AC8">
        <w:trPr>
          <w:trHeight w:val="300"/>
        </w:trPr>
        <w:tc>
          <w:tcPr>
            <w:tcW w:w="2340" w:type="dxa"/>
          </w:tcPr>
          <w:p w14:paraId="7564C67A" w14:textId="77777777" w:rsidR="00DB4AC9" w:rsidRDefault="00DB4AC9" w:rsidP="00AD6AC8">
            <w:pPr>
              <w:spacing w:after="0"/>
            </w:pPr>
            <w:r>
              <w:rPr>
                <w:sz w:val="20"/>
                <w:szCs w:val="20"/>
              </w:rPr>
              <w:t>Website</w:t>
            </w:r>
          </w:p>
        </w:tc>
        <w:tc>
          <w:tcPr>
            <w:tcW w:w="4680" w:type="dxa"/>
            <w:gridSpan w:val="2"/>
          </w:tcPr>
          <w:p w14:paraId="361F30AE" w14:textId="77777777" w:rsidR="00DB4AC9" w:rsidRDefault="00DB4AC9" w:rsidP="00AD6AC8">
            <w:pPr>
              <w:spacing w:after="0"/>
            </w:pPr>
            <w:r>
              <w:rPr>
                <w:sz w:val="20"/>
                <w:szCs w:val="20"/>
              </w:rPr>
              <w:t>Enter if Applicable</w:t>
            </w:r>
          </w:p>
        </w:tc>
        <w:tc>
          <w:tcPr>
            <w:tcW w:w="2340" w:type="dxa"/>
          </w:tcPr>
          <w:p w14:paraId="659B4E83" w14:textId="77777777" w:rsidR="00DB4AC9" w:rsidRDefault="00DB4AC9" w:rsidP="00AD6AC8">
            <w:pPr>
              <w:spacing w:after="0"/>
            </w:pPr>
            <w:r>
              <w:rPr>
                <w:sz w:val="20"/>
                <w:szCs w:val="20"/>
              </w:rPr>
              <w:t>Enter if Applicable</w:t>
            </w:r>
          </w:p>
        </w:tc>
      </w:tr>
      <w:tr w:rsidR="00DB4AC9" w14:paraId="34E3B1EF" w14:textId="77777777" w:rsidTr="00AD6AC8">
        <w:trPr>
          <w:trHeight w:val="300"/>
        </w:trPr>
        <w:tc>
          <w:tcPr>
            <w:tcW w:w="2340" w:type="dxa"/>
            <w:tcBorders>
              <w:bottom w:val="single" w:sz="4" w:space="0" w:color="000000"/>
            </w:tcBorders>
          </w:tcPr>
          <w:p w14:paraId="6CD9F64A" w14:textId="77777777" w:rsidR="00DB4AC9" w:rsidRDefault="00DB4AC9" w:rsidP="00AD6AC8">
            <w:pPr>
              <w:spacing w:after="0"/>
            </w:pPr>
            <w:r>
              <w:rPr>
                <w:color w:val="FF0000"/>
                <w:sz w:val="20"/>
                <w:szCs w:val="20"/>
              </w:rPr>
              <w:t>*</w:t>
            </w:r>
            <w:r>
              <w:rPr>
                <w:sz w:val="20"/>
                <w:szCs w:val="20"/>
              </w:rPr>
              <w:t>Client Signature/Start</w:t>
            </w:r>
          </w:p>
        </w:tc>
        <w:tc>
          <w:tcPr>
            <w:tcW w:w="4680" w:type="dxa"/>
            <w:gridSpan w:val="2"/>
            <w:tcBorders>
              <w:bottom w:val="single" w:sz="4" w:space="0" w:color="000000"/>
            </w:tcBorders>
          </w:tcPr>
          <w:p w14:paraId="00CA6D86" w14:textId="77777777" w:rsidR="00DB4AC9" w:rsidRDefault="00DB4AC9" w:rsidP="00AD6AC8">
            <w:pPr>
              <w:spacing w:after="0"/>
            </w:pPr>
            <w:r>
              <w:rPr>
                <w:b/>
                <w:sz w:val="20"/>
                <w:szCs w:val="20"/>
              </w:rPr>
              <w:t>Should default to e-center. Do not change.</w:t>
            </w:r>
          </w:p>
        </w:tc>
        <w:tc>
          <w:tcPr>
            <w:tcW w:w="2340" w:type="dxa"/>
            <w:tcBorders>
              <w:bottom w:val="single" w:sz="4" w:space="0" w:color="000000"/>
            </w:tcBorders>
          </w:tcPr>
          <w:p w14:paraId="70D84BE0" w14:textId="77777777" w:rsidR="00DB4AC9" w:rsidRDefault="00DB4AC9" w:rsidP="00AD6AC8">
            <w:pPr>
              <w:spacing w:after="0"/>
            </w:pPr>
            <w:r>
              <w:rPr>
                <w:b/>
                <w:sz w:val="20"/>
                <w:szCs w:val="20"/>
              </w:rPr>
              <w:t>Should default to e-center. Do not change.</w:t>
            </w:r>
          </w:p>
        </w:tc>
      </w:tr>
      <w:tr w:rsidR="00DB4AC9" w14:paraId="635813E1" w14:textId="77777777" w:rsidTr="00AD6AC8">
        <w:trPr>
          <w:trHeight w:val="300"/>
        </w:trPr>
        <w:tc>
          <w:tcPr>
            <w:tcW w:w="9360" w:type="dxa"/>
            <w:gridSpan w:val="4"/>
            <w:shd w:val="clear" w:color="auto" w:fill="D9D9D9"/>
          </w:tcPr>
          <w:p w14:paraId="1E2DEFE0" w14:textId="77777777" w:rsidR="00DB4AC9" w:rsidRDefault="00DB4AC9" w:rsidP="00AD6AC8">
            <w:pPr>
              <w:spacing w:after="0"/>
            </w:pPr>
            <w:r>
              <w:rPr>
                <w:b/>
                <w:sz w:val="20"/>
                <w:szCs w:val="20"/>
              </w:rPr>
              <w:t>Address</w:t>
            </w:r>
          </w:p>
        </w:tc>
      </w:tr>
      <w:tr w:rsidR="00DB4AC9" w14:paraId="25CBE71F" w14:textId="77777777" w:rsidTr="00AD6AC8">
        <w:trPr>
          <w:trHeight w:val="300"/>
        </w:trPr>
        <w:tc>
          <w:tcPr>
            <w:tcW w:w="2340" w:type="dxa"/>
          </w:tcPr>
          <w:p w14:paraId="44FF7EB9" w14:textId="77777777" w:rsidR="00DB4AC9" w:rsidRDefault="00DB4AC9" w:rsidP="00AD6AC8">
            <w:pPr>
              <w:spacing w:after="0"/>
            </w:pPr>
            <w:r>
              <w:rPr>
                <w:color w:val="FF0000"/>
                <w:sz w:val="20"/>
                <w:szCs w:val="20"/>
              </w:rPr>
              <w:t>*</w:t>
            </w:r>
            <w:r>
              <w:rPr>
                <w:sz w:val="20"/>
                <w:szCs w:val="20"/>
              </w:rPr>
              <w:t>Mailing address</w:t>
            </w:r>
          </w:p>
        </w:tc>
        <w:tc>
          <w:tcPr>
            <w:tcW w:w="4680" w:type="dxa"/>
            <w:gridSpan w:val="2"/>
          </w:tcPr>
          <w:p w14:paraId="18AD4CD6" w14:textId="77777777" w:rsidR="00DB4AC9" w:rsidRDefault="00DB4AC9" w:rsidP="00AD6AC8">
            <w:pPr>
              <w:spacing w:after="0"/>
            </w:pPr>
            <w:r>
              <w:rPr>
                <w:b/>
                <w:sz w:val="20"/>
                <w:szCs w:val="20"/>
              </w:rPr>
              <w:t>Business mailing address</w:t>
            </w:r>
          </w:p>
        </w:tc>
        <w:tc>
          <w:tcPr>
            <w:tcW w:w="2340" w:type="dxa"/>
          </w:tcPr>
          <w:p w14:paraId="4B69681C" w14:textId="77777777" w:rsidR="00DB4AC9" w:rsidRDefault="00DB4AC9" w:rsidP="00AD6AC8">
            <w:pPr>
              <w:spacing w:after="0"/>
            </w:pPr>
            <w:r>
              <w:rPr>
                <w:b/>
                <w:sz w:val="20"/>
                <w:szCs w:val="20"/>
              </w:rPr>
              <w:t>Primary contact’s mailing address</w:t>
            </w:r>
          </w:p>
        </w:tc>
      </w:tr>
      <w:tr w:rsidR="00DB4AC9" w14:paraId="6220213D" w14:textId="77777777" w:rsidTr="00AD6AC8">
        <w:trPr>
          <w:trHeight w:val="300"/>
        </w:trPr>
        <w:tc>
          <w:tcPr>
            <w:tcW w:w="2340" w:type="dxa"/>
          </w:tcPr>
          <w:p w14:paraId="1A6E47C9" w14:textId="77777777" w:rsidR="00DB4AC9" w:rsidRDefault="00DB4AC9" w:rsidP="00AD6AC8">
            <w:pPr>
              <w:spacing w:after="0"/>
            </w:pPr>
            <w:r>
              <w:rPr>
                <w:color w:val="FF0000"/>
                <w:sz w:val="20"/>
                <w:szCs w:val="20"/>
              </w:rPr>
              <w:t>*</w:t>
            </w:r>
            <w:r>
              <w:rPr>
                <w:sz w:val="20"/>
                <w:szCs w:val="20"/>
              </w:rPr>
              <w:t>City</w:t>
            </w:r>
          </w:p>
        </w:tc>
        <w:tc>
          <w:tcPr>
            <w:tcW w:w="4680" w:type="dxa"/>
            <w:gridSpan w:val="2"/>
          </w:tcPr>
          <w:p w14:paraId="13C4B45A" w14:textId="77777777" w:rsidR="00DB4AC9" w:rsidRDefault="00DB4AC9" w:rsidP="00AD6AC8">
            <w:pPr>
              <w:spacing w:after="0"/>
            </w:pPr>
            <w:r>
              <w:rPr>
                <w:b/>
                <w:sz w:val="20"/>
                <w:szCs w:val="20"/>
              </w:rPr>
              <w:t xml:space="preserve">City </w:t>
            </w:r>
            <w:proofErr w:type="gramStart"/>
            <w:r>
              <w:rPr>
                <w:b/>
                <w:sz w:val="20"/>
                <w:szCs w:val="20"/>
              </w:rPr>
              <w:t>that business</w:t>
            </w:r>
            <w:proofErr w:type="gramEnd"/>
            <w:r>
              <w:rPr>
                <w:b/>
                <w:sz w:val="20"/>
                <w:szCs w:val="20"/>
              </w:rPr>
              <w:t xml:space="preserve"> is located</w:t>
            </w:r>
          </w:p>
        </w:tc>
        <w:tc>
          <w:tcPr>
            <w:tcW w:w="2340" w:type="dxa"/>
          </w:tcPr>
          <w:p w14:paraId="7C479B5C" w14:textId="77777777" w:rsidR="00DB4AC9" w:rsidRDefault="00DB4AC9" w:rsidP="00AD6AC8">
            <w:pPr>
              <w:spacing w:after="0"/>
            </w:pPr>
            <w:r>
              <w:rPr>
                <w:b/>
                <w:sz w:val="20"/>
                <w:szCs w:val="20"/>
              </w:rPr>
              <w:t>City that primary contact is located</w:t>
            </w:r>
          </w:p>
        </w:tc>
      </w:tr>
      <w:tr w:rsidR="00DB4AC9" w14:paraId="0B4A292B" w14:textId="77777777" w:rsidTr="00AD6AC8">
        <w:trPr>
          <w:trHeight w:val="300"/>
        </w:trPr>
        <w:tc>
          <w:tcPr>
            <w:tcW w:w="2340" w:type="dxa"/>
          </w:tcPr>
          <w:p w14:paraId="05A81514" w14:textId="77777777" w:rsidR="00DB4AC9" w:rsidRDefault="00DB4AC9" w:rsidP="00AD6AC8">
            <w:pPr>
              <w:spacing w:after="0"/>
            </w:pPr>
            <w:r>
              <w:rPr>
                <w:color w:val="FF0000"/>
                <w:sz w:val="20"/>
                <w:szCs w:val="20"/>
              </w:rPr>
              <w:t>*</w:t>
            </w:r>
            <w:r>
              <w:rPr>
                <w:sz w:val="20"/>
                <w:szCs w:val="20"/>
              </w:rPr>
              <w:t>State</w:t>
            </w:r>
          </w:p>
        </w:tc>
        <w:tc>
          <w:tcPr>
            <w:tcW w:w="4680" w:type="dxa"/>
            <w:gridSpan w:val="2"/>
          </w:tcPr>
          <w:p w14:paraId="1C3D53AB" w14:textId="77777777" w:rsidR="00DB4AC9" w:rsidRDefault="00DB4AC9" w:rsidP="00AD6AC8">
            <w:pPr>
              <w:spacing w:after="0"/>
            </w:pPr>
            <w:r>
              <w:rPr>
                <w:b/>
                <w:sz w:val="20"/>
                <w:szCs w:val="20"/>
              </w:rPr>
              <w:t>State that business is located</w:t>
            </w:r>
          </w:p>
        </w:tc>
        <w:tc>
          <w:tcPr>
            <w:tcW w:w="2340" w:type="dxa"/>
          </w:tcPr>
          <w:p w14:paraId="77BF91D2" w14:textId="77777777" w:rsidR="00DB4AC9" w:rsidRDefault="00DB4AC9" w:rsidP="00AD6AC8">
            <w:pPr>
              <w:spacing w:after="0"/>
            </w:pPr>
            <w:r>
              <w:rPr>
                <w:b/>
                <w:sz w:val="20"/>
                <w:szCs w:val="20"/>
              </w:rPr>
              <w:t>State that primary contact is located</w:t>
            </w:r>
          </w:p>
        </w:tc>
      </w:tr>
      <w:tr w:rsidR="00DB4AC9" w14:paraId="307BD5B9" w14:textId="77777777" w:rsidTr="00AD6AC8">
        <w:trPr>
          <w:trHeight w:val="300"/>
        </w:trPr>
        <w:tc>
          <w:tcPr>
            <w:tcW w:w="2340" w:type="dxa"/>
          </w:tcPr>
          <w:p w14:paraId="3719FE1C" w14:textId="77777777" w:rsidR="00DB4AC9" w:rsidRDefault="00DB4AC9" w:rsidP="00AD6AC8">
            <w:pPr>
              <w:spacing w:after="0"/>
            </w:pPr>
            <w:r>
              <w:rPr>
                <w:color w:val="FF0000"/>
                <w:sz w:val="20"/>
                <w:szCs w:val="20"/>
              </w:rPr>
              <w:t>*</w:t>
            </w:r>
            <w:r>
              <w:rPr>
                <w:sz w:val="20"/>
                <w:szCs w:val="20"/>
              </w:rPr>
              <w:t>Zip Code</w:t>
            </w:r>
          </w:p>
        </w:tc>
        <w:tc>
          <w:tcPr>
            <w:tcW w:w="4680" w:type="dxa"/>
            <w:gridSpan w:val="2"/>
          </w:tcPr>
          <w:p w14:paraId="7B364771" w14:textId="77777777" w:rsidR="00DB4AC9" w:rsidRDefault="00DB4AC9" w:rsidP="00AD6AC8">
            <w:pPr>
              <w:spacing w:after="0"/>
            </w:pPr>
            <w:r>
              <w:rPr>
                <w:b/>
                <w:sz w:val="20"/>
                <w:szCs w:val="20"/>
              </w:rPr>
              <w:t>Zip Code that business is located</w:t>
            </w:r>
          </w:p>
        </w:tc>
        <w:tc>
          <w:tcPr>
            <w:tcW w:w="2340" w:type="dxa"/>
          </w:tcPr>
          <w:p w14:paraId="6C5FC0FF" w14:textId="77777777" w:rsidR="00DB4AC9" w:rsidRDefault="00DB4AC9" w:rsidP="00AD6AC8">
            <w:pPr>
              <w:spacing w:after="0"/>
            </w:pPr>
            <w:r>
              <w:rPr>
                <w:b/>
                <w:sz w:val="20"/>
                <w:szCs w:val="20"/>
              </w:rPr>
              <w:t>Zip Code that primary contact is located</w:t>
            </w:r>
          </w:p>
        </w:tc>
      </w:tr>
      <w:tr w:rsidR="00DB4AC9" w14:paraId="15D1CC56" w14:textId="77777777" w:rsidTr="00AD6AC8">
        <w:trPr>
          <w:trHeight w:val="300"/>
        </w:trPr>
        <w:tc>
          <w:tcPr>
            <w:tcW w:w="2340" w:type="dxa"/>
          </w:tcPr>
          <w:p w14:paraId="19C2E104" w14:textId="77777777" w:rsidR="00DB4AC9" w:rsidRDefault="00DB4AC9" w:rsidP="00AD6AC8">
            <w:pPr>
              <w:spacing w:after="0"/>
            </w:pPr>
            <w:r>
              <w:rPr>
                <w:color w:val="FF0000"/>
                <w:sz w:val="20"/>
                <w:szCs w:val="20"/>
              </w:rPr>
              <w:t>*</w:t>
            </w:r>
            <w:r>
              <w:rPr>
                <w:sz w:val="20"/>
                <w:szCs w:val="20"/>
              </w:rPr>
              <w:t>Country</w:t>
            </w:r>
          </w:p>
        </w:tc>
        <w:tc>
          <w:tcPr>
            <w:tcW w:w="4680" w:type="dxa"/>
            <w:gridSpan w:val="2"/>
          </w:tcPr>
          <w:p w14:paraId="643F22E1" w14:textId="77777777" w:rsidR="00DB4AC9" w:rsidRDefault="00DB4AC9" w:rsidP="00AD6AC8">
            <w:pPr>
              <w:spacing w:after="0"/>
            </w:pPr>
            <w:r>
              <w:rPr>
                <w:b/>
                <w:sz w:val="20"/>
                <w:szCs w:val="20"/>
              </w:rPr>
              <w:t>United States</w:t>
            </w:r>
          </w:p>
        </w:tc>
        <w:tc>
          <w:tcPr>
            <w:tcW w:w="2340" w:type="dxa"/>
          </w:tcPr>
          <w:p w14:paraId="6529F611" w14:textId="77777777" w:rsidR="00DB4AC9" w:rsidRDefault="00DB4AC9" w:rsidP="00AD6AC8">
            <w:pPr>
              <w:spacing w:after="0"/>
            </w:pPr>
            <w:r>
              <w:rPr>
                <w:b/>
                <w:sz w:val="20"/>
                <w:szCs w:val="20"/>
              </w:rPr>
              <w:t>United States</w:t>
            </w:r>
          </w:p>
        </w:tc>
      </w:tr>
      <w:tr w:rsidR="00DB4AC9" w14:paraId="78C251E0" w14:textId="77777777" w:rsidTr="00AD6AC8">
        <w:trPr>
          <w:trHeight w:val="300"/>
        </w:trPr>
        <w:tc>
          <w:tcPr>
            <w:tcW w:w="9360" w:type="dxa"/>
            <w:gridSpan w:val="4"/>
            <w:shd w:val="clear" w:color="auto" w:fill="D9D9D9"/>
          </w:tcPr>
          <w:p w14:paraId="2C98B0C5" w14:textId="77777777" w:rsidR="00DB4AC9" w:rsidRDefault="00DB4AC9" w:rsidP="00AD6AC8">
            <w:pPr>
              <w:spacing w:after="0"/>
            </w:pPr>
            <w:r>
              <w:rPr>
                <w:b/>
                <w:sz w:val="20"/>
                <w:szCs w:val="20"/>
              </w:rPr>
              <w:t>Minnesota SBDC (User-Defined Fields)</w:t>
            </w:r>
          </w:p>
        </w:tc>
      </w:tr>
      <w:tr w:rsidR="00DB4AC9" w14:paraId="0EEC27AD" w14:textId="77777777" w:rsidTr="00AD6AC8">
        <w:trPr>
          <w:trHeight w:val="300"/>
        </w:trPr>
        <w:tc>
          <w:tcPr>
            <w:tcW w:w="2340" w:type="dxa"/>
          </w:tcPr>
          <w:p w14:paraId="51CBF62F" w14:textId="77777777" w:rsidR="00DB4AC9" w:rsidRDefault="00DB4AC9" w:rsidP="00AD6AC8">
            <w:pPr>
              <w:spacing w:after="0"/>
            </w:pPr>
            <w:r>
              <w:rPr>
                <w:sz w:val="20"/>
                <w:szCs w:val="20"/>
              </w:rPr>
              <w:lastRenderedPageBreak/>
              <w:t>NIB: Type of Business</w:t>
            </w:r>
          </w:p>
        </w:tc>
        <w:tc>
          <w:tcPr>
            <w:tcW w:w="2340" w:type="dxa"/>
          </w:tcPr>
          <w:p w14:paraId="18B05400" w14:textId="77777777" w:rsidR="00DB4AC9" w:rsidRDefault="00DB4AC9" w:rsidP="00AD6AC8">
            <w:pPr>
              <w:spacing w:after="0"/>
            </w:pPr>
            <w:r>
              <w:rPr>
                <w:sz w:val="20"/>
                <w:szCs w:val="20"/>
              </w:rPr>
              <w:t>Refer to coordinator to determine if needed</w:t>
            </w:r>
          </w:p>
        </w:tc>
        <w:tc>
          <w:tcPr>
            <w:tcW w:w="4680" w:type="dxa"/>
            <w:gridSpan w:val="2"/>
          </w:tcPr>
          <w:p w14:paraId="3F933F32" w14:textId="77777777" w:rsidR="00DB4AC9" w:rsidRDefault="00DB4AC9" w:rsidP="00AD6AC8">
            <w:pPr>
              <w:spacing w:after="0"/>
            </w:pPr>
            <w:r>
              <w:rPr>
                <w:sz w:val="20"/>
                <w:szCs w:val="20"/>
              </w:rPr>
              <w:t>Refer to coordinator to determine if needed</w:t>
            </w:r>
          </w:p>
        </w:tc>
      </w:tr>
      <w:tr w:rsidR="00DB4AC9" w14:paraId="2574D451" w14:textId="77777777" w:rsidTr="00AD6AC8">
        <w:trPr>
          <w:trHeight w:val="300"/>
        </w:trPr>
        <w:tc>
          <w:tcPr>
            <w:tcW w:w="2340" w:type="dxa"/>
          </w:tcPr>
          <w:p w14:paraId="14BAC867" w14:textId="77777777" w:rsidR="00DB4AC9" w:rsidRDefault="00DB4AC9" w:rsidP="00AD6AC8">
            <w:pPr>
              <w:spacing w:after="0"/>
            </w:pPr>
            <w:r>
              <w:rPr>
                <w:sz w:val="20"/>
                <w:szCs w:val="20"/>
              </w:rPr>
              <w:t>School Districts</w:t>
            </w:r>
          </w:p>
        </w:tc>
        <w:tc>
          <w:tcPr>
            <w:tcW w:w="2340" w:type="dxa"/>
          </w:tcPr>
          <w:p w14:paraId="5CA6E5DE" w14:textId="77777777" w:rsidR="00DB4AC9" w:rsidRDefault="00DB4AC9" w:rsidP="00AD6AC8">
            <w:pPr>
              <w:spacing w:after="0"/>
            </w:pPr>
            <w:r>
              <w:rPr>
                <w:sz w:val="20"/>
                <w:szCs w:val="20"/>
              </w:rPr>
              <w:t>Refer to coordinator to determine if needed</w:t>
            </w:r>
          </w:p>
        </w:tc>
        <w:tc>
          <w:tcPr>
            <w:tcW w:w="4680" w:type="dxa"/>
            <w:gridSpan w:val="2"/>
          </w:tcPr>
          <w:p w14:paraId="09CD564F" w14:textId="77777777" w:rsidR="00DB4AC9" w:rsidRDefault="00DB4AC9" w:rsidP="00AD6AC8">
            <w:pPr>
              <w:spacing w:after="0"/>
            </w:pPr>
            <w:r>
              <w:rPr>
                <w:sz w:val="20"/>
                <w:szCs w:val="20"/>
              </w:rPr>
              <w:t>Refer to coordinator to determine if needed</w:t>
            </w:r>
          </w:p>
        </w:tc>
      </w:tr>
      <w:tr w:rsidR="00DB4AC9" w14:paraId="371E205D" w14:textId="77777777" w:rsidTr="00AD6AC8">
        <w:trPr>
          <w:trHeight w:val="300"/>
        </w:trPr>
        <w:tc>
          <w:tcPr>
            <w:tcW w:w="2340" w:type="dxa"/>
          </w:tcPr>
          <w:p w14:paraId="0E01E312" w14:textId="77777777" w:rsidR="00DB4AC9" w:rsidRDefault="00DB4AC9" w:rsidP="00AD6AC8">
            <w:pPr>
              <w:spacing w:after="0"/>
            </w:pPr>
            <w:r>
              <w:rPr>
                <w:sz w:val="20"/>
                <w:szCs w:val="20"/>
              </w:rPr>
              <w:t>TTRA Area</w:t>
            </w:r>
          </w:p>
        </w:tc>
        <w:tc>
          <w:tcPr>
            <w:tcW w:w="2340" w:type="dxa"/>
          </w:tcPr>
          <w:p w14:paraId="7970F37D" w14:textId="77777777" w:rsidR="00DB4AC9" w:rsidRDefault="00DB4AC9" w:rsidP="00AD6AC8">
            <w:pPr>
              <w:spacing w:after="0"/>
            </w:pPr>
            <w:r>
              <w:rPr>
                <w:sz w:val="20"/>
                <w:szCs w:val="20"/>
              </w:rPr>
              <w:t>Refer to coordinator to determine if needed</w:t>
            </w:r>
          </w:p>
        </w:tc>
        <w:tc>
          <w:tcPr>
            <w:tcW w:w="4680" w:type="dxa"/>
            <w:gridSpan w:val="2"/>
          </w:tcPr>
          <w:p w14:paraId="7D3A0D53" w14:textId="77777777" w:rsidR="00DB4AC9" w:rsidRDefault="00DB4AC9" w:rsidP="00AD6AC8">
            <w:pPr>
              <w:spacing w:after="0"/>
            </w:pPr>
            <w:r>
              <w:rPr>
                <w:sz w:val="20"/>
                <w:szCs w:val="20"/>
              </w:rPr>
              <w:t>Refer to coordinator to determine if needed</w:t>
            </w:r>
          </w:p>
        </w:tc>
      </w:tr>
      <w:tr w:rsidR="00DB4AC9" w14:paraId="0B5F0AEB" w14:textId="77777777" w:rsidTr="00AD6AC8">
        <w:trPr>
          <w:trHeight w:val="300"/>
        </w:trPr>
        <w:tc>
          <w:tcPr>
            <w:tcW w:w="2340" w:type="dxa"/>
          </w:tcPr>
          <w:p w14:paraId="19CC6954" w14:textId="77777777" w:rsidR="00DB4AC9" w:rsidRDefault="00DB4AC9" w:rsidP="00AD6AC8">
            <w:pPr>
              <w:spacing w:after="0"/>
            </w:pPr>
            <w:r>
              <w:rPr>
                <w:sz w:val="20"/>
                <w:szCs w:val="20"/>
              </w:rPr>
              <w:t>CDBG Eligible</w:t>
            </w:r>
          </w:p>
        </w:tc>
        <w:tc>
          <w:tcPr>
            <w:tcW w:w="2340" w:type="dxa"/>
          </w:tcPr>
          <w:p w14:paraId="51F17150" w14:textId="77777777" w:rsidR="00DB4AC9" w:rsidRDefault="00DB4AC9" w:rsidP="00AD6AC8">
            <w:pPr>
              <w:spacing w:after="0"/>
            </w:pPr>
            <w:r>
              <w:rPr>
                <w:sz w:val="20"/>
                <w:szCs w:val="20"/>
              </w:rPr>
              <w:t>Refer to coordinator to determine if needed</w:t>
            </w:r>
          </w:p>
        </w:tc>
        <w:tc>
          <w:tcPr>
            <w:tcW w:w="4680" w:type="dxa"/>
            <w:gridSpan w:val="2"/>
          </w:tcPr>
          <w:p w14:paraId="3694F3F0" w14:textId="77777777" w:rsidR="00DB4AC9" w:rsidRDefault="00DB4AC9" w:rsidP="00AD6AC8">
            <w:pPr>
              <w:spacing w:after="0"/>
            </w:pPr>
            <w:r>
              <w:rPr>
                <w:sz w:val="20"/>
                <w:szCs w:val="20"/>
              </w:rPr>
              <w:t>Refer to coordinator to determine if needed</w:t>
            </w:r>
          </w:p>
        </w:tc>
      </w:tr>
      <w:tr w:rsidR="00DB4AC9" w14:paraId="500E83D6" w14:textId="77777777" w:rsidTr="00AD6AC8">
        <w:trPr>
          <w:trHeight w:val="300"/>
        </w:trPr>
        <w:tc>
          <w:tcPr>
            <w:tcW w:w="2340" w:type="dxa"/>
          </w:tcPr>
          <w:p w14:paraId="58328CD8" w14:textId="77777777" w:rsidR="00DB4AC9" w:rsidRDefault="00DB4AC9" w:rsidP="00AD6AC8">
            <w:pPr>
              <w:spacing w:after="0"/>
            </w:pPr>
            <w:r>
              <w:rPr>
                <w:sz w:val="20"/>
                <w:szCs w:val="20"/>
              </w:rPr>
              <w:t>Jobs Bill Client</w:t>
            </w:r>
          </w:p>
        </w:tc>
        <w:tc>
          <w:tcPr>
            <w:tcW w:w="2340" w:type="dxa"/>
          </w:tcPr>
          <w:p w14:paraId="26523281" w14:textId="77777777" w:rsidR="00DB4AC9" w:rsidRDefault="00DB4AC9" w:rsidP="00AD6AC8">
            <w:pPr>
              <w:spacing w:after="0"/>
            </w:pPr>
            <w:r>
              <w:rPr>
                <w:sz w:val="20"/>
                <w:szCs w:val="20"/>
              </w:rPr>
              <w:t>Refer to coordinator to determine if needed</w:t>
            </w:r>
          </w:p>
        </w:tc>
        <w:tc>
          <w:tcPr>
            <w:tcW w:w="4680" w:type="dxa"/>
            <w:gridSpan w:val="2"/>
          </w:tcPr>
          <w:p w14:paraId="3A685841" w14:textId="77777777" w:rsidR="00DB4AC9" w:rsidRDefault="00DB4AC9" w:rsidP="00AD6AC8">
            <w:pPr>
              <w:spacing w:after="0"/>
            </w:pPr>
            <w:r>
              <w:rPr>
                <w:sz w:val="20"/>
                <w:szCs w:val="20"/>
              </w:rPr>
              <w:t>Refer to coordinator to determine if needed</w:t>
            </w:r>
          </w:p>
        </w:tc>
      </w:tr>
      <w:tr w:rsidR="00DB4AC9" w14:paraId="5D0CB248" w14:textId="77777777" w:rsidTr="00AD6AC8">
        <w:trPr>
          <w:trHeight w:val="300"/>
        </w:trPr>
        <w:tc>
          <w:tcPr>
            <w:tcW w:w="2340" w:type="dxa"/>
          </w:tcPr>
          <w:p w14:paraId="57E49ADB" w14:textId="77777777" w:rsidR="00DB4AC9" w:rsidRDefault="00DB4AC9" w:rsidP="00AD6AC8">
            <w:pPr>
              <w:spacing w:after="0"/>
            </w:pPr>
            <w:r>
              <w:rPr>
                <w:sz w:val="20"/>
                <w:szCs w:val="20"/>
              </w:rPr>
              <w:t>Student Client (MSU Only)</w:t>
            </w:r>
          </w:p>
        </w:tc>
        <w:tc>
          <w:tcPr>
            <w:tcW w:w="2340" w:type="dxa"/>
          </w:tcPr>
          <w:p w14:paraId="7815B5E5" w14:textId="77777777" w:rsidR="00DB4AC9" w:rsidRDefault="00DB4AC9" w:rsidP="00AD6AC8">
            <w:pPr>
              <w:spacing w:after="0"/>
            </w:pPr>
            <w:r>
              <w:rPr>
                <w:sz w:val="20"/>
                <w:szCs w:val="20"/>
              </w:rPr>
              <w:t>Refer to coordinator to determine if needed</w:t>
            </w:r>
          </w:p>
        </w:tc>
        <w:tc>
          <w:tcPr>
            <w:tcW w:w="4680" w:type="dxa"/>
            <w:gridSpan w:val="2"/>
          </w:tcPr>
          <w:p w14:paraId="73F0196F" w14:textId="77777777" w:rsidR="00DB4AC9" w:rsidRDefault="00DB4AC9" w:rsidP="00AD6AC8">
            <w:pPr>
              <w:spacing w:after="0"/>
            </w:pPr>
            <w:r>
              <w:rPr>
                <w:sz w:val="20"/>
                <w:szCs w:val="20"/>
              </w:rPr>
              <w:t>Refer to coordinator to determine if needed</w:t>
            </w:r>
          </w:p>
        </w:tc>
      </w:tr>
      <w:tr w:rsidR="00DB4AC9" w14:paraId="31CA3C65" w14:textId="77777777" w:rsidTr="00AD6AC8">
        <w:trPr>
          <w:trHeight w:val="60"/>
        </w:trPr>
        <w:tc>
          <w:tcPr>
            <w:tcW w:w="9360" w:type="dxa"/>
            <w:gridSpan w:val="4"/>
            <w:shd w:val="clear" w:color="auto" w:fill="D9D9D9"/>
          </w:tcPr>
          <w:p w14:paraId="4B2050D8" w14:textId="77777777" w:rsidR="00DB4AC9" w:rsidRDefault="00DB4AC9" w:rsidP="00AD6AC8">
            <w:pPr>
              <w:spacing w:after="0"/>
            </w:pPr>
            <w:r>
              <w:rPr>
                <w:b/>
                <w:sz w:val="20"/>
                <w:szCs w:val="20"/>
              </w:rPr>
              <w:t>Details</w:t>
            </w:r>
          </w:p>
        </w:tc>
      </w:tr>
      <w:tr w:rsidR="00DB4AC9" w14:paraId="250B5C87" w14:textId="77777777" w:rsidTr="00AD6AC8">
        <w:trPr>
          <w:trHeight w:val="300"/>
        </w:trPr>
        <w:tc>
          <w:tcPr>
            <w:tcW w:w="2340" w:type="dxa"/>
          </w:tcPr>
          <w:p w14:paraId="367BC4EF" w14:textId="77777777" w:rsidR="00DB4AC9" w:rsidRDefault="00DB4AC9" w:rsidP="00AD6AC8">
            <w:pPr>
              <w:spacing w:after="0"/>
            </w:pPr>
            <w:r>
              <w:rPr>
                <w:sz w:val="20"/>
                <w:szCs w:val="20"/>
              </w:rPr>
              <w:t>Initial Business Status</w:t>
            </w:r>
          </w:p>
        </w:tc>
        <w:tc>
          <w:tcPr>
            <w:tcW w:w="2340" w:type="dxa"/>
          </w:tcPr>
          <w:p w14:paraId="453EE149" w14:textId="77777777" w:rsidR="00DB4AC9" w:rsidRDefault="00DB4AC9" w:rsidP="00AD6AC8">
            <w:pPr>
              <w:spacing w:after="0"/>
            </w:pPr>
            <w:r>
              <w:rPr>
                <w:sz w:val="20"/>
                <w:szCs w:val="20"/>
              </w:rPr>
              <w:t>Preventure or In-Business</w:t>
            </w:r>
          </w:p>
        </w:tc>
        <w:tc>
          <w:tcPr>
            <w:tcW w:w="4680" w:type="dxa"/>
            <w:gridSpan w:val="2"/>
          </w:tcPr>
          <w:p w14:paraId="18558CE8" w14:textId="77777777" w:rsidR="00DB4AC9" w:rsidRDefault="00DB4AC9" w:rsidP="00AD6AC8">
            <w:pPr>
              <w:spacing w:after="0"/>
            </w:pPr>
            <w:r>
              <w:rPr>
                <w:sz w:val="20"/>
                <w:szCs w:val="20"/>
              </w:rPr>
              <w:t>Preventure/Nascent</w:t>
            </w:r>
          </w:p>
        </w:tc>
      </w:tr>
      <w:tr w:rsidR="00DB4AC9" w14:paraId="7E092C53" w14:textId="77777777" w:rsidTr="00AD6AC8">
        <w:trPr>
          <w:trHeight w:val="300"/>
        </w:trPr>
        <w:tc>
          <w:tcPr>
            <w:tcW w:w="2340" w:type="dxa"/>
          </w:tcPr>
          <w:p w14:paraId="3FE95C05" w14:textId="77777777" w:rsidR="00DB4AC9" w:rsidRDefault="00DB4AC9" w:rsidP="00AD6AC8">
            <w:pPr>
              <w:spacing w:after="0"/>
            </w:pPr>
            <w:r>
              <w:rPr>
                <w:color w:val="FF0000"/>
                <w:sz w:val="20"/>
                <w:szCs w:val="20"/>
              </w:rPr>
              <w:t>*</w:t>
            </w:r>
            <w:r>
              <w:rPr>
                <w:sz w:val="20"/>
                <w:szCs w:val="20"/>
              </w:rPr>
              <w:t>Company Status (current)</w:t>
            </w:r>
          </w:p>
        </w:tc>
        <w:tc>
          <w:tcPr>
            <w:tcW w:w="2340" w:type="dxa"/>
          </w:tcPr>
          <w:p w14:paraId="767BEF66" w14:textId="77777777" w:rsidR="00DB4AC9" w:rsidRDefault="00DB4AC9" w:rsidP="00AD6AC8">
            <w:pPr>
              <w:spacing w:after="0"/>
            </w:pPr>
            <w:r>
              <w:rPr>
                <w:b/>
                <w:sz w:val="20"/>
                <w:szCs w:val="20"/>
              </w:rPr>
              <w:t>In-Business or Start-up if &lt;1 year</w:t>
            </w:r>
          </w:p>
        </w:tc>
        <w:tc>
          <w:tcPr>
            <w:tcW w:w="4680" w:type="dxa"/>
            <w:gridSpan w:val="2"/>
          </w:tcPr>
          <w:p w14:paraId="0B9C161E" w14:textId="77777777" w:rsidR="00DB4AC9" w:rsidRDefault="00DB4AC9" w:rsidP="00AD6AC8">
            <w:pPr>
              <w:spacing w:after="0"/>
            </w:pPr>
            <w:r>
              <w:rPr>
                <w:b/>
                <w:sz w:val="20"/>
                <w:szCs w:val="20"/>
              </w:rPr>
              <w:t>Preventure/Nascent</w:t>
            </w:r>
          </w:p>
        </w:tc>
      </w:tr>
      <w:tr w:rsidR="00DB4AC9" w14:paraId="0E5DFF27" w14:textId="77777777" w:rsidTr="00AD6AC8">
        <w:trPr>
          <w:trHeight w:val="300"/>
        </w:trPr>
        <w:tc>
          <w:tcPr>
            <w:tcW w:w="2340" w:type="dxa"/>
          </w:tcPr>
          <w:p w14:paraId="40F66B88" w14:textId="77777777" w:rsidR="00DB4AC9" w:rsidRDefault="00DB4AC9" w:rsidP="00AD6AC8">
            <w:pPr>
              <w:spacing w:after="0"/>
            </w:pPr>
            <w:r>
              <w:rPr>
                <w:sz w:val="20"/>
                <w:szCs w:val="20"/>
              </w:rPr>
              <w:t>Date Company Established</w:t>
            </w:r>
          </w:p>
        </w:tc>
        <w:tc>
          <w:tcPr>
            <w:tcW w:w="2340" w:type="dxa"/>
          </w:tcPr>
          <w:p w14:paraId="48881227" w14:textId="77777777" w:rsidR="00DB4AC9" w:rsidRDefault="00DB4AC9" w:rsidP="00AD6AC8">
            <w:pPr>
              <w:spacing w:after="0"/>
            </w:pPr>
            <w:r>
              <w:rPr>
                <w:sz w:val="20"/>
                <w:szCs w:val="20"/>
              </w:rPr>
              <w:t>Enter the date the business was started</w:t>
            </w:r>
          </w:p>
        </w:tc>
        <w:tc>
          <w:tcPr>
            <w:tcW w:w="4680" w:type="dxa"/>
            <w:gridSpan w:val="2"/>
          </w:tcPr>
          <w:p w14:paraId="272D4287" w14:textId="77777777" w:rsidR="00DB4AC9" w:rsidRDefault="00DB4AC9" w:rsidP="00AD6AC8">
            <w:pPr>
              <w:spacing w:after="0"/>
            </w:pPr>
            <w:r>
              <w:rPr>
                <w:sz w:val="20"/>
                <w:szCs w:val="20"/>
              </w:rPr>
              <w:t>Not Applicable, leave blank</w:t>
            </w:r>
          </w:p>
        </w:tc>
      </w:tr>
      <w:tr w:rsidR="00DB4AC9" w14:paraId="406AB7B8" w14:textId="77777777" w:rsidTr="00AD6AC8">
        <w:trPr>
          <w:trHeight w:val="300"/>
        </w:trPr>
        <w:tc>
          <w:tcPr>
            <w:tcW w:w="2340" w:type="dxa"/>
          </w:tcPr>
          <w:p w14:paraId="471220EF" w14:textId="77777777" w:rsidR="00DB4AC9" w:rsidRDefault="00DB4AC9" w:rsidP="00AD6AC8">
            <w:pPr>
              <w:spacing w:after="0"/>
            </w:pPr>
            <w:r>
              <w:rPr>
                <w:sz w:val="20"/>
                <w:szCs w:val="20"/>
              </w:rPr>
              <w:t>Full Time Employees</w:t>
            </w:r>
          </w:p>
        </w:tc>
        <w:tc>
          <w:tcPr>
            <w:tcW w:w="2340" w:type="dxa"/>
          </w:tcPr>
          <w:p w14:paraId="1D863948" w14:textId="77777777" w:rsidR="00DB4AC9" w:rsidRDefault="00DB4AC9" w:rsidP="00AD6AC8">
            <w:pPr>
              <w:spacing w:after="0"/>
            </w:pPr>
            <w:proofErr w:type="gramStart"/>
            <w:r>
              <w:rPr>
                <w:sz w:val="20"/>
                <w:szCs w:val="20"/>
              </w:rPr>
              <w:t>Include</w:t>
            </w:r>
            <w:proofErr w:type="gramEnd"/>
            <w:r>
              <w:rPr>
                <w:sz w:val="20"/>
                <w:szCs w:val="20"/>
              </w:rPr>
              <w:t xml:space="preserve"> business owner in count. Update often, say “yes” to creating milestones</w:t>
            </w:r>
          </w:p>
        </w:tc>
        <w:tc>
          <w:tcPr>
            <w:tcW w:w="4680" w:type="dxa"/>
            <w:gridSpan w:val="2"/>
          </w:tcPr>
          <w:p w14:paraId="41504B6F" w14:textId="77777777" w:rsidR="00DB4AC9" w:rsidRDefault="00DB4AC9" w:rsidP="00AD6AC8">
            <w:pPr>
              <w:spacing w:after="0"/>
            </w:pPr>
            <w:r>
              <w:rPr>
                <w:sz w:val="20"/>
                <w:szCs w:val="20"/>
              </w:rPr>
              <w:t>Not Applicable, leave blank</w:t>
            </w:r>
          </w:p>
        </w:tc>
      </w:tr>
      <w:tr w:rsidR="00DB4AC9" w14:paraId="621E4F03" w14:textId="77777777" w:rsidTr="00AD6AC8">
        <w:trPr>
          <w:trHeight w:val="300"/>
        </w:trPr>
        <w:tc>
          <w:tcPr>
            <w:tcW w:w="2340" w:type="dxa"/>
          </w:tcPr>
          <w:p w14:paraId="5916D1E1" w14:textId="77777777" w:rsidR="00DB4AC9" w:rsidRDefault="00DB4AC9" w:rsidP="00AD6AC8">
            <w:pPr>
              <w:spacing w:after="0"/>
            </w:pPr>
            <w:r>
              <w:rPr>
                <w:sz w:val="20"/>
                <w:szCs w:val="20"/>
              </w:rPr>
              <w:t>Part-Time Employees</w:t>
            </w:r>
          </w:p>
        </w:tc>
        <w:tc>
          <w:tcPr>
            <w:tcW w:w="2340" w:type="dxa"/>
          </w:tcPr>
          <w:p w14:paraId="5B7E7BE1" w14:textId="77777777" w:rsidR="00DB4AC9" w:rsidRDefault="00DB4AC9" w:rsidP="00AD6AC8">
            <w:pPr>
              <w:spacing w:after="0"/>
            </w:pPr>
            <w:r>
              <w:rPr>
                <w:sz w:val="20"/>
                <w:szCs w:val="20"/>
              </w:rPr>
              <w:t xml:space="preserve">Include business </w:t>
            </w:r>
            <w:proofErr w:type="gramStart"/>
            <w:r>
              <w:rPr>
                <w:sz w:val="20"/>
                <w:szCs w:val="20"/>
              </w:rPr>
              <w:t>owner</w:t>
            </w:r>
            <w:proofErr w:type="gramEnd"/>
            <w:r>
              <w:rPr>
                <w:sz w:val="20"/>
                <w:szCs w:val="20"/>
              </w:rPr>
              <w:t xml:space="preserve"> in count if owner is not full time. Update often, say “yes” to creating milestones</w:t>
            </w:r>
          </w:p>
        </w:tc>
        <w:tc>
          <w:tcPr>
            <w:tcW w:w="4680" w:type="dxa"/>
            <w:gridSpan w:val="2"/>
          </w:tcPr>
          <w:p w14:paraId="1E634A18" w14:textId="77777777" w:rsidR="00DB4AC9" w:rsidRDefault="00DB4AC9" w:rsidP="00AD6AC8">
            <w:pPr>
              <w:spacing w:after="0"/>
            </w:pPr>
            <w:r>
              <w:rPr>
                <w:sz w:val="20"/>
                <w:szCs w:val="20"/>
              </w:rPr>
              <w:t>Not Applicable, leave blank</w:t>
            </w:r>
          </w:p>
        </w:tc>
      </w:tr>
      <w:tr w:rsidR="00DB4AC9" w14:paraId="45FE9F23" w14:textId="77777777" w:rsidTr="00AD6AC8">
        <w:trPr>
          <w:trHeight w:val="300"/>
        </w:trPr>
        <w:tc>
          <w:tcPr>
            <w:tcW w:w="2340" w:type="dxa"/>
          </w:tcPr>
          <w:p w14:paraId="3FCA0D31" w14:textId="77777777" w:rsidR="00DB4AC9" w:rsidRDefault="00DB4AC9" w:rsidP="00AD6AC8">
            <w:pPr>
              <w:spacing w:after="0"/>
            </w:pPr>
            <w:r>
              <w:rPr>
                <w:sz w:val="20"/>
                <w:szCs w:val="20"/>
              </w:rPr>
              <w:t>Export-Related Employees</w:t>
            </w:r>
          </w:p>
        </w:tc>
        <w:tc>
          <w:tcPr>
            <w:tcW w:w="2340" w:type="dxa"/>
          </w:tcPr>
          <w:p w14:paraId="4568E83E" w14:textId="77777777" w:rsidR="00DB4AC9" w:rsidRDefault="00DB4AC9" w:rsidP="00AD6AC8">
            <w:pPr>
              <w:spacing w:after="0"/>
            </w:pPr>
            <w:r>
              <w:rPr>
                <w:sz w:val="20"/>
                <w:szCs w:val="20"/>
              </w:rPr>
              <w:t>Include if business has export-related employees</w:t>
            </w:r>
          </w:p>
        </w:tc>
        <w:tc>
          <w:tcPr>
            <w:tcW w:w="4680" w:type="dxa"/>
            <w:gridSpan w:val="2"/>
          </w:tcPr>
          <w:p w14:paraId="64A26B63" w14:textId="77777777" w:rsidR="00DB4AC9" w:rsidRDefault="00DB4AC9" w:rsidP="00AD6AC8">
            <w:pPr>
              <w:spacing w:after="0"/>
            </w:pPr>
            <w:r>
              <w:rPr>
                <w:sz w:val="20"/>
                <w:szCs w:val="20"/>
              </w:rPr>
              <w:t>Not Applicable, leave blank</w:t>
            </w:r>
          </w:p>
        </w:tc>
      </w:tr>
      <w:tr w:rsidR="00DB4AC9" w14:paraId="66532D51" w14:textId="77777777" w:rsidTr="00AD6AC8">
        <w:trPr>
          <w:trHeight w:val="300"/>
        </w:trPr>
        <w:tc>
          <w:tcPr>
            <w:tcW w:w="2340" w:type="dxa"/>
          </w:tcPr>
          <w:p w14:paraId="542BEA50" w14:textId="77777777" w:rsidR="00DB4AC9" w:rsidRDefault="00DB4AC9" w:rsidP="00AD6AC8">
            <w:pPr>
              <w:spacing w:after="0"/>
            </w:pPr>
            <w:r>
              <w:rPr>
                <w:color w:val="FF0000"/>
                <w:sz w:val="20"/>
                <w:szCs w:val="20"/>
              </w:rPr>
              <w:t>*</w:t>
            </w:r>
            <w:r>
              <w:rPr>
                <w:sz w:val="20"/>
                <w:szCs w:val="20"/>
              </w:rPr>
              <w:t>Ownership Gender</w:t>
            </w:r>
          </w:p>
        </w:tc>
        <w:tc>
          <w:tcPr>
            <w:tcW w:w="2340" w:type="dxa"/>
          </w:tcPr>
          <w:p w14:paraId="33C8EEC8" w14:textId="77777777" w:rsidR="00DB4AC9" w:rsidRDefault="00DB4AC9" w:rsidP="00AD6AC8">
            <w:pPr>
              <w:spacing w:after="0"/>
            </w:pPr>
            <w:r>
              <w:rPr>
                <w:b/>
                <w:sz w:val="20"/>
                <w:szCs w:val="20"/>
              </w:rPr>
              <w:t>Select Male, Female (if more than 50% female owned), or Male/Female (If ownership is 50% female). DO NOT select "choose not to respond"</w:t>
            </w:r>
          </w:p>
        </w:tc>
        <w:tc>
          <w:tcPr>
            <w:tcW w:w="4680" w:type="dxa"/>
            <w:gridSpan w:val="2"/>
          </w:tcPr>
          <w:p w14:paraId="3E7D41D4" w14:textId="77777777" w:rsidR="00DB4AC9" w:rsidRDefault="00DB4AC9" w:rsidP="00AD6AC8">
            <w:pPr>
              <w:spacing w:after="0"/>
            </w:pPr>
            <w:r>
              <w:rPr>
                <w:sz w:val="20"/>
                <w:szCs w:val="20"/>
              </w:rPr>
              <w:t>Not Applicable, Default = undefined (Contact Gender must be provided in contact detail)</w:t>
            </w:r>
          </w:p>
        </w:tc>
      </w:tr>
      <w:tr w:rsidR="00DB4AC9" w14:paraId="125A140F" w14:textId="77777777" w:rsidTr="00AD6AC8">
        <w:trPr>
          <w:trHeight w:val="300"/>
        </w:trPr>
        <w:tc>
          <w:tcPr>
            <w:tcW w:w="2340" w:type="dxa"/>
          </w:tcPr>
          <w:p w14:paraId="1FFE6B52" w14:textId="77777777" w:rsidR="00DB4AC9" w:rsidRDefault="00DB4AC9" w:rsidP="00AD6AC8">
            <w:pPr>
              <w:spacing w:after="0"/>
            </w:pPr>
            <w:r>
              <w:rPr>
                <w:color w:val="FF0000"/>
                <w:sz w:val="20"/>
                <w:szCs w:val="20"/>
              </w:rPr>
              <w:t>*</w:t>
            </w:r>
            <w:r>
              <w:rPr>
                <w:sz w:val="20"/>
                <w:szCs w:val="20"/>
              </w:rPr>
              <w:t>Company Veteran</w:t>
            </w:r>
          </w:p>
        </w:tc>
        <w:tc>
          <w:tcPr>
            <w:tcW w:w="2340" w:type="dxa"/>
          </w:tcPr>
          <w:p w14:paraId="7E67FC08" w14:textId="77777777" w:rsidR="00DB4AC9" w:rsidRDefault="00DB4AC9" w:rsidP="00AD6AC8">
            <w:pPr>
              <w:spacing w:after="0"/>
            </w:pPr>
            <w:r>
              <w:rPr>
                <w:b/>
                <w:sz w:val="20"/>
                <w:szCs w:val="20"/>
              </w:rPr>
              <w:t>Choose appropriate veteran status</w:t>
            </w:r>
          </w:p>
        </w:tc>
        <w:tc>
          <w:tcPr>
            <w:tcW w:w="4680" w:type="dxa"/>
            <w:gridSpan w:val="2"/>
          </w:tcPr>
          <w:p w14:paraId="763CB78A" w14:textId="77777777" w:rsidR="00DB4AC9" w:rsidRDefault="00DB4AC9" w:rsidP="00AD6AC8">
            <w:pPr>
              <w:spacing w:after="0"/>
            </w:pPr>
            <w:r>
              <w:rPr>
                <w:sz w:val="20"/>
                <w:szCs w:val="20"/>
              </w:rPr>
              <w:t>Not Applicable, Default = undefined (Contact Vet must be provided in contact detail)</w:t>
            </w:r>
          </w:p>
        </w:tc>
      </w:tr>
      <w:tr w:rsidR="00DB4AC9" w14:paraId="712F0B64" w14:textId="77777777" w:rsidTr="00AD6AC8">
        <w:trPr>
          <w:trHeight w:val="300"/>
        </w:trPr>
        <w:tc>
          <w:tcPr>
            <w:tcW w:w="2340" w:type="dxa"/>
          </w:tcPr>
          <w:p w14:paraId="24C03EB8" w14:textId="77777777" w:rsidR="00DB4AC9" w:rsidRDefault="00DB4AC9" w:rsidP="00AD6AC8">
            <w:pPr>
              <w:spacing w:after="0"/>
            </w:pPr>
            <w:r>
              <w:rPr>
                <w:color w:val="FF0000"/>
                <w:sz w:val="20"/>
                <w:szCs w:val="20"/>
              </w:rPr>
              <w:t>*</w:t>
            </w:r>
            <w:r>
              <w:rPr>
                <w:sz w:val="20"/>
                <w:szCs w:val="20"/>
              </w:rPr>
              <w:t>Business Type</w:t>
            </w:r>
          </w:p>
        </w:tc>
        <w:tc>
          <w:tcPr>
            <w:tcW w:w="2340" w:type="dxa"/>
          </w:tcPr>
          <w:p w14:paraId="7E32E651" w14:textId="77777777" w:rsidR="00DB4AC9" w:rsidRDefault="00DB4AC9" w:rsidP="00AD6AC8">
            <w:pPr>
              <w:spacing w:after="0"/>
            </w:pPr>
            <w:r>
              <w:rPr>
                <w:b/>
                <w:sz w:val="20"/>
                <w:szCs w:val="20"/>
              </w:rPr>
              <w:t>Choose actual business type</w:t>
            </w:r>
          </w:p>
        </w:tc>
        <w:tc>
          <w:tcPr>
            <w:tcW w:w="4680" w:type="dxa"/>
            <w:gridSpan w:val="2"/>
          </w:tcPr>
          <w:p w14:paraId="01BAAA97" w14:textId="77777777" w:rsidR="00DB4AC9" w:rsidRDefault="00DB4AC9" w:rsidP="00AD6AC8">
            <w:pPr>
              <w:spacing w:after="0"/>
            </w:pPr>
            <w:r>
              <w:rPr>
                <w:sz w:val="20"/>
                <w:szCs w:val="20"/>
              </w:rPr>
              <w:t>"undefined" or "choose not to respond"</w:t>
            </w:r>
          </w:p>
        </w:tc>
      </w:tr>
      <w:tr w:rsidR="00DB4AC9" w14:paraId="4BDE4F8B" w14:textId="77777777" w:rsidTr="00AD6AC8">
        <w:trPr>
          <w:trHeight w:val="300"/>
        </w:trPr>
        <w:tc>
          <w:tcPr>
            <w:tcW w:w="2340" w:type="dxa"/>
          </w:tcPr>
          <w:p w14:paraId="34D4DF70" w14:textId="77777777" w:rsidR="00DB4AC9" w:rsidRDefault="00DB4AC9" w:rsidP="00AD6AC8">
            <w:pPr>
              <w:spacing w:after="0"/>
            </w:pPr>
            <w:r>
              <w:rPr>
                <w:color w:val="FF0000"/>
                <w:sz w:val="20"/>
                <w:szCs w:val="20"/>
              </w:rPr>
              <w:t>*</w:t>
            </w:r>
            <w:r>
              <w:rPr>
                <w:sz w:val="20"/>
                <w:szCs w:val="20"/>
              </w:rPr>
              <w:t>Organization Type</w:t>
            </w:r>
          </w:p>
        </w:tc>
        <w:tc>
          <w:tcPr>
            <w:tcW w:w="2340" w:type="dxa"/>
          </w:tcPr>
          <w:p w14:paraId="658C89A7" w14:textId="77777777" w:rsidR="00DB4AC9" w:rsidRDefault="00DB4AC9" w:rsidP="00AD6AC8">
            <w:pPr>
              <w:spacing w:after="0"/>
            </w:pPr>
            <w:r>
              <w:rPr>
                <w:b/>
                <w:sz w:val="20"/>
                <w:szCs w:val="20"/>
              </w:rPr>
              <w:t>Choose actual org type</w:t>
            </w:r>
          </w:p>
        </w:tc>
        <w:tc>
          <w:tcPr>
            <w:tcW w:w="4680" w:type="dxa"/>
            <w:gridSpan w:val="2"/>
          </w:tcPr>
          <w:p w14:paraId="5B89ADD3" w14:textId="77777777" w:rsidR="00DB4AC9" w:rsidRDefault="00DB4AC9" w:rsidP="00AD6AC8">
            <w:pPr>
              <w:spacing w:after="0"/>
            </w:pPr>
            <w:r>
              <w:rPr>
                <w:sz w:val="20"/>
                <w:szCs w:val="20"/>
              </w:rPr>
              <w:t>"undefined" or "Not in Business"</w:t>
            </w:r>
          </w:p>
        </w:tc>
      </w:tr>
      <w:tr w:rsidR="00DB4AC9" w14:paraId="1608A8F9" w14:textId="77777777" w:rsidTr="00AD6AC8">
        <w:trPr>
          <w:trHeight w:val="300"/>
        </w:trPr>
        <w:tc>
          <w:tcPr>
            <w:tcW w:w="2340" w:type="dxa"/>
          </w:tcPr>
          <w:p w14:paraId="2A9E63CF" w14:textId="77777777" w:rsidR="00DB4AC9" w:rsidRDefault="00DB4AC9" w:rsidP="00AD6AC8">
            <w:pPr>
              <w:spacing w:after="0"/>
            </w:pPr>
            <w:r>
              <w:rPr>
                <w:sz w:val="20"/>
                <w:szCs w:val="20"/>
              </w:rPr>
              <w:t>International Trade</w:t>
            </w:r>
          </w:p>
        </w:tc>
        <w:tc>
          <w:tcPr>
            <w:tcW w:w="2340" w:type="dxa"/>
          </w:tcPr>
          <w:p w14:paraId="1967CDA6" w14:textId="77777777" w:rsidR="00DB4AC9" w:rsidRDefault="00DB4AC9" w:rsidP="00AD6AC8">
            <w:pPr>
              <w:spacing w:after="0"/>
            </w:pPr>
            <w:r>
              <w:rPr>
                <w:sz w:val="20"/>
                <w:szCs w:val="20"/>
              </w:rPr>
              <w:t>Select appropriate category if relevant</w:t>
            </w:r>
          </w:p>
        </w:tc>
        <w:tc>
          <w:tcPr>
            <w:tcW w:w="4680" w:type="dxa"/>
            <w:gridSpan w:val="2"/>
          </w:tcPr>
          <w:p w14:paraId="3E491DCA" w14:textId="77777777" w:rsidR="00DB4AC9" w:rsidRDefault="00DB4AC9" w:rsidP="00AD6AC8">
            <w:pPr>
              <w:spacing w:after="0"/>
            </w:pPr>
            <w:r>
              <w:rPr>
                <w:sz w:val="20"/>
                <w:szCs w:val="20"/>
              </w:rPr>
              <w:t>Not Applicable, leave blank</w:t>
            </w:r>
          </w:p>
        </w:tc>
      </w:tr>
      <w:tr w:rsidR="00DB4AC9" w14:paraId="56FCFE12" w14:textId="77777777" w:rsidTr="00AD6AC8">
        <w:trPr>
          <w:trHeight w:val="300"/>
        </w:trPr>
        <w:tc>
          <w:tcPr>
            <w:tcW w:w="2340" w:type="dxa"/>
          </w:tcPr>
          <w:p w14:paraId="65472315" w14:textId="77777777" w:rsidR="00DB4AC9" w:rsidRDefault="00DB4AC9" w:rsidP="00AD6AC8">
            <w:pPr>
              <w:spacing w:after="0"/>
            </w:pPr>
            <w:r>
              <w:rPr>
                <w:sz w:val="20"/>
                <w:szCs w:val="20"/>
              </w:rPr>
              <w:t>Business Online?</w:t>
            </w:r>
          </w:p>
        </w:tc>
        <w:tc>
          <w:tcPr>
            <w:tcW w:w="2340" w:type="dxa"/>
          </w:tcPr>
          <w:p w14:paraId="7519D988" w14:textId="77777777" w:rsidR="00DB4AC9" w:rsidRDefault="00DB4AC9" w:rsidP="00AD6AC8">
            <w:pPr>
              <w:spacing w:after="0"/>
            </w:pPr>
            <w:r>
              <w:rPr>
                <w:sz w:val="20"/>
                <w:szCs w:val="20"/>
              </w:rPr>
              <w:t>If business is online, check box</w:t>
            </w:r>
          </w:p>
        </w:tc>
        <w:tc>
          <w:tcPr>
            <w:tcW w:w="4680" w:type="dxa"/>
            <w:gridSpan w:val="2"/>
          </w:tcPr>
          <w:p w14:paraId="7BBB2EBD" w14:textId="77777777" w:rsidR="00DB4AC9" w:rsidRDefault="00DB4AC9" w:rsidP="00AD6AC8">
            <w:pPr>
              <w:spacing w:after="0"/>
            </w:pPr>
            <w:r>
              <w:rPr>
                <w:sz w:val="20"/>
                <w:szCs w:val="20"/>
              </w:rPr>
              <w:t>Not Applicable, leave blank</w:t>
            </w:r>
          </w:p>
        </w:tc>
      </w:tr>
      <w:tr w:rsidR="00DB4AC9" w14:paraId="7E6CA130" w14:textId="77777777" w:rsidTr="00AD6AC8">
        <w:trPr>
          <w:trHeight w:val="300"/>
        </w:trPr>
        <w:tc>
          <w:tcPr>
            <w:tcW w:w="2340" w:type="dxa"/>
          </w:tcPr>
          <w:p w14:paraId="42ABEAA8" w14:textId="77777777" w:rsidR="00DB4AC9" w:rsidRDefault="00DB4AC9" w:rsidP="00AD6AC8">
            <w:pPr>
              <w:spacing w:after="0"/>
            </w:pPr>
            <w:r>
              <w:rPr>
                <w:sz w:val="20"/>
                <w:szCs w:val="20"/>
              </w:rPr>
              <w:t>Home-Based business</w:t>
            </w:r>
          </w:p>
        </w:tc>
        <w:tc>
          <w:tcPr>
            <w:tcW w:w="2340" w:type="dxa"/>
          </w:tcPr>
          <w:p w14:paraId="5855FB02" w14:textId="77777777" w:rsidR="00DB4AC9" w:rsidRDefault="00DB4AC9" w:rsidP="00AD6AC8">
            <w:pPr>
              <w:spacing w:after="0"/>
            </w:pPr>
            <w:r>
              <w:rPr>
                <w:sz w:val="20"/>
                <w:szCs w:val="20"/>
              </w:rPr>
              <w:t>If business is home based, check box</w:t>
            </w:r>
          </w:p>
        </w:tc>
        <w:tc>
          <w:tcPr>
            <w:tcW w:w="4680" w:type="dxa"/>
            <w:gridSpan w:val="2"/>
          </w:tcPr>
          <w:p w14:paraId="758B5C9B" w14:textId="77777777" w:rsidR="00DB4AC9" w:rsidRDefault="00DB4AC9" w:rsidP="00AD6AC8">
            <w:pPr>
              <w:spacing w:after="0"/>
            </w:pPr>
            <w:r>
              <w:rPr>
                <w:sz w:val="20"/>
                <w:szCs w:val="20"/>
              </w:rPr>
              <w:t>Not Applicable, leave blank</w:t>
            </w:r>
          </w:p>
        </w:tc>
      </w:tr>
      <w:tr w:rsidR="00DB4AC9" w14:paraId="7F91A356" w14:textId="77777777" w:rsidTr="00AD6AC8">
        <w:trPr>
          <w:trHeight w:val="300"/>
        </w:trPr>
        <w:tc>
          <w:tcPr>
            <w:tcW w:w="2340" w:type="dxa"/>
          </w:tcPr>
          <w:p w14:paraId="2870AA72" w14:textId="77777777" w:rsidR="00DB4AC9" w:rsidRDefault="00DB4AC9" w:rsidP="00AD6AC8">
            <w:pPr>
              <w:spacing w:after="0"/>
            </w:pPr>
            <w:r>
              <w:rPr>
                <w:sz w:val="20"/>
                <w:szCs w:val="20"/>
              </w:rPr>
              <w:t>Government contracting potential?</w:t>
            </w:r>
          </w:p>
        </w:tc>
        <w:tc>
          <w:tcPr>
            <w:tcW w:w="2340" w:type="dxa"/>
          </w:tcPr>
          <w:p w14:paraId="0547A292" w14:textId="77777777" w:rsidR="00DB4AC9" w:rsidRDefault="00DB4AC9" w:rsidP="00AD6AC8">
            <w:pPr>
              <w:spacing w:after="0"/>
            </w:pPr>
            <w:r>
              <w:rPr>
                <w:sz w:val="20"/>
                <w:szCs w:val="20"/>
              </w:rPr>
              <w:t xml:space="preserve">If business </w:t>
            </w:r>
            <w:proofErr w:type="gramStart"/>
            <w:r>
              <w:rPr>
                <w:sz w:val="20"/>
                <w:szCs w:val="20"/>
              </w:rPr>
              <w:t>is has</w:t>
            </w:r>
            <w:proofErr w:type="gramEnd"/>
            <w:r>
              <w:rPr>
                <w:sz w:val="20"/>
                <w:szCs w:val="20"/>
              </w:rPr>
              <w:t xml:space="preserve"> government contract potential, check box</w:t>
            </w:r>
          </w:p>
        </w:tc>
        <w:tc>
          <w:tcPr>
            <w:tcW w:w="4680" w:type="dxa"/>
            <w:gridSpan w:val="2"/>
          </w:tcPr>
          <w:p w14:paraId="283475A3" w14:textId="77777777" w:rsidR="00DB4AC9" w:rsidRDefault="00DB4AC9" w:rsidP="00AD6AC8">
            <w:pPr>
              <w:spacing w:after="0"/>
            </w:pPr>
            <w:r>
              <w:rPr>
                <w:sz w:val="20"/>
                <w:szCs w:val="20"/>
              </w:rPr>
              <w:t>Not Applicable, leave blank</w:t>
            </w:r>
          </w:p>
        </w:tc>
      </w:tr>
      <w:tr w:rsidR="00DB4AC9" w14:paraId="16BA0953" w14:textId="77777777" w:rsidTr="00AD6AC8">
        <w:trPr>
          <w:trHeight w:val="300"/>
        </w:trPr>
        <w:tc>
          <w:tcPr>
            <w:tcW w:w="2340" w:type="dxa"/>
          </w:tcPr>
          <w:p w14:paraId="11341221" w14:textId="77777777" w:rsidR="00DB4AC9" w:rsidRDefault="00DB4AC9" w:rsidP="00AD6AC8">
            <w:pPr>
              <w:spacing w:after="0"/>
            </w:pPr>
            <w:r>
              <w:rPr>
                <w:sz w:val="20"/>
                <w:szCs w:val="20"/>
              </w:rPr>
              <w:lastRenderedPageBreak/>
              <w:t>SBA Client Type</w:t>
            </w:r>
          </w:p>
        </w:tc>
        <w:tc>
          <w:tcPr>
            <w:tcW w:w="2340" w:type="dxa"/>
          </w:tcPr>
          <w:p w14:paraId="15A84772" w14:textId="77777777" w:rsidR="00DB4AC9" w:rsidRDefault="00DB4AC9" w:rsidP="00AD6AC8">
            <w:pPr>
              <w:spacing w:after="0"/>
            </w:pPr>
            <w:r>
              <w:rPr>
                <w:sz w:val="20"/>
                <w:szCs w:val="20"/>
              </w:rPr>
              <w:t>Type should default to type of the initial session (face to face, telephone, online). Please verify.</w:t>
            </w:r>
          </w:p>
        </w:tc>
        <w:tc>
          <w:tcPr>
            <w:tcW w:w="4680" w:type="dxa"/>
            <w:gridSpan w:val="2"/>
          </w:tcPr>
          <w:p w14:paraId="73C99084" w14:textId="77777777" w:rsidR="00DB4AC9" w:rsidRDefault="00DB4AC9" w:rsidP="00AD6AC8">
            <w:pPr>
              <w:spacing w:after="0"/>
            </w:pPr>
            <w:r>
              <w:rPr>
                <w:sz w:val="20"/>
                <w:szCs w:val="20"/>
              </w:rPr>
              <w:t>Type should default to type of the initial session (face to face, telephone, online). Please verify.</w:t>
            </w:r>
          </w:p>
        </w:tc>
      </w:tr>
      <w:tr w:rsidR="00DB4AC9" w14:paraId="49DFDC7F" w14:textId="77777777" w:rsidTr="00AD6AC8">
        <w:trPr>
          <w:trHeight w:val="300"/>
        </w:trPr>
        <w:tc>
          <w:tcPr>
            <w:tcW w:w="2340" w:type="dxa"/>
          </w:tcPr>
          <w:p w14:paraId="7A0461E2" w14:textId="77777777" w:rsidR="00DB4AC9" w:rsidRDefault="00DB4AC9" w:rsidP="00AD6AC8">
            <w:pPr>
              <w:spacing w:after="0"/>
            </w:pPr>
            <w:r>
              <w:rPr>
                <w:sz w:val="20"/>
                <w:szCs w:val="20"/>
              </w:rPr>
              <w:t>Gross Revenue/Sales</w:t>
            </w:r>
          </w:p>
        </w:tc>
        <w:tc>
          <w:tcPr>
            <w:tcW w:w="2340" w:type="dxa"/>
          </w:tcPr>
          <w:p w14:paraId="152C05CD" w14:textId="77777777" w:rsidR="00DB4AC9" w:rsidRDefault="00DB4AC9" w:rsidP="00AD6AC8">
            <w:pPr>
              <w:spacing w:after="0"/>
            </w:pPr>
            <w:r>
              <w:rPr>
                <w:sz w:val="20"/>
                <w:szCs w:val="20"/>
              </w:rPr>
              <w:t>Track if Desired. Say “yes” to create Milestone.</w:t>
            </w:r>
          </w:p>
        </w:tc>
        <w:tc>
          <w:tcPr>
            <w:tcW w:w="4680" w:type="dxa"/>
            <w:gridSpan w:val="2"/>
          </w:tcPr>
          <w:p w14:paraId="54E75620" w14:textId="77777777" w:rsidR="00DB4AC9" w:rsidRDefault="00DB4AC9" w:rsidP="00AD6AC8">
            <w:pPr>
              <w:spacing w:after="0"/>
            </w:pPr>
            <w:r>
              <w:rPr>
                <w:sz w:val="20"/>
                <w:szCs w:val="20"/>
              </w:rPr>
              <w:t>Not Applicable, leave blank</w:t>
            </w:r>
          </w:p>
        </w:tc>
      </w:tr>
      <w:tr w:rsidR="00DB4AC9" w14:paraId="6E93A688" w14:textId="77777777" w:rsidTr="00AD6AC8">
        <w:trPr>
          <w:trHeight w:val="300"/>
        </w:trPr>
        <w:tc>
          <w:tcPr>
            <w:tcW w:w="2340" w:type="dxa"/>
          </w:tcPr>
          <w:p w14:paraId="2C1AC9EE" w14:textId="77777777" w:rsidR="00DB4AC9" w:rsidRDefault="00DB4AC9" w:rsidP="00AD6AC8">
            <w:pPr>
              <w:spacing w:after="0"/>
            </w:pPr>
            <w:r>
              <w:rPr>
                <w:sz w:val="20"/>
                <w:szCs w:val="20"/>
              </w:rPr>
              <w:t>Gross Sales Date</w:t>
            </w:r>
          </w:p>
        </w:tc>
        <w:tc>
          <w:tcPr>
            <w:tcW w:w="2340" w:type="dxa"/>
          </w:tcPr>
          <w:p w14:paraId="1AC1887A" w14:textId="77777777" w:rsidR="00DB4AC9" w:rsidRDefault="00DB4AC9" w:rsidP="00AD6AC8">
            <w:pPr>
              <w:spacing w:after="0"/>
            </w:pPr>
            <w:r>
              <w:rPr>
                <w:sz w:val="20"/>
                <w:szCs w:val="20"/>
              </w:rPr>
              <w:t>Track if Desired. Say “yes” to create Milestone.</w:t>
            </w:r>
          </w:p>
        </w:tc>
        <w:tc>
          <w:tcPr>
            <w:tcW w:w="4680" w:type="dxa"/>
            <w:gridSpan w:val="2"/>
          </w:tcPr>
          <w:p w14:paraId="0D9D8212" w14:textId="77777777" w:rsidR="00DB4AC9" w:rsidRDefault="00DB4AC9" w:rsidP="00AD6AC8">
            <w:pPr>
              <w:spacing w:after="0"/>
            </w:pPr>
            <w:r>
              <w:rPr>
                <w:sz w:val="20"/>
                <w:szCs w:val="20"/>
              </w:rPr>
              <w:t>Not Applicable, leave blank</w:t>
            </w:r>
          </w:p>
        </w:tc>
      </w:tr>
      <w:tr w:rsidR="00DB4AC9" w14:paraId="5DAB28F5" w14:textId="77777777" w:rsidTr="00AD6AC8">
        <w:trPr>
          <w:trHeight w:val="300"/>
        </w:trPr>
        <w:tc>
          <w:tcPr>
            <w:tcW w:w="2340" w:type="dxa"/>
          </w:tcPr>
          <w:p w14:paraId="31689FE0" w14:textId="77777777" w:rsidR="00DB4AC9" w:rsidRDefault="00DB4AC9" w:rsidP="00AD6AC8">
            <w:pPr>
              <w:spacing w:after="0"/>
            </w:pPr>
            <w:r>
              <w:rPr>
                <w:sz w:val="20"/>
                <w:szCs w:val="20"/>
              </w:rPr>
              <w:t>Gross Exported-Related Revenue</w:t>
            </w:r>
          </w:p>
        </w:tc>
        <w:tc>
          <w:tcPr>
            <w:tcW w:w="2340" w:type="dxa"/>
          </w:tcPr>
          <w:p w14:paraId="15CA2094" w14:textId="77777777" w:rsidR="00DB4AC9" w:rsidRDefault="00DB4AC9" w:rsidP="00AD6AC8">
            <w:pPr>
              <w:spacing w:after="0"/>
            </w:pPr>
            <w:r>
              <w:rPr>
                <w:sz w:val="20"/>
                <w:szCs w:val="20"/>
              </w:rPr>
              <w:t>Track if Desired. Say “yes” to create Milestone.</w:t>
            </w:r>
          </w:p>
        </w:tc>
        <w:tc>
          <w:tcPr>
            <w:tcW w:w="4680" w:type="dxa"/>
            <w:gridSpan w:val="2"/>
          </w:tcPr>
          <w:p w14:paraId="06509D32" w14:textId="77777777" w:rsidR="00DB4AC9" w:rsidRDefault="00DB4AC9" w:rsidP="00AD6AC8">
            <w:pPr>
              <w:spacing w:after="0"/>
            </w:pPr>
            <w:r>
              <w:rPr>
                <w:sz w:val="20"/>
                <w:szCs w:val="20"/>
              </w:rPr>
              <w:t>Not Applicable, leave blank</w:t>
            </w:r>
          </w:p>
        </w:tc>
      </w:tr>
      <w:tr w:rsidR="00DB4AC9" w14:paraId="67F09F81" w14:textId="77777777" w:rsidTr="00AD6AC8">
        <w:trPr>
          <w:trHeight w:val="300"/>
        </w:trPr>
        <w:tc>
          <w:tcPr>
            <w:tcW w:w="2340" w:type="dxa"/>
          </w:tcPr>
          <w:p w14:paraId="0A4F15C6" w14:textId="77777777" w:rsidR="00DB4AC9" w:rsidRDefault="00DB4AC9" w:rsidP="00AD6AC8">
            <w:pPr>
              <w:spacing w:after="0"/>
            </w:pPr>
            <w:r>
              <w:rPr>
                <w:sz w:val="20"/>
                <w:szCs w:val="20"/>
              </w:rPr>
              <w:t>Gross Profits/Losses</w:t>
            </w:r>
          </w:p>
        </w:tc>
        <w:tc>
          <w:tcPr>
            <w:tcW w:w="2340" w:type="dxa"/>
          </w:tcPr>
          <w:p w14:paraId="17030D72" w14:textId="77777777" w:rsidR="00DB4AC9" w:rsidRDefault="00DB4AC9" w:rsidP="00AD6AC8">
            <w:pPr>
              <w:spacing w:after="0"/>
            </w:pPr>
            <w:r>
              <w:rPr>
                <w:sz w:val="20"/>
                <w:szCs w:val="20"/>
              </w:rPr>
              <w:t>Track if Desired. Say “yes” to create Milestone.</w:t>
            </w:r>
          </w:p>
        </w:tc>
        <w:tc>
          <w:tcPr>
            <w:tcW w:w="4680" w:type="dxa"/>
            <w:gridSpan w:val="2"/>
          </w:tcPr>
          <w:p w14:paraId="6B2790F3" w14:textId="77777777" w:rsidR="00DB4AC9" w:rsidRDefault="00DB4AC9" w:rsidP="00AD6AC8">
            <w:pPr>
              <w:spacing w:after="0"/>
            </w:pPr>
            <w:r>
              <w:rPr>
                <w:sz w:val="20"/>
                <w:szCs w:val="20"/>
              </w:rPr>
              <w:t>Not Applicable, leave blank</w:t>
            </w:r>
          </w:p>
        </w:tc>
      </w:tr>
      <w:tr w:rsidR="00DB4AC9" w14:paraId="1CE17D7C" w14:textId="77777777" w:rsidTr="00AD6AC8">
        <w:trPr>
          <w:trHeight w:val="300"/>
        </w:trPr>
        <w:tc>
          <w:tcPr>
            <w:tcW w:w="2340" w:type="dxa"/>
            <w:tcBorders>
              <w:bottom w:val="single" w:sz="4" w:space="0" w:color="000000"/>
            </w:tcBorders>
          </w:tcPr>
          <w:p w14:paraId="152400FE" w14:textId="77777777" w:rsidR="00DB4AC9" w:rsidRDefault="00DB4AC9" w:rsidP="00AD6AC8">
            <w:pPr>
              <w:spacing w:after="0"/>
            </w:pPr>
            <w:r>
              <w:rPr>
                <w:sz w:val="20"/>
                <w:szCs w:val="20"/>
              </w:rPr>
              <w:t>Gross Profits Date</w:t>
            </w:r>
          </w:p>
        </w:tc>
        <w:tc>
          <w:tcPr>
            <w:tcW w:w="2340" w:type="dxa"/>
            <w:tcBorders>
              <w:bottom w:val="single" w:sz="4" w:space="0" w:color="000000"/>
            </w:tcBorders>
          </w:tcPr>
          <w:p w14:paraId="2146BDAF" w14:textId="77777777" w:rsidR="00DB4AC9" w:rsidRDefault="00DB4AC9" w:rsidP="00AD6AC8">
            <w:pPr>
              <w:spacing w:after="0"/>
            </w:pPr>
            <w:r>
              <w:rPr>
                <w:sz w:val="20"/>
                <w:szCs w:val="20"/>
              </w:rPr>
              <w:t>Track if Desired. Say “yes” to create Milestone.</w:t>
            </w:r>
          </w:p>
        </w:tc>
        <w:tc>
          <w:tcPr>
            <w:tcW w:w="4680" w:type="dxa"/>
            <w:gridSpan w:val="2"/>
            <w:tcBorders>
              <w:bottom w:val="single" w:sz="4" w:space="0" w:color="000000"/>
            </w:tcBorders>
          </w:tcPr>
          <w:p w14:paraId="31E798E6" w14:textId="77777777" w:rsidR="00DB4AC9" w:rsidRDefault="00DB4AC9" w:rsidP="00AD6AC8">
            <w:pPr>
              <w:spacing w:after="0"/>
            </w:pPr>
            <w:r>
              <w:rPr>
                <w:sz w:val="20"/>
                <w:szCs w:val="20"/>
              </w:rPr>
              <w:t>Not Applicable, leave blank</w:t>
            </w:r>
          </w:p>
        </w:tc>
      </w:tr>
      <w:tr w:rsidR="00DB4AC9" w14:paraId="02F83990" w14:textId="77777777" w:rsidTr="00AD6AC8">
        <w:trPr>
          <w:trHeight w:val="300"/>
        </w:trPr>
        <w:tc>
          <w:tcPr>
            <w:tcW w:w="9360" w:type="dxa"/>
            <w:gridSpan w:val="4"/>
            <w:shd w:val="clear" w:color="auto" w:fill="D9D9D9"/>
          </w:tcPr>
          <w:p w14:paraId="1197ADEE" w14:textId="77777777" w:rsidR="00DB4AC9" w:rsidRDefault="00DB4AC9" w:rsidP="00AD6AC8">
            <w:pPr>
              <w:spacing w:after="0"/>
            </w:pPr>
            <w:r>
              <w:rPr>
                <w:b/>
                <w:sz w:val="20"/>
                <w:szCs w:val="20"/>
              </w:rPr>
              <w:t>Center Information</w:t>
            </w:r>
          </w:p>
        </w:tc>
      </w:tr>
      <w:tr w:rsidR="00DB4AC9" w14:paraId="2C8346E0" w14:textId="77777777" w:rsidTr="00AD6AC8">
        <w:trPr>
          <w:trHeight w:val="300"/>
        </w:trPr>
        <w:tc>
          <w:tcPr>
            <w:tcW w:w="2340" w:type="dxa"/>
          </w:tcPr>
          <w:p w14:paraId="07C50256" w14:textId="77777777" w:rsidR="00DB4AC9" w:rsidRDefault="00DB4AC9" w:rsidP="00AD6AC8">
            <w:pPr>
              <w:spacing w:after="0"/>
            </w:pPr>
            <w:r>
              <w:rPr>
                <w:color w:val="FF0000"/>
                <w:sz w:val="20"/>
                <w:szCs w:val="20"/>
              </w:rPr>
              <w:t>*</w:t>
            </w:r>
            <w:r>
              <w:rPr>
                <w:sz w:val="20"/>
                <w:szCs w:val="20"/>
              </w:rPr>
              <w:t>Center</w:t>
            </w:r>
          </w:p>
        </w:tc>
        <w:tc>
          <w:tcPr>
            <w:tcW w:w="2340" w:type="dxa"/>
          </w:tcPr>
          <w:p w14:paraId="2BF7597D" w14:textId="77777777" w:rsidR="00DB4AC9" w:rsidRDefault="00DB4AC9" w:rsidP="00AD6AC8">
            <w:pPr>
              <w:spacing w:after="0"/>
            </w:pPr>
            <w:r>
              <w:rPr>
                <w:sz w:val="20"/>
                <w:szCs w:val="20"/>
              </w:rPr>
              <w:t>Enter center where consultation is currently done. Should default to “home” region.</w:t>
            </w:r>
          </w:p>
        </w:tc>
        <w:tc>
          <w:tcPr>
            <w:tcW w:w="4680" w:type="dxa"/>
            <w:gridSpan w:val="2"/>
          </w:tcPr>
          <w:p w14:paraId="4B30DC61" w14:textId="77777777" w:rsidR="00DB4AC9" w:rsidRDefault="00DB4AC9" w:rsidP="00AD6AC8">
            <w:pPr>
              <w:spacing w:after="0"/>
            </w:pPr>
            <w:r>
              <w:rPr>
                <w:sz w:val="20"/>
                <w:szCs w:val="20"/>
              </w:rPr>
              <w:t>Enter center where consultation is currently done. Should default to “home” region.</w:t>
            </w:r>
          </w:p>
        </w:tc>
      </w:tr>
      <w:tr w:rsidR="00DB4AC9" w14:paraId="0166A306" w14:textId="77777777" w:rsidTr="00AD6AC8">
        <w:trPr>
          <w:trHeight w:val="300"/>
        </w:trPr>
        <w:tc>
          <w:tcPr>
            <w:tcW w:w="2340" w:type="dxa"/>
          </w:tcPr>
          <w:p w14:paraId="4342C210" w14:textId="77777777" w:rsidR="00DB4AC9" w:rsidRDefault="00DB4AC9" w:rsidP="00AD6AC8">
            <w:pPr>
              <w:spacing w:after="0"/>
            </w:pPr>
            <w:r>
              <w:rPr>
                <w:sz w:val="20"/>
                <w:szCs w:val="20"/>
              </w:rPr>
              <w:t>Primary Counselor</w:t>
            </w:r>
          </w:p>
        </w:tc>
        <w:tc>
          <w:tcPr>
            <w:tcW w:w="2340" w:type="dxa"/>
          </w:tcPr>
          <w:p w14:paraId="731BAC9C" w14:textId="77777777" w:rsidR="00DB4AC9" w:rsidRDefault="00DB4AC9" w:rsidP="00AD6AC8">
            <w:pPr>
              <w:spacing w:after="0"/>
            </w:pPr>
            <w:r>
              <w:rPr>
                <w:sz w:val="20"/>
                <w:szCs w:val="20"/>
              </w:rPr>
              <w:t>&lt;Check with program coordinator or regional director&gt;</w:t>
            </w:r>
          </w:p>
        </w:tc>
        <w:tc>
          <w:tcPr>
            <w:tcW w:w="4680" w:type="dxa"/>
            <w:gridSpan w:val="2"/>
          </w:tcPr>
          <w:p w14:paraId="07B9E3D9" w14:textId="77777777" w:rsidR="00DB4AC9" w:rsidRDefault="00DB4AC9" w:rsidP="00AD6AC8">
            <w:pPr>
              <w:spacing w:after="0"/>
            </w:pPr>
            <w:r>
              <w:rPr>
                <w:sz w:val="20"/>
                <w:szCs w:val="20"/>
              </w:rPr>
              <w:t>&lt;Check with program coordinator or regional director&gt;</w:t>
            </w:r>
          </w:p>
        </w:tc>
      </w:tr>
      <w:tr w:rsidR="00DB4AC9" w14:paraId="51C00AF7" w14:textId="77777777" w:rsidTr="00AD6AC8">
        <w:trPr>
          <w:trHeight w:val="300"/>
        </w:trPr>
        <w:tc>
          <w:tcPr>
            <w:tcW w:w="2340" w:type="dxa"/>
          </w:tcPr>
          <w:p w14:paraId="5988D094" w14:textId="77777777" w:rsidR="00DB4AC9" w:rsidRDefault="00DB4AC9" w:rsidP="00AD6AC8">
            <w:pPr>
              <w:spacing w:after="0"/>
            </w:pPr>
            <w:r>
              <w:rPr>
                <w:sz w:val="20"/>
                <w:szCs w:val="20"/>
              </w:rPr>
              <w:t>Funding Source</w:t>
            </w:r>
          </w:p>
        </w:tc>
        <w:tc>
          <w:tcPr>
            <w:tcW w:w="2340" w:type="dxa"/>
          </w:tcPr>
          <w:p w14:paraId="70B6AED5" w14:textId="77777777" w:rsidR="00DB4AC9" w:rsidRDefault="00DB4AC9" w:rsidP="00AD6AC8">
            <w:pPr>
              <w:spacing w:after="0"/>
            </w:pPr>
            <w:r>
              <w:rPr>
                <w:sz w:val="20"/>
                <w:szCs w:val="20"/>
              </w:rPr>
              <w:t>Always SBA unless special project client</w:t>
            </w:r>
          </w:p>
        </w:tc>
        <w:tc>
          <w:tcPr>
            <w:tcW w:w="4680" w:type="dxa"/>
            <w:gridSpan w:val="2"/>
          </w:tcPr>
          <w:p w14:paraId="2B5E0A5B" w14:textId="77777777" w:rsidR="00DB4AC9" w:rsidRDefault="00DB4AC9" w:rsidP="00AD6AC8">
            <w:pPr>
              <w:spacing w:after="0"/>
            </w:pPr>
            <w:r>
              <w:rPr>
                <w:sz w:val="20"/>
                <w:szCs w:val="20"/>
              </w:rPr>
              <w:t>Always SBA unless special project client</w:t>
            </w:r>
          </w:p>
        </w:tc>
      </w:tr>
      <w:tr w:rsidR="00DB4AC9" w14:paraId="273C4A52" w14:textId="77777777" w:rsidTr="00AD6AC8">
        <w:trPr>
          <w:trHeight w:val="300"/>
        </w:trPr>
        <w:tc>
          <w:tcPr>
            <w:tcW w:w="2340" w:type="dxa"/>
          </w:tcPr>
          <w:p w14:paraId="4F7191A0" w14:textId="77777777" w:rsidR="00DB4AC9" w:rsidRDefault="00DB4AC9" w:rsidP="00AD6AC8">
            <w:pPr>
              <w:spacing w:after="0"/>
            </w:pPr>
            <w:r>
              <w:rPr>
                <w:sz w:val="20"/>
                <w:szCs w:val="20"/>
              </w:rPr>
              <w:t>Sub-Funding Source</w:t>
            </w:r>
          </w:p>
        </w:tc>
        <w:tc>
          <w:tcPr>
            <w:tcW w:w="2340" w:type="dxa"/>
          </w:tcPr>
          <w:p w14:paraId="52EC968B" w14:textId="77777777" w:rsidR="00DB4AC9" w:rsidRDefault="00DB4AC9" w:rsidP="00AD6AC8">
            <w:pPr>
              <w:spacing w:after="0"/>
            </w:pPr>
            <w:r>
              <w:rPr>
                <w:sz w:val="20"/>
                <w:szCs w:val="20"/>
              </w:rPr>
              <w:t xml:space="preserve">Always Undefined unless special project </w:t>
            </w:r>
          </w:p>
        </w:tc>
        <w:tc>
          <w:tcPr>
            <w:tcW w:w="4680" w:type="dxa"/>
            <w:gridSpan w:val="2"/>
          </w:tcPr>
          <w:p w14:paraId="59583028" w14:textId="77777777" w:rsidR="00DB4AC9" w:rsidRDefault="00DB4AC9" w:rsidP="00AD6AC8">
            <w:pPr>
              <w:spacing w:after="0"/>
            </w:pPr>
            <w:r>
              <w:rPr>
                <w:sz w:val="20"/>
                <w:szCs w:val="20"/>
              </w:rPr>
              <w:t xml:space="preserve">Always Undefined unless special project </w:t>
            </w:r>
          </w:p>
        </w:tc>
      </w:tr>
      <w:tr w:rsidR="00DB4AC9" w14:paraId="395F7CDA" w14:textId="77777777" w:rsidTr="00AD6AC8">
        <w:trPr>
          <w:trHeight w:val="300"/>
        </w:trPr>
        <w:tc>
          <w:tcPr>
            <w:tcW w:w="2340" w:type="dxa"/>
          </w:tcPr>
          <w:p w14:paraId="4EFBF2D2" w14:textId="77777777" w:rsidR="00DB4AC9" w:rsidRDefault="00DB4AC9" w:rsidP="00AD6AC8">
            <w:pPr>
              <w:spacing w:after="0"/>
            </w:pPr>
            <w:r>
              <w:rPr>
                <w:color w:val="FF0000"/>
                <w:sz w:val="20"/>
                <w:szCs w:val="20"/>
              </w:rPr>
              <w:t>*</w:t>
            </w:r>
            <w:r>
              <w:rPr>
                <w:sz w:val="20"/>
                <w:szCs w:val="20"/>
              </w:rPr>
              <w:t>Referral From</w:t>
            </w:r>
          </w:p>
        </w:tc>
        <w:tc>
          <w:tcPr>
            <w:tcW w:w="2340" w:type="dxa"/>
          </w:tcPr>
          <w:p w14:paraId="329F439F" w14:textId="77777777" w:rsidR="00DB4AC9" w:rsidRDefault="00DB4AC9" w:rsidP="00AD6AC8">
            <w:pPr>
              <w:spacing w:after="0"/>
            </w:pPr>
            <w:r>
              <w:rPr>
                <w:b/>
                <w:sz w:val="20"/>
                <w:szCs w:val="20"/>
              </w:rPr>
              <w:t>How did business hear about SBDC services originally? Choose best option.</w:t>
            </w:r>
          </w:p>
        </w:tc>
        <w:tc>
          <w:tcPr>
            <w:tcW w:w="4680" w:type="dxa"/>
            <w:gridSpan w:val="2"/>
          </w:tcPr>
          <w:p w14:paraId="22F202BB" w14:textId="77777777" w:rsidR="00DB4AC9" w:rsidRDefault="00DB4AC9" w:rsidP="00AD6AC8">
            <w:pPr>
              <w:spacing w:after="0"/>
            </w:pPr>
            <w:r>
              <w:rPr>
                <w:b/>
                <w:sz w:val="20"/>
                <w:szCs w:val="20"/>
              </w:rPr>
              <w:t>How did business hear about SBDC services originally? Choose best option.</w:t>
            </w:r>
          </w:p>
        </w:tc>
      </w:tr>
      <w:tr w:rsidR="00DB4AC9" w14:paraId="1B7AC6EB" w14:textId="77777777" w:rsidTr="00AD6AC8">
        <w:trPr>
          <w:trHeight w:val="300"/>
        </w:trPr>
        <w:tc>
          <w:tcPr>
            <w:tcW w:w="2340" w:type="dxa"/>
          </w:tcPr>
          <w:p w14:paraId="1F458486" w14:textId="77777777" w:rsidR="00DB4AC9" w:rsidRDefault="00DB4AC9" w:rsidP="00AD6AC8">
            <w:pPr>
              <w:spacing w:after="0"/>
            </w:pPr>
            <w:r>
              <w:rPr>
                <w:sz w:val="20"/>
                <w:szCs w:val="20"/>
              </w:rPr>
              <w:t xml:space="preserve">Referral From </w:t>
            </w:r>
            <w:proofErr w:type="spellStart"/>
            <w:r>
              <w:rPr>
                <w:sz w:val="20"/>
                <w:szCs w:val="20"/>
              </w:rPr>
              <w:t>Descrip</w:t>
            </w:r>
            <w:proofErr w:type="spellEnd"/>
            <w:r>
              <w:rPr>
                <w:sz w:val="20"/>
                <w:szCs w:val="20"/>
              </w:rPr>
              <w:t>.</w:t>
            </w:r>
          </w:p>
        </w:tc>
        <w:tc>
          <w:tcPr>
            <w:tcW w:w="2340" w:type="dxa"/>
          </w:tcPr>
          <w:p w14:paraId="48F9CD8A" w14:textId="77777777" w:rsidR="00DB4AC9" w:rsidRDefault="00DB4AC9" w:rsidP="00AD6AC8">
            <w:pPr>
              <w:spacing w:after="0"/>
            </w:pPr>
            <w:r>
              <w:rPr>
                <w:sz w:val="20"/>
                <w:szCs w:val="20"/>
              </w:rPr>
              <w:t>Enter short notes about referral if needed</w:t>
            </w:r>
          </w:p>
        </w:tc>
        <w:tc>
          <w:tcPr>
            <w:tcW w:w="4680" w:type="dxa"/>
            <w:gridSpan w:val="2"/>
          </w:tcPr>
          <w:p w14:paraId="324EFE33" w14:textId="77777777" w:rsidR="00DB4AC9" w:rsidRDefault="00DB4AC9" w:rsidP="00AD6AC8">
            <w:pPr>
              <w:spacing w:after="0"/>
            </w:pPr>
            <w:r>
              <w:rPr>
                <w:sz w:val="20"/>
                <w:szCs w:val="20"/>
              </w:rPr>
              <w:t>Enter short notes about referral if needed</w:t>
            </w:r>
          </w:p>
        </w:tc>
      </w:tr>
      <w:tr w:rsidR="00DB4AC9" w14:paraId="60AD0BFC" w14:textId="77777777" w:rsidTr="00AD6AC8">
        <w:trPr>
          <w:trHeight w:val="300"/>
        </w:trPr>
        <w:tc>
          <w:tcPr>
            <w:tcW w:w="2340" w:type="dxa"/>
            <w:tcBorders>
              <w:bottom w:val="single" w:sz="4" w:space="0" w:color="000000"/>
            </w:tcBorders>
          </w:tcPr>
          <w:p w14:paraId="502DD76C" w14:textId="77777777" w:rsidR="00DB4AC9" w:rsidRDefault="00DB4AC9" w:rsidP="00AD6AC8">
            <w:pPr>
              <w:spacing w:after="0"/>
            </w:pPr>
            <w:r>
              <w:rPr>
                <w:sz w:val="20"/>
                <w:szCs w:val="20"/>
              </w:rPr>
              <w:t>Referral To</w:t>
            </w:r>
          </w:p>
        </w:tc>
        <w:tc>
          <w:tcPr>
            <w:tcW w:w="2340" w:type="dxa"/>
            <w:tcBorders>
              <w:bottom w:val="single" w:sz="4" w:space="0" w:color="000000"/>
            </w:tcBorders>
          </w:tcPr>
          <w:p w14:paraId="09AE30F7" w14:textId="77777777" w:rsidR="00DB4AC9" w:rsidRDefault="00DB4AC9" w:rsidP="00AD6AC8">
            <w:pPr>
              <w:spacing w:after="0"/>
            </w:pPr>
            <w:r>
              <w:rPr>
                <w:sz w:val="20"/>
                <w:szCs w:val="20"/>
              </w:rPr>
              <w:t>Track if client is referred elsewhere</w:t>
            </w:r>
          </w:p>
        </w:tc>
        <w:tc>
          <w:tcPr>
            <w:tcW w:w="4680" w:type="dxa"/>
            <w:gridSpan w:val="2"/>
            <w:tcBorders>
              <w:bottom w:val="single" w:sz="4" w:space="0" w:color="000000"/>
            </w:tcBorders>
          </w:tcPr>
          <w:p w14:paraId="7A992854" w14:textId="77777777" w:rsidR="00DB4AC9" w:rsidRDefault="00DB4AC9" w:rsidP="00AD6AC8">
            <w:pPr>
              <w:spacing w:after="0"/>
            </w:pPr>
            <w:r>
              <w:rPr>
                <w:sz w:val="20"/>
                <w:szCs w:val="20"/>
              </w:rPr>
              <w:t>Track if client is referred elsewhere</w:t>
            </w:r>
          </w:p>
        </w:tc>
      </w:tr>
      <w:tr w:rsidR="00DB4AC9" w14:paraId="5FF6FA8C" w14:textId="77777777" w:rsidTr="00AD6AC8">
        <w:trPr>
          <w:trHeight w:val="300"/>
        </w:trPr>
        <w:tc>
          <w:tcPr>
            <w:tcW w:w="9360" w:type="dxa"/>
            <w:gridSpan w:val="4"/>
            <w:shd w:val="clear" w:color="auto" w:fill="D9D9D9"/>
          </w:tcPr>
          <w:p w14:paraId="69B1AAEB" w14:textId="77777777" w:rsidR="00DB4AC9" w:rsidRDefault="00DB4AC9" w:rsidP="00AD6AC8">
            <w:pPr>
              <w:spacing w:after="0"/>
            </w:pPr>
            <w:r>
              <w:rPr>
                <w:b/>
                <w:sz w:val="20"/>
                <w:szCs w:val="20"/>
              </w:rPr>
              <w:t>Products/Services</w:t>
            </w:r>
          </w:p>
        </w:tc>
      </w:tr>
      <w:tr w:rsidR="00DB4AC9" w14:paraId="716B2481" w14:textId="77777777" w:rsidTr="00AD6AC8">
        <w:trPr>
          <w:trHeight w:val="300"/>
        </w:trPr>
        <w:tc>
          <w:tcPr>
            <w:tcW w:w="2340" w:type="dxa"/>
          </w:tcPr>
          <w:p w14:paraId="20F6AC65" w14:textId="77777777" w:rsidR="00DB4AC9" w:rsidRDefault="00DB4AC9" w:rsidP="00AD6AC8">
            <w:pPr>
              <w:spacing w:after="0"/>
            </w:pPr>
            <w:r>
              <w:rPr>
                <w:sz w:val="20"/>
                <w:szCs w:val="20"/>
              </w:rPr>
              <w:t>PSCs</w:t>
            </w:r>
          </w:p>
        </w:tc>
        <w:tc>
          <w:tcPr>
            <w:tcW w:w="2340" w:type="dxa"/>
          </w:tcPr>
          <w:p w14:paraId="324068DF" w14:textId="77777777" w:rsidR="00DB4AC9" w:rsidRDefault="00DB4AC9" w:rsidP="00AD6AC8">
            <w:pPr>
              <w:spacing w:after="0"/>
            </w:pPr>
            <w:r>
              <w:rPr>
                <w:sz w:val="20"/>
                <w:szCs w:val="20"/>
              </w:rPr>
              <w:t>Enter if known. Field will automatically search by keyword. Select a primary Code.</w:t>
            </w:r>
          </w:p>
        </w:tc>
        <w:tc>
          <w:tcPr>
            <w:tcW w:w="4680" w:type="dxa"/>
            <w:gridSpan w:val="2"/>
          </w:tcPr>
          <w:p w14:paraId="6C04061B" w14:textId="77777777" w:rsidR="00DB4AC9" w:rsidRDefault="00DB4AC9" w:rsidP="00AD6AC8">
            <w:pPr>
              <w:spacing w:after="0"/>
            </w:pPr>
            <w:r>
              <w:rPr>
                <w:sz w:val="20"/>
                <w:szCs w:val="20"/>
              </w:rPr>
              <w:t>Enter if known. Field will automatically search by keyword. Select a primary Code.</w:t>
            </w:r>
          </w:p>
        </w:tc>
      </w:tr>
      <w:tr w:rsidR="00DB4AC9" w14:paraId="670AD722" w14:textId="77777777" w:rsidTr="00AD6AC8">
        <w:trPr>
          <w:trHeight w:val="300"/>
        </w:trPr>
        <w:tc>
          <w:tcPr>
            <w:tcW w:w="2340" w:type="dxa"/>
          </w:tcPr>
          <w:p w14:paraId="36645BE1" w14:textId="77777777" w:rsidR="00DB4AC9" w:rsidRDefault="00DB4AC9" w:rsidP="00AD6AC8">
            <w:pPr>
              <w:spacing w:after="0"/>
            </w:pPr>
            <w:r>
              <w:rPr>
                <w:sz w:val="20"/>
                <w:szCs w:val="20"/>
              </w:rPr>
              <w:t>SICs</w:t>
            </w:r>
          </w:p>
        </w:tc>
        <w:tc>
          <w:tcPr>
            <w:tcW w:w="2340" w:type="dxa"/>
          </w:tcPr>
          <w:p w14:paraId="432599AF" w14:textId="77777777" w:rsidR="00DB4AC9" w:rsidRDefault="00DB4AC9" w:rsidP="00AD6AC8">
            <w:pPr>
              <w:spacing w:after="0"/>
            </w:pPr>
            <w:r>
              <w:rPr>
                <w:sz w:val="20"/>
                <w:szCs w:val="20"/>
              </w:rPr>
              <w:t>Enter if known. Field will automatically search by keyword. Select a primary Code.</w:t>
            </w:r>
          </w:p>
        </w:tc>
        <w:tc>
          <w:tcPr>
            <w:tcW w:w="4680" w:type="dxa"/>
            <w:gridSpan w:val="2"/>
          </w:tcPr>
          <w:p w14:paraId="1485AB57" w14:textId="77777777" w:rsidR="00DB4AC9" w:rsidRDefault="00DB4AC9" w:rsidP="00AD6AC8">
            <w:pPr>
              <w:spacing w:after="0"/>
            </w:pPr>
            <w:r>
              <w:rPr>
                <w:sz w:val="20"/>
                <w:szCs w:val="20"/>
              </w:rPr>
              <w:t>Enter if known. Field will automatically search by keyword. Select a primary Code.</w:t>
            </w:r>
          </w:p>
        </w:tc>
      </w:tr>
      <w:tr w:rsidR="00DB4AC9" w14:paraId="6E66E8A3" w14:textId="77777777" w:rsidTr="00AD6AC8">
        <w:trPr>
          <w:trHeight w:val="300"/>
        </w:trPr>
        <w:tc>
          <w:tcPr>
            <w:tcW w:w="2340" w:type="dxa"/>
          </w:tcPr>
          <w:p w14:paraId="25EC2BD7" w14:textId="77777777" w:rsidR="00DB4AC9" w:rsidRDefault="00DB4AC9" w:rsidP="00AD6AC8">
            <w:pPr>
              <w:spacing w:after="0"/>
            </w:pPr>
            <w:r>
              <w:rPr>
                <w:color w:val="FF0000"/>
                <w:sz w:val="20"/>
                <w:szCs w:val="20"/>
              </w:rPr>
              <w:t>*</w:t>
            </w:r>
            <w:r>
              <w:rPr>
                <w:sz w:val="20"/>
                <w:szCs w:val="20"/>
              </w:rPr>
              <w:t>NAICSs</w:t>
            </w:r>
          </w:p>
        </w:tc>
        <w:tc>
          <w:tcPr>
            <w:tcW w:w="2340" w:type="dxa"/>
          </w:tcPr>
          <w:p w14:paraId="705A8D93" w14:textId="77777777" w:rsidR="00DB4AC9" w:rsidRDefault="00DB4AC9" w:rsidP="00AD6AC8">
            <w:pPr>
              <w:spacing w:after="0"/>
            </w:pPr>
            <w:r>
              <w:rPr>
                <w:sz w:val="20"/>
                <w:szCs w:val="20"/>
              </w:rPr>
              <w:t xml:space="preserve">Mandatory. Field will automatically search by </w:t>
            </w:r>
            <w:r>
              <w:rPr>
                <w:sz w:val="20"/>
                <w:szCs w:val="20"/>
              </w:rPr>
              <w:lastRenderedPageBreak/>
              <w:t>keyword. Select a primary Code.</w:t>
            </w:r>
          </w:p>
        </w:tc>
        <w:tc>
          <w:tcPr>
            <w:tcW w:w="4680" w:type="dxa"/>
            <w:gridSpan w:val="2"/>
          </w:tcPr>
          <w:p w14:paraId="5CF642A0" w14:textId="77777777" w:rsidR="00DB4AC9" w:rsidRDefault="00DB4AC9" w:rsidP="00AD6AC8">
            <w:pPr>
              <w:spacing w:after="0"/>
            </w:pPr>
            <w:r>
              <w:rPr>
                <w:sz w:val="20"/>
                <w:szCs w:val="20"/>
              </w:rPr>
              <w:lastRenderedPageBreak/>
              <w:t>Mandatory. Field will automatically search by keyword. Select a primary Code.</w:t>
            </w:r>
          </w:p>
        </w:tc>
      </w:tr>
      <w:tr w:rsidR="00DB4AC9" w14:paraId="15BC095E" w14:textId="77777777" w:rsidTr="00AD6AC8">
        <w:trPr>
          <w:trHeight w:val="300"/>
        </w:trPr>
        <w:tc>
          <w:tcPr>
            <w:tcW w:w="2340" w:type="dxa"/>
          </w:tcPr>
          <w:p w14:paraId="7CF7A05C" w14:textId="77777777" w:rsidR="00DB4AC9" w:rsidRDefault="00DB4AC9" w:rsidP="00AD6AC8">
            <w:pPr>
              <w:spacing w:after="0"/>
            </w:pPr>
            <w:r>
              <w:rPr>
                <w:sz w:val="20"/>
                <w:szCs w:val="20"/>
              </w:rPr>
              <w:t xml:space="preserve">Product of Service </w:t>
            </w:r>
            <w:proofErr w:type="spellStart"/>
            <w:r>
              <w:rPr>
                <w:sz w:val="20"/>
                <w:szCs w:val="20"/>
              </w:rPr>
              <w:t>Descp</w:t>
            </w:r>
            <w:proofErr w:type="spellEnd"/>
          </w:p>
        </w:tc>
        <w:tc>
          <w:tcPr>
            <w:tcW w:w="2340" w:type="dxa"/>
          </w:tcPr>
          <w:p w14:paraId="42CFE009" w14:textId="77777777" w:rsidR="00DB4AC9" w:rsidRDefault="00DB4AC9" w:rsidP="00AD6AC8">
            <w:pPr>
              <w:spacing w:after="0"/>
            </w:pPr>
            <w:r>
              <w:rPr>
                <w:sz w:val="20"/>
                <w:szCs w:val="20"/>
              </w:rPr>
              <w:t>Write short notes about business type/category</w:t>
            </w:r>
          </w:p>
        </w:tc>
        <w:tc>
          <w:tcPr>
            <w:tcW w:w="4680" w:type="dxa"/>
            <w:gridSpan w:val="2"/>
          </w:tcPr>
          <w:p w14:paraId="3BD2816D" w14:textId="77777777" w:rsidR="00DB4AC9" w:rsidRDefault="00DB4AC9" w:rsidP="00AD6AC8">
            <w:pPr>
              <w:spacing w:after="0"/>
            </w:pPr>
            <w:r>
              <w:rPr>
                <w:sz w:val="20"/>
                <w:szCs w:val="20"/>
              </w:rPr>
              <w:t>Write short notes about business type/category</w:t>
            </w:r>
          </w:p>
        </w:tc>
      </w:tr>
    </w:tbl>
    <w:p w14:paraId="69C01BA9" w14:textId="77777777" w:rsidR="00DB4AC9" w:rsidRDefault="00DB4AC9" w:rsidP="00DB4AC9">
      <w:pPr>
        <w:spacing w:after="0"/>
      </w:pPr>
    </w:p>
    <w:p w14:paraId="09F20B4C" w14:textId="77777777" w:rsidR="00DB4AC9" w:rsidRDefault="00DB4AC9" w:rsidP="00DB4AC9">
      <w:pPr>
        <w:keepNext/>
        <w:spacing w:before="240"/>
        <w:jc w:val="both"/>
      </w:pPr>
      <w:bookmarkStart w:id="250" w:name="_30tazoa" w:colFirst="0" w:colLast="0"/>
      <w:bookmarkEnd w:id="250"/>
      <w:r>
        <w:rPr>
          <w:rFonts w:ascii="Arial" w:eastAsia="Arial" w:hAnsi="Arial" w:cs="Arial"/>
          <w:b/>
          <w:sz w:val="24"/>
          <w:szCs w:val="24"/>
        </w:rPr>
        <w:t>Counseling Session Field Definitions</w:t>
      </w:r>
    </w:p>
    <w:p w14:paraId="25A8217A" w14:textId="77777777" w:rsidR="00DB4AC9" w:rsidRDefault="00DB4AC9" w:rsidP="00DB4AC9">
      <w:pPr>
        <w:spacing w:after="0"/>
        <w:jc w:val="both"/>
      </w:pPr>
      <w:r>
        <w:rPr>
          <w:sz w:val="24"/>
          <w:szCs w:val="24"/>
        </w:rPr>
        <w:t xml:space="preserve">Counseling sessions are where meetings with or work done on behalf of a client </w:t>
      </w:r>
      <w:proofErr w:type="gramStart"/>
      <w:r>
        <w:rPr>
          <w:sz w:val="24"/>
          <w:szCs w:val="24"/>
        </w:rPr>
        <w:t>is</w:t>
      </w:r>
      <w:proofErr w:type="gramEnd"/>
      <w:r>
        <w:rPr>
          <w:sz w:val="24"/>
          <w:szCs w:val="24"/>
        </w:rPr>
        <w:t xml:space="preserve"> recorded by the active consultant. The session </w:t>
      </w:r>
      <w:proofErr w:type="gramStart"/>
      <w:r>
        <w:rPr>
          <w:sz w:val="24"/>
          <w:szCs w:val="24"/>
        </w:rPr>
        <w:t>detail</w:t>
      </w:r>
      <w:proofErr w:type="gramEnd"/>
      <w:r>
        <w:rPr>
          <w:sz w:val="24"/>
          <w:szCs w:val="24"/>
        </w:rPr>
        <w:t xml:space="preserve"> for a counseling session will display and the fields will need to be filled in. Below is a table </w:t>
      </w:r>
      <w:proofErr w:type="gramStart"/>
      <w:r>
        <w:rPr>
          <w:sz w:val="24"/>
          <w:szCs w:val="24"/>
        </w:rPr>
        <w:t>contains</w:t>
      </w:r>
      <w:proofErr w:type="gramEnd"/>
      <w:r>
        <w:rPr>
          <w:sz w:val="24"/>
          <w:szCs w:val="24"/>
        </w:rPr>
        <w:t xml:space="preserve"> instructions for </w:t>
      </w:r>
      <w:proofErr w:type="gramStart"/>
      <w:r>
        <w:rPr>
          <w:sz w:val="24"/>
          <w:szCs w:val="24"/>
        </w:rPr>
        <w:t>the entry</w:t>
      </w:r>
      <w:proofErr w:type="gramEnd"/>
      <w:r>
        <w:rPr>
          <w:sz w:val="24"/>
          <w:szCs w:val="24"/>
        </w:rPr>
        <w:t xml:space="preserve"> into each field in Neoserra. </w:t>
      </w:r>
    </w:p>
    <w:p w14:paraId="3E190802" w14:textId="77777777" w:rsidR="00DB4AC9" w:rsidRDefault="00DB4AC9" w:rsidP="00DB4AC9">
      <w:pPr>
        <w:spacing w:after="0"/>
        <w:jc w:val="both"/>
      </w:pPr>
    </w:p>
    <w:p w14:paraId="61550187" w14:textId="77777777" w:rsidR="00DB4AC9" w:rsidRDefault="00DB4AC9" w:rsidP="00DB4AC9">
      <w:pPr>
        <w:spacing w:after="0"/>
      </w:pPr>
      <w:r>
        <w:rPr>
          <w:sz w:val="24"/>
          <w:szCs w:val="24"/>
        </w:rPr>
        <w:t xml:space="preserve">A red </w:t>
      </w:r>
      <w:r>
        <w:rPr>
          <w:b/>
          <w:color w:val="FF0000"/>
          <w:sz w:val="24"/>
          <w:szCs w:val="24"/>
        </w:rPr>
        <w:t>*</w:t>
      </w:r>
      <w:r>
        <w:rPr>
          <w:sz w:val="24"/>
          <w:szCs w:val="24"/>
        </w:rPr>
        <w:t xml:space="preserve"> indicates the field is mandatory.  </w:t>
      </w:r>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80"/>
        <w:gridCol w:w="4680"/>
      </w:tblGrid>
      <w:tr w:rsidR="00DB4AC9" w14:paraId="4CB110BF" w14:textId="77777777" w:rsidTr="00AD6AC8">
        <w:trPr>
          <w:trHeight w:val="300"/>
        </w:trPr>
        <w:tc>
          <w:tcPr>
            <w:tcW w:w="9360" w:type="dxa"/>
            <w:gridSpan w:val="2"/>
            <w:shd w:val="clear" w:color="auto" w:fill="262626"/>
          </w:tcPr>
          <w:p w14:paraId="152878DA" w14:textId="77777777" w:rsidR="00DB4AC9" w:rsidRDefault="00DB4AC9" w:rsidP="00AD6AC8">
            <w:pPr>
              <w:spacing w:after="0"/>
              <w:jc w:val="center"/>
            </w:pPr>
            <w:r>
              <w:rPr>
                <w:sz w:val="32"/>
                <w:szCs w:val="32"/>
              </w:rPr>
              <w:t>Counseling Session Fields</w:t>
            </w:r>
          </w:p>
        </w:tc>
      </w:tr>
      <w:tr w:rsidR="00DB4AC9" w14:paraId="71D97385" w14:textId="77777777" w:rsidTr="00AD6AC8">
        <w:trPr>
          <w:trHeight w:val="300"/>
        </w:trPr>
        <w:tc>
          <w:tcPr>
            <w:tcW w:w="4680" w:type="dxa"/>
          </w:tcPr>
          <w:p w14:paraId="3FDC4927" w14:textId="77777777" w:rsidR="00DB4AC9" w:rsidRDefault="00DB4AC9" w:rsidP="00AD6AC8">
            <w:pPr>
              <w:spacing w:after="0"/>
            </w:pPr>
            <w:r>
              <w:rPr>
                <w:color w:val="FF0000"/>
                <w:sz w:val="20"/>
                <w:szCs w:val="20"/>
              </w:rPr>
              <w:t>*</w:t>
            </w:r>
            <w:r>
              <w:rPr>
                <w:sz w:val="20"/>
                <w:szCs w:val="20"/>
              </w:rPr>
              <w:t>Client/Contact</w:t>
            </w:r>
          </w:p>
        </w:tc>
        <w:tc>
          <w:tcPr>
            <w:tcW w:w="4680" w:type="dxa"/>
          </w:tcPr>
          <w:p w14:paraId="00EF27E0" w14:textId="77777777" w:rsidR="00DB4AC9" w:rsidRDefault="00DB4AC9" w:rsidP="00AD6AC8">
            <w:pPr>
              <w:spacing w:after="0"/>
            </w:pPr>
            <w:r>
              <w:rPr>
                <w:sz w:val="20"/>
                <w:szCs w:val="20"/>
              </w:rPr>
              <w:t xml:space="preserve">Will automatically </w:t>
            </w:r>
            <w:proofErr w:type="gramStart"/>
            <w:r>
              <w:rPr>
                <w:sz w:val="20"/>
                <w:szCs w:val="20"/>
              </w:rPr>
              <w:t>pull</w:t>
            </w:r>
            <w:proofErr w:type="gramEnd"/>
            <w:r>
              <w:rPr>
                <w:sz w:val="20"/>
                <w:szCs w:val="20"/>
              </w:rPr>
              <w:t>. Verify that the correct client is selected</w:t>
            </w:r>
          </w:p>
        </w:tc>
      </w:tr>
      <w:tr w:rsidR="00DB4AC9" w14:paraId="7AD5A0BF" w14:textId="77777777" w:rsidTr="00AD6AC8">
        <w:trPr>
          <w:trHeight w:val="300"/>
        </w:trPr>
        <w:tc>
          <w:tcPr>
            <w:tcW w:w="4680" w:type="dxa"/>
          </w:tcPr>
          <w:p w14:paraId="3E31A988" w14:textId="77777777" w:rsidR="00DB4AC9" w:rsidRDefault="00DB4AC9" w:rsidP="00AD6AC8">
            <w:pPr>
              <w:spacing w:after="0"/>
            </w:pPr>
            <w:r>
              <w:rPr>
                <w:color w:val="FF0000"/>
                <w:sz w:val="20"/>
                <w:szCs w:val="20"/>
              </w:rPr>
              <w:t>*</w:t>
            </w:r>
            <w:r>
              <w:rPr>
                <w:sz w:val="20"/>
                <w:szCs w:val="20"/>
              </w:rPr>
              <w:t>Counselor(s)</w:t>
            </w:r>
          </w:p>
        </w:tc>
        <w:tc>
          <w:tcPr>
            <w:tcW w:w="4680" w:type="dxa"/>
          </w:tcPr>
          <w:p w14:paraId="1241A14C" w14:textId="77777777" w:rsidR="00DB4AC9" w:rsidRDefault="00DB4AC9" w:rsidP="00AD6AC8">
            <w:pPr>
              <w:spacing w:after="0"/>
            </w:pPr>
            <w:r>
              <w:rPr>
                <w:sz w:val="20"/>
                <w:szCs w:val="20"/>
              </w:rPr>
              <w:t>If it does not reflect your name, change by clicking on “select counselors” button and searching for your name</w:t>
            </w:r>
          </w:p>
        </w:tc>
      </w:tr>
      <w:tr w:rsidR="00DB4AC9" w14:paraId="750E6011" w14:textId="77777777" w:rsidTr="00AD6AC8">
        <w:trPr>
          <w:trHeight w:val="300"/>
        </w:trPr>
        <w:tc>
          <w:tcPr>
            <w:tcW w:w="4680" w:type="dxa"/>
          </w:tcPr>
          <w:p w14:paraId="7084ABCE" w14:textId="77777777" w:rsidR="00DB4AC9" w:rsidRDefault="00DB4AC9" w:rsidP="00AD6AC8">
            <w:pPr>
              <w:spacing w:after="0"/>
            </w:pPr>
            <w:r>
              <w:rPr>
                <w:color w:val="FF0000"/>
                <w:sz w:val="20"/>
                <w:szCs w:val="20"/>
              </w:rPr>
              <w:t>*</w:t>
            </w:r>
            <w:r>
              <w:rPr>
                <w:sz w:val="20"/>
                <w:szCs w:val="20"/>
              </w:rPr>
              <w:t xml:space="preserve"> Time Fields</w:t>
            </w:r>
          </w:p>
        </w:tc>
        <w:tc>
          <w:tcPr>
            <w:tcW w:w="4680" w:type="dxa"/>
          </w:tcPr>
          <w:p w14:paraId="2CBFF7BF" w14:textId="77777777" w:rsidR="00DB4AC9" w:rsidRDefault="00DB4AC9" w:rsidP="00AD6AC8">
            <w:pPr>
              <w:spacing w:after="0"/>
            </w:pPr>
            <w:r>
              <w:rPr>
                <w:sz w:val="20"/>
                <w:szCs w:val="20"/>
              </w:rPr>
              <w:t>Use increments of .25, .50, .75, or 1.0</w:t>
            </w:r>
          </w:p>
          <w:p w14:paraId="5B90223E" w14:textId="77777777" w:rsidR="00DB4AC9" w:rsidRDefault="00DB4AC9" w:rsidP="00AD6AC8">
            <w:pPr>
              <w:spacing w:after="0"/>
            </w:pPr>
            <w:r>
              <w:rPr>
                <w:sz w:val="20"/>
                <w:szCs w:val="20"/>
              </w:rPr>
              <w:t>Prep Time – Time spent preparing work to show client</w:t>
            </w:r>
          </w:p>
          <w:p w14:paraId="437E85C8" w14:textId="77777777" w:rsidR="00DB4AC9" w:rsidRDefault="00DB4AC9" w:rsidP="00AD6AC8">
            <w:pPr>
              <w:spacing w:after="0"/>
            </w:pPr>
            <w:r>
              <w:rPr>
                <w:sz w:val="20"/>
                <w:szCs w:val="20"/>
              </w:rPr>
              <w:t xml:space="preserve">Travel Time – Enter only if regional director requests. Time spent traveling to meet </w:t>
            </w:r>
            <w:proofErr w:type="gramStart"/>
            <w:r>
              <w:rPr>
                <w:sz w:val="20"/>
                <w:szCs w:val="20"/>
              </w:rPr>
              <w:t>client</w:t>
            </w:r>
            <w:proofErr w:type="gramEnd"/>
            <w:r>
              <w:rPr>
                <w:sz w:val="20"/>
                <w:szCs w:val="20"/>
              </w:rPr>
              <w:t xml:space="preserve"> only</w:t>
            </w:r>
          </w:p>
          <w:p w14:paraId="67DF1AA7" w14:textId="77777777" w:rsidR="00DB4AC9" w:rsidRDefault="00DB4AC9" w:rsidP="00AD6AC8">
            <w:pPr>
              <w:spacing w:after="0"/>
            </w:pPr>
            <w:r>
              <w:rPr>
                <w:sz w:val="20"/>
                <w:szCs w:val="20"/>
              </w:rPr>
              <w:t xml:space="preserve">Contact Time – Time spent directly with client for substantive </w:t>
            </w:r>
            <w:r>
              <w:rPr>
                <w:i/>
                <w:sz w:val="20"/>
                <w:szCs w:val="20"/>
              </w:rPr>
              <w:t>consulting</w:t>
            </w:r>
          </w:p>
        </w:tc>
      </w:tr>
      <w:tr w:rsidR="00DB4AC9" w14:paraId="3E07FCB6" w14:textId="77777777" w:rsidTr="00AD6AC8">
        <w:trPr>
          <w:trHeight w:val="300"/>
        </w:trPr>
        <w:tc>
          <w:tcPr>
            <w:tcW w:w="4680" w:type="dxa"/>
          </w:tcPr>
          <w:p w14:paraId="43885F7E" w14:textId="77777777" w:rsidR="00DB4AC9" w:rsidRDefault="00DB4AC9" w:rsidP="00AD6AC8">
            <w:pPr>
              <w:spacing w:after="0"/>
            </w:pPr>
            <w:r>
              <w:rPr>
                <w:color w:val="FF0000"/>
                <w:sz w:val="20"/>
                <w:szCs w:val="20"/>
              </w:rPr>
              <w:t>*</w:t>
            </w:r>
            <w:r>
              <w:rPr>
                <w:sz w:val="20"/>
                <w:szCs w:val="20"/>
              </w:rPr>
              <w:t>Session date</w:t>
            </w:r>
          </w:p>
        </w:tc>
        <w:tc>
          <w:tcPr>
            <w:tcW w:w="4680" w:type="dxa"/>
          </w:tcPr>
          <w:p w14:paraId="61C42D3A" w14:textId="77777777" w:rsidR="00DB4AC9" w:rsidRDefault="00DB4AC9" w:rsidP="00AD6AC8">
            <w:pPr>
              <w:spacing w:after="0"/>
            </w:pPr>
            <w:r>
              <w:rPr>
                <w:sz w:val="20"/>
                <w:szCs w:val="20"/>
              </w:rPr>
              <w:t>Default = current date. Enter date session occurred by typing in the box or clicking calendar icon</w:t>
            </w:r>
          </w:p>
        </w:tc>
      </w:tr>
      <w:tr w:rsidR="00DB4AC9" w14:paraId="3F196A44" w14:textId="77777777" w:rsidTr="00AD6AC8">
        <w:trPr>
          <w:trHeight w:val="300"/>
        </w:trPr>
        <w:tc>
          <w:tcPr>
            <w:tcW w:w="4680" w:type="dxa"/>
          </w:tcPr>
          <w:p w14:paraId="5376A882" w14:textId="77777777" w:rsidR="00DB4AC9" w:rsidRDefault="00DB4AC9" w:rsidP="00AD6AC8">
            <w:pPr>
              <w:spacing w:after="0"/>
            </w:pPr>
            <w:r>
              <w:rPr>
                <w:color w:val="FF0000"/>
                <w:sz w:val="20"/>
                <w:szCs w:val="20"/>
              </w:rPr>
              <w:t>*</w:t>
            </w:r>
            <w:r>
              <w:rPr>
                <w:sz w:val="20"/>
                <w:szCs w:val="20"/>
              </w:rPr>
              <w:t>Type field</w:t>
            </w:r>
          </w:p>
        </w:tc>
        <w:tc>
          <w:tcPr>
            <w:tcW w:w="4680" w:type="dxa"/>
          </w:tcPr>
          <w:p w14:paraId="0A2B6DA1" w14:textId="77777777" w:rsidR="00DB4AC9" w:rsidRDefault="00DB4AC9" w:rsidP="00AD6AC8">
            <w:pPr>
              <w:spacing w:after="0"/>
            </w:pPr>
            <w:r>
              <w:rPr>
                <w:sz w:val="20"/>
                <w:szCs w:val="20"/>
              </w:rPr>
              <w:t>Default = “Initial” or “Follow-up or On-going” (</w:t>
            </w:r>
            <w:r>
              <w:rPr>
                <w:i/>
                <w:sz w:val="20"/>
                <w:szCs w:val="20"/>
              </w:rPr>
              <w:t>Closeout and Administrative choices are non-reportable</w:t>
            </w:r>
            <w:r>
              <w:rPr>
                <w:sz w:val="20"/>
                <w:szCs w:val="20"/>
              </w:rPr>
              <w:t>)</w:t>
            </w:r>
          </w:p>
        </w:tc>
      </w:tr>
      <w:tr w:rsidR="00DB4AC9" w14:paraId="5BA70D20" w14:textId="77777777" w:rsidTr="00AD6AC8">
        <w:trPr>
          <w:trHeight w:val="300"/>
        </w:trPr>
        <w:tc>
          <w:tcPr>
            <w:tcW w:w="4680" w:type="dxa"/>
          </w:tcPr>
          <w:p w14:paraId="4D0E960F" w14:textId="77777777" w:rsidR="00DB4AC9" w:rsidRDefault="00DB4AC9" w:rsidP="00AD6AC8">
            <w:pPr>
              <w:spacing w:after="0"/>
            </w:pPr>
            <w:r>
              <w:rPr>
                <w:sz w:val="20"/>
                <w:szCs w:val="20"/>
              </w:rPr>
              <w:t>Contact Type</w:t>
            </w:r>
          </w:p>
        </w:tc>
        <w:tc>
          <w:tcPr>
            <w:tcW w:w="4680" w:type="dxa"/>
          </w:tcPr>
          <w:p w14:paraId="439F91BE" w14:textId="77777777" w:rsidR="00DB4AC9" w:rsidRDefault="00DB4AC9" w:rsidP="00AD6AC8">
            <w:pPr>
              <w:spacing w:after="0"/>
            </w:pPr>
            <w:r>
              <w:rPr>
                <w:sz w:val="20"/>
                <w:szCs w:val="20"/>
              </w:rPr>
              <w:t xml:space="preserve">Select the appropriate item from the </w:t>
            </w:r>
            <w:proofErr w:type="gramStart"/>
            <w:r>
              <w:rPr>
                <w:sz w:val="20"/>
                <w:szCs w:val="20"/>
              </w:rPr>
              <w:t>drop down</w:t>
            </w:r>
            <w:proofErr w:type="gramEnd"/>
            <w:r>
              <w:rPr>
                <w:sz w:val="20"/>
                <w:szCs w:val="20"/>
              </w:rPr>
              <w:t xml:space="preserve"> box</w:t>
            </w:r>
          </w:p>
        </w:tc>
      </w:tr>
      <w:tr w:rsidR="00DB4AC9" w14:paraId="1F3F56CF" w14:textId="77777777" w:rsidTr="00AD6AC8">
        <w:trPr>
          <w:trHeight w:val="300"/>
        </w:trPr>
        <w:tc>
          <w:tcPr>
            <w:tcW w:w="4680" w:type="dxa"/>
          </w:tcPr>
          <w:p w14:paraId="32AF5C11" w14:textId="77777777" w:rsidR="00DB4AC9" w:rsidRDefault="00DB4AC9" w:rsidP="00AD6AC8">
            <w:pPr>
              <w:spacing w:after="0"/>
            </w:pPr>
            <w:r>
              <w:rPr>
                <w:color w:val="FF0000"/>
                <w:sz w:val="20"/>
                <w:szCs w:val="20"/>
              </w:rPr>
              <w:t>*</w:t>
            </w:r>
            <w:r>
              <w:rPr>
                <w:sz w:val="20"/>
                <w:szCs w:val="20"/>
              </w:rPr>
              <w:t>SBA Counseling Area</w:t>
            </w:r>
          </w:p>
        </w:tc>
        <w:tc>
          <w:tcPr>
            <w:tcW w:w="4680" w:type="dxa"/>
          </w:tcPr>
          <w:p w14:paraId="0C6BD10B" w14:textId="77777777" w:rsidR="00DB4AC9" w:rsidRDefault="00DB4AC9" w:rsidP="00AD6AC8">
            <w:pPr>
              <w:spacing w:after="0"/>
            </w:pPr>
            <w:r>
              <w:rPr>
                <w:sz w:val="20"/>
                <w:szCs w:val="20"/>
              </w:rPr>
              <w:t xml:space="preserve">Select the appropriate item from the </w:t>
            </w:r>
            <w:proofErr w:type="gramStart"/>
            <w:r>
              <w:rPr>
                <w:sz w:val="20"/>
                <w:szCs w:val="20"/>
              </w:rPr>
              <w:t>drop down</w:t>
            </w:r>
            <w:proofErr w:type="gramEnd"/>
            <w:r>
              <w:rPr>
                <w:sz w:val="20"/>
                <w:szCs w:val="20"/>
              </w:rPr>
              <w:t xml:space="preserve"> box. Refer t</w:t>
            </w:r>
            <w:hyperlink w:anchor="_2qk79lc">
              <w:r>
                <w:rPr>
                  <w:sz w:val="20"/>
                  <w:szCs w:val="20"/>
                </w:rPr>
                <w:t xml:space="preserve">o </w:t>
              </w:r>
            </w:hyperlink>
            <w:hyperlink w:anchor="_2qk79lc">
              <w:r>
                <w:rPr>
                  <w:color w:val="0000FF"/>
                  <w:sz w:val="20"/>
                  <w:szCs w:val="20"/>
                  <w:u w:val="single"/>
                </w:rPr>
                <w:t>SBA Counseling Area Definition</w:t>
              </w:r>
            </w:hyperlink>
            <w:hyperlink w:anchor="_Client_Field_Definitions">
              <w:r>
                <w:rPr>
                  <w:color w:val="0000FF"/>
                  <w:sz w:val="20"/>
                  <w:szCs w:val="20"/>
                  <w:u w:val="single"/>
                </w:rPr>
                <w:t>s</w:t>
              </w:r>
            </w:hyperlink>
            <w:r>
              <w:rPr>
                <w:sz w:val="20"/>
                <w:szCs w:val="20"/>
              </w:rPr>
              <w:t xml:space="preserve"> for guidance. Do </w:t>
            </w:r>
            <w:r>
              <w:rPr>
                <w:i/>
                <w:sz w:val="20"/>
                <w:szCs w:val="20"/>
              </w:rPr>
              <w:t>not</w:t>
            </w:r>
            <w:r>
              <w:rPr>
                <w:sz w:val="20"/>
                <w:szCs w:val="20"/>
              </w:rPr>
              <w:t xml:space="preserve"> use “undefined” and “choose not to respond”</w:t>
            </w:r>
          </w:p>
        </w:tc>
      </w:tr>
      <w:tr w:rsidR="00DB4AC9" w14:paraId="722F702A" w14:textId="77777777" w:rsidTr="00AD6AC8">
        <w:trPr>
          <w:trHeight w:val="300"/>
        </w:trPr>
        <w:tc>
          <w:tcPr>
            <w:tcW w:w="4680" w:type="dxa"/>
          </w:tcPr>
          <w:p w14:paraId="5BF2056F" w14:textId="77777777" w:rsidR="00DB4AC9" w:rsidRDefault="00DB4AC9" w:rsidP="00AD6AC8">
            <w:pPr>
              <w:spacing w:after="0"/>
            </w:pPr>
            <w:r>
              <w:rPr>
                <w:sz w:val="20"/>
                <w:szCs w:val="20"/>
              </w:rPr>
              <w:t>Additional Assistance Field</w:t>
            </w:r>
          </w:p>
        </w:tc>
        <w:tc>
          <w:tcPr>
            <w:tcW w:w="4680" w:type="dxa"/>
          </w:tcPr>
          <w:p w14:paraId="6EC7630A" w14:textId="77777777" w:rsidR="00DB4AC9" w:rsidRDefault="00DB4AC9" w:rsidP="00AD6AC8">
            <w:pPr>
              <w:spacing w:after="0"/>
            </w:pPr>
            <w:r>
              <w:rPr>
                <w:sz w:val="20"/>
                <w:szCs w:val="20"/>
              </w:rPr>
              <w:t>Select a field if appropriate</w:t>
            </w:r>
          </w:p>
        </w:tc>
      </w:tr>
      <w:tr w:rsidR="00DB4AC9" w14:paraId="575B8F62" w14:textId="77777777" w:rsidTr="00AD6AC8">
        <w:trPr>
          <w:trHeight w:val="300"/>
        </w:trPr>
        <w:tc>
          <w:tcPr>
            <w:tcW w:w="4680" w:type="dxa"/>
          </w:tcPr>
          <w:p w14:paraId="20EEED13" w14:textId="77777777" w:rsidR="00DB4AC9" w:rsidRDefault="00DB4AC9" w:rsidP="00AD6AC8">
            <w:pPr>
              <w:spacing w:after="0"/>
            </w:pPr>
            <w:r>
              <w:rPr>
                <w:sz w:val="20"/>
                <w:szCs w:val="20"/>
              </w:rPr>
              <w:t>Comments/Summary field</w:t>
            </w:r>
          </w:p>
        </w:tc>
        <w:tc>
          <w:tcPr>
            <w:tcW w:w="4680" w:type="dxa"/>
          </w:tcPr>
          <w:p w14:paraId="0909C873" w14:textId="77777777" w:rsidR="00DB4AC9" w:rsidRDefault="00DB4AC9" w:rsidP="00AD6AC8">
            <w:pPr>
              <w:spacing w:after="0"/>
            </w:pPr>
            <w:r>
              <w:rPr>
                <w:sz w:val="20"/>
                <w:szCs w:val="20"/>
              </w:rPr>
              <w:t>For administrative comments. Use key descriptive words.  This field is limited</w:t>
            </w:r>
          </w:p>
        </w:tc>
      </w:tr>
      <w:tr w:rsidR="00DB4AC9" w14:paraId="75681294" w14:textId="77777777" w:rsidTr="00AD6AC8">
        <w:trPr>
          <w:trHeight w:val="300"/>
        </w:trPr>
        <w:tc>
          <w:tcPr>
            <w:tcW w:w="4680" w:type="dxa"/>
          </w:tcPr>
          <w:p w14:paraId="6E9897DD" w14:textId="77777777" w:rsidR="00DB4AC9" w:rsidRDefault="00DB4AC9" w:rsidP="00AD6AC8">
            <w:pPr>
              <w:spacing w:after="0"/>
            </w:pPr>
            <w:r>
              <w:rPr>
                <w:sz w:val="20"/>
                <w:szCs w:val="20"/>
              </w:rPr>
              <w:t>Language Used</w:t>
            </w:r>
          </w:p>
        </w:tc>
        <w:tc>
          <w:tcPr>
            <w:tcW w:w="4680" w:type="dxa"/>
          </w:tcPr>
          <w:p w14:paraId="6F06DD63" w14:textId="77777777" w:rsidR="00DB4AC9" w:rsidRDefault="00DB4AC9" w:rsidP="00AD6AC8">
            <w:pPr>
              <w:spacing w:after="0"/>
            </w:pPr>
            <w:r>
              <w:rPr>
                <w:sz w:val="20"/>
                <w:szCs w:val="20"/>
              </w:rPr>
              <w:t>Default = English</w:t>
            </w:r>
          </w:p>
        </w:tc>
      </w:tr>
      <w:tr w:rsidR="00DB4AC9" w14:paraId="72351722" w14:textId="77777777" w:rsidTr="00AD6AC8">
        <w:trPr>
          <w:trHeight w:val="300"/>
        </w:trPr>
        <w:tc>
          <w:tcPr>
            <w:tcW w:w="4680" w:type="dxa"/>
          </w:tcPr>
          <w:p w14:paraId="349D9C18" w14:textId="77777777" w:rsidR="00DB4AC9" w:rsidRDefault="00DB4AC9" w:rsidP="00AD6AC8">
            <w:pPr>
              <w:spacing w:after="0"/>
            </w:pPr>
            <w:r>
              <w:rPr>
                <w:color w:val="FF0000"/>
                <w:sz w:val="20"/>
                <w:szCs w:val="20"/>
              </w:rPr>
              <w:t>*</w:t>
            </w:r>
            <w:r>
              <w:rPr>
                <w:sz w:val="20"/>
                <w:szCs w:val="20"/>
              </w:rPr>
              <w:t>Funding Source</w:t>
            </w:r>
          </w:p>
        </w:tc>
        <w:tc>
          <w:tcPr>
            <w:tcW w:w="4680" w:type="dxa"/>
          </w:tcPr>
          <w:p w14:paraId="1D7A26F4" w14:textId="77777777" w:rsidR="00DB4AC9" w:rsidRDefault="00DB4AC9" w:rsidP="00AD6AC8">
            <w:pPr>
              <w:spacing w:after="0"/>
            </w:pPr>
            <w:r>
              <w:rPr>
                <w:sz w:val="20"/>
                <w:szCs w:val="20"/>
              </w:rPr>
              <w:t xml:space="preserve">Default = SBA. Do not change </w:t>
            </w:r>
            <w:r>
              <w:rPr>
                <w:i/>
                <w:sz w:val="20"/>
                <w:szCs w:val="20"/>
              </w:rPr>
              <w:t>unless</w:t>
            </w:r>
            <w:r>
              <w:rPr>
                <w:sz w:val="20"/>
                <w:szCs w:val="20"/>
              </w:rPr>
              <w:t xml:space="preserve"> you are entering a session under a specific grant or project (such as Project GATE II, CDBG, Jobs Bill, or local projects).</w:t>
            </w:r>
          </w:p>
        </w:tc>
      </w:tr>
      <w:tr w:rsidR="00DB4AC9" w14:paraId="3B13E3B8" w14:textId="77777777" w:rsidTr="00AD6AC8">
        <w:trPr>
          <w:trHeight w:val="300"/>
        </w:trPr>
        <w:tc>
          <w:tcPr>
            <w:tcW w:w="4680" w:type="dxa"/>
          </w:tcPr>
          <w:p w14:paraId="79C571E7" w14:textId="77777777" w:rsidR="00DB4AC9" w:rsidRDefault="00DB4AC9" w:rsidP="00AD6AC8">
            <w:pPr>
              <w:spacing w:after="0"/>
            </w:pPr>
            <w:r>
              <w:rPr>
                <w:sz w:val="20"/>
                <w:szCs w:val="20"/>
              </w:rPr>
              <w:t>Sub-funding Source</w:t>
            </w:r>
          </w:p>
        </w:tc>
        <w:tc>
          <w:tcPr>
            <w:tcW w:w="4680" w:type="dxa"/>
          </w:tcPr>
          <w:p w14:paraId="26AFA32E" w14:textId="77777777" w:rsidR="00DB4AC9" w:rsidRDefault="00DB4AC9" w:rsidP="00AD6AC8">
            <w:pPr>
              <w:spacing w:after="0"/>
            </w:pPr>
            <w:r>
              <w:rPr>
                <w:sz w:val="20"/>
                <w:szCs w:val="20"/>
              </w:rPr>
              <w:t xml:space="preserve">Default = (Undefined). Do not change </w:t>
            </w:r>
            <w:r>
              <w:rPr>
                <w:i/>
                <w:sz w:val="20"/>
                <w:szCs w:val="20"/>
              </w:rPr>
              <w:t>unless</w:t>
            </w:r>
            <w:r>
              <w:rPr>
                <w:sz w:val="20"/>
                <w:szCs w:val="20"/>
              </w:rPr>
              <w:t xml:space="preserve"> session is for Jobs Bill, Select Jobs Act of 2010 (JA10).</w:t>
            </w:r>
          </w:p>
        </w:tc>
      </w:tr>
      <w:tr w:rsidR="00DB4AC9" w14:paraId="03AB9F1A" w14:textId="77777777" w:rsidTr="00AD6AC8">
        <w:trPr>
          <w:trHeight w:val="300"/>
        </w:trPr>
        <w:tc>
          <w:tcPr>
            <w:tcW w:w="4680" w:type="dxa"/>
          </w:tcPr>
          <w:p w14:paraId="0513D2AE" w14:textId="77777777" w:rsidR="00DB4AC9" w:rsidRDefault="00DB4AC9" w:rsidP="00AD6AC8">
            <w:pPr>
              <w:spacing w:after="0"/>
            </w:pPr>
            <w:r>
              <w:rPr>
                <w:color w:val="FF0000"/>
                <w:sz w:val="20"/>
                <w:szCs w:val="20"/>
              </w:rPr>
              <w:t>*</w:t>
            </w:r>
            <w:r>
              <w:rPr>
                <w:sz w:val="20"/>
                <w:szCs w:val="20"/>
              </w:rPr>
              <w:t>Center</w:t>
            </w:r>
          </w:p>
        </w:tc>
        <w:tc>
          <w:tcPr>
            <w:tcW w:w="4680" w:type="dxa"/>
          </w:tcPr>
          <w:p w14:paraId="6485FF9A" w14:textId="77777777" w:rsidR="00DB4AC9" w:rsidRDefault="00DB4AC9" w:rsidP="00AD6AC8">
            <w:pPr>
              <w:spacing w:after="0"/>
            </w:pPr>
            <w:r>
              <w:rPr>
                <w:sz w:val="20"/>
                <w:szCs w:val="20"/>
              </w:rPr>
              <w:t>Review this field and make sure it is the regional office that you are invoicing for your time.</w:t>
            </w:r>
          </w:p>
        </w:tc>
      </w:tr>
      <w:tr w:rsidR="00DB4AC9" w14:paraId="293EEE42" w14:textId="77777777" w:rsidTr="00AD6AC8">
        <w:trPr>
          <w:trHeight w:val="300"/>
        </w:trPr>
        <w:tc>
          <w:tcPr>
            <w:tcW w:w="4680" w:type="dxa"/>
          </w:tcPr>
          <w:p w14:paraId="6A0347FD" w14:textId="77777777" w:rsidR="00DB4AC9" w:rsidRDefault="00DB4AC9" w:rsidP="00AD6AC8">
            <w:pPr>
              <w:spacing w:after="0"/>
            </w:pPr>
            <w:r>
              <w:rPr>
                <w:sz w:val="20"/>
                <w:szCs w:val="20"/>
              </w:rPr>
              <w:t>Notes</w:t>
            </w:r>
          </w:p>
        </w:tc>
        <w:tc>
          <w:tcPr>
            <w:tcW w:w="4680" w:type="dxa"/>
          </w:tcPr>
          <w:p w14:paraId="1AEDA0CF" w14:textId="77777777" w:rsidR="00DB4AC9" w:rsidRDefault="00DB4AC9" w:rsidP="00AD6AC8">
            <w:pPr>
              <w:spacing w:after="0"/>
            </w:pPr>
            <w:r>
              <w:rPr>
                <w:sz w:val="20"/>
                <w:szCs w:val="20"/>
              </w:rPr>
              <w:t xml:space="preserve">Default = Guidelines for what details should be contained in your session notes. You may answer the questions as outlined (DO NOT delete them), notes </w:t>
            </w:r>
            <w:r>
              <w:rPr>
                <w:sz w:val="20"/>
                <w:szCs w:val="20"/>
              </w:rPr>
              <w:lastRenderedPageBreak/>
              <w:t>should be detailed, meaningful and reflect the substantive counseling provided. Refer to client record policy.</w:t>
            </w:r>
          </w:p>
        </w:tc>
      </w:tr>
      <w:tr w:rsidR="00DB4AC9" w14:paraId="261FD974" w14:textId="77777777" w:rsidTr="00AD6AC8">
        <w:trPr>
          <w:trHeight w:val="300"/>
        </w:trPr>
        <w:tc>
          <w:tcPr>
            <w:tcW w:w="4680" w:type="dxa"/>
          </w:tcPr>
          <w:p w14:paraId="6E471145" w14:textId="77777777" w:rsidR="00DB4AC9" w:rsidRDefault="00DB4AC9" w:rsidP="00AD6AC8">
            <w:pPr>
              <w:spacing w:after="0"/>
            </w:pPr>
            <w:r>
              <w:rPr>
                <w:sz w:val="20"/>
                <w:szCs w:val="20"/>
              </w:rPr>
              <w:t>Total Number of People</w:t>
            </w:r>
          </w:p>
        </w:tc>
        <w:tc>
          <w:tcPr>
            <w:tcW w:w="4680" w:type="dxa"/>
          </w:tcPr>
          <w:p w14:paraId="376E8638" w14:textId="77777777" w:rsidR="00DB4AC9" w:rsidRDefault="00DB4AC9" w:rsidP="00AD6AC8">
            <w:pPr>
              <w:spacing w:after="0"/>
            </w:pPr>
            <w:r>
              <w:rPr>
                <w:sz w:val="20"/>
                <w:szCs w:val="20"/>
              </w:rPr>
              <w:t>Number of contacts that participated in Session. Exclude consultants</w:t>
            </w:r>
          </w:p>
        </w:tc>
      </w:tr>
      <w:tr w:rsidR="00DB4AC9" w14:paraId="2B883DD4" w14:textId="77777777" w:rsidTr="00AD6AC8">
        <w:trPr>
          <w:trHeight w:val="300"/>
        </w:trPr>
        <w:tc>
          <w:tcPr>
            <w:tcW w:w="4680" w:type="dxa"/>
          </w:tcPr>
          <w:p w14:paraId="2EE5F914" w14:textId="77777777" w:rsidR="00DB4AC9" w:rsidRDefault="00DB4AC9" w:rsidP="00AD6AC8">
            <w:pPr>
              <w:spacing w:after="0"/>
            </w:pPr>
            <w:r>
              <w:rPr>
                <w:sz w:val="20"/>
                <w:szCs w:val="20"/>
              </w:rPr>
              <w:t>Referral to</w:t>
            </w:r>
          </w:p>
        </w:tc>
        <w:tc>
          <w:tcPr>
            <w:tcW w:w="4680" w:type="dxa"/>
          </w:tcPr>
          <w:p w14:paraId="4791481C" w14:textId="77777777" w:rsidR="00DB4AC9" w:rsidRDefault="00DB4AC9" w:rsidP="00AD6AC8">
            <w:pPr>
              <w:spacing w:after="0"/>
            </w:pPr>
            <w:r>
              <w:rPr>
                <w:sz w:val="20"/>
                <w:szCs w:val="20"/>
              </w:rPr>
              <w:t>Defaults = (Undefined) or choose another.</w:t>
            </w:r>
          </w:p>
        </w:tc>
      </w:tr>
      <w:tr w:rsidR="00DB4AC9" w14:paraId="4AFEA239" w14:textId="77777777" w:rsidTr="00AD6AC8">
        <w:trPr>
          <w:trHeight w:val="300"/>
        </w:trPr>
        <w:tc>
          <w:tcPr>
            <w:tcW w:w="4680" w:type="dxa"/>
          </w:tcPr>
          <w:p w14:paraId="24B8B7D2" w14:textId="77777777" w:rsidR="00DB4AC9" w:rsidRDefault="00DB4AC9" w:rsidP="00AD6AC8">
            <w:pPr>
              <w:spacing w:after="0"/>
            </w:pPr>
            <w:r>
              <w:rPr>
                <w:sz w:val="20"/>
                <w:szCs w:val="20"/>
              </w:rPr>
              <w:t>Action Item</w:t>
            </w:r>
          </w:p>
        </w:tc>
        <w:tc>
          <w:tcPr>
            <w:tcW w:w="4680" w:type="dxa"/>
          </w:tcPr>
          <w:p w14:paraId="5D70C9E8" w14:textId="77777777" w:rsidR="00DB4AC9" w:rsidRDefault="00DB4AC9" w:rsidP="00AD6AC8">
            <w:pPr>
              <w:spacing w:after="0"/>
            </w:pPr>
            <w:r>
              <w:rPr>
                <w:sz w:val="20"/>
                <w:szCs w:val="20"/>
              </w:rPr>
              <w:t>Enter if appropriate</w:t>
            </w:r>
          </w:p>
        </w:tc>
      </w:tr>
      <w:tr w:rsidR="00DB4AC9" w14:paraId="7B8FE0C5" w14:textId="77777777" w:rsidTr="00AD6AC8">
        <w:trPr>
          <w:trHeight w:val="300"/>
        </w:trPr>
        <w:tc>
          <w:tcPr>
            <w:tcW w:w="4680" w:type="dxa"/>
          </w:tcPr>
          <w:p w14:paraId="25A22F7D" w14:textId="77777777" w:rsidR="00DB4AC9" w:rsidRDefault="00DB4AC9" w:rsidP="00AD6AC8">
            <w:pPr>
              <w:spacing w:after="0"/>
            </w:pPr>
            <w:r>
              <w:rPr>
                <w:sz w:val="20"/>
                <w:szCs w:val="20"/>
              </w:rPr>
              <w:t>Date to complete</w:t>
            </w:r>
          </w:p>
        </w:tc>
        <w:tc>
          <w:tcPr>
            <w:tcW w:w="4680" w:type="dxa"/>
          </w:tcPr>
          <w:p w14:paraId="5A048C86" w14:textId="77777777" w:rsidR="00DB4AC9" w:rsidRDefault="00DB4AC9" w:rsidP="00AD6AC8">
            <w:pPr>
              <w:spacing w:after="0"/>
            </w:pPr>
            <w:r>
              <w:rPr>
                <w:sz w:val="20"/>
                <w:szCs w:val="20"/>
              </w:rPr>
              <w:t>Enter if appropriate</w:t>
            </w:r>
          </w:p>
        </w:tc>
      </w:tr>
      <w:tr w:rsidR="00DB4AC9" w14:paraId="115F044B" w14:textId="77777777" w:rsidTr="00AD6AC8">
        <w:trPr>
          <w:trHeight w:val="300"/>
        </w:trPr>
        <w:tc>
          <w:tcPr>
            <w:tcW w:w="4680" w:type="dxa"/>
          </w:tcPr>
          <w:p w14:paraId="59AEDB94" w14:textId="77777777" w:rsidR="00DB4AC9" w:rsidRDefault="00DB4AC9" w:rsidP="00AD6AC8">
            <w:pPr>
              <w:spacing w:after="0"/>
            </w:pPr>
            <w:r>
              <w:rPr>
                <w:sz w:val="20"/>
                <w:szCs w:val="20"/>
              </w:rPr>
              <w:t>Date completed</w:t>
            </w:r>
          </w:p>
        </w:tc>
        <w:tc>
          <w:tcPr>
            <w:tcW w:w="4680" w:type="dxa"/>
          </w:tcPr>
          <w:p w14:paraId="242A99E7" w14:textId="77777777" w:rsidR="00DB4AC9" w:rsidRDefault="00DB4AC9" w:rsidP="00AD6AC8">
            <w:pPr>
              <w:spacing w:after="0"/>
            </w:pPr>
            <w:r>
              <w:rPr>
                <w:sz w:val="20"/>
                <w:szCs w:val="20"/>
              </w:rPr>
              <w:t>Enter if appropriate</w:t>
            </w:r>
          </w:p>
        </w:tc>
      </w:tr>
      <w:tr w:rsidR="00DB4AC9" w14:paraId="4950B662" w14:textId="77777777" w:rsidTr="00AD6AC8">
        <w:trPr>
          <w:trHeight w:val="240"/>
        </w:trPr>
        <w:tc>
          <w:tcPr>
            <w:tcW w:w="4680" w:type="dxa"/>
          </w:tcPr>
          <w:p w14:paraId="05346EC4" w14:textId="77777777" w:rsidR="00DB4AC9" w:rsidRDefault="00DB4AC9" w:rsidP="00AD6AC8">
            <w:pPr>
              <w:spacing w:after="0"/>
            </w:pPr>
            <w:r>
              <w:rPr>
                <w:sz w:val="20"/>
                <w:szCs w:val="20"/>
              </w:rPr>
              <w:t>Reportable?</w:t>
            </w:r>
          </w:p>
        </w:tc>
        <w:tc>
          <w:tcPr>
            <w:tcW w:w="4680" w:type="dxa"/>
          </w:tcPr>
          <w:p w14:paraId="478A0D8D" w14:textId="77777777" w:rsidR="00DB4AC9" w:rsidRDefault="00DB4AC9" w:rsidP="00AD6AC8">
            <w:pPr>
              <w:spacing w:after="0"/>
            </w:pPr>
            <w:r>
              <w:rPr>
                <w:sz w:val="20"/>
                <w:szCs w:val="20"/>
              </w:rPr>
              <w:t>Default = Check. Do not change.</w:t>
            </w:r>
          </w:p>
          <w:p w14:paraId="1636A47B" w14:textId="77777777" w:rsidR="00DB4AC9" w:rsidRDefault="00DB4AC9" w:rsidP="00AD6AC8">
            <w:pPr>
              <w:spacing w:after="0"/>
            </w:pPr>
          </w:p>
        </w:tc>
      </w:tr>
    </w:tbl>
    <w:p w14:paraId="3871B42E" w14:textId="77777777" w:rsidR="00DB4AC9" w:rsidRDefault="00DB4AC9" w:rsidP="00DB4AC9">
      <w:pPr>
        <w:spacing w:after="0"/>
        <w:jc w:val="both"/>
      </w:pPr>
    </w:p>
    <w:p w14:paraId="7D1A15BC" w14:textId="77777777" w:rsidR="00DB4AC9" w:rsidRDefault="00DB4AC9" w:rsidP="00DB4AC9">
      <w:r>
        <w:br w:type="page"/>
      </w:r>
    </w:p>
    <w:p w14:paraId="6CC0C302" w14:textId="77777777" w:rsidR="00DB4AC9" w:rsidRDefault="00DB4AC9" w:rsidP="00DB4AC9">
      <w:pPr>
        <w:keepNext/>
        <w:spacing w:before="240"/>
      </w:pPr>
      <w:bookmarkStart w:id="251" w:name="_1fyl9w3" w:colFirst="0" w:colLast="0"/>
      <w:bookmarkEnd w:id="251"/>
      <w:r>
        <w:rPr>
          <w:rFonts w:ascii="Arial" w:eastAsia="Arial" w:hAnsi="Arial" w:cs="Arial"/>
          <w:b/>
          <w:sz w:val="24"/>
          <w:szCs w:val="24"/>
        </w:rPr>
        <w:lastRenderedPageBreak/>
        <w:t>SBA Counseling Area Definitions</w:t>
      </w:r>
    </w:p>
    <w:p w14:paraId="3A060B5A" w14:textId="77777777" w:rsidR="00DB4AC9" w:rsidRDefault="00DB4AC9" w:rsidP="00DB4AC9">
      <w:pPr>
        <w:spacing w:before="280" w:after="100"/>
        <w:jc w:val="both"/>
      </w:pPr>
      <w:r>
        <w:rPr>
          <w:sz w:val="24"/>
          <w:szCs w:val="24"/>
        </w:rPr>
        <w:t xml:space="preserve">State policy requires that each consulting engagement be recorded in Neoserra as it occurs and is properly categorized under one of the SBA Counseling Areas defined by the system. Proper selection of session categories is essential to capturing MnSBDC scorecard data. As such, a consultant must select the most appropriate ‘SBA Counseling Area’ from the picklist based on the </w:t>
      </w:r>
      <w:r>
        <w:rPr>
          <w:b/>
          <w:sz w:val="24"/>
          <w:szCs w:val="24"/>
          <w:u w:val="single"/>
        </w:rPr>
        <w:t>primary</w:t>
      </w:r>
      <w:r>
        <w:rPr>
          <w:sz w:val="24"/>
          <w:szCs w:val="24"/>
        </w:rPr>
        <w:t xml:space="preserve"> topic covered in the session. One of the list choices must be selected</w:t>
      </w:r>
      <w:r>
        <w:rPr>
          <w:b/>
          <w:i/>
          <w:sz w:val="24"/>
          <w:szCs w:val="24"/>
        </w:rPr>
        <w:t xml:space="preserve">; “Undefined” and “Choose not to respond” are not appropriate selections – </w:t>
      </w:r>
      <w:r>
        <w:rPr>
          <w:b/>
          <w:i/>
          <w:sz w:val="24"/>
          <w:szCs w:val="24"/>
          <w:u w:val="single"/>
        </w:rPr>
        <w:t>do not choose them</w:t>
      </w:r>
      <w:r>
        <w:rPr>
          <w:b/>
          <w:i/>
          <w:sz w:val="24"/>
          <w:szCs w:val="24"/>
        </w:rPr>
        <w:t xml:space="preserve">.  </w:t>
      </w:r>
    </w:p>
    <w:p w14:paraId="14EE5DA1" w14:textId="77777777" w:rsidR="00DB4AC9" w:rsidRDefault="00DB4AC9" w:rsidP="00DB4AC9">
      <w:pPr>
        <w:spacing w:before="280" w:after="100"/>
        <w:jc w:val="both"/>
      </w:pPr>
      <w:r>
        <w:rPr>
          <w:sz w:val="24"/>
          <w:szCs w:val="24"/>
        </w:rPr>
        <w:t xml:space="preserve">There are 23 Counseling Areas to </w:t>
      </w:r>
      <w:proofErr w:type="gramStart"/>
      <w:r>
        <w:rPr>
          <w:sz w:val="24"/>
          <w:szCs w:val="24"/>
        </w:rPr>
        <w:t>choose</w:t>
      </w:r>
      <w:proofErr w:type="gramEnd"/>
      <w:r>
        <w:rPr>
          <w:sz w:val="24"/>
          <w:szCs w:val="24"/>
        </w:rPr>
        <w:t xml:space="preserve">. Below is the list of choices including definitional guidelines. </w:t>
      </w:r>
      <w:r>
        <w:rPr>
          <w:sz w:val="24"/>
          <w:szCs w:val="24"/>
          <w:highlight w:val="yellow"/>
        </w:rPr>
        <w:t>Highlight denotes MnSBDC service segment (core competency area).</w:t>
      </w:r>
    </w:p>
    <w:tbl>
      <w:tblPr>
        <w:tblW w:w="935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115" w:type="dxa"/>
        </w:tblCellMar>
        <w:tblLook w:val="0400" w:firstRow="0" w:lastRow="0" w:firstColumn="0" w:lastColumn="0" w:noHBand="0" w:noVBand="1"/>
      </w:tblPr>
      <w:tblGrid>
        <w:gridCol w:w="2778"/>
        <w:gridCol w:w="6572"/>
      </w:tblGrid>
      <w:tr w:rsidR="00DB4AC9" w14:paraId="41C4C52D" w14:textId="77777777" w:rsidTr="00AD6AC8">
        <w:trPr>
          <w:trHeight w:val="520"/>
        </w:trPr>
        <w:tc>
          <w:tcPr>
            <w:tcW w:w="2778" w:type="dxa"/>
          </w:tcPr>
          <w:p w14:paraId="178AAC7A" w14:textId="77777777" w:rsidR="00DB4AC9" w:rsidRDefault="00DB4AC9" w:rsidP="00AD6AC8">
            <w:pPr>
              <w:numPr>
                <w:ilvl w:val="0"/>
                <w:numId w:val="5"/>
              </w:numPr>
              <w:spacing w:before="100" w:after="0"/>
              <w:ind w:left="0" w:hanging="360"/>
              <w:rPr>
                <w:b/>
                <w:sz w:val="20"/>
                <w:szCs w:val="20"/>
              </w:rPr>
            </w:pPr>
            <w:r>
              <w:rPr>
                <w:b/>
                <w:sz w:val="20"/>
                <w:szCs w:val="20"/>
              </w:rPr>
              <w:t>Business Accounting/Budgets</w:t>
            </w:r>
          </w:p>
        </w:tc>
        <w:tc>
          <w:tcPr>
            <w:tcW w:w="6572" w:type="dxa"/>
          </w:tcPr>
          <w:p w14:paraId="3E0786A2" w14:textId="77777777" w:rsidR="00DB4AC9" w:rsidRDefault="00DB4AC9" w:rsidP="00AD6AC8">
            <w:pPr>
              <w:numPr>
                <w:ilvl w:val="1"/>
                <w:numId w:val="5"/>
              </w:numPr>
              <w:spacing w:before="100" w:after="0"/>
              <w:ind w:left="0" w:hanging="360"/>
              <w:rPr>
                <w:sz w:val="20"/>
                <w:szCs w:val="20"/>
              </w:rPr>
            </w:pPr>
            <w:r>
              <w:rPr>
                <w:sz w:val="20"/>
                <w:szCs w:val="20"/>
              </w:rPr>
              <w:t>Consulting associated with accounting and record keeping issues, or assistance with accounting applications such as QuickBooks.</w:t>
            </w:r>
          </w:p>
        </w:tc>
      </w:tr>
      <w:tr w:rsidR="00DB4AC9" w14:paraId="6586C34E" w14:textId="77777777" w:rsidTr="00AD6AC8">
        <w:tc>
          <w:tcPr>
            <w:tcW w:w="2778" w:type="dxa"/>
          </w:tcPr>
          <w:p w14:paraId="34CD1E66" w14:textId="77777777" w:rsidR="00DB4AC9" w:rsidRDefault="00DB4AC9" w:rsidP="00AD6AC8">
            <w:pPr>
              <w:numPr>
                <w:ilvl w:val="0"/>
                <w:numId w:val="5"/>
              </w:numPr>
              <w:spacing w:before="100" w:after="0"/>
              <w:ind w:left="0" w:hanging="360"/>
              <w:rPr>
                <w:b/>
                <w:sz w:val="20"/>
                <w:szCs w:val="20"/>
                <w:highlight w:val="yellow"/>
              </w:rPr>
            </w:pPr>
            <w:r>
              <w:rPr>
                <w:b/>
                <w:sz w:val="20"/>
                <w:szCs w:val="20"/>
                <w:highlight w:val="yellow"/>
              </w:rPr>
              <w:t>Business Plan</w:t>
            </w:r>
          </w:p>
        </w:tc>
        <w:tc>
          <w:tcPr>
            <w:tcW w:w="6572" w:type="dxa"/>
          </w:tcPr>
          <w:p w14:paraId="3C13FABC" w14:textId="77777777" w:rsidR="00DB4AC9" w:rsidRDefault="00DB4AC9" w:rsidP="00AD6AC8">
            <w:pPr>
              <w:numPr>
                <w:ilvl w:val="1"/>
                <w:numId w:val="5"/>
              </w:numPr>
              <w:spacing w:before="100" w:after="0"/>
              <w:ind w:left="0" w:hanging="360"/>
              <w:rPr>
                <w:sz w:val="20"/>
                <w:szCs w:val="20"/>
              </w:rPr>
            </w:pPr>
            <w:r>
              <w:rPr>
                <w:sz w:val="20"/>
                <w:szCs w:val="20"/>
              </w:rPr>
              <w:t>Consulting associated with the development of a business plan, including but not limited to identifying and researching competitors, preparing and analyzing sales and financial projections, and critiquing.</w:t>
            </w:r>
          </w:p>
        </w:tc>
      </w:tr>
      <w:tr w:rsidR="00DB4AC9" w14:paraId="5EA4B3FD" w14:textId="77777777" w:rsidTr="00AD6AC8">
        <w:tc>
          <w:tcPr>
            <w:tcW w:w="2778" w:type="dxa"/>
          </w:tcPr>
          <w:p w14:paraId="7DFF6C56" w14:textId="77777777" w:rsidR="00DB4AC9" w:rsidRDefault="00DB4AC9" w:rsidP="00AD6AC8">
            <w:pPr>
              <w:numPr>
                <w:ilvl w:val="0"/>
                <w:numId w:val="5"/>
              </w:numPr>
              <w:spacing w:before="100" w:after="0"/>
              <w:ind w:left="0" w:hanging="360"/>
              <w:rPr>
                <w:b/>
                <w:sz w:val="20"/>
                <w:szCs w:val="20"/>
              </w:rPr>
            </w:pPr>
            <w:r>
              <w:rPr>
                <w:b/>
                <w:sz w:val="20"/>
                <w:szCs w:val="20"/>
              </w:rPr>
              <w:t>Buy/Sell Business</w:t>
            </w:r>
          </w:p>
        </w:tc>
        <w:tc>
          <w:tcPr>
            <w:tcW w:w="6572" w:type="dxa"/>
          </w:tcPr>
          <w:p w14:paraId="4AEC19C0"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the transfer of a business through purchase or sale or exchange, including but not limited to business valuation, preparing and analyzing sales projections or completing financial analysis required as part of the analysis for the transfer.</w:t>
            </w:r>
          </w:p>
        </w:tc>
      </w:tr>
      <w:tr w:rsidR="00DB4AC9" w14:paraId="2E8D3901" w14:textId="77777777" w:rsidTr="00AD6AC8">
        <w:tc>
          <w:tcPr>
            <w:tcW w:w="2778" w:type="dxa"/>
          </w:tcPr>
          <w:p w14:paraId="6F99D78F" w14:textId="77777777" w:rsidR="00DB4AC9" w:rsidRDefault="00DB4AC9" w:rsidP="00AD6AC8">
            <w:pPr>
              <w:numPr>
                <w:ilvl w:val="0"/>
                <w:numId w:val="5"/>
              </w:numPr>
              <w:spacing w:before="100" w:after="0"/>
              <w:ind w:left="0" w:hanging="360"/>
              <w:rPr>
                <w:b/>
                <w:sz w:val="20"/>
                <w:szCs w:val="20"/>
                <w:highlight w:val="yellow"/>
              </w:rPr>
            </w:pPr>
            <w:r>
              <w:rPr>
                <w:b/>
                <w:sz w:val="20"/>
                <w:szCs w:val="20"/>
                <w:highlight w:val="yellow"/>
              </w:rPr>
              <w:t>Cash Flow Management</w:t>
            </w:r>
          </w:p>
        </w:tc>
        <w:tc>
          <w:tcPr>
            <w:tcW w:w="6572" w:type="dxa"/>
          </w:tcPr>
          <w:p w14:paraId="7BEF834E" w14:textId="77777777" w:rsidR="00DB4AC9" w:rsidRDefault="00DB4AC9" w:rsidP="00AD6AC8">
            <w:pPr>
              <w:spacing w:before="100" w:after="0"/>
            </w:pPr>
            <w:r>
              <w:rPr>
                <w:sz w:val="20"/>
                <w:szCs w:val="20"/>
              </w:rPr>
              <w:t>Consulting associated with financial analysis or cost control issues, completing feasibility studies, or completing financial analysis not related to the preparation of a loan package or request for financing.</w:t>
            </w:r>
          </w:p>
        </w:tc>
      </w:tr>
      <w:tr w:rsidR="00DB4AC9" w14:paraId="7C0313D9" w14:textId="77777777" w:rsidTr="00AD6AC8">
        <w:tc>
          <w:tcPr>
            <w:tcW w:w="2778" w:type="dxa"/>
          </w:tcPr>
          <w:p w14:paraId="7AD0A3F7" w14:textId="77777777" w:rsidR="00DB4AC9" w:rsidRDefault="00DB4AC9" w:rsidP="00AD6AC8">
            <w:pPr>
              <w:numPr>
                <w:ilvl w:val="0"/>
                <w:numId w:val="5"/>
              </w:numPr>
              <w:spacing w:before="100" w:after="0"/>
              <w:ind w:left="0" w:hanging="360"/>
              <w:rPr>
                <w:b/>
                <w:sz w:val="20"/>
                <w:szCs w:val="20"/>
              </w:rPr>
            </w:pPr>
            <w:r>
              <w:rPr>
                <w:b/>
                <w:sz w:val="20"/>
                <w:szCs w:val="20"/>
              </w:rPr>
              <w:t>Customer Relations</w:t>
            </w:r>
          </w:p>
        </w:tc>
        <w:tc>
          <w:tcPr>
            <w:tcW w:w="6572" w:type="dxa"/>
          </w:tcPr>
          <w:p w14:paraId="312F3B4F"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managing and nurturing a company’s interactions with clients and sales prospects. It may involve using technology to organize, automate, and synchronize business </w:t>
            </w:r>
            <w:proofErr w:type="gramStart"/>
            <w:r>
              <w:rPr>
                <w:sz w:val="20"/>
                <w:szCs w:val="20"/>
              </w:rPr>
              <w:t>processes—</w:t>
            </w:r>
            <w:proofErr w:type="gramEnd"/>
            <w:r>
              <w:rPr>
                <w:sz w:val="20"/>
                <w:szCs w:val="20"/>
              </w:rPr>
              <w:t xml:space="preserve">principally sales activities, but also those for marketing, customer service, and technical support. </w:t>
            </w:r>
          </w:p>
        </w:tc>
      </w:tr>
      <w:tr w:rsidR="00DB4AC9" w14:paraId="27238968" w14:textId="77777777" w:rsidTr="00AD6AC8">
        <w:tc>
          <w:tcPr>
            <w:tcW w:w="2778" w:type="dxa"/>
          </w:tcPr>
          <w:p w14:paraId="1D1D56FB" w14:textId="77777777" w:rsidR="00DB4AC9" w:rsidRDefault="00DB4AC9" w:rsidP="00AD6AC8">
            <w:pPr>
              <w:numPr>
                <w:ilvl w:val="0"/>
                <w:numId w:val="5"/>
              </w:numPr>
              <w:spacing w:before="100" w:after="0"/>
              <w:ind w:left="0" w:hanging="360"/>
              <w:rPr>
                <w:b/>
                <w:sz w:val="20"/>
                <w:szCs w:val="20"/>
              </w:rPr>
            </w:pPr>
            <w:r>
              <w:rPr>
                <w:b/>
                <w:sz w:val="20"/>
                <w:szCs w:val="20"/>
              </w:rPr>
              <w:t>Disaster Planning</w:t>
            </w:r>
          </w:p>
        </w:tc>
        <w:tc>
          <w:tcPr>
            <w:tcW w:w="6572" w:type="dxa"/>
          </w:tcPr>
          <w:p w14:paraId="099EAB6F"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all aspects of disaster preparedness and recovery planning, including assisting in preparing disaster preparedness and recovery plans.  Disaster planning typically occurs prior to a disaster event, while disaster recovery typically occurs after a disaster event.</w:t>
            </w:r>
          </w:p>
        </w:tc>
      </w:tr>
      <w:tr w:rsidR="00DB4AC9" w14:paraId="390FD35E" w14:textId="77777777" w:rsidTr="00AD6AC8">
        <w:tc>
          <w:tcPr>
            <w:tcW w:w="2778" w:type="dxa"/>
          </w:tcPr>
          <w:p w14:paraId="195B2A95" w14:textId="77777777" w:rsidR="00DB4AC9" w:rsidRDefault="00DB4AC9" w:rsidP="00AD6AC8">
            <w:pPr>
              <w:numPr>
                <w:ilvl w:val="0"/>
                <w:numId w:val="5"/>
              </w:numPr>
              <w:spacing w:before="100" w:after="0"/>
              <w:ind w:left="0" w:hanging="360"/>
              <w:rPr>
                <w:b/>
                <w:sz w:val="20"/>
                <w:szCs w:val="20"/>
              </w:rPr>
            </w:pPr>
            <w:r>
              <w:rPr>
                <w:b/>
                <w:sz w:val="20"/>
                <w:szCs w:val="20"/>
              </w:rPr>
              <w:t>Disaster Recovery</w:t>
            </w:r>
          </w:p>
        </w:tc>
        <w:tc>
          <w:tcPr>
            <w:tcW w:w="6572" w:type="dxa"/>
          </w:tcPr>
          <w:p w14:paraId="597D5AC3"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managing all aspects of disaster recovery including support of long-term economic recovery by providing access to capital, and on-going consulting. Disaster recovery typically occurs when an official disaster has been declared by a governmental agency, however, may occur when an official disaster has not </w:t>
            </w:r>
            <w:proofErr w:type="gramStart"/>
            <w:r>
              <w:rPr>
                <w:sz w:val="20"/>
                <w:szCs w:val="20"/>
              </w:rPr>
              <w:t>be</w:t>
            </w:r>
            <w:proofErr w:type="gramEnd"/>
            <w:r>
              <w:rPr>
                <w:sz w:val="20"/>
                <w:szCs w:val="20"/>
              </w:rPr>
              <w:t xml:space="preserve"> formally declared. Disaster recovery consulting </w:t>
            </w:r>
            <w:proofErr w:type="gramStart"/>
            <w:r>
              <w:rPr>
                <w:sz w:val="20"/>
                <w:szCs w:val="20"/>
              </w:rPr>
              <w:t>occur</w:t>
            </w:r>
            <w:proofErr w:type="gramEnd"/>
            <w:r>
              <w:rPr>
                <w:sz w:val="20"/>
                <w:szCs w:val="20"/>
              </w:rPr>
              <w:t xml:space="preserve"> during coordination with other agencies providing aid during a disaster.</w:t>
            </w:r>
          </w:p>
        </w:tc>
      </w:tr>
      <w:tr w:rsidR="00DB4AC9" w14:paraId="0EFB6ABE" w14:textId="77777777" w:rsidTr="00AD6AC8">
        <w:tc>
          <w:tcPr>
            <w:tcW w:w="2778" w:type="dxa"/>
          </w:tcPr>
          <w:p w14:paraId="2F2C7F89" w14:textId="77777777" w:rsidR="00DB4AC9" w:rsidRDefault="00DB4AC9" w:rsidP="00AD6AC8">
            <w:pPr>
              <w:numPr>
                <w:ilvl w:val="0"/>
                <w:numId w:val="5"/>
              </w:numPr>
              <w:spacing w:before="100" w:after="0"/>
              <w:ind w:left="0" w:hanging="360"/>
              <w:rPr>
                <w:b/>
                <w:sz w:val="20"/>
                <w:szCs w:val="20"/>
              </w:rPr>
            </w:pPr>
            <w:r>
              <w:rPr>
                <w:b/>
                <w:sz w:val="20"/>
                <w:szCs w:val="20"/>
              </w:rPr>
              <w:t>e-commerce</w:t>
            </w:r>
          </w:p>
        </w:tc>
        <w:tc>
          <w:tcPr>
            <w:tcW w:w="6572" w:type="dxa"/>
          </w:tcPr>
          <w:p w14:paraId="5925820F"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all aspects of business and market processes enabled by the Internet and other digital technologies. It may include, but is not limited to electronic funds transfer, supply chain management, Internet marketing, online transaction processing, electronic data interchange (EDI), inventory management systems, and automated data collection systems.</w:t>
            </w:r>
          </w:p>
        </w:tc>
      </w:tr>
      <w:tr w:rsidR="00DB4AC9" w14:paraId="2073BB83" w14:textId="77777777" w:rsidTr="00AD6AC8">
        <w:tc>
          <w:tcPr>
            <w:tcW w:w="2778" w:type="dxa"/>
          </w:tcPr>
          <w:p w14:paraId="5E3AC713" w14:textId="77777777" w:rsidR="00DB4AC9" w:rsidRDefault="00DB4AC9" w:rsidP="00AD6AC8">
            <w:pPr>
              <w:numPr>
                <w:ilvl w:val="0"/>
                <w:numId w:val="5"/>
              </w:numPr>
              <w:spacing w:before="100" w:after="0"/>
              <w:ind w:left="0" w:hanging="360"/>
              <w:rPr>
                <w:b/>
                <w:sz w:val="20"/>
                <w:szCs w:val="20"/>
              </w:rPr>
            </w:pPr>
            <w:r>
              <w:rPr>
                <w:b/>
                <w:sz w:val="20"/>
                <w:szCs w:val="20"/>
              </w:rPr>
              <w:lastRenderedPageBreak/>
              <w:t>Engineering R&amp;D</w:t>
            </w:r>
          </w:p>
        </w:tc>
        <w:tc>
          <w:tcPr>
            <w:tcW w:w="6572" w:type="dxa"/>
          </w:tcPr>
          <w:p w14:paraId="0FF40BC2"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solving specific development problems through examination and investigation to expand the marketplace for new or existing products, services or processes.</w:t>
            </w:r>
          </w:p>
        </w:tc>
      </w:tr>
      <w:tr w:rsidR="00DB4AC9" w14:paraId="0FDB3AD2" w14:textId="77777777" w:rsidTr="00AD6AC8">
        <w:tc>
          <w:tcPr>
            <w:tcW w:w="2778" w:type="dxa"/>
          </w:tcPr>
          <w:p w14:paraId="12ED669C" w14:textId="77777777" w:rsidR="00DB4AC9" w:rsidRDefault="00DB4AC9" w:rsidP="00AD6AC8">
            <w:pPr>
              <w:numPr>
                <w:ilvl w:val="0"/>
                <w:numId w:val="5"/>
              </w:numPr>
              <w:spacing w:before="100" w:after="0"/>
              <w:ind w:left="0" w:hanging="360"/>
              <w:rPr>
                <w:b/>
                <w:sz w:val="20"/>
                <w:szCs w:val="20"/>
              </w:rPr>
            </w:pPr>
            <w:r>
              <w:rPr>
                <w:b/>
                <w:sz w:val="20"/>
                <w:szCs w:val="20"/>
              </w:rPr>
              <w:t>Exporting</w:t>
            </w:r>
          </w:p>
        </w:tc>
        <w:tc>
          <w:tcPr>
            <w:tcW w:w="6572" w:type="dxa"/>
          </w:tcPr>
          <w:p w14:paraId="3886363B" w14:textId="77777777" w:rsidR="00DB4AC9" w:rsidRDefault="00DB4AC9" w:rsidP="00AD6AC8">
            <w:pPr>
              <w:spacing w:before="100" w:after="0"/>
            </w:pPr>
            <w:r>
              <w:rPr>
                <w:sz w:val="20"/>
                <w:szCs w:val="20"/>
              </w:rPr>
              <w:t xml:space="preserve">Consulting </w:t>
            </w:r>
            <w:proofErr w:type="gramStart"/>
            <w:r>
              <w:rPr>
                <w:sz w:val="20"/>
                <w:szCs w:val="20"/>
              </w:rPr>
              <w:t>associated</w:t>
            </w:r>
            <w:proofErr w:type="gramEnd"/>
            <w:r>
              <w:rPr>
                <w:sz w:val="20"/>
                <w:szCs w:val="20"/>
              </w:rPr>
              <w:t xml:space="preserve"> with solving specific export issues, such as determining export readiness, creating an export business plan, conducting market research for exporting, finding buyers and providing access to capital specific to the export activity.</w:t>
            </w:r>
          </w:p>
        </w:tc>
      </w:tr>
      <w:tr w:rsidR="00DB4AC9" w14:paraId="15B4F09D" w14:textId="77777777" w:rsidTr="00AD6AC8">
        <w:tc>
          <w:tcPr>
            <w:tcW w:w="2778" w:type="dxa"/>
          </w:tcPr>
          <w:p w14:paraId="686C4568" w14:textId="77777777" w:rsidR="00DB4AC9" w:rsidRDefault="00DB4AC9" w:rsidP="00AD6AC8">
            <w:pPr>
              <w:numPr>
                <w:ilvl w:val="0"/>
                <w:numId w:val="5"/>
              </w:numPr>
              <w:spacing w:before="100" w:after="0"/>
              <w:ind w:left="0" w:hanging="360"/>
              <w:jc w:val="both"/>
              <w:rPr>
                <w:b/>
                <w:sz w:val="20"/>
                <w:szCs w:val="20"/>
                <w:highlight w:val="yellow"/>
              </w:rPr>
            </w:pPr>
            <w:r>
              <w:rPr>
                <w:b/>
                <w:sz w:val="20"/>
                <w:szCs w:val="20"/>
                <w:highlight w:val="yellow"/>
              </w:rPr>
              <w:t>Financing/Capital</w:t>
            </w:r>
          </w:p>
        </w:tc>
        <w:tc>
          <w:tcPr>
            <w:tcW w:w="6572" w:type="dxa"/>
          </w:tcPr>
          <w:p w14:paraId="1CAF8CB0" w14:textId="77777777" w:rsidR="00DB4AC9" w:rsidRDefault="00DB4AC9" w:rsidP="00AD6AC8">
            <w:pPr>
              <w:spacing w:before="100" w:after="0"/>
              <w:jc w:val="both"/>
            </w:pPr>
            <w:r>
              <w:rPr>
                <w:sz w:val="20"/>
                <w:szCs w:val="20"/>
              </w:rPr>
              <w:t>Consulting associated with financing and financing alternatives, investigation of potential financing sources, telephone or conferences with lenders, preparing projections related to a loan package or request for financing, or other preparation of loan packages or request for financing.</w:t>
            </w:r>
          </w:p>
        </w:tc>
      </w:tr>
      <w:tr w:rsidR="00DB4AC9" w14:paraId="1EE3BBEB" w14:textId="77777777" w:rsidTr="00AD6AC8">
        <w:tc>
          <w:tcPr>
            <w:tcW w:w="2778" w:type="dxa"/>
          </w:tcPr>
          <w:p w14:paraId="597F851C" w14:textId="77777777" w:rsidR="00DB4AC9" w:rsidRDefault="00DB4AC9" w:rsidP="00AD6AC8">
            <w:pPr>
              <w:numPr>
                <w:ilvl w:val="0"/>
                <w:numId w:val="5"/>
              </w:numPr>
              <w:spacing w:before="100" w:after="0"/>
              <w:ind w:left="0" w:hanging="360"/>
              <w:jc w:val="both"/>
              <w:rPr>
                <w:b/>
                <w:sz w:val="20"/>
                <w:szCs w:val="20"/>
              </w:rPr>
            </w:pPr>
            <w:r>
              <w:rPr>
                <w:b/>
                <w:sz w:val="20"/>
                <w:szCs w:val="20"/>
              </w:rPr>
              <w:t>Franchising</w:t>
            </w:r>
          </w:p>
        </w:tc>
        <w:tc>
          <w:tcPr>
            <w:tcW w:w="6572" w:type="dxa"/>
          </w:tcPr>
          <w:p w14:paraId="0C22675B" w14:textId="77777777" w:rsidR="00DB4AC9" w:rsidRDefault="00DB4AC9" w:rsidP="00AD6AC8">
            <w:pPr>
              <w:spacing w:before="100" w:after="0"/>
              <w:jc w:val="both"/>
            </w:pPr>
            <w:r>
              <w:rPr>
                <w:sz w:val="20"/>
                <w:szCs w:val="20"/>
              </w:rPr>
              <w:t xml:space="preserve">Consulting associated with </w:t>
            </w:r>
            <w:proofErr w:type="gramStart"/>
            <w:r>
              <w:rPr>
                <w:sz w:val="20"/>
                <w:szCs w:val="20"/>
              </w:rPr>
              <w:t>franchising including</w:t>
            </w:r>
            <w:proofErr w:type="gramEnd"/>
            <w:r>
              <w:rPr>
                <w:sz w:val="20"/>
                <w:szCs w:val="20"/>
              </w:rPr>
              <w:t xml:space="preserve"> but not limited to researching a franchise based on client interest and needs, developing financing options for the venture or other activities the support the acquisition of the franchise.</w:t>
            </w:r>
          </w:p>
        </w:tc>
      </w:tr>
      <w:tr w:rsidR="00DB4AC9" w14:paraId="58628C11" w14:textId="77777777" w:rsidTr="00AD6AC8">
        <w:tc>
          <w:tcPr>
            <w:tcW w:w="2778" w:type="dxa"/>
          </w:tcPr>
          <w:p w14:paraId="21ACE025" w14:textId="77777777" w:rsidR="00DB4AC9" w:rsidRDefault="00DB4AC9" w:rsidP="00AD6AC8">
            <w:pPr>
              <w:numPr>
                <w:ilvl w:val="0"/>
                <w:numId w:val="5"/>
              </w:numPr>
              <w:spacing w:before="100" w:after="0"/>
              <w:ind w:left="0" w:hanging="360"/>
              <w:jc w:val="both"/>
              <w:rPr>
                <w:b/>
                <w:sz w:val="20"/>
                <w:szCs w:val="20"/>
              </w:rPr>
            </w:pPr>
            <w:r>
              <w:rPr>
                <w:b/>
                <w:sz w:val="20"/>
                <w:szCs w:val="20"/>
              </w:rPr>
              <w:t>Government Contracting</w:t>
            </w:r>
          </w:p>
        </w:tc>
        <w:tc>
          <w:tcPr>
            <w:tcW w:w="6572" w:type="dxa"/>
          </w:tcPr>
          <w:p w14:paraId="001FA0A5" w14:textId="77777777" w:rsidR="00DB4AC9" w:rsidRDefault="00DB4AC9" w:rsidP="00AD6AC8">
            <w:pPr>
              <w:spacing w:before="100" w:after="0"/>
              <w:jc w:val="both"/>
            </w:pPr>
            <w:r>
              <w:rPr>
                <w:sz w:val="20"/>
                <w:szCs w:val="20"/>
              </w:rPr>
              <w:t>Consulting associated with federal, state and local procurement processes, assistance with SBIR/STTR applications, or assistance with SBA procurement certification applications.</w:t>
            </w:r>
          </w:p>
        </w:tc>
      </w:tr>
      <w:tr w:rsidR="00DB4AC9" w14:paraId="6890DA35" w14:textId="77777777" w:rsidTr="00AD6AC8">
        <w:tc>
          <w:tcPr>
            <w:tcW w:w="2778" w:type="dxa"/>
          </w:tcPr>
          <w:p w14:paraId="57A455DF" w14:textId="77777777" w:rsidR="00DB4AC9" w:rsidRDefault="00DB4AC9" w:rsidP="00AD6AC8">
            <w:pPr>
              <w:numPr>
                <w:ilvl w:val="0"/>
                <w:numId w:val="5"/>
              </w:numPr>
              <w:spacing w:before="100" w:after="0"/>
              <w:ind w:left="0" w:hanging="360"/>
              <w:rPr>
                <w:b/>
                <w:sz w:val="20"/>
                <w:szCs w:val="20"/>
              </w:rPr>
            </w:pPr>
            <w:r>
              <w:rPr>
                <w:b/>
                <w:sz w:val="20"/>
                <w:szCs w:val="20"/>
              </w:rPr>
              <w:t>Human Resources/Managing Employees</w:t>
            </w:r>
          </w:p>
        </w:tc>
        <w:tc>
          <w:tcPr>
            <w:tcW w:w="6572" w:type="dxa"/>
          </w:tcPr>
          <w:p w14:paraId="567F313D" w14:textId="77777777" w:rsidR="00DB4AC9" w:rsidRDefault="00DB4AC9" w:rsidP="00AD6AC8">
            <w:pPr>
              <w:spacing w:before="100" w:after="0"/>
              <w:jc w:val="both"/>
            </w:pPr>
            <w:r>
              <w:rPr>
                <w:sz w:val="20"/>
                <w:szCs w:val="20"/>
              </w:rPr>
              <w:t xml:space="preserve">Consulting associated with the activities of human resources, including the hiring process, workplace and employment law issues, employee handbooks and employment tax issues. </w:t>
            </w:r>
          </w:p>
        </w:tc>
      </w:tr>
      <w:tr w:rsidR="00DB4AC9" w14:paraId="6E1CCBC2" w14:textId="77777777" w:rsidTr="00AD6AC8">
        <w:tc>
          <w:tcPr>
            <w:tcW w:w="2778" w:type="dxa"/>
          </w:tcPr>
          <w:p w14:paraId="1810166C" w14:textId="77777777" w:rsidR="00DB4AC9" w:rsidRDefault="00DB4AC9" w:rsidP="00AD6AC8">
            <w:pPr>
              <w:numPr>
                <w:ilvl w:val="0"/>
                <w:numId w:val="5"/>
              </w:numPr>
              <w:spacing w:before="100" w:after="0"/>
              <w:ind w:left="0" w:hanging="360"/>
              <w:jc w:val="both"/>
              <w:rPr>
                <w:b/>
                <w:sz w:val="20"/>
                <w:szCs w:val="20"/>
              </w:rPr>
            </w:pPr>
            <w:r>
              <w:rPr>
                <w:b/>
                <w:sz w:val="20"/>
                <w:szCs w:val="20"/>
              </w:rPr>
              <w:t>Importing</w:t>
            </w:r>
          </w:p>
        </w:tc>
        <w:tc>
          <w:tcPr>
            <w:tcW w:w="6572" w:type="dxa"/>
          </w:tcPr>
          <w:p w14:paraId="3C38E7AE" w14:textId="77777777" w:rsidR="00DB4AC9" w:rsidRDefault="00DB4AC9" w:rsidP="00AD6AC8">
            <w:pPr>
              <w:spacing w:before="100" w:after="0"/>
              <w:jc w:val="both"/>
            </w:pPr>
            <w:r>
              <w:rPr>
                <w:sz w:val="20"/>
                <w:szCs w:val="20"/>
              </w:rPr>
              <w:t>Consulting associated with solving specific import issues, including but not limited to determining legal, licensing, permit or safety requirements, obtaining financing, and determining relationships required in the exporting countries.</w:t>
            </w:r>
          </w:p>
        </w:tc>
      </w:tr>
      <w:tr w:rsidR="00DB4AC9" w14:paraId="1760FA58" w14:textId="77777777" w:rsidTr="00AD6AC8">
        <w:tc>
          <w:tcPr>
            <w:tcW w:w="2778" w:type="dxa"/>
          </w:tcPr>
          <w:p w14:paraId="61C1D19A" w14:textId="77777777" w:rsidR="00DB4AC9" w:rsidRDefault="00DB4AC9" w:rsidP="00AD6AC8">
            <w:pPr>
              <w:numPr>
                <w:ilvl w:val="0"/>
                <w:numId w:val="5"/>
              </w:numPr>
              <w:spacing w:before="100" w:after="0"/>
              <w:ind w:left="0" w:hanging="360"/>
              <w:jc w:val="both"/>
              <w:rPr>
                <w:b/>
                <w:sz w:val="20"/>
                <w:szCs w:val="20"/>
              </w:rPr>
            </w:pPr>
            <w:r>
              <w:rPr>
                <w:b/>
                <w:sz w:val="20"/>
                <w:szCs w:val="20"/>
              </w:rPr>
              <w:t>Legal Issues</w:t>
            </w:r>
          </w:p>
        </w:tc>
        <w:tc>
          <w:tcPr>
            <w:tcW w:w="6572" w:type="dxa"/>
          </w:tcPr>
          <w:p w14:paraId="6392F229" w14:textId="77777777" w:rsidR="00DB4AC9" w:rsidRDefault="00DB4AC9" w:rsidP="00AD6AC8">
            <w:pPr>
              <w:spacing w:before="100" w:after="0"/>
              <w:jc w:val="both"/>
            </w:pPr>
            <w:r>
              <w:rPr>
                <w:i/>
                <w:sz w:val="20"/>
                <w:szCs w:val="20"/>
              </w:rPr>
              <w:t>NOTE</w:t>
            </w:r>
            <w:r>
              <w:rPr>
                <w:sz w:val="20"/>
                <w:szCs w:val="20"/>
              </w:rPr>
              <w:t xml:space="preserve"> – Legal issues should be referred to a licensed attorney and in no circumstances should a Professional Business Consultant in the MnSBDC render what could be construed as legal advice to a small business client. Consulting in this area is associated with identifying the legal issues and assisting the client by referral to a licensed attorney for follow up</w:t>
            </w:r>
          </w:p>
        </w:tc>
      </w:tr>
      <w:tr w:rsidR="00DB4AC9" w14:paraId="2AE646EC" w14:textId="77777777" w:rsidTr="00AD6AC8">
        <w:tc>
          <w:tcPr>
            <w:tcW w:w="2778" w:type="dxa"/>
          </w:tcPr>
          <w:p w14:paraId="7E70C793" w14:textId="77777777" w:rsidR="00DB4AC9" w:rsidRDefault="00DB4AC9" w:rsidP="00AD6AC8">
            <w:pPr>
              <w:numPr>
                <w:ilvl w:val="0"/>
                <w:numId w:val="5"/>
              </w:numPr>
              <w:spacing w:before="100" w:after="0"/>
              <w:ind w:left="0" w:hanging="360"/>
              <w:jc w:val="both"/>
              <w:rPr>
                <w:b/>
                <w:sz w:val="20"/>
                <w:szCs w:val="20"/>
              </w:rPr>
            </w:pPr>
            <w:r>
              <w:rPr>
                <w:b/>
                <w:sz w:val="20"/>
                <w:szCs w:val="20"/>
              </w:rPr>
              <w:t>Managing a Business</w:t>
            </w:r>
          </w:p>
        </w:tc>
        <w:tc>
          <w:tcPr>
            <w:tcW w:w="6572" w:type="dxa"/>
          </w:tcPr>
          <w:p w14:paraId="47A548CA" w14:textId="77777777" w:rsidR="00DB4AC9" w:rsidRDefault="00DB4AC9" w:rsidP="00AD6AC8">
            <w:pPr>
              <w:spacing w:before="100" w:after="0"/>
              <w:jc w:val="both"/>
            </w:pPr>
            <w:r>
              <w:rPr>
                <w:sz w:val="20"/>
                <w:szCs w:val="20"/>
              </w:rPr>
              <w:t>Consulting associated with the Leadership of the organization, including implementing change, cultural issues and the overall operation of the venture. This is a broad category that looks holistically at multiple facets of the operation to ensure all are in synch and working successfully. This is the category that specifically should be used with any ‘Strategic Planning’ consulting.</w:t>
            </w:r>
          </w:p>
        </w:tc>
      </w:tr>
      <w:tr w:rsidR="00DB4AC9" w14:paraId="671AE6E6" w14:textId="77777777" w:rsidTr="00AD6AC8">
        <w:tc>
          <w:tcPr>
            <w:tcW w:w="2778" w:type="dxa"/>
          </w:tcPr>
          <w:p w14:paraId="5F3BA7E5" w14:textId="77777777" w:rsidR="00DB4AC9" w:rsidRDefault="00DB4AC9" w:rsidP="00AD6AC8">
            <w:pPr>
              <w:numPr>
                <w:ilvl w:val="0"/>
                <w:numId w:val="5"/>
              </w:numPr>
              <w:spacing w:before="100" w:after="0"/>
              <w:ind w:left="0" w:hanging="360"/>
              <w:jc w:val="both"/>
              <w:rPr>
                <w:b/>
                <w:sz w:val="20"/>
                <w:szCs w:val="20"/>
                <w:highlight w:val="yellow"/>
              </w:rPr>
            </w:pPr>
            <w:r>
              <w:rPr>
                <w:b/>
                <w:sz w:val="20"/>
                <w:szCs w:val="20"/>
                <w:highlight w:val="yellow"/>
              </w:rPr>
              <w:t>Marketing/Sales</w:t>
            </w:r>
          </w:p>
        </w:tc>
        <w:tc>
          <w:tcPr>
            <w:tcW w:w="6572" w:type="dxa"/>
          </w:tcPr>
          <w:p w14:paraId="0EA4E612" w14:textId="77777777" w:rsidR="00DB4AC9" w:rsidRDefault="00DB4AC9" w:rsidP="00AD6AC8">
            <w:pPr>
              <w:spacing w:before="100" w:after="0"/>
              <w:jc w:val="both"/>
            </w:pPr>
            <w:r>
              <w:rPr>
                <w:sz w:val="20"/>
                <w:szCs w:val="20"/>
              </w:rPr>
              <w:t xml:space="preserve">Consulting </w:t>
            </w:r>
            <w:proofErr w:type="gramStart"/>
            <w:r>
              <w:rPr>
                <w:sz w:val="20"/>
                <w:szCs w:val="20"/>
              </w:rPr>
              <w:t>associated</w:t>
            </w:r>
            <w:proofErr w:type="gramEnd"/>
            <w:r>
              <w:rPr>
                <w:sz w:val="20"/>
                <w:szCs w:val="20"/>
              </w:rPr>
              <w:t xml:space="preserve"> with the key areas of marketing, including product, price, place and promotion, which cover issues such as the type of product to be marketed, brand name, pricing, advertising, publicity, geographical coverage, retailing, and distribution. This may include marketing plan development.</w:t>
            </w:r>
          </w:p>
        </w:tc>
      </w:tr>
      <w:tr w:rsidR="00DB4AC9" w14:paraId="76784C31" w14:textId="77777777" w:rsidTr="00AD6AC8">
        <w:tc>
          <w:tcPr>
            <w:tcW w:w="2778" w:type="dxa"/>
          </w:tcPr>
          <w:p w14:paraId="0E1905C3" w14:textId="77777777" w:rsidR="00DB4AC9" w:rsidRDefault="00DB4AC9" w:rsidP="00AD6AC8">
            <w:pPr>
              <w:numPr>
                <w:ilvl w:val="0"/>
                <w:numId w:val="5"/>
              </w:numPr>
              <w:spacing w:before="100" w:after="0"/>
              <w:ind w:left="0" w:hanging="360"/>
              <w:jc w:val="both"/>
              <w:rPr>
                <w:b/>
                <w:sz w:val="20"/>
                <w:szCs w:val="20"/>
              </w:rPr>
            </w:pPr>
            <w:r>
              <w:rPr>
                <w:b/>
                <w:sz w:val="20"/>
                <w:szCs w:val="20"/>
              </w:rPr>
              <w:t>Risk Management</w:t>
            </w:r>
          </w:p>
        </w:tc>
        <w:tc>
          <w:tcPr>
            <w:tcW w:w="6572" w:type="dxa"/>
          </w:tcPr>
          <w:p w14:paraId="70FEB525" w14:textId="77777777" w:rsidR="00DB4AC9" w:rsidRDefault="00DB4AC9" w:rsidP="00AD6AC8">
            <w:pPr>
              <w:spacing w:before="100" w:after="0"/>
              <w:jc w:val="both"/>
            </w:pPr>
            <w:r>
              <w:rPr>
                <w:sz w:val="20"/>
                <w:szCs w:val="20"/>
              </w:rPr>
              <w:t>Consulting associated with determining internal risks (weaknesses) and external risks (threats) of a business, assessing priorities of the risks, and enacting counters to the risks. These include, but are not limited to, human risks, such as illness and death, theft and fraud, and low employee morale, equipment and information technology risks, and other internal risks.</w:t>
            </w:r>
          </w:p>
        </w:tc>
      </w:tr>
      <w:tr w:rsidR="00DB4AC9" w14:paraId="64E60B5E" w14:textId="77777777" w:rsidTr="00AD6AC8">
        <w:tc>
          <w:tcPr>
            <w:tcW w:w="2778" w:type="dxa"/>
          </w:tcPr>
          <w:p w14:paraId="000FE878" w14:textId="77777777" w:rsidR="00DB4AC9" w:rsidRDefault="00DB4AC9" w:rsidP="00AD6AC8">
            <w:pPr>
              <w:numPr>
                <w:ilvl w:val="0"/>
                <w:numId w:val="5"/>
              </w:numPr>
              <w:spacing w:before="100" w:after="0"/>
              <w:ind w:left="0" w:hanging="360"/>
              <w:jc w:val="both"/>
              <w:rPr>
                <w:b/>
                <w:sz w:val="20"/>
                <w:szCs w:val="20"/>
              </w:rPr>
            </w:pPr>
            <w:proofErr w:type="gramStart"/>
            <w:r>
              <w:rPr>
                <w:b/>
                <w:sz w:val="20"/>
                <w:szCs w:val="20"/>
              </w:rPr>
              <w:t>Social Media</w:t>
            </w:r>
            <w:proofErr w:type="gramEnd"/>
          </w:p>
        </w:tc>
        <w:tc>
          <w:tcPr>
            <w:tcW w:w="6572" w:type="dxa"/>
          </w:tcPr>
          <w:p w14:paraId="7D55F006" w14:textId="77777777" w:rsidR="00DB4AC9" w:rsidRDefault="00DB4AC9" w:rsidP="00AD6AC8">
            <w:pPr>
              <w:spacing w:before="100" w:after="0"/>
              <w:jc w:val="both"/>
            </w:pPr>
            <w:r>
              <w:rPr>
                <w:sz w:val="20"/>
                <w:szCs w:val="20"/>
              </w:rPr>
              <w:t xml:space="preserve">Consulting associated with social media in any of its evolving forms. Note that social media may be a special form of ‘marketing/sales’ listed above, and if it deals with the “how to do” aspect should be listed there. If it is the actual </w:t>
            </w:r>
            <w:r>
              <w:rPr>
                <w:sz w:val="20"/>
                <w:szCs w:val="20"/>
              </w:rPr>
              <w:lastRenderedPageBreak/>
              <w:t>“doing” it should be captured here. This would include measurement and metrics, and design and development.</w:t>
            </w:r>
          </w:p>
        </w:tc>
      </w:tr>
      <w:tr w:rsidR="00DB4AC9" w14:paraId="78B84996" w14:textId="77777777" w:rsidTr="00AD6AC8">
        <w:tc>
          <w:tcPr>
            <w:tcW w:w="2778" w:type="dxa"/>
          </w:tcPr>
          <w:p w14:paraId="684F0012" w14:textId="77777777" w:rsidR="00DB4AC9" w:rsidRDefault="00DB4AC9" w:rsidP="00AD6AC8">
            <w:pPr>
              <w:numPr>
                <w:ilvl w:val="0"/>
                <w:numId w:val="5"/>
              </w:numPr>
              <w:spacing w:before="100" w:after="0"/>
              <w:ind w:left="0" w:hanging="360"/>
              <w:jc w:val="both"/>
              <w:rPr>
                <w:b/>
                <w:sz w:val="20"/>
                <w:szCs w:val="20"/>
                <w:highlight w:val="yellow"/>
              </w:rPr>
            </w:pPr>
            <w:r>
              <w:rPr>
                <w:b/>
                <w:sz w:val="20"/>
                <w:szCs w:val="20"/>
                <w:highlight w:val="yellow"/>
              </w:rPr>
              <w:t>Start-up Assistance</w:t>
            </w:r>
          </w:p>
        </w:tc>
        <w:tc>
          <w:tcPr>
            <w:tcW w:w="6572" w:type="dxa"/>
          </w:tcPr>
          <w:p w14:paraId="39C29419" w14:textId="77777777" w:rsidR="00DB4AC9" w:rsidRDefault="00DB4AC9" w:rsidP="00AD6AC8">
            <w:pPr>
              <w:spacing w:before="100" w:after="0"/>
              <w:jc w:val="both"/>
            </w:pPr>
            <w:r>
              <w:rPr>
                <w:sz w:val="20"/>
                <w:szCs w:val="20"/>
              </w:rPr>
              <w:t xml:space="preserve">Consulting </w:t>
            </w:r>
            <w:proofErr w:type="gramStart"/>
            <w:r>
              <w:rPr>
                <w:sz w:val="20"/>
                <w:szCs w:val="20"/>
              </w:rPr>
              <w:t>associated</w:t>
            </w:r>
            <w:proofErr w:type="gramEnd"/>
            <w:r>
              <w:rPr>
                <w:sz w:val="20"/>
                <w:szCs w:val="20"/>
              </w:rPr>
              <w:t xml:space="preserve"> with the basic requirements in the pursuit to start a new business, including but not limited to business formation, structure, registration, regulation, and business taxes.</w:t>
            </w:r>
          </w:p>
        </w:tc>
      </w:tr>
      <w:tr w:rsidR="00DB4AC9" w14:paraId="0DFA97E6" w14:textId="77777777" w:rsidTr="00AD6AC8">
        <w:tc>
          <w:tcPr>
            <w:tcW w:w="2778" w:type="dxa"/>
          </w:tcPr>
          <w:p w14:paraId="50EBFCC6" w14:textId="77777777" w:rsidR="00DB4AC9" w:rsidRDefault="00DB4AC9" w:rsidP="00AD6AC8">
            <w:pPr>
              <w:numPr>
                <w:ilvl w:val="0"/>
                <w:numId w:val="5"/>
              </w:numPr>
              <w:spacing w:before="100" w:after="0"/>
              <w:ind w:left="0" w:hanging="360"/>
              <w:jc w:val="both"/>
              <w:rPr>
                <w:b/>
                <w:sz w:val="20"/>
                <w:szCs w:val="20"/>
              </w:rPr>
            </w:pPr>
            <w:r>
              <w:rPr>
                <w:b/>
                <w:sz w:val="20"/>
                <w:szCs w:val="20"/>
              </w:rPr>
              <w:t>Tax Planning</w:t>
            </w:r>
          </w:p>
        </w:tc>
        <w:tc>
          <w:tcPr>
            <w:tcW w:w="6572" w:type="dxa"/>
          </w:tcPr>
          <w:p w14:paraId="084D0662" w14:textId="77777777" w:rsidR="00DB4AC9" w:rsidRDefault="00DB4AC9" w:rsidP="00AD6AC8">
            <w:pPr>
              <w:spacing w:before="100" w:after="0"/>
              <w:jc w:val="both"/>
            </w:pPr>
            <w:r>
              <w:rPr>
                <w:sz w:val="20"/>
                <w:szCs w:val="20"/>
              </w:rPr>
              <w:t xml:space="preserve">Consulting associated with tax planning involves conceiving of and implementing various strategies aimed at the minimization of tax liability in current and future tax periods. For a small business, minimizing the tax liability can provide more money for expenses, investment, or </w:t>
            </w:r>
            <w:proofErr w:type="gramStart"/>
            <w:r>
              <w:rPr>
                <w:sz w:val="20"/>
                <w:szCs w:val="20"/>
              </w:rPr>
              <w:t>growth</w:t>
            </w:r>
            <w:proofErr w:type="gramEnd"/>
            <w:r>
              <w:rPr>
                <w:sz w:val="20"/>
                <w:szCs w:val="20"/>
              </w:rPr>
              <w:t xml:space="preserve"> thus can be a source of working capital.</w:t>
            </w:r>
          </w:p>
        </w:tc>
      </w:tr>
      <w:tr w:rsidR="00DB4AC9" w14:paraId="0D063372" w14:textId="77777777" w:rsidTr="00AD6AC8">
        <w:tc>
          <w:tcPr>
            <w:tcW w:w="2778" w:type="dxa"/>
          </w:tcPr>
          <w:p w14:paraId="61A2122B" w14:textId="77777777" w:rsidR="00DB4AC9" w:rsidRDefault="00DB4AC9" w:rsidP="00AD6AC8">
            <w:pPr>
              <w:numPr>
                <w:ilvl w:val="0"/>
                <w:numId w:val="5"/>
              </w:numPr>
              <w:spacing w:before="100" w:after="0"/>
              <w:ind w:left="0" w:hanging="360"/>
              <w:jc w:val="both"/>
              <w:rPr>
                <w:b/>
                <w:sz w:val="20"/>
                <w:szCs w:val="20"/>
              </w:rPr>
            </w:pPr>
            <w:r>
              <w:rPr>
                <w:b/>
                <w:sz w:val="20"/>
                <w:szCs w:val="20"/>
              </w:rPr>
              <w:t>Technology/Computers</w:t>
            </w:r>
          </w:p>
        </w:tc>
        <w:tc>
          <w:tcPr>
            <w:tcW w:w="6572" w:type="dxa"/>
          </w:tcPr>
          <w:p w14:paraId="219FDDA1" w14:textId="77777777" w:rsidR="00DB4AC9" w:rsidRDefault="00DB4AC9" w:rsidP="00AD6AC8">
            <w:pPr>
              <w:spacing w:before="100" w:after="0"/>
              <w:jc w:val="both"/>
            </w:pPr>
            <w:r>
              <w:rPr>
                <w:sz w:val="20"/>
                <w:szCs w:val="20"/>
              </w:rPr>
              <w:t xml:space="preserve">Consulting </w:t>
            </w:r>
            <w:proofErr w:type="gramStart"/>
            <w:r>
              <w:rPr>
                <w:sz w:val="20"/>
                <w:szCs w:val="20"/>
              </w:rPr>
              <w:t>associated</w:t>
            </w:r>
            <w:proofErr w:type="gramEnd"/>
            <w:r>
              <w:rPr>
                <w:sz w:val="20"/>
                <w:szCs w:val="20"/>
              </w:rPr>
              <w:t xml:space="preserve"> with the process of planning, designing, creating, testing, and operating the physical components (i.e. hardware) of a computer network and its related components including software.</w:t>
            </w:r>
          </w:p>
        </w:tc>
      </w:tr>
    </w:tbl>
    <w:p w14:paraId="41F05A9B" w14:textId="77777777" w:rsidR="00DB4AC9" w:rsidRDefault="00DB4AC9" w:rsidP="00DB4AC9">
      <w:pPr>
        <w:keepNext/>
        <w:spacing w:before="240"/>
      </w:pPr>
      <w:bookmarkStart w:id="252" w:name="_3zy8sjw" w:colFirst="0" w:colLast="0"/>
      <w:bookmarkEnd w:id="252"/>
      <w:r>
        <w:rPr>
          <w:rFonts w:ascii="Arial" w:eastAsia="Arial" w:hAnsi="Arial" w:cs="Arial"/>
          <w:b/>
          <w:sz w:val="24"/>
          <w:szCs w:val="24"/>
        </w:rPr>
        <w:t>Capital Funding (Investment) Field Definitions</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80"/>
        <w:gridCol w:w="4680"/>
      </w:tblGrid>
      <w:tr w:rsidR="00DB4AC9" w14:paraId="2EEFC141" w14:textId="77777777" w:rsidTr="00AD6AC8">
        <w:trPr>
          <w:trHeight w:val="300"/>
        </w:trPr>
        <w:tc>
          <w:tcPr>
            <w:tcW w:w="9360" w:type="dxa"/>
            <w:gridSpan w:val="2"/>
            <w:shd w:val="clear" w:color="auto" w:fill="262626"/>
          </w:tcPr>
          <w:p w14:paraId="3CD0BD02" w14:textId="77777777" w:rsidR="00DB4AC9" w:rsidRDefault="00DB4AC9" w:rsidP="00AD6AC8">
            <w:pPr>
              <w:spacing w:after="0"/>
              <w:jc w:val="center"/>
            </w:pPr>
            <w:r>
              <w:rPr>
                <w:sz w:val="32"/>
                <w:szCs w:val="32"/>
              </w:rPr>
              <w:t>Capital Funding Fields</w:t>
            </w:r>
          </w:p>
        </w:tc>
      </w:tr>
      <w:tr w:rsidR="00DB4AC9" w14:paraId="0598BAB5" w14:textId="77777777" w:rsidTr="00AD6AC8">
        <w:trPr>
          <w:trHeight w:val="300"/>
        </w:trPr>
        <w:tc>
          <w:tcPr>
            <w:tcW w:w="4680" w:type="dxa"/>
          </w:tcPr>
          <w:p w14:paraId="3ED5B80D" w14:textId="77777777" w:rsidR="00DB4AC9" w:rsidRDefault="00DB4AC9" w:rsidP="00AD6AC8">
            <w:pPr>
              <w:spacing w:after="0"/>
            </w:pPr>
            <w:r>
              <w:rPr>
                <w:color w:val="FF0000"/>
                <w:sz w:val="20"/>
                <w:szCs w:val="20"/>
              </w:rPr>
              <w:t>*</w:t>
            </w:r>
            <w:r>
              <w:rPr>
                <w:sz w:val="20"/>
                <w:szCs w:val="20"/>
              </w:rPr>
              <w:t>Client</w:t>
            </w:r>
          </w:p>
        </w:tc>
        <w:tc>
          <w:tcPr>
            <w:tcW w:w="4680" w:type="dxa"/>
          </w:tcPr>
          <w:p w14:paraId="2802919B" w14:textId="77777777" w:rsidR="00DB4AC9" w:rsidRDefault="00DB4AC9" w:rsidP="00AD6AC8">
            <w:pPr>
              <w:spacing w:after="0"/>
            </w:pPr>
            <w:r>
              <w:rPr>
                <w:sz w:val="20"/>
                <w:szCs w:val="20"/>
              </w:rPr>
              <w:t xml:space="preserve">Will automatically </w:t>
            </w:r>
            <w:proofErr w:type="gramStart"/>
            <w:r>
              <w:rPr>
                <w:sz w:val="20"/>
                <w:szCs w:val="20"/>
              </w:rPr>
              <w:t>pull</w:t>
            </w:r>
            <w:proofErr w:type="gramEnd"/>
            <w:r>
              <w:rPr>
                <w:sz w:val="20"/>
                <w:szCs w:val="20"/>
              </w:rPr>
              <w:t>. Verify that the correct client is selected</w:t>
            </w:r>
          </w:p>
        </w:tc>
      </w:tr>
      <w:tr w:rsidR="00DB4AC9" w14:paraId="27BDBFE8" w14:textId="77777777" w:rsidTr="00AD6AC8">
        <w:trPr>
          <w:trHeight w:val="300"/>
        </w:trPr>
        <w:tc>
          <w:tcPr>
            <w:tcW w:w="4680" w:type="dxa"/>
          </w:tcPr>
          <w:p w14:paraId="4F3F6B99" w14:textId="77777777" w:rsidR="00DB4AC9" w:rsidRDefault="00DB4AC9" w:rsidP="00AD6AC8">
            <w:pPr>
              <w:spacing w:after="0"/>
            </w:pPr>
            <w:r>
              <w:rPr>
                <w:sz w:val="20"/>
                <w:szCs w:val="20"/>
              </w:rPr>
              <w:t>Consultants:</w:t>
            </w:r>
          </w:p>
        </w:tc>
        <w:tc>
          <w:tcPr>
            <w:tcW w:w="4680" w:type="dxa"/>
          </w:tcPr>
          <w:p w14:paraId="4F0FAF1D" w14:textId="77777777" w:rsidR="00DB4AC9" w:rsidRDefault="00DB4AC9" w:rsidP="00AD6AC8">
            <w:pPr>
              <w:spacing w:after="0"/>
            </w:pPr>
            <w:r>
              <w:rPr>
                <w:sz w:val="20"/>
                <w:szCs w:val="20"/>
              </w:rPr>
              <w:t>If it does not reflect your name, change by clicking on “select counselors” button and searching for your name</w:t>
            </w:r>
          </w:p>
        </w:tc>
      </w:tr>
      <w:tr w:rsidR="00DB4AC9" w14:paraId="1C7237AD" w14:textId="77777777" w:rsidTr="00AD6AC8">
        <w:trPr>
          <w:trHeight w:val="300"/>
        </w:trPr>
        <w:tc>
          <w:tcPr>
            <w:tcW w:w="4680" w:type="dxa"/>
          </w:tcPr>
          <w:p w14:paraId="3577EEFD" w14:textId="77777777" w:rsidR="00DB4AC9" w:rsidRDefault="00DB4AC9" w:rsidP="00AD6AC8">
            <w:pPr>
              <w:spacing w:after="0"/>
            </w:pPr>
            <w:r>
              <w:rPr>
                <w:color w:val="FF0000"/>
                <w:sz w:val="20"/>
                <w:szCs w:val="20"/>
              </w:rPr>
              <w:t>*</w:t>
            </w:r>
            <w:r>
              <w:rPr>
                <w:sz w:val="20"/>
                <w:szCs w:val="20"/>
              </w:rPr>
              <w:t>Reporting Date</w:t>
            </w:r>
          </w:p>
        </w:tc>
        <w:tc>
          <w:tcPr>
            <w:tcW w:w="4680" w:type="dxa"/>
          </w:tcPr>
          <w:p w14:paraId="5518333B" w14:textId="77777777" w:rsidR="00DB4AC9" w:rsidRDefault="00DB4AC9" w:rsidP="00AD6AC8">
            <w:pPr>
              <w:spacing w:after="0"/>
            </w:pPr>
            <w:r>
              <w:rPr>
                <w:sz w:val="20"/>
                <w:szCs w:val="20"/>
              </w:rPr>
              <w:t xml:space="preserve">Enter the date you are </w:t>
            </w:r>
            <w:proofErr w:type="gramStart"/>
            <w:r>
              <w:rPr>
                <w:sz w:val="20"/>
                <w:szCs w:val="20"/>
              </w:rPr>
              <w:t>entering</w:t>
            </w:r>
            <w:proofErr w:type="gramEnd"/>
            <w:r>
              <w:rPr>
                <w:sz w:val="20"/>
                <w:szCs w:val="20"/>
              </w:rPr>
              <w:t xml:space="preserve"> the investment data.</w:t>
            </w:r>
          </w:p>
        </w:tc>
      </w:tr>
      <w:tr w:rsidR="00DB4AC9" w14:paraId="2FAE8359" w14:textId="77777777" w:rsidTr="00AD6AC8">
        <w:trPr>
          <w:trHeight w:val="300"/>
        </w:trPr>
        <w:tc>
          <w:tcPr>
            <w:tcW w:w="4680" w:type="dxa"/>
          </w:tcPr>
          <w:p w14:paraId="64CEA822" w14:textId="77777777" w:rsidR="00DB4AC9" w:rsidRDefault="00DB4AC9" w:rsidP="00AD6AC8">
            <w:pPr>
              <w:spacing w:after="0"/>
            </w:pPr>
            <w:r>
              <w:rPr>
                <w:color w:val="FF0000"/>
                <w:sz w:val="20"/>
                <w:szCs w:val="20"/>
              </w:rPr>
              <w:t>*</w:t>
            </w:r>
            <w:r>
              <w:rPr>
                <w:sz w:val="20"/>
                <w:szCs w:val="20"/>
              </w:rPr>
              <w:t>Application Date</w:t>
            </w:r>
          </w:p>
        </w:tc>
        <w:tc>
          <w:tcPr>
            <w:tcW w:w="4680" w:type="dxa"/>
          </w:tcPr>
          <w:p w14:paraId="67151AB5" w14:textId="77777777" w:rsidR="00DB4AC9" w:rsidRDefault="00DB4AC9" w:rsidP="00AD6AC8">
            <w:pPr>
              <w:tabs>
                <w:tab w:val="left" w:pos="4650"/>
              </w:tabs>
              <w:spacing w:after="0"/>
            </w:pPr>
            <w:r>
              <w:rPr>
                <w:sz w:val="20"/>
                <w:szCs w:val="20"/>
              </w:rPr>
              <w:t>Enter the date the application was made.</w:t>
            </w:r>
          </w:p>
        </w:tc>
      </w:tr>
      <w:tr w:rsidR="00DB4AC9" w14:paraId="6C6B65D8" w14:textId="77777777" w:rsidTr="00AD6AC8">
        <w:trPr>
          <w:trHeight w:val="300"/>
        </w:trPr>
        <w:tc>
          <w:tcPr>
            <w:tcW w:w="4680" w:type="dxa"/>
          </w:tcPr>
          <w:p w14:paraId="54F1AEE5" w14:textId="77777777" w:rsidR="00DB4AC9" w:rsidRDefault="00DB4AC9" w:rsidP="00AD6AC8">
            <w:pPr>
              <w:spacing w:after="0"/>
            </w:pPr>
            <w:r>
              <w:rPr>
                <w:color w:val="FF0000"/>
                <w:sz w:val="20"/>
                <w:szCs w:val="20"/>
              </w:rPr>
              <w:t>*</w:t>
            </w:r>
            <w:r>
              <w:rPr>
                <w:sz w:val="20"/>
                <w:szCs w:val="20"/>
              </w:rPr>
              <w:t>Completion</w:t>
            </w:r>
            <w:r>
              <w:rPr>
                <w:color w:val="FF0000"/>
                <w:sz w:val="20"/>
                <w:szCs w:val="20"/>
              </w:rPr>
              <w:t xml:space="preserve"> </w:t>
            </w:r>
            <w:r>
              <w:rPr>
                <w:sz w:val="20"/>
                <w:szCs w:val="20"/>
              </w:rPr>
              <w:t>Status</w:t>
            </w:r>
          </w:p>
        </w:tc>
        <w:tc>
          <w:tcPr>
            <w:tcW w:w="4680" w:type="dxa"/>
          </w:tcPr>
          <w:p w14:paraId="56CF5E8F" w14:textId="77777777" w:rsidR="00DB4AC9" w:rsidRDefault="00DB4AC9" w:rsidP="00AD6AC8">
            <w:pPr>
              <w:spacing w:after="0"/>
            </w:pPr>
            <w:r>
              <w:rPr>
                <w:sz w:val="20"/>
                <w:szCs w:val="20"/>
              </w:rPr>
              <w:t>Choose from in progress, approved, denied or withdrawn. Change status from in progress when more information is known.</w:t>
            </w:r>
          </w:p>
        </w:tc>
      </w:tr>
      <w:tr w:rsidR="00DB4AC9" w14:paraId="79F0FB20" w14:textId="77777777" w:rsidTr="00AD6AC8">
        <w:trPr>
          <w:trHeight w:val="300"/>
        </w:trPr>
        <w:tc>
          <w:tcPr>
            <w:tcW w:w="4680" w:type="dxa"/>
          </w:tcPr>
          <w:p w14:paraId="6F2EFDC3" w14:textId="77777777" w:rsidR="00DB4AC9" w:rsidRDefault="00DB4AC9" w:rsidP="00AD6AC8">
            <w:pPr>
              <w:spacing w:after="0"/>
            </w:pPr>
            <w:r>
              <w:rPr>
                <w:sz w:val="20"/>
                <w:szCs w:val="20"/>
              </w:rPr>
              <w:t>Date Denied/Approved/Withdrawn</w:t>
            </w:r>
          </w:p>
        </w:tc>
        <w:tc>
          <w:tcPr>
            <w:tcW w:w="4680" w:type="dxa"/>
          </w:tcPr>
          <w:p w14:paraId="78CA0A10" w14:textId="77777777" w:rsidR="00DB4AC9" w:rsidRDefault="00DB4AC9" w:rsidP="00AD6AC8">
            <w:pPr>
              <w:spacing w:after="0"/>
            </w:pPr>
            <w:r>
              <w:rPr>
                <w:sz w:val="20"/>
                <w:szCs w:val="20"/>
              </w:rPr>
              <w:t>Enter the date that the investment was either denied, approved or withdrawn.</w:t>
            </w:r>
          </w:p>
        </w:tc>
      </w:tr>
      <w:tr w:rsidR="00DB4AC9" w14:paraId="0874EA91" w14:textId="77777777" w:rsidTr="00AD6AC8">
        <w:trPr>
          <w:trHeight w:val="300"/>
        </w:trPr>
        <w:tc>
          <w:tcPr>
            <w:tcW w:w="4680" w:type="dxa"/>
          </w:tcPr>
          <w:p w14:paraId="2CDEE972" w14:textId="77777777" w:rsidR="00DB4AC9" w:rsidRDefault="00DB4AC9" w:rsidP="00AD6AC8">
            <w:pPr>
              <w:spacing w:after="0"/>
            </w:pPr>
            <w:r>
              <w:rPr>
                <w:color w:val="FF0000"/>
                <w:sz w:val="20"/>
                <w:szCs w:val="20"/>
              </w:rPr>
              <w:t>*</w:t>
            </w:r>
            <w:r>
              <w:rPr>
                <w:sz w:val="20"/>
                <w:szCs w:val="20"/>
              </w:rPr>
              <w:t>Investment Type</w:t>
            </w:r>
          </w:p>
        </w:tc>
        <w:tc>
          <w:tcPr>
            <w:tcW w:w="4680" w:type="dxa"/>
          </w:tcPr>
          <w:p w14:paraId="7EAE86C3" w14:textId="77777777" w:rsidR="00DB4AC9" w:rsidRDefault="00DB4AC9" w:rsidP="00AD6AC8">
            <w:pPr>
              <w:spacing w:after="0"/>
            </w:pPr>
            <w:r>
              <w:rPr>
                <w:sz w:val="20"/>
                <w:szCs w:val="20"/>
              </w:rPr>
              <w:t>Choose from choices (C1) through (N6) only. Each investment type that makes up a loan package should be entered as a separate entry (i.e. Commercial Bank Loan, SBA 504 Loan, Owner Investment, etc.)</w:t>
            </w:r>
          </w:p>
        </w:tc>
      </w:tr>
      <w:tr w:rsidR="00DB4AC9" w14:paraId="3E96E420" w14:textId="77777777" w:rsidTr="00AD6AC8">
        <w:trPr>
          <w:trHeight w:val="300"/>
        </w:trPr>
        <w:tc>
          <w:tcPr>
            <w:tcW w:w="4680" w:type="dxa"/>
          </w:tcPr>
          <w:p w14:paraId="08577CBE" w14:textId="77777777" w:rsidR="00DB4AC9" w:rsidRDefault="00DB4AC9" w:rsidP="00AD6AC8">
            <w:pPr>
              <w:spacing w:after="0"/>
            </w:pPr>
            <w:r>
              <w:rPr>
                <w:color w:val="FF0000"/>
                <w:sz w:val="20"/>
                <w:szCs w:val="20"/>
              </w:rPr>
              <w:t>*</w:t>
            </w:r>
            <w:r>
              <w:rPr>
                <w:sz w:val="20"/>
                <w:szCs w:val="20"/>
              </w:rPr>
              <w:t>Institution</w:t>
            </w:r>
          </w:p>
        </w:tc>
        <w:tc>
          <w:tcPr>
            <w:tcW w:w="4680" w:type="dxa"/>
          </w:tcPr>
          <w:p w14:paraId="1F59441E" w14:textId="77777777" w:rsidR="00DB4AC9" w:rsidRDefault="00DB4AC9" w:rsidP="00AD6AC8">
            <w:pPr>
              <w:spacing w:after="0"/>
            </w:pPr>
            <w:r>
              <w:rPr>
                <w:sz w:val="20"/>
                <w:szCs w:val="20"/>
              </w:rPr>
              <w:t>Enter the name of the institution that is funding the project</w:t>
            </w:r>
          </w:p>
        </w:tc>
      </w:tr>
      <w:tr w:rsidR="00DB4AC9" w14:paraId="71495564" w14:textId="77777777" w:rsidTr="00AD6AC8">
        <w:trPr>
          <w:trHeight w:val="300"/>
        </w:trPr>
        <w:tc>
          <w:tcPr>
            <w:tcW w:w="4680" w:type="dxa"/>
          </w:tcPr>
          <w:p w14:paraId="3DBA866D" w14:textId="77777777" w:rsidR="00DB4AC9" w:rsidRDefault="00DB4AC9" w:rsidP="00AD6AC8">
            <w:pPr>
              <w:spacing w:after="0"/>
            </w:pPr>
            <w:r>
              <w:rPr>
                <w:sz w:val="20"/>
                <w:szCs w:val="20"/>
              </w:rPr>
              <w:t>Application Number</w:t>
            </w:r>
          </w:p>
        </w:tc>
        <w:tc>
          <w:tcPr>
            <w:tcW w:w="4680" w:type="dxa"/>
          </w:tcPr>
          <w:p w14:paraId="37C3E588" w14:textId="77777777" w:rsidR="00DB4AC9" w:rsidRDefault="00DB4AC9" w:rsidP="00AD6AC8">
            <w:pPr>
              <w:spacing w:after="0"/>
            </w:pPr>
            <w:r>
              <w:rPr>
                <w:sz w:val="20"/>
                <w:szCs w:val="20"/>
              </w:rPr>
              <w:t>Enter this data if available</w:t>
            </w:r>
          </w:p>
        </w:tc>
      </w:tr>
      <w:tr w:rsidR="00DB4AC9" w14:paraId="2731E2DC" w14:textId="77777777" w:rsidTr="00AD6AC8">
        <w:trPr>
          <w:trHeight w:val="300"/>
        </w:trPr>
        <w:tc>
          <w:tcPr>
            <w:tcW w:w="4680" w:type="dxa"/>
          </w:tcPr>
          <w:p w14:paraId="255DC601" w14:textId="77777777" w:rsidR="00DB4AC9" w:rsidRDefault="00DB4AC9" w:rsidP="00AD6AC8">
            <w:pPr>
              <w:spacing w:after="0"/>
            </w:pPr>
            <w:r>
              <w:rPr>
                <w:sz w:val="20"/>
                <w:szCs w:val="20"/>
              </w:rPr>
              <w:t>Amount Requested</w:t>
            </w:r>
          </w:p>
        </w:tc>
        <w:tc>
          <w:tcPr>
            <w:tcW w:w="4680" w:type="dxa"/>
          </w:tcPr>
          <w:p w14:paraId="1981E4C4" w14:textId="77777777" w:rsidR="00DB4AC9" w:rsidRDefault="00DB4AC9" w:rsidP="00AD6AC8">
            <w:pPr>
              <w:spacing w:after="0"/>
            </w:pPr>
            <w:r>
              <w:rPr>
                <w:sz w:val="20"/>
                <w:szCs w:val="20"/>
              </w:rPr>
              <w:t>Enter the dollar amount requested on the application</w:t>
            </w:r>
          </w:p>
        </w:tc>
      </w:tr>
      <w:tr w:rsidR="00DB4AC9" w14:paraId="3794B2A9" w14:textId="77777777" w:rsidTr="00AD6AC8">
        <w:trPr>
          <w:trHeight w:val="300"/>
        </w:trPr>
        <w:tc>
          <w:tcPr>
            <w:tcW w:w="4680" w:type="dxa"/>
          </w:tcPr>
          <w:p w14:paraId="3FD8D97B" w14:textId="77777777" w:rsidR="00DB4AC9" w:rsidRDefault="00DB4AC9" w:rsidP="00AD6AC8">
            <w:pPr>
              <w:spacing w:after="0"/>
            </w:pPr>
            <w:r>
              <w:rPr>
                <w:sz w:val="20"/>
                <w:szCs w:val="20"/>
              </w:rPr>
              <w:t>Amount Approved</w:t>
            </w:r>
          </w:p>
        </w:tc>
        <w:tc>
          <w:tcPr>
            <w:tcW w:w="4680" w:type="dxa"/>
          </w:tcPr>
          <w:p w14:paraId="7D1C0910" w14:textId="77777777" w:rsidR="00DB4AC9" w:rsidRDefault="00DB4AC9" w:rsidP="00AD6AC8">
            <w:pPr>
              <w:spacing w:after="0"/>
            </w:pPr>
            <w:r>
              <w:rPr>
                <w:sz w:val="20"/>
                <w:szCs w:val="20"/>
              </w:rPr>
              <w:t>If investment was approved, enter the dollar amount that was approved</w:t>
            </w:r>
          </w:p>
        </w:tc>
      </w:tr>
      <w:tr w:rsidR="00DB4AC9" w14:paraId="74AA1140" w14:textId="77777777" w:rsidTr="00AD6AC8">
        <w:trPr>
          <w:trHeight w:val="300"/>
        </w:trPr>
        <w:tc>
          <w:tcPr>
            <w:tcW w:w="4680" w:type="dxa"/>
          </w:tcPr>
          <w:p w14:paraId="5E96BD02" w14:textId="77777777" w:rsidR="00DB4AC9" w:rsidRDefault="00DB4AC9" w:rsidP="00AD6AC8">
            <w:pPr>
              <w:spacing w:after="0"/>
            </w:pPr>
            <w:r>
              <w:rPr>
                <w:sz w:val="20"/>
                <w:szCs w:val="20"/>
              </w:rPr>
              <w:t>Subject</w:t>
            </w:r>
          </w:p>
        </w:tc>
        <w:tc>
          <w:tcPr>
            <w:tcW w:w="4680" w:type="dxa"/>
          </w:tcPr>
          <w:p w14:paraId="57DDD7BB" w14:textId="77777777" w:rsidR="00DB4AC9" w:rsidRDefault="00DB4AC9" w:rsidP="00AD6AC8">
            <w:pPr>
              <w:spacing w:after="0"/>
            </w:pPr>
            <w:r>
              <w:rPr>
                <w:sz w:val="20"/>
                <w:szCs w:val="20"/>
              </w:rPr>
              <w:t>Enter summary or administrative notes here.  This is a limited field</w:t>
            </w:r>
          </w:p>
        </w:tc>
      </w:tr>
      <w:tr w:rsidR="00DB4AC9" w14:paraId="400F8E0A" w14:textId="77777777" w:rsidTr="00AD6AC8">
        <w:trPr>
          <w:trHeight w:val="300"/>
        </w:trPr>
        <w:tc>
          <w:tcPr>
            <w:tcW w:w="4680" w:type="dxa"/>
          </w:tcPr>
          <w:p w14:paraId="3B64A8CE" w14:textId="77777777" w:rsidR="00DB4AC9" w:rsidRDefault="00DB4AC9" w:rsidP="00AD6AC8">
            <w:pPr>
              <w:spacing w:after="0"/>
            </w:pPr>
            <w:r>
              <w:rPr>
                <w:color w:val="FF0000"/>
                <w:sz w:val="20"/>
                <w:szCs w:val="20"/>
              </w:rPr>
              <w:t>*</w:t>
            </w:r>
            <w:r>
              <w:rPr>
                <w:sz w:val="20"/>
                <w:szCs w:val="20"/>
              </w:rPr>
              <w:t>Center</w:t>
            </w:r>
          </w:p>
        </w:tc>
        <w:tc>
          <w:tcPr>
            <w:tcW w:w="4680" w:type="dxa"/>
          </w:tcPr>
          <w:p w14:paraId="1FACB7B0" w14:textId="77777777" w:rsidR="00DB4AC9" w:rsidRDefault="00DB4AC9" w:rsidP="00AD6AC8">
            <w:pPr>
              <w:spacing w:after="0"/>
            </w:pPr>
            <w:r>
              <w:rPr>
                <w:sz w:val="20"/>
                <w:szCs w:val="20"/>
              </w:rPr>
              <w:t>Review this field and make sure it is the regional office that you are invoicing for your time.</w:t>
            </w:r>
          </w:p>
        </w:tc>
      </w:tr>
      <w:tr w:rsidR="00DB4AC9" w14:paraId="069E42A9" w14:textId="77777777" w:rsidTr="00AD6AC8">
        <w:trPr>
          <w:trHeight w:val="300"/>
        </w:trPr>
        <w:tc>
          <w:tcPr>
            <w:tcW w:w="4680" w:type="dxa"/>
          </w:tcPr>
          <w:p w14:paraId="2FC8EAD4" w14:textId="77777777" w:rsidR="00DB4AC9" w:rsidRDefault="00DB4AC9" w:rsidP="00AD6AC8">
            <w:pPr>
              <w:spacing w:after="0"/>
            </w:pPr>
            <w:r>
              <w:rPr>
                <w:color w:val="FF0000"/>
                <w:sz w:val="20"/>
                <w:szCs w:val="20"/>
              </w:rPr>
              <w:t>*</w:t>
            </w:r>
            <w:r>
              <w:rPr>
                <w:sz w:val="20"/>
                <w:szCs w:val="20"/>
              </w:rPr>
              <w:t>Funding Source</w:t>
            </w:r>
          </w:p>
        </w:tc>
        <w:tc>
          <w:tcPr>
            <w:tcW w:w="4680" w:type="dxa"/>
          </w:tcPr>
          <w:p w14:paraId="49E58EA6" w14:textId="77777777" w:rsidR="00DB4AC9" w:rsidRDefault="00DB4AC9" w:rsidP="00AD6AC8">
            <w:pPr>
              <w:spacing w:after="0"/>
            </w:pPr>
            <w:r>
              <w:rPr>
                <w:sz w:val="20"/>
                <w:szCs w:val="20"/>
              </w:rPr>
              <w:t xml:space="preserve">Default = SBA. Do not change </w:t>
            </w:r>
            <w:r>
              <w:rPr>
                <w:i/>
                <w:sz w:val="20"/>
                <w:szCs w:val="20"/>
              </w:rPr>
              <w:t>unless</w:t>
            </w:r>
            <w:r>
              <w:rPr>
                <w:sz w:val="20"/>
                <w:szCs w:val="20"/>
              </w:rPr>
              <w:t xml:space="preserve"> you are entering a session under a specific grant or project (such as CDBG or a local project).</w:t>
            </w:r>
          </w:p>
        </w:tc>
      </w:tr>
      <w:tr w:rsidR="00DB4AC9" w14:paraId="1EB84FD4" w14:textId="77777777" w:rsidTr="00AD6AC8">
        <w:trPr>
          <w:trHeight w:val="300"/>
        </w:trPr>
        <w:tc>
          <w:tcPr>
            <w:tcW w:w="4680" w:type="dxa"/>
          </w:tcPr>
          <w:p w14:paraId="00700465" w14:textId="77777777" w:rsidR="00DB4AC9" w:rsidRDefault="00DB4AC9" w:rsidP="00AD6AC8">
            <w:pPr>
              <w:spacing w:after="0"/>
            </w:pPr>
            <w:r>
              <w:rPr>
                <w:sz w:val="20"/>
                <w:szCs w:val="20"/>
              </w:rPr>
              <w:t>Notes</w:t>
            </w:r>
          </w:p>
        </w:tc>
        <w:tc>
          <w:tcPr>
            <w:tcW w:w="4680" w:type="dxa"/>
          </w:tcPr>
          <w:p w14:paraId="6465569A" w14:textId="77777777" w:rsidR="00DB4AC9" w:rsidRDefault="00DB4AC9" w:rsidP="00AD6AC8">
            <w:pPr>
              <w:spacing w:after="0"/>
            </w:pPr>
            <w:r>
              <w:rPr>
                <w:sz w:val="20"/>
                <w:szCs w:val="20"/>
              </w:rPr>
              <w:t>Enter any notes specific to this investment.</w:t>
            </w:r>
          </w:p>
        </w:tc>
      </w:tr>
      <w:tr w:rsidR="00DB4AC9" w14:paraId="6F1E1953" w14:textId="77777777" w:rsidTr="00AD6AC8">
        <w:trPr>
          <w:trHeight w:val="300"/>
        </w:trPr>
        <w:tc>
          <w:tcPr>
            <w:tcW w:w="4680" w:type="dxa"/>
          </w:tcPr>
          <w:p w14:paraId="1FDB3CF4" w14:textId="77777777" w:rsidR="00DB4AC9" w:rsidRDefault="00DB4AC9" w:rsidP="00AD6AC8">
            <w:pPr>
              <w:spacing w:after="0"/>
            </w:pPr>
            <w:r>
              <w:rPr>
                <w:sz w:val="20"/>
                <w:szCs w:val="20"/>
              </w:rPr>
              <w:lastRenderedPageBreak/>
              <w:t>Reportable?</w:t>
            </w:r>
          </w:p>
        </w:tc>
        <w:tc>
          <w:tcPr>
            <w:tcW w:w="4680" w:type="dxa"/>
          </w:tcPr>
          <w:p w14:paraId="38BE1450" w14:textId="77777777" w:rsidR="00DB4AC9" w:rsidRDefault="00DB4AC9" w:rsidP="00AD6AC8">
            <w:pPr>
              <w:spacing w:after="0"/>
            </w:pPr>
            <w:r>
              <w:rPr>
                <w:sz w:val="20"/>
                <w:szCs w:val="20"/>
              </w:rPr>
              <w:t>Default = Check. Do not change.</w:t>
            </w:r>
          </w:p>
        </w:tc>
      </w:tr>
    </w:tbl>
    <w:p w14:paraId="70BE844E" w14:textId="77777777" w:rsidR="00DB4AC9" w:rsidRDefault="00DB4AC9" w:rsidP="00DB4AC9">
      <w:r>
        <w:br w:type="page"/>
      </w:r>
    </w:p>
    <w:p w14:paraId="57E6879D" w14:textId="77777777" w:rsidR="00DB4AC9" w:rsidRDefault="00DB4AC9" w:rsidP="00DB4AC9">
      <w:pPr>
        <w:keepNext/>
        <w:spacing w:after="180"/>
      </w:pPr>
      <w:bookmarkStart w:id="253" w:name="_2f3j2rp" w:colFirst="0" w:colLast="0"/>
      <w:bookmarkEnd w:id="253"/>
      <w:r>
        <w:rPr>
          <w:b/>
          <w:sz w:val="32"/>
          <w:szCs w:val="32"/>
        </w:rPr>
        <w:lastRenderedPageBreak/>
        <w:t>Examples of Client Narrative Write Ups</w:t>
      </w:r>
    </w:p>
    <w:p w14:paraId="41ED85CD" w14:textId="77777777" w:rsidR="00DB4AC9" w:rsidRDefault="00DB4AC9" w:rsidP="00DB4AC9">
      <w:pPr>
        <w:keepNext/>
        <w:spacing w:before="240" w:after="60"/>
      </w:pPr>
      <w:r>
        <w:rPr>
          <w:sz w:val="24"/>
          <w:szCs w:val="24"/>
        </w:rPr>
        <w:t xml:space="preserve">If consulting sessions are not adequate in detail, the lead office may disallow the consulting session and associated time. Regional centers will </w:t>
      </w:r>
      <w:r>
        <w:rPr>
          <w:i/>
          <w:sz w:val="24"/>
          <w:szCs w:val="24"/>
        </w:rPr>
        <w:t>not</w:t>
      </w:r>
      <w:r>
        <w:rPr>
          <w:sz w:val="24"/>
          <w:szCs w:val="24"/>
        </w:rPr>
        <w:t xml:space="preserve"> be reimbursed for disallowed consulting. </w:t>
      </w:r>
      <w:r>
        <w:rPr>
          <w:sz w:val="24"/>
          <w:szCs w:val="24"/>
        </w:rPr>
        <w:br/>
        <w:t>Following are samples of counseling notes determined to be adequate based on state office review.</w:t>
      </w:r>
    </w:p>
    <w:p w14:paraId="5032D54D" w14:textId="77777777" w:rsidR="00DB4AC9" w:rsidRDefault="00DB4AC9" w:rsidP="00DB4AC9">
      <w:pPr>
        <w:keepNext/>
        <w:spacing w:before="240"/>
      </w:pPr>
      <w:bookmarkStart w:id="254" w:name="_u8tczi" w:colFirst="0" w:colLast="0"/>
      <w:bookmarkEnd w:id="254"/>
      <w:r>
        <w:rPr>
          <w:rFonts w:ascii="Arial" w:eastAsia="Arial" w:hAnsi="Arial" w:cs="Arial"/>
          <w:b/>
          <w:sz w:val="24"/>
          <w:szCs w:val="24"/>
        </w:rPr>
        <w:t>Example of Financial Assistance Counseling</w:t>
      </w:r>
    </w:p>
    <w:tbl>
      <w:tblPr>
        <w:tblW w:w="7913" w:type="dxa"/>
        <w:jc w:val="center"/>
        <w:tblLayout w:type="fixed"/>
        <w:tblCellMar>
          <w:left w:w="0" w:type="dxa"/>
          <w:right w:w="0" w:type="dxa"/>
        </w:tblCellMar>
        <w:tblLook w:val="0000" w:firstRow="0" w:lastRow="0" w:firstColumn="0" w:lastColumn="0" w:noHBand="0" w:noVBand="0"/>
      </w:tblPr>
      <w:tblGrid>
        <w:gridCol w:w="3830"/>
        <w:gridCol w:w="4083"/>
      </w:tblGrid>
      <w:tr w:rsidR="00DB4AC9" w14:paraId="5AF3963E" w14:textId="77777777" w:rsidTr="00AD6AC8">
        <w:trPr>
          <w:jc w:val="center"/>
        </w:trPr>
        <w:tc>
          <w:tcPr>
            <w:tcW w:w="3830" w:type="dxa"/>
          </w:tcPr>
          <w:p w14:paraId="492DBDEB" w14:textId="77777777" w:rsidR="00DB4AC9" w:rsidRDefault="00DB4AC9" w:rsidP="00AD6AC8">
            <w:pPr>
              <w:spacing w:after="0"/>
            </w:pPr>
            <w:r>
              <w:rPr>
                <w:color w:val="666666"/>
                <w:sz w:val="20"/>
                <w:szCs w:val="20"/>
              </w:rPr>
              <w:t>Center:</w:t>
            </w:r>
          </w:p>
        </w:tc>
        <w:tc>
          <w:tcPr>
            <w:tcW w:w="4083" w:type="dxa"/>
          </w:tcPr>
          <w:p w14:paraId="7ADBBD21" w14:textId="77777777" w:rsidR="00DB4AC9" w:rsidRDefault="00DB4AC9" w:rsidP="00AD6AC8">
            <w:pPr>
              <w:spacing w:after="0"/>
            </w:pPr>
            <w:r>
              <w:rPr>
                <w:sz w:val="20"/>
                <w:szCs w:val="20"/>
              </w:rPr>
              <w:t>St. Cloud</w:t>
            </w:r>
          </w:p>
        </w:tc>
      </w:tr>
      <w:tr w:rsidR="00DB4AC9" w14:paraId="382A4811" w14:textId="77777777" w:rsidTr="00AD6AC8">
        <w:trPr>
          <w:jc w:val="center"/>
        </w:trPr>
        <w:tc>
          <w:tcPr>
            <w:tcW w:w="3830" w:type="dxa"/>
          </w:tcPr>
          <w:p w14:paraId="4DD7C115" w14:textId="77777777" w:rsidR="00DB4AC9" w:rsidRDefault="00DB4AC9" w:rsidP="00AD6AC8">
            <w:pPr>
              <w:spacing w:after="0"/>
            </w:pPr>
            <w:r>
              <w:rPr>
                <w:color w:val="666666"/>
                <w:sz w:val="20"/>
                <w:szCs w:val="20"/>
              </w:rPr>
              <w:t>Session Date:</w:t>
            </w:r>
          </w:p>
        </w:tc>
        <w:tc>
          <w:tcPr>
            <w:tcW w:w="4083" w:type="dxa"/>
          </w:tcPr>
          <w:p w14:paraId="6917266E" w14:textId="77777777" w:rsidR="00DB4AC9" w:rsidRDefault="00DB4AC9" w:rsidP="00AD6AC8">
            <w:pPr>
              <w:spacing w:after="0"/>
            </w:pPr>
            <w:r>
              <w:rPr>
                <w:sz w:val="20"/>
                <w:szCs w:val="20"/>
              </w:rPr>
              <w:t>1/3/2005</w:t>
            </w:r>
          </w:p>
        </w:tc>
      </w:tr>
      <w:tr w:rsidR="00DB4AC9" w14:paraId="3536B8BE" w14:textId="77777777" w:rsidTr="00AD6AC8">
        <w:trPr>
          <w:jc w:val="center"/>
        </w:trPr>
        <w:tc>
          <w:tcPr>
            <w:tcW w:w="3830" w:type="dxa"/>
          </w:tcPr>
          <w:p w14:paraId="491B828D" w14:textId="77777777" w:rsidR="00DB4AC9" w:rsidRDefault="00DB4AC9" w:rsidP="00AD6AC8">
            <w:pPr>
              <w:spacing w:after="0"/>
            </w:pPr>
            <w:r>
              <w:rPr>
                <w:color w:val="666666"/>
                <w:sz w:val="20"/>
                <w:szCs w:val="20"/>
              </w:rPr>
              <w:t>Type:</w:t>
            </w:r>
          </w:p>
        </w:tc>
        <w:tc>
          <w:tcPr>
            <w:tcW w:w="4083" w:type="dxa"/>
          </w:tcPr>
          <w:p w14:paraId="3F6C34EA" w14:textId="77777777" w:rsidR="00DB4AC9" w:rsidRDefault="00DB4AC9" w:rsidP="00AD6AC8">
            <w:pPr>
              <w:spacing w:after="0"/>
            </w:pPr>
            <w:r>
              <w:rPr>
                <w:sz w:val="20"/>
                <w:szCs w:val="20"/>
              </w:rPr>
              <w:t>Initial/New</w:t>
            </w:r>
          </w:p>
        </w:tc>
      </w:tr>
      <w:tr w:rsidR="00DB4AC9" w14:paraId="0DC36207" w14:textId="77777777" w:rsidTr="00AD6AC8">
        <w:trPr>
          <w:jc w:val="center"/>
        </w:trPr>
        <w:tc>
          <w:tcPr>
            <w:tcW w:w="3830" w:type="dxa"/>
          </w:tcPr>
          <w:p w14:paraId="0F5A32A9" w14:textId="77777777" w:rsidR="00DB4AC9" w:rsidRDefault="00DB4AC9" w:rsidP="00AD6AC8">
            <w:pPr>
              <w:spacing w:after="0"/>
            </w:pPr>
            <w:r>
              <w:rPr>
                <w:color w:val="666666"/>
                <w:sz w:val="20"/>
                <w:szCs w:val="20"/>
              </w:rPr>
              <w:t>Contact Type:</w:t>
            </w:r>
          </w:p>
        </w:tc>
        <w:tc>
          <w:tcPr>
            <w:tcW w:w="4083" w:type="dxa"/>
          </w:tcPr>
          <w:p w14:paraId="12562483" w14:textId="77777777" w:rsidR="00DB4AC9" w:rsidRDefault="00DB4AC9" w:rsidP="00AD6AC8">
            <w:pPr>
              <w:spacing w:after="0"/>
            </w:pPr>
            <w:r>
              <w:rPr>
                <w:sz w:val="20"/>
                <w:szCs w:val="20"/>
              </w:rPr>
              <w:t>Center Site (face-to-face)</w:t>
            </w:r>
          </w:p>
        </w:tc>
      </w:tr>
      <w:tr w:rsidR="00DB4AC9" w14:paraId="74111DDF" w14:textId="77777777" w:rsidTr="00AD6AC8">
        <w:trPr>
          <w:jc w:val="center"/>
        </w:trPr>
        <w:tc>
          <w:tcPr>
            <w:tcW w:w="3830" w:type="dxa"/>
          </w:tcPr>
          <w:p w14:paraId="1B944F02" w14:textId="77777777" w:rsidR="00DB4AC9" w:rsidRDefault="00DB4AC9" w:rsidP="00AD6AC8">
            <w:pPr>
              <w:spacing w:after="0"/>
            </w:pPr>
            <w:r>
              <w:rPr>
                <w:color w:val="666666"/>
                <w:sz w:val="20"/>
                <w:szCs w:val="20"/>
              </w:rPr>
              <w:t xml:space="preserve">SBA Counseling Area: </w:t>
            </w:r>
          </w:p>
        </w:tc>
        <w:tc>
          <w:tcPr>
            <w:tcW w:w="4083" w:type="dxa"/>
          </w:tcPr>
          <w:p w14:paraId="23A7B680" w14:textId="77777777" w:rsidR="00DB4AC9" w:rsidRDefault="00DB4AC9" w:rsidP="00AD6AC8">
            <w:pPr>
              <w:spacing w:after="0"/>
            </w:pPr>
            <w:r>
              <w:rPr>
                <w:sz w:val="20"/>
                <w:szCs w:val="20"/>
              </w:rPr>
              <w:t>Financial Analysis/Cost Control</w:t>
            </w:r>
          </w:p>
        </w:tc>
      </w:tr>
      <w:tr w:rsidR="00DB4AC9" w14:paraId="397F6C42" w14:textId="77777777" w:rsidTr="00AD6AC8">
        <w:trPr>
          <w:jc w:val="center"/>
        </w:trPr>
        <w:tc>
          <w:tcPr>
            <w:tcW w:w="3830" w:type="dxa"/>
          </w:tcPr>
          <w:p w14:paraId="4FB3D7E4" w14:textId="77777777" w:rsidR="00DB4AC9" w:rsidRDefault="00DB4AC9" w:rsidP="00AD6AC8">
            <w:pPr>
              <w:spacing w:after="0"/>
            </w:pPr>
            <w:r>
              <w:rPr>
                <w:color w:val="666666"/>
                <w:sz w:val="20"/>
                <w:szCs w:val="20"/>
              </w:rPr>
              <w:t>Preparation Time:</w:t>
            </w:r>
          </w:p>
        </w:tc>
        <w:tc>
          <w:tcPr>
            <w:tcW w:w="4083" w:type="dxa"/>
          </w:tcPr>
          <w:p w14:paraId="416E249D" w14:textId="77777777" w:rsidR="00DB4AC9" w:rsidRDefault="00DB4AC9" w:rsidP="00AD6AC8">
            <w:pPr>
              <w:spacing w:after="0"/>
            </w:pPr>
            <w:r>
              <w:rPr>
                <w:sz w:val="20"/>
                <w:szCs w:val="20"/>
              </w:rPr>
              <w:t>5.0</w:t>
            </w:r>
          </w:p>
        </w:tc>
      </w:tr>
      <w:tr w:rsidR="00DB4AC9" w14:paraId="62517CA8" w14:textId="77777777" w:rsidTr="00AD6AC8">
        <w:trPr>
          <w:jc w:val="center"/>
        </w:trPr>
        <w:tc>
          <w:tcPr>
            <w:tcW w:w="3830" w:type="dxa"/>
          </w:tcPr>
          <w:p w14:paraId="6868F5EB" w14:textId="77777777" w:rsidR="00DB4AC9" w:rsidRDefault="00DB4AC9" w:rsidP="00AD6AC8">
            <w:pPr>
              <w:spacing w:after="0"/>
            </w:pPr>
            <w:r>
              <w:rPr>
                <w:color w:val="666666"/>
                <w:sz w:val="20"/>
                <w:szCs w:val="20"/>
              </w:rPr>
              <w:t xml:space="preserve">Travel Time: </w:t>
            </w:r>
          </w:p>
        </w:tc>
        <w:tc>
          <w:tcPr>
            <w:tcW w:w="4083" w:type="dxa"/>
          </w:tcPr>
          <w:p w14:paraId="1DAF1F53" w14:textId="77777777" w:rsidR="00DB4AC9" w:rsidRDefault="00DB4AC9" w:rsidP="00AD6AC8">
            <w:pPr>
              <w:spacing w:after="0"/>
            </w:pPr>
            <w:r>
              <w:rPr>
                <w:sz w:val="20"/>
                <w:szCs w:val="20"/>
              </w:rPr>
              <w:t>0.0</w:t>
            </w:r>
          </w:p>
        </w:tc>
      </w:tr>
      <w:tr w:rsidR="00DB4AC9" w14:paraId="4649206F" w14:textId="77777777" w:rsidTr="00AD6AC8">
        <w:trPr>
          <w:jc w:val="center"/>
        </w:trPr>
        <w:tc>
          <w:tcPr>
            <w:tcW w:w="3830" w:type="dxa"/>
          </w:tcPr>
          <w:p w14:paraId="6B281A23" w14:textId="77777777" w:rsidR="00DB4AC9" w:rsidRDefault="00DB4AC9" w:rsidP="00AD6AC8">
            <w:pPr>
              <w:spacing w:after="0"/>
            </w:pPr>
            <w:r>
              <w:rPr>
                <w:color w:val="666666"/>
                <w:sz w:val="20"/>
                <w:szCs w:val="20"/>
              </w:rPr>
              <w:t>Contact Time:</w:t>
            </w:r>
          </w:p>
        </w:tc>
        <w:tc>
          <w:tcPr>
            <w:tcW w:w="4083" w:type="dxa"/>
          </w:tcPr>
          <w:p w14:paraId="7C7F9A23" w14:textId="77777777" w:rsidR="00DB4AC9" w:rsidRDefault="00DB4AC9" w:rsidP="00AD6AC8">
            <w:pPr>
              <w:spacing w:after="0"/>
            </w:pPr>
            <w:r>
              <w:rPr>
                <w:sz w:val="20"/>
                <w:szCs w:val="20"/>
              </w:rPr>
              <w:t>0.5</w:t>
            </w:r>
          </w:p>
        </w:tc>
      </w:tr>
    </w:tbl>
    <w:p w14:paraId="7E6E1591" w14:textId="77777777" w:rsidR="00DB4AC9" w:rsidRDefault="00DB4AC9" w:rsidP="00DB4AC9">
      <w:pPr>
        <w:spacing w:after="0"/>
        <w:jc w:val="both"/>
      </w:pPr>
    </w:p>
    <w:p w14:paraId="603E544F" w14:textId="77777777" w:rsidR="00DB4AC9" w:rsidRDefault="00DB4AC9" w:rsidP="00DB4AC9">
      <w:r>
        <w:rPr>
          <w:sz w:val="20"/>
          <w:szCs w:val="20"/>
        </w:rPr>
        <w:t xml:space="preserve">Background: MALE CLIENT and FEMALE CLIENT are planning to construct a new building in Foley, MN, that will accommodate a retail discount store. Land has been purchased for the </w:t>
      </w:r>
      <w:proofErr w:type="gramStart"/>
      <w:r>
        <w:rPr>
          <w:sz w:val="20"/>
          <w:szCs w:val="20"/>
        </w:rPr>
        <w:t>site</w:t>
      </w:r>
      <w:proofErr w:type="gramEnd"/>
      <w:r>
        <w:rPr>
          <w:sz w:val="20"/>
          <w:szCs w:val="20"/>
        </w:rPr>
        <w:t xml:space="preserve"> and the building size is estimated at 8,100sf</w:t>
      </w:r>
    </w:p>
    <w:p w14:paraId="5235459F" w14:textId="77777777" w:rsidR="00DB4AC9" w:rsidRDefault="00DB4AC9" w:rsidP="00DB4AC9">
      <w:r>
        <w:rPr>
          <w:sz w:val="20"/>
          <w:szCs w:val="20"/>
        </w:rPr>
        <w:t xml:space="preserve">Issues Covered, Summary of Session and Recommendation: Work on cash flow projections for project financing. Estimated project costs are </w:t>
      </w:r>
      <w:proofErr w:type="gramStart"/>
      <w:r>
        <w:rPr>
          <w:sz w:val="20"/>
          <w:szCs w:val="20"/>
        </w:rPr>
        <w:t>in excess of</w:t>
      </w:r>
      <w:proofErr w:type="gramEnd"/>
      <w:r>
        <w:rPr>
          <w:sz w:val="20"/>
          <w:szCs w:val="20"/>
        </w:rPr>
        <w:t xml:space="preserve"> $600,000. Proposed financing includes an SBA 504 loan and both a construction loan and mortgage loan through the Falcon National Bank in Foley. Additional financing includes a home equity loan or first mortgage refinancing by MALE CLIENT and FEMALE CLIENT on their home. An SBA low doc loan for inventory and a GAP loan through the Initiative Foundation are also necessary funding for this project.</w:t>
      </w:r>
    </w:p>
    <w:p w14:paraId="60BCC651" w14:textId="77777777" w:rsidR="00DB4AC9" w:rsidRDefault="00DB4AC9" w:rsidP="00DB4AC9">
      <w:r>
        <w:rPr>
          <w:sz w:val="20"/>
          <w:szCs w:val="20"/>
        </w:rPr>
        <w:t xml:space="preserve">Client Next Steps/Consultant Follow-Up: Continue working on cash flows and pro </w:t>
      </w:r>
      <w:proofErr w:type="spellStart"/>
      <w:r>
        <w:rPr>
          <w:sz w:val="20"/>
          <w:szCs w:val="20"/>
        </w:rPr>
        <w:t>formas</w:t>
      </w:r>
      <w:proofErr w:type="spellEnd"/>
      <w:r>
        <w:rPr>
          <w:sz w:val="20"/>
          <w:szCs w:val="20"/>
        </w:rPr>
        <w:t xml:space="preserve">. Clients are working to get additional bids for construction. Keep in contact with Jessica at Falcon Bank and Nadine from MBFC who are lending officers assisting the </w:t>
      </w:r>
      <w:proofErr w:type="gramStart"/>
      <w:r>
        <w:rPr>
          <w:sz w:val="20"/>
          <w:szCs w:val="20"/>
        </w:rPr>
        <w:t>CLIENT’S</w:t>
      </w:r>
      <w:proofErr w:type="gramEnd"/>
      <w:r>
        <w:rPr>
          <w:sz w:val="20"/>
          <w:szCs w:val="20"/>
        </w:rPr>
        <w:t xml:space="preserve"> with project financing.</w:t>
      </w:r>
    </w:p>
    <w:p w14:paraId="4510FE4C" w14:textId="77777777" w:rsidR="00DB4AC9" w:rsidRDefault="00DB4AC9" w:rsidP="00DB4AC9">
      <w:pPr>
        <w:spacing w:after="0"/>
      </w:pPr>
    </w:p>
    <w:tbl>
      <w:tblPr>
        <w:tblW w:w="7913" w:type="dxa"/>
        <w:jc w:val="center"/>
        <w:tblLayout w:type="fixed"/>
        <w:tblCellMar>
          <w:left w:w="0" w:type="dxa"/>
          <w:right w:w="0" w:type="dxa"/>
        </w:tblCellMar>
        <w:tblLook w:val="0000" w:firstRow="0" w:lastRow="0" w:firstColumn="0" w:lastColumn="0" w:noHBand="0" w:noVBand="0"/>
      </w:tblPr>
      <w:tblGrid>
        <w:gridCol w:w="3830"/>
        <w:gridCol w:w="4083"/>
      </w:tblGrid>
      <w:tr w:rsidR="00DB4AC9" w14:paraId="4612876E" w14:textId="77777777" w:rsidTr="00AD6AC8">
        <w:trPr>
          <w:jc w:val="center"/>
        </w:trPr>
        <w:tc>
          <w:tcPr>
            <w:tcW w:w="3830" w:type="dxa"/>
          </w:tcPr>
          <w:p w14:paraId="37F88087" w14:textId="77777777" w:rsidR="00DB4AC9" w:rsidRDefault="00DB4AC9" w:rsidP="00AD6AC8">
            <w:pPr>
              <w:spacing w:after="0"/>
            </w:pPr>
            <w:r>
              <w:rPr>
                <w:color w:val="666666"/>
                <w:sz w:val="20"/>
                <w:szCs w:val="20"/>
              </w:rPr>
              <w:t>Center</w:t>
            </w:r>
          </w:p>
        </w:tc>
        <w:tc>
          <w:tcPr>
            <w:tcW w:w="4083" w:type="dxa"/>
          </w:tcPr>
          <w:p w14:paraId="5367897E" w14:textId="77777777" w:rsidR="00DB4AC9" w:rsidRDefault="00DB4AC9" w:rsidP="00AD6AC8">
            <w:pPr>
              <w:spacing w:after="0"/>
            </w:pPr>
            <w:r>
              <w:rPr>
                <w:sz w:val="20"/>
                <w:szCs w:val="20"/>
              </w:rPr>
              <w:t>Brainerd</w:t>
            </w:r>
          </w:p>
        </w:tc>
      </w:tr>
      <w:tr w:rsidR="00DB4AC9" w14:paraId="328BE91F" w14:textId="77777777" w:rsidTr="00AD6AC8">
        <w:trPr>
          <w:jc w:val="center"/>
        </w:trPr>
        <w:tc>
          <w:tcPr>
            <w:tcW w:w="3830" w:type="dxa"/>
          </w:tcPr>
          <w:p w14:paraId="4FE26CF0" w14:textId="77777777" w:rsidR="00DB4AC9" w:rsidRDefault="00DB4AC9" w:rsidP="00AD6AC8">
            <w:pPr>
              <w:spacing w:after="0"/>
            </w:pPr>
            <w:r>
              <w:rPr>
                <w:color w:val="666666"/>
                <w:sz w:val="20"/>
                <w:szCs w:val="20"/>
              </w:rPr>
              <w:t>Session Date:</w:t>
            </w:r>
          </w:p>
        </w:tc>
        <w:tc>
          <w:tcPr>
            <w:tcW w:w="4083" w:type="dxa"/>
          </w:tcPr>
          <w:p w14:paraId="3C7A1532" w14:textId="77777777" w:rsidR="00DB4AC9" w:rsidRDefault="00DB4AC9" w:rsidP="00AD6AC8">
            <w:pPr>
              <w:spacing w:after="0"/>
            </w:pPr>
            <w:r>
              <w:rPr>
                <w:sz w:val="20"/>
                <w:szCs w:val="20"/>
              </w:rPr>
              <w:t>3/8/2005</w:t>
            </w:r>
          </w:p>
        </w:tc>
      </w:tr>
      <w:tr w:rsidR="00DB4AC9" w14:paraId="3A1275A2" w14:textId="77777777" w:rsidTr="00AD6AC8">
        <w:trPr>
          <w:jc w:val="center"/>
        </w:trPr>
        <w:tc>
          <w:tcPr>
            <w:tcW w:w="3830" w:type="dxa"/>
          </w:tcPr>
          <w:p w14:paraId="3C7B0874" w14:textId="77777777" w:rsidR="00DB4AC9" w:rsidRDefault="00DB4AC9" w:rsidP="00AD6AC8">
            <w:pPr>
              <w:spacing w:after="0"/>
            </w:pPr>
            <w:r>
              <w:rPr>
                <w:color w:val="666666"/>
                <w:sz w:val="20"/>
                <w:szCs w:val="20"/>
              </w:rPr>
              <w:t>Type:</w:t>
            </w:r>
          </w:p>
        </w:tc>
        <w:tc>
          <w:tcPr>
            <w:tcW w:w="4083" w:type="dxa"/>
          </w:tcPr>
          <w:p w14:paraId="57001AD6" w14:textId="77777777" w:rsidR="00DB4AC9" w:rsidRDefault="00DB4AC9" w:rsidP="00AD6AC8">
            <w:pPr>
              <w:spacing w:after="0"/>
            </w:pPr>
            <w:r>
              <w:rPr>
                <w:sz w:val="20"/>
                <w:szCs w:val="20"/>
              </w:rPr>
              <w:t>Initial/New</w:t>
            </w:r>
          </w:p>
        </w:tc>
      </w:tr>
      <w:tr w:rsidR="00DB4AC9" w14:paraId="122508C0" w14:textId="77777777" w:rsidTr="00AD6AC8">
        <w:trPr>
          <w:jc w:val="center"/>
        </w:trPr>
        <w:tc>
          <w:tcPr>
            <w:tcW w:w="3830" w:type="dxa"/>
          </w:tcPr>
          <w:p w14:paraId="7137A549" w14:textId="77777777" w:rsidR="00DB4AC9" w:rsidRDefault="00DB4AC9" w:rsidP="00AD6AC8">
            <w:pPr>
              <w:spacing w:after="0"/>
            </w:pPr>
            <w:r>
              <w:rPr>
                <w:color w:val="666666"/>
                <w:sz w:val="20"/>
                <w:szCs w:val="20"/>
              </w:rPr>
              <w:t>Contact Type:</w:t>
            </w:r>
          </w:p>
        </w:tc>
        <w:tc>
          <w:tcPr>
            <w:tcW w:w="4083" w:type="dxa"/>
          </w:tcPr>
          <w:p w14:paraId="7ECCCEC3" w14:textId="77777777" w:rsidR="00DB4AC9" w:rsidRDefault="00DB4AC9" w:rsidP="00AD6AC8">
            <w:pPr>
              <w:spacing w:after="0"/>
            </w:pPr>
            <w:r>
              <w:rPr>
                <w:sz w:val="20"/>
                <w:szCs w:val="20"/>
              </w:rPr>
              <w:t>Center Site (face-to-face)</w:t>
            </w:r>
          </w:p>
        </w:tc>
      </w:tr>
      <w:tr w:rsidR="00DB4AC9" w14:paraId="67F437AC" w14:textId="77777777" w:rsidTr="00AD6AC8">
        <w:trPr>
          <w:jc w:val="center"/>
        </w:trPr>
        <w:tc>
          <w:tcPr>
            <w:tcW w:w="3830" w:type="dxa"/>
          </w:tcPr>
          <w:p w14:paraId="31CD759C" w14:textId="77777777" w:rsidR="00DB4AC9" w:rsidRDefault="00DB4AC9" w:rsidP="00AD6AC8">
            <w:pPr>
              <w:spacing w:after="0"/>
            </w:pPr>
            <w:r>
              <w:rPr>
                <w:color w:val="666666"/>
                <w:sz w:val="20"/>
                <w:szCs w:val="20"/>
              </w:rPr>
              <w:t xml:space="preserve">SBA Counseling Area: </w:t>
            </w:r>
          </w:p>
        </w:tc>
        <w:tc>
          <w:tcPr>
            <w:tcW w:w="4083" w:type="dxa"/>
          </w:tcPr>
          <w:p w14:paraId="32259C91" w14:textId="77777777" w:rsidR="00DB4AC9" w:rsidRDefault="00DB4AC9" w:rsidP="00AD6AC8">
            <w:pPr>
              <w:spacing w:after="0"/>
            </w:pPr>
            <w:r>
              <w:rPr>
                <w:sz w:val="20"/>
                <w:szCs w:val="20"/>
              </w:rPr>
              <w:t>Financial Analysis/Cost Control</w:t>
            </w:r>
          </w:p>
        </w:tc>
      </w:tr>
      <w:tr w:rsidR="00DB4AC9" w14:paraId="07F8A641" w14:textId="77777777" w:rsidTr="00AD6AC8">
        <w:trPr>
          <w:jc w:val="center"/>
        </w:trPr>
        <w:tc>
          <w:tcPr>
            <w:tcW w:w="3830" w:type="dxa"/>
          </w:tcPr>
          <w:p w14:paraId="1F08A8E3" w14:textId="77777777" w:rsidR="00DB4AC9" w:rsidRDefault="00DB4AC9" w:rsidP="00AD6AC8">
            <w:pPr>
              <w:spacing w:after="0"/>
            </w:pPr>
            <w:r>
              <w:rPr>
                <w:color w:val="666666"/>
                <w:sz w:val="20"/>
                <w:szCs w:val="20"/>
              </w:rPr>
              <w:t>Preparation Time:</w:t>
            </w:r>
          </w:p>
        </w:tc>
        <w:tc>
          <w:tcPr>
            <w:tcW w:w="4083" w:type="dxa"/>
          </w:tcPr>
          <w:p w14:paraId="2A43D96B" w14:textId="77777777" w:rsidR="00DB4AC9" w:rsidRDefault="00DB4AC9" w:rsidP="00AD6AC8">
            <w:pPr>
              <w:spacing w:after="0"/>
            </w:pPr>
            <w:r>
              <w:rPr>
                <w:sz w:val="20"/>
                <w:szCs w:val="20"/>
              </w:rPr>
              <w:t>0.0</w:t>
            </w:r>
          </w:p>
        </w:tc>
      </w:tr>
      <w:tr w:rsidR="00DB4AC9" w14:paraId="401C02E9" w14:textId="77777777" w:rsidTr="00AD6AC8">
        <w:trPr>
          <w:trHeight w:val="140"/>
          <w:jc w:val="center"/>
        </w:trPr>
        <w:tc>
          <w:tcPr>
            <w:tcW w:w="3830" w:type="dxa"/>
          </w:tcPr>
          <w:p w14:paraId="690ED0EB" w14:textId="77777777" w:rsidR="00DB4AC9" w:rsidRDefault="00DB4AC9" w:rsidP="00AD6AC8">
            <w:pPr>
              <w:spacing w:after="0"/>
            </w:pPr>
            <w:r>
              <w:rPr>
                <w:color w:val="666666"/>
                <w:sz w:val="20"/>
                <w:szCs w:val="20"/>
              </w:rPr>
              <w:t xml:space="preserve">Travel Time: </w:t>
            </w:r>
          </w:p>
        </w:tc>
        <w:tc>
          <w:tcPr>
            <w:tcW w:w="4083" w:type="dxa"/>
          </w:tcPr>
          <w:p w14:paraId="7871C83F" w14:textId="77777777" w:rsidR="00DB4AC9" w:rsidRDefault="00DB4AC9" w:rsidP="00AD6AC8">
            <w:pPr>
              <w:spacing w:after="0"/>
            </w:pPr>
            <w:r>
              <w:rPr>
                <w:sz w:val="20"/>
                <w:szCs w:val="20"/>
              </w:rPr>
              <w:t>0.0</w:t>
            </w:r>
          </w:p>
        </w:tc>
      </w:tr>
      <w:tr w:rsidR="00DB4AC9" w14:paraId="6A525EEB" w14:textId="77777777" w:rsidTr="00AD6AC8">
        <w:trPr>
          <w:jc w:val="center"/>
        </w:trPr>
        <w:tc>
          <w:tcPr>
            <w:tcW w:w="3830" w:type="dxa"/>
          </w:tcPr>
          <w:p w14:paraId="0DA87F63" w14:textId="77777777" w:rsidR="00DB4AC9" w:rsidRDefault="00DB4AC9" w:rsidP="00AD6AC8">
            <w:pPr>
              <w:spacing w:after="0"/>
            </w:pPr>
            <w:r>
              <w:rPr>
                <w:color w:val="666666"/>
                <w:sz w:val="20"/>
                <w:szCs w:val="20"/>
              </w:rPr>
              <w:t>Contact Time:</w:t>
            </w:r>
          </w:p>
        </w:tc>
        <w:tc>
          <w:tcPr>
            <w:tcW w:w="4083" w:type="dxa"/>
          </w:tcPr>
          <w:p w14:paraId="142BAB2B" w14:textId="77777777" w:rsidR="00DB4AC9" w:rsidRDefault="00DB4AC9" w:rsidP="00AD6AC8">
            <w:pPr>
              <w:spacing w:after="0"/>
            </w:pPr>
            <w:r>
              <w:rPr>
                <w:sz w:val="20"/>
                <w:szCs w:val="20"/>
              </w:rPr>
              <w:t>2.0</w:t>
            </w:r>
          </w:p>
        </w:tc>
      </w:tr>
    </w:tbl>
    <w:p w14:paraId="75105674" w14:textId="77777777" w:rsidR="00DB4AC9" w:rsidRDefault="00DB4AC9" w:rsidP="00DB4AC9">
      <w:pPr>
        <w:spacing w:after="0"/>
      </w:pPr>
    </w:p>
    <w:p w14:paraId="0ED18E5D" w14:textId="77777777" w:rsidR="00DB4AC9" w:rsidRDefault="00DB4AC9" w:rsidP="00DB4AC9">
      <w:pPr>
        <w:spacing w:after="0"/>
      </w:pPr>
      <w:r>
        <w:rPr>
          <w:sz w:val="20"/>
          <w:szCs w:val="20"/>
        </w:rPr>
        <w:t xml:space="preserve">Client owns a small espresso shop located within a separately owned sandwich shop. The ownership of the sandwich shop changed hands and now the current owner wants to raise her rent tremendously and she feels he is stealing supplies. Client wants assistance in determining feasibility of and financing establishing her business in a separate location. We reviewed the draft of the business plan and financial results to date. She has been in </w:t>
      </w:r>
      <w:proofErr w:type="gramStart"/>
      <w:r>
        <w:rPr>
          <w:sz w:val="20"/>
          <w:szCs w:val="20"/>
        </w:rPr>
        <w:t>business</w:t>
      </w:r>
      <w:proofErr w:type="gramEnd"/>
      <w:r>
        <w:rPr>
          <w:sz w:val="20"/>
          <w:szCs w:val="20"/>
        </w:rPr>
        <w:t xml:space="preserve"> less than a year so not much information there. We discussed the loan package checklist and items needed for a package and how a lender looks at packages. We did a rough cash flow for the project. We determined sales would have to rise tremendously for her to support her own shop. Probably more than could be realistically expected. The client was going to check into other options of co-leasing and financing as she did initially with her mother as co-signor. Given the need to get out soon it was probably a good idea. </w:t>
      </w:r>
      <w:r>
        <w:rPr>
          <w:sz w:val="20"/>
          <w:szCs w:val="20"/>
        </w:rPr>
        <w:br/>
      </w:r>
      <w:r>
        <w:rPr>
          <w:sz w:val="20"/>
          <w:szCs w:val="20"/>
        </w:rPr>
        <w:lastRenderedPageBreak/>
        <w:br/>
        <w:t>In a subsequent conversation the client indicated she is co-locating with another business and financing some changes using her existing bank and the borrowing capacity of her mother.</w:t>
      </w:r>
    </w:p>
    <w:p w14:paraId="184F40C2" w14:textId="77777777" w:rsidR="00DB4AC9" w:rsidRDefault="00DB4AC9" w:rsidP="00DB4AC9">
      <w:pPr>
        <w:spacing w:after="0"/>
      </w:pPr>
    </w:p>
    <w:p w14:paraId="33740415" w14:textId="77777777" w:rsidR="00DB4AC9" w:rsidRDefault="00DB4AC9" w:rsidP="00DB4AC9">
      <w:pPr>
        <w:spacing w:after="0"/>
      </w:pPr>
      <w:r>
        <w:rPr>
          <w:sz w:val="20"/>
          <w:szCs w:val="20"/>
        </w:rPr>
        <w:t>Recommended to client that they return to the center if further assistance is needed.</w:t>
      </w:r>
    </w:p>
    <w:p w14:paraId="04CD568D" w14:textId="77777777" w:rsidR="00DB4AC9" w:rsidRDefault="00DB4AC9" w:rsidP="00DB4AC9">
      <w:r>
        <w:br w:type="page"/>
      </w:r>
    </w:p>
    <w:p w14:paraId="547E062F" w14:textId="77777777" w:rsidR="00DB4AC9" w:rsidRDefault="00DB4AC9" w:rsidP="00DB4AC9">
      <w:pPr>
        <w:keepNext/>
        <w:spacing w:before="240"/>
      </w:pPr>
      <w:bookmarkStart w:id="255" w:name="_3e8gvnb" w:colFirst="0" w:colLast="0"/>
      <w:bookmarkEnd w:id="255"/>
      <w:r>
        <w:rPr>
          <w:rFonts w:ascii="Arial" w:eastAsia="Arial" w:hAnsi="Arial" w:cs="Arial"/>
          <w:b/>
          <w:sz w:val="24"/>
          <w:szCs w:val="24"/>
        </w:rPr>
        <w:lastRenderedPageBreak/>
        <w:t>Example of Marketing Assistance Counseling</w:t>
      </w:r>
    </w:p>
    <w:tbl>
      <w:tblPr>
        <w:tblW w:w="7913" w:type="dxa"/>
        <w:jc w:val="center"/>
        <w:tblLayout w:type="fixed"/>
        <w:tblCellMar>
          <w:left w:w="0" w:type="dxa"/>
          <w:right w:w="0" w:type="dxa"/>
        </w:tblCellMar>
        <w:tblLook w:val="0000" w:firstRow="0" w:lastRow="0" w:firstColumn="0" w:lastColumn="0" w:noHBand="0" w:noVBand="0"/>
      </w:tblPr>
      <w:tblGrid>
        <w:gridCol w:w="4298"/>
        <w:gridCol w:w="3615"/>
      </w:tblGrid>
      <w:tr w:rsidR="00DB4AC9" w14:paraId="22001F3D" w14:textId="77777777" w:rsidTr="00AD6AC8">
        <w:trPr>
          <w:jc w:val="center"/>
        </w:trPr>
        <w:tc>
          <w:tcPr>
            <w:tcW w:w="4298" w:type="dxa"/>
          </w:tcPr>
          <w:p w14:paraId="01C0244D" w14:textId="77777777" w:rsidR="00DB4AC9" w:rsidRDefault="00DB4AC9" w:rsidP="00AD6AC8">
            <w:pPr>
              <w:spacing w:after="0"/>
            </w:pPr>
            <w:r>
              <w:rPr>
                <w:color w:val="666666"/>
                <w:sz w:val="20"/>
                <w:szCs w:val="20"/>
              </w:rPr>
              <w:t>Center:</w:t>
            </w:r>
          </w:p>
        </w:tc>
        <w:tc>
          <w:tcPr>
            <w:tcW w:w="3615" w:type="dxa"/>
          </w:tcPr>
          <w:p w14:paraId="433D4EAD" w14:textId="77777777" w:rsidR="00DB4AC9" w:rsidRDefault="00DB4AC9" w:rsidP="00AD6AC8">
            <w:pPr>
              <w:spacing w:after="0"/>
            </w:pPr>
            <w:r>
              <w:rPr>
                <w:sz w:val="20"/>
                <w:szCs w:val="20"/>
              </w:rPr>
              <w:t>Brainerd</w:t>
            </w:r>
          </w:p>
        </w:tc>
      </w:tr>
      <w:tr w:rsidR="00DB4AC9" w14:paraId="2A3AEE84" w14:textId="77777777" w:rsidTr="00AD6AC8">
        <w:trPr>
          <w:jc w:val="center"/>
        </w:trPr>
        <w:tc>
          <w:tcPr>
            <w:tcW w:w="4298" w:type="dxa"/>
          </w:tcPr>
          <w:p w14:paraId="79BB3036" w14:textId="77777777" w:rsidR="00DB4AC9" w:rsidRDefault="00DB4AC9" w:rsidP="00AD6AC8">
            <w:pPr>
              <w:spacing w:after="0"/>
            </w:pPr>
            <w:r>
              <w:rPr>
                <w:color w:val="666666"/>
                <w:sz w:val="20"/>
                <w:szCs w:val="20"/>
              </w:rPr>
              <w:t>Session Date:</w:t>
            </w:r>
          </w:p>
        </w:tc>
        <w:tc>
          <w:tcPr>
            <w:tcW w:w="3615" w:type="dxa"/>
          </w:tcPr>
          <w:p w14:paraId="1D358BA5" w14:textId="77777777" w:rsidR="00DB4AC9" w:rsidRDefault="00DB4AC9" w:rsidP="00AD6AC8">
            <w:pPr>
              <w:spacing w:after="0"/>
            </w:pPr>
            <w:r>
              <w:rPr>
                <w:sz w:val="20"/>
                <w:szCs w:val="20"/>
              </w:rPr>
              <w:t>1/3/2005</w:t>
            </w:r>
          </w:p>
        </w:tc>
      </w:tr>
      <w:tr w:rsidR="00DB4AC9" w14:paraId="6E91375D" w14:textId="77777777" w:rsidTr="00AD6AC8">
        <w:trPr>
          <w:jc w:val="center"/>
        </w:trPr>
        <w:tc>
          <w:tcPr>
            <w:tcW w:w="4298" w:type="dxa"/>
          </w:tcPr>
          <w:p w14:paraId="31DD12EC" w14:textId="77777777" w:rsidR="00DB4AC9" w:rsidRDefault="00DB4AC9" w:rsidP="00AD6AC8">
            <w:pPr>
              <w:spacing w:after="0"/>
            </w:pPr>
            <w:r>
              <w:rPr>
                <w:color w:val="666666"/>
                <w:sz w:val="20"/>
                <w:szCs w:val="20"/>
              </w:rPr>
              <w:t>Type:</w:t>
            </w:r>
          </w:p>
        </w:tc>
        <w:tc>
          <w:tcPr>
            <w:tcW w:w="3615" w:type="dxa"/>
          </w:tcPr>
          <w:p w14:paraId="092BC0D4" w14:textId="77777777" w:rsidR="00DB4AC9" w:rsidRDefault="00DB4AC9" w:rsidP="00AD6AC8">
            <w:pPr>
              <w:spacing w:after="0"/>
            </w:pPr>
            <w:r>
              <w:rPr>
                <w:sz w:val="20"/>
                <w:szCs w:val="20"/>
              </w:rPr>
              <w:t>Initial/New</w:t>
            </w:r>
          </w:p>
        </w:tc>
      </w:tr>
      <w:tr w:rsidR="00DB4AC9" w14:paraId="3989F2E4" w14:textId="77777777" w:rsidTr="00AD6AC8">
        <w:trPr>
          <w:jc w:val="center"/>
        </w:trPr>
        <w:tc>
          <w:tcPr>
            <w:tcW w:w="4298" w:type="dxa"/>
          </w:tcPr>
          <w:p w14:paraId="5405ED62" w14:textId="77777777" w:rsidR="00DB4AC9" w:rsidRDefault="00DB4AC9" w:rsidP="00AD6AC8">
            <w:pPr>
              <w:spacing w:after="0"/>
            </w:pPr>
            <w:r>
              <w:rPr>
                <w:color w:val="666666"/>
                <w:sz w:val="20"/>
                <w:szCs w:val="20"/>
              </w:rPr>
              <w:t>Contact Type:</w:t>
            </w:r>
          </w:p>
        </w:tc>
        <w:tc>
          <w:tcPr>
            <w:tcW w:w="3615" w:type="dxa"/>
          </w:tcPr>
          <w:p w14:paraId="0270B986" w14:textId="77777777" w:rsidR="00DB4AC9" w:rsidRDefault="00DB4AC9" w:rsidP="00AD6AC8">
            <w:pPr>
              <w:spacing w:after="0"/>
            </w:pPr>
            <w:r>
              <w:rPr>
                <w:sz w:val="20"/>
                <w:szCs w:val="20"/>
              </w:rPr>
              <w:t>Center Site (face-to-face)</w:t>
            </w:r>
          </w:p>
        </w:tc>
      </w:tr>
      <w:tr w:rsidR="00DB4AC9" w14:paraId="0B39F9FA" w14:textId="77777777" w:rsidTr="00AD6AC8">
        <w:trPr>
          <w:jc w:val="center"/>
        </w:trPr>
        <w:tc>
          <w:tcPr>
            <w:tcW w:w="4298" w:type="dxa"/>
          </w:tcPr>
          <w:p w14:paraId="7C37EAEB" w14:textId="77777777" w:rsidR="00DB4AC9" w:rsidRDefault="00DB4AC9" w:rsidP="00AD6AC8">
            <w:pPr>
              <w:spacing w:after="0"/>
            </w:pPr>
            <w:r>
              <w:rPr>
                <w:color w:val="666666"/>
                <w:sz w:val="20"/>
                <w:szCs w:val="20"/>
              </w:rPr>
              <w:t xml:space="preserve">SBA Counseling Area: </w:t>
            </w:r>
          </w:p>
        </w:tc>
        <w:tc>
          <w:tcPr>
            <w:tcW w:w="3615" w:type="dxa"/>
          </w:tcPr>
          <w:p w14:paraId="083C4544" w14:textId="77777777" w:rsidR="00DB4AC9" w:rsidRDefault="00DB4AC9" w:rsidP="00AD6AC8">
            <w:pPr>
              <w:spacing w:after="0"/>
            </w:pPr>
            <w:r>
              <w:rPr>
                <w:sz w:val="20"/>
                <w:szCs w:val="20"/>
              </w:rPr>
              <w:t>Marketing/Sales</w:t>
            </w:r>
          </w:p>
        </w:tc>
      </w:tr>
      <w:tr w:rsidR="00DB4AC9" w14:paraId="65D90279" w14:textId="77777777" w:rsidTr="00AD6AC8">
        <w:trPr>
          <w:jc w:val="center"/>
        </w:trPr>
        <w:tc>
          <w:tcPr>
            <w:tcW w:w="4298" w:type="dxa"/>
          </w:tcPr>
          <w:p w14:paraId="4A37AF1B" w14:textId="77777777" w:rsidR="00DB4AC9" w:rsidRDefault="00DB4AC9" w:rsidP="00AD6AC8">
            <w:pPr>
              <w:spacing w:after="0"/>
            </w:pPr>
            <w:r>
              <w:rPr>
                <w:color w:val="666666"/>
                <w:sz w:val="20"/>
                <w:szCs w:val="20"/>
              </w:rPr>
              <w:t>Preparation Time:</w:t>
            </w:r>
          </w:p>
        </w:tc>
        <w:tc>
          <w:tcPr>
            <w:tcW w:w="3615" w:type="dxa"/>
          </w:tcPr>
          <w:p w14:paraId="55457CFE" w14:textId="77777777" w:rsidR="00DB4AC9" w:rsidRDefault="00DB4AC9" w:rsidP="00AD6AC8">
            <w:pPr>
              <w:spacing w:after="0"/>
            </w:pPr>
            <w:r>
              <w:rPr>
                <w:sz w:val="20"/>
                <w:szCs w:val="20"/>
              </w:rPr>
              <w:t>1.0</w:t>
            </w:r>
          </w:p>
        </w:tc>
      </w:tr>
      <w:tr w:rsidR="00DB4AC9" w14:paraId="29C763A0" w14:textId="77777777" w:rsidTr="00AD6AC8">
        <w:trPr>
          <w:jc w:val="center"/>
        </w:trPr>
        <w:tc>
          <w:tcPr>
            <w:tcW w:w="4298" w:type="dxa"/>
          </w:tcPr>
          <w:p w14:paraId="5140D2DE" w14:textId="77777777" w:rsidR="00DB4AC9" w:rsidRDefault="00DB4AC9" w:rsidP="00AD6AC8">
            <w:pPr>
              <w:spacing w:after="0"/>
            </w:pPr>
            <w:r>
              <w:rPr>
                <w:color w:val="666666"/>
                <w:sz w:val="20"/>
                <w:szCs w:val="20"/>
              </w:rPr>
              <w:t xml:space="preserve">Travel Time: </w:t>
            </w:r>
          </w:p>
        </w:tc>
        <w:tc>
          <w:tcPr>
            <w:tcW w:w="3615" w:type="dxa"/>
          </w:tcPr>
          <w:p w14:paraId="3EE6729A" w14:textId="77777777" w:rsidR="00DB4AC9" w:rsidRDefault="00DB4AC9" w:rsidP="00AD6AC8">
            <w:pPr>
              <w:spacing w:after="0"/>
            </w:pPr>
            <w:r>
              <w:rPr>
                <w:sz w:val="20"/>
                <w:szCs w:val="20"/>
              </w:rPr>
              <w:t>0.5</w:t>
            </w:r>
          </w:p>
        </w:tc>
      </w:tr>
      <w:tr w:rsidR="00DB4AC9" w14:paraId="336B7A90" w14:textId="77777777" w:rsidTr="00AD6AC8">
        <w:trPr>
          <w:jc w:val="center"/>
        </w:trPr>
        <w:tc>
          <w:tcPr>
            <w:tcW w:w="4298" w:type="dxa"/>
          </w:tcPr>
          <w:p w14:paraId="6145B742" w14:textId="77777777" w:rsidR="00DB4AC9" w:rsidRDefault="00DB4AC9" w:rsidP="00AD6AC8">
            <w:pPr>
              <w:spacing w:after="0"/>
            </w:pPr>
            <w:r>
              <w:rPr>
                <w:color w:val="666666"/>
                <w:sz w:val="20"/>
                <w:szCs w:val="20"/>
              </w:rPr>
              <w:t>Contact Time:</w:t>
            </w:r>
          </w:p>
        </w:tc>
        <w:tc>
          <w:tcPr>
            <w:tcW w:w="3615" w:type="dxa"/>
          </w:tcPr>
          <w:p w14:paraId="4A94396A" w14:textId="77777777" w:rsidR="00DB4AC9" w:rsidRDefault="00DB4AC9" w:rsidP="00AD6AC8">
            <w:pPr>
              <w:spacing w:after="0"/>
            </w:pPr>
            <w:r>
              <w:rPr>
                <w:sz w:val="20"/>
                <w:szCs w:val="20"/>
              </w:rPr>
              <w:t>2.25</w:t>
            </w:r>
          </w:p>
        </w:tc>
      </w:tr>
    </w:tbl>
    <w:p w14:paraId="3D49C519" w14:textId="77777777" w:rsidR="00DB4AC9" w:rsidRDefault="00DB4AC9" w:rsidP="00DB4AC9">
      <w:pPr>
        <w:spacing w:after="0"/>
      </w:pPr>
    </w:p>
    <w:p w14:paraId="521B214E" w14:textId="77777777" w:rsidR="00DB4AC9" w:rsidRDefault="00DB4AC9" w:rsidP="00DB4AC9">
      <w:r>
        <w:rPr>
          <w:sz w:val="20"/>
          <w:szCs w:val="20"/>
        </w:rPr>
        <w:t xml:space="preserve">Background Info: </w:t>
      </w:r>
      <w:r>
        <w:rPr>
          <w:sz w:val="20"/>
          <w:szCs w:val="20"/>
        </w:rPr>
        <w:br/>
        <w:t xml:space="preserve">CLIENT bought business last year and is looking at expansion opportunities. One idea is a mobile coffee catering unit to serve local events. The other option is to open a second site in the nearby area but not Princeton. Her real dilemma is to decide on </w:t>
      </w:r>
      <w:proofErr w:type="gramStart"/>
      <w:r>
        <w:rPr>
          <w:sz w:val="20"/>
          <w:szCs w:val="20"/>
        </w:rPr>
        <w:t>short and long term</w:t>
      </w:r>
      <w:proofErr w:type="gramEnd"/>
      <w:r>
        <w:rPr>
          <w:sz w:val="20"/>
          <w:szCs w:val="20"/>
        </w:rPr>
        <w:t xml:space="preserve"> lifestyle choices.  She is single but engaged to be married and is the parent of three teens. </w:t>
      </w:r>
    </w:p>
    <w:p w14:paraId="75D98347" w14:textId="77777777" w:rsidR="00DB4AC9" w:rsidRDefault="00DB4AC9" w:rsidP="00DB4AC9">
      <w:r>
        <w:rPr>
          <w:sz w:val="20"/>
          <w:szCs w:val="20"/>
        </w:rPr>
        <w:t xml:space="preserve">Issues covered this session: </w:t>
      </w:r>
      <w:r>
        <w:rPr>
          <w:sz w:val="20"/>
          <w:szCs w:val="20"/>
        </w:rPr>
        <w:br/>
        <w:t xml:space="preserve">CLIENT increased business by 5% last year partly due to bringing her product to a variety of activities in the community. She carried her equipment to a "booth" provided at each site. We discussed a variety of marketing techniques, some unfortunate personnel events and different approaches to her loan needs. The business plan will bring more focus to CLIENT. </w:t>
      </w:r>
    </w:p>
    <w:p w14:paraId="348E21BF" w14:textId="77777777" w:rsidR="00DB4AC9" w:rsidRDefault="00DB4AC9" w:rsidP="00DB4AC9">
      <w:r>
        <w:rPr>
          <w:sz w:val="20"/>
          <w:szCs w:val="20"/>
        </w:rPr>
        <w:t xml:space="preserve">Recommendations for client: </w:t>
      </w:r>
      <w:r>
        <w:rPr>
          <w:sz w:val="20"/>
          <w:szCs w:val="20"/>
        </w:rPr>
        <w:br/>
        <w:t xml:space="preserve">Write a business plan and meet at the end of the month. CLIENT is going to discuss options with her fiancé. She will research the cost involved with a mobile unit, licensing, and type of unit. </w:t>
      </w:r>
    </w:p>
    <w:p w14:paraId="4BB1660A" w14:textId="77777777" w:rsidR="00DB4AC9" w:rsidRDefault="00DB4AC9" w:rsidP="00DB4AC9">
      <w:r>
        <w:rPr>
          <w:sz w:val="20"/>
          <w:szCs w:val="20"/>
        </w:rPr>
        <w:t xml:space="preserve">Next step for counselor: </w:t>
      </w:r>
      <w:r>
        <w:rPr>
          <w:sz w:val="20"/>
          <w:szCs w:val="20"/>
        </w:rPr>
        <w:br/>
        <w:t>Investigate the feasibility of CLIENT’S goals in her short-term and long-range business plan.</w:t>
      </w:r>
    </w:p>
    <w:p w14:paraId="6FA47CAD" w14:textId="77777777" w:rsidR="00DB4AC9" w:rsidRDefault="00DB4AC9" w:rsidP="00DB4AC9"/>
    <w:tbl>
      <w:tblPr>
        <w:tblW w:w="7913" w:type="dxa"/>
        <w:jc w:val="center"/>
        <w:tblLayout w:type="fixed"/>
        <w:tblCellMar>
          <w:left w:w="0" w:type="dxa"/>
          <w:right w:w="0" w:type="dxa"/>
        </w:tblCellMar>
        <w:tblLook w:val="0000" w:firstRow="0" w:lastRow="0" w:firstColumn="0" w:lastColumn="0" w:noHBand="0" w:noVBand="0"/>
      </w:tblPr>
      <w:tblGrid>
        <w:gridCol w:w="4298"/>
        <w:gridCol w:w="3615"/>
      </w:tblGrid>
      <w:tr w:rsidR="00DB4AC9" w14:paraId="0F545238" w14:textId="77777777" w:rsidTr="00AD6AC8">
        <w:trPr>
          <w:jc w:val="center"/>
        </w:trPr>
        <w:tc>
          <w:tcPr>
            <w:tcW w:w="4298" w:type="dxa"/>
          </w:tcPr>
          <w:p w14:paraId="144FDA08" w14:textId="77777777" w:rsidR="00DB4AC9" w:rsidRDefault="00DB4AC9" w:rsidP="00AD6AC8">
            <w:pPr>
              <w:spacing w:after="0"/>
            </w:pPr>
            <w:r>
              <w:rPr>
                <w:color w:val="666666"/>
                <w:sz w:val="20"/>
                <w:szCs w:val="20"/>
              </w:rPr>
              <w:t>Center:</w:t>
            </w:r>
          </w:p>
        </w:tc>
        <w:tc>
          <w:tcPr>
            <w:tcW w:w="3615" w:type="dxa"/>
          </w:tcPr>
          <w:p w14:paraId="566C2F02" w14:textId="77777777" w:rsidR="00DB4AC9" w:rsidRDefault="00DB4AC9" w:rsidP="00AD6AC8">
            <w:pPr>
              <w:spacing w:after="0"/>
            </w:pPr>
            <w:r>
              <w:rPr>
                <w:sz w:val="20"/>
                <w:szCs w:val="20"/>
              </w:rPr>
              <w:t>Moorhead</w:t>
            </w:r>
          </w:p>
        </w:tc>
      </w:tr>
      <w:tr w:rsidR="00DB4AC9" w14:paraId="6B61B624" w14:textId="77777777" w:rsidTr="00AD6AC8">
        <w:trPr>
          <w:jc w:val="center"/>
        </w:trPr>
        <w:tc>
          <w:tcPr>
            <w:tcW w:w="4298" w:type="dxa"/>
          </w:tcPr>
          <w:p w14:paraId="30E2F6CD" w14:textId="77777777" w:rsidR="00DB4AC9" w:rsidRDefault="00DB4AC9" w:rsidP="00AD6AC8">
            <w:pPr>
              <w:spacing w:after="0"/>
            </w:pPr>
            <w:r>
              <w:rPr>
                <w:color w:val="666666"/>
                <w:sz w:val="20"/>
                <w:szCs w:val="20"/>
              </w:rPr>
              <w:t>Session Date:</w:t>
            </w:r>
          </w:p>
        </w:tc>
        <w:tc>
          <w:tcPr>
            <w:tcW w:w="3615" w:type="dxa"/>
          </w:tcPr>
          <w:p w14:paraId="0E22E2C1" w14:textId="77777777" w:rsidR="00DB4AC9" w:rsidRDefault="00DB4AC9" w:rsidP="00AD6AC8">
            <w:pPr>
              <w:spacing w:after="0"/>
            </w:pPr>
            <w:r>
              <w:rPr>
                <w:sz w:val="20"/>
                <w:szCs w:val="20"/>
              </w:rPr>
              <w:t>7/31/2005</w:t>
            </w:r>
          </w:p>
        </w:tc>
      </w:tr>
      <w:tr w:rsidR="00DB4AC9" w14:paraId="3BD26A39" w14:textId="77777777" w:rsidTr="00AD6AC8">
        <w:trPr>
          <w:jc w:val="center"/>
        </w:trPr>
        <w:tc>
          <w:tcPr>
            <w:tcW w:w="4298" w:type="dxa"/>
          </w:tcPr>
          <w:p w14:paraId="1E956D7B" w14:textId="77777777" w:rsidR="00DB4AC9" w:rsidRDefault="00DB4AC9" w:rsidP="00AD6AC8">
            <w:pPr>
              <w:spacing w:after="0"/>
            </w:pPr>
            <w:r>
              <w:rPr>
                <w:color w:val="666666"/>
                <w:sz w:val="20"/>
                <w:szCs w:val="20"/>
              </w:rPr>
              <w:t>Type:</w:t>
            </w:r>
          </w:p>
        </w:tc>
        <w:tc>
          <w:tcPr>
            <w:tcW w:w="3615" w:type="dxa"/>
          </w:tcPr>
          <w:p w14:paraId="6595B876" w14:textId="77777777" w:rsidR="00DB4AC9" w:rsidRDefault="00DB4AC9" w:rsidP="00AD6AC8">
            <w:pPr>
              <w:spacing w:after="0"/>
            </w:pPr>
            <w:r>
              <w:rPr>
                <w:sz w:val="20"/>
                <w:szCs w:val="20"/>
              </w:rPr>
              <w:t>Initial/New</w:t>
            </w:r>
          </w:p>
        </w:tc>
      </w:tr>
      <w:tr w:rsidR="00DB4AC9" w14:paraId="30E150E3" w14:textId="77777777" w:rsidTr="00AD6AC8">
        <w:trPr>
          <w:jc w:val="center"/>
        </w:trPr>
        <w:tc>
          <w:tcPr>
            <w:tcW w:w="4298" w:type="dxa"/>
          </w:tcPr>
          <w:p w14:paraId="1241E101" w14:textId="77777777" w:rsidR="00DB4AC9" w:rsidRDefault="00DB4AC9" w:rsidP="00AD6AC8">
            <w:pPr>
              <w:spacing w:after="0"/>
            </w:pPr>
            <w:r>
              <w:rPr>
                <w:color w:val="666666"/>
                <w:sz w:val="20"/>
                <w:szCs w:val="20"/>
              </w:rPr>
              <w:t>Contact Type:</w:t>
            </w:r>
          </w:p>
        </w:tc>
        <w:tc>
          <w:tcPr>
            <w:tcW w:w="3615" w:type="dxa"/>
          </w:tcPr>
          <w:p w14:paraId="0461A41B" w14:textId="77777777" w:rsidR="00DB4AC9" w:rsidRDefault="00DB4AC9" w:rsidP="00AD6AC8">
            <w:pPr>
              <w:spacing w:after="0"/>
            </w:pPr>
            <w:r>
              <w:rPr>
                <w:sz w:val="20"/>
                <w:szCs w:val="20"/>
              </w:rPr>
              <w:t>Center Site (face-to-face)</w:t>
            </w:r>
          </w:p>
        </w:tc>
      </w:tr>
      <w:tr w:rsidR="00DB4AC9" w14:paraId="7B45DD89" w14:textId="77777777" w:rsidTr="00AD6AC8">
        <w:trPr>
          <w:jc w:val="center"/>
        </w:trPr>
        <w:tc>
          <w:tcPr>
            <w:tcW w:w="4298" w:type="dxa"/>
          </w:tcPr>
          <w:p w14:paraId="4EE8ED54" w14:textId="77777777" w:rsidR="00DB4AC9" w:rsidRDefault="00DB4AC9" w:rsidP="00AD6AC8">
            <w:pPr>
              <w:spacing w:after="0"/>
            </w:pPr>
            <w:r>
              <w:rPr>
                <w:color w:val="666666"/>
                <w:sz w:val="20"/>
                <w:szCs w:val="20"/>
              </w:rPr>
              <w:t xml:space="preserve">SBA Counseling Area: </w:t>
            </w:r>
          </w:p>
        </w:tc>
        <w:tc>
          <w:tcPr>
            <w:tcW w:w="3615" w:type="dxa"/>
          </w:tcPr>
          <w:p w14:paraId="58E599B0" w14:textId="77777777" w:rsidR="00DB4AC9" w:rsidRDefault="00DB4AC9" w:rsidP="00AD6AC8">
            <w:pPr>
              <w:spacing w:after="0"/>
            </w:pPr>
            <w:r>
              <w:rPr>
                <w:sz w:val="20"/>
                <w:szCs w:val="20"/>
              </w:rPr>
              <w:t>Marketing/Sales</w:t>
            </w:r>
          </w:p>
        </w:tc>
      </w:tr>
      <w:tr w:rsidR="00DB4AC9" w14:paraId="13D7554E" w14:textId="77777777" w:rsidTr="00AD6AC8">
        <w:trPr>
          <w:jc w:val="center"/>
        </w:trPr>
        <w:tc>
          <w:tcPr>
            <w:tcW w:w="4298" w:type="dxa"/>
          </w:tcPr>
          <w:p w14:paraId="4250C07D" w14:textId="77777777" w:rsidR="00DB4AC9" w:rsidRDefault="00DB4AC9" w:rsidP="00AD6AC8">
            <w:pPr>
              <w:spacing w:after="0"/>
            </w:pPr>
            <w:r>
              <w:rPr>
                <w:color w:val="666666"/>
                <w:sz w:val="20"/>
                <w:szCs w:val="20"/>
              </w:rPr>
              <w:t>Preparation Time:</w:t>
            </w:r>
          </w:p>
        </w:tc>
        <w:tc>
          <w:tcPr>
            <w:tcW w:w="3615" w:type="dxa"/>
          </w:tcPr>
          <w:p w14:paraId="2EF54EA8" w14:textId="77777777" w:rsidR="00DB4AC9" w:rsidRDefault="00DB4AC9" w:rsidP="00AD6AC8">
            <w:pPr>
              <w:spacing w:after="0"/>
            </w:pPr>
            <w:r>
              <w:rPr>
                <w:sz w:val="20"/>
                <w:szCs w:val="20"/>
              </w:rPr>
              <w:t>1.0</w:t>
            </w:r>
          </w:p>
        </w:tc>
      </w:tr>
      <w:tr w:rsidR="00DB4AC9" w14:paraId="2CA19F7A" w14:textId="77777777" w:rsidTr="00AD6AC8">
        <w:trPr>
          <w:jc w:val="center"/>
        </w:trPr>
        <w:tc>
          <w:tcPr>
            <w:tcW w:w="4298" w:type="dxa"/>
          </w:tcPr>
          <w:p w14:paraId="46F055BF" w14:textId="77777777" w:rsidR="00DB4AC9" w:rsidRDefault="00DB4AC9" w:rsidP="00AD6AC8">
            <w:pPr>
              <w:spacing w:after="0"/>
            </w:pPr>
            <w:r>
              <w:rPr>
                <w:color w:val="666666"/>
                <w:sz w:val="20"/>
                <w:szCs w:val="20"/>
              </w:rPr>
              <w:t xml:space="preserve">Travel Time: </w:t>
            </w:r>
          </w:p>
        </w:tc>
        <w:tc>
          <w:tcPr>
            <w:tcW w:w="3615" w:type="dxa"/>
          </w:tcPr>
          <w:p w14:paraId="0D165403" w14:textId="77777777" w:rsidR="00DB4AC9" w:rsidRDefault="00DB4AC9" w:rsidP="00AD6AC8">
            <w:pPr>
              <w:spacing w:after="0"/>
            </w:pPr>
            <w:r>
              <w:rPr>
                <w:sz w:val="20"/>
                <w:szCs w:val="20"/>
              </w:rPr>
              <w:t>0.0</w:t>
            </w:r>
          </w:p>
        </w:tc>
      </w:tr>
      <w:tr w:rsidR="00DB4AC9" w14:paraId="7BFB7A6B" w14:textId="77777777" w:rsidTr="00AD6AC8">
        <w:trPr>
          <w:jc w:val="center"/>
        </w:trPr>
        <w:tc>
          <w:tcPr>
            <w:tcW w:w="4298" w:type="dxa"/>
          </w:tcPr>
          <w:p w14:paraId="4F6FE17D" w14:textId="77777777" w:rsidR="00DB4AC9" w:rsidRDefault="00DB4AC9" w:rsidP="00AD6AC8">
            <w:pPr>
              <w:spacing w:after="0"/>
            </w:pPr>
            <w:r>
              <w:rPr>
                <w:color w:val="666666"/>
                <w:sz w:val="20"/>
                <w:szCs w:val="20"/>
              </w:rPr>
              <w:t>Contact Time:</w:t>
            </w:r>
          </w:p>
        </w:tc>
        <w:tc>
          <w:tcPr>
            <w:tcW w:w="3615" w:type="dxa"/>
          </w:tcPr>
          <w:p w14:paraId="122A4DE8" w14:textId="77777777" w:rsidR="00DB4AC9" w:rsidRDefault="00DB4AC9" w:rsidP="00AD6AC8">
            <w:pPr>
              <w:spacing w:after="0"/>
            </w:pPr>
            <w:r>
              <w:rPr>
                <w:sz w:val="20"/>
                <w:szCs w:val="20"/>
              </w:rPr>
              <w:t>4.0</w:t>
            </w:r>
          </w:p>
        </w:tc>
      </w:tr>
    </w:tbl>
    <w:p w14:paraId="79946376" w14:textId="77777777" w:rsidR="00DB4AC9" w:rsidRDefault="00DB4AC9" w:rsidP="00DB4AC9">
      <w:r>
        <w:rPr>
          <w:sz w:val="20"/>
          <w:szCs w:val="20"/>
        </w:rPr>
        <w:br/>
        <w:t xml:space="preserve">PROBLEM: Client manufactures petroleum and liquid-handling tanks and vessels for the petroleum industry. Currently the industry is hot. The company is concerned that they don't get hit by a sudden downturn like happened in the late 90's. They are looking for strategies to protect against this. The company wants very controlled growth at low risk. </w:t>
      </w:r>
    </w:p>
    <w:p w14:paraId="4CB8AB2A" w14:textId="77777777" w:rsidR="00DB4AC9" w:rsidRDefault="00DB4AC9" w:rsidP="00DB4AC9">
      <w:r>
        <w:rPr>
          <w:sz w:val="20"/>
          <w:szCs w:val="20"/>
        </w:rPr>
        <w:t xml:space="preserve">WORK PERFORMED: Prepared for engagement. Discussed the five generic strategy alternatives, and which one CLIENT is in (focused differentiation). Discussed product strategies, product life cycle and the adoption process. Discussed environment, industry, competitors, and segmenting of customers. Discussed product strategies, the development process and how to bring new </w:t>
      </w:r>
      <w:proofErr w:type="gramStart"/>
      <w:r>
        <w:rPr>
          <w:sz w:val="20"/>
          <w:szCs w:val="20"/>
        </w:rPr>
        <w:t>product</w:t>
      </w:r>
      <w:proofErr w:type="gramEnd"/>
      <w:r>
        <w:rPr>
          <w:sz w:val="20"/>
          <w:szCs w:val="20"/>
        </w:rPr>
        <w:t xml:space="preserve"> to market. Also discussed economies of scale and the experience curve and how these affect strategies. Reviewed sales literature and web site. Reviewed how to gather market intelligence - methodologies, places to look, how to look, and when facilitation is needed. Discussed the importance of a positioning strategy. Reviewed promotional methodologies. Discussed keys to proper brochure design. Reviewed </w:t>
      </w:r>
      <w:proofErr w:type="gramStart"/>
      <w:r>
        <w:rPr>
          <w:sz w:val="20"/>
          <w:szCs w:val="20"/>
        </w:rPr>
        <w:t>product;</w:t>
      </w:r>
      <w:proofErr w:type="gramEnd"/>
      <w:r>
        <w:rPr>
          <w:sz w:val="20"/>
          <w:szCs w:val="20"/>
        </w:rPr>
        <w:t xml:space="preserve"> pricing and distribution strategies. Follow-up communication. </w:t>
      </w:r>
    </w:p>
    <w:p w14:paraId="638B497D" w14:textId="77777777" w:rsidR="00DB4AC9" w:rsidRDefault="00DB4AC9" w:rsidP="00DB4AC9">
      <w:r>
        <w:rPr>
          <w:sz w:val="20"/>
          <w:szCs w:val="20"/>
        </w:rPr>
        <w:lastRenderedPageBreak/>
        <w:t>REC: There is a need for some internal consensus building amongst the upper management team to work through some of the differences in strategic outlook.</w:t>
      </w:r>
    </w:p>
    <w:p w14:paraId="718F3B71" w14:textId="77777777" w:rsidR="00DB4AC9" w:rsidRDefault="00DB4AC9" w:rsidP="00DB4AC9">
      <w:r>
        <w:br w:type="page"/>
      </w:r>
    </w:p>
    <w:p w14:paraId="1EE841A2" w14:textId="77777777" w:rsidR="00DB4AC9" w:rsidRDefault="00DB4AC9" w:rsidP="00DB4AC9">
      <w:pPr>
        <w:keepNext/>
        <w:spacing w:before="240"/>
      </w:pPr>
      <w:bookmarkStart w:id="256" w:name="_1tdr5v4" w:colFirst="0" w:colLast="0"/>
      <w:bookmarkEnd w:id="256"/>
      <w:r>
        <w:rPr>
          <w:rFonts w:ascii="Arial" w:eastAsia="Arial" w:hAnsi="Arial" w:cs="Arial"/>
          <w:b/>
          <w:sz w:val="24"/>
          <w:szCs w:val="24"/>
        </w:rPr>
        <w:lastRenderedPageBreak/>
        <w:t>Example of Business Start-Up Assistance Counseling</w:t>
      </w:r>
    </w:p>
    <w:tbl>
      <w:tblPr>
        <w:tblW w:w="7913" w:type="dxa"/>
        <w:jc w:val="center"/>
        <w:tblLayout w:type="fixed"/>
        <w:tblCellMar>
          <w:left w:w="0" w:type="dxa"/>
          <w:right w:w="0" w:type="dxa"/>
        </w:tblCellMar>
        <w:tblLook w:val="0000" w:firstRow="0" w:lastRow="0" w:firstColumn="0" w:lastColumn="0" w:noHBand="0" w:noVBand="0"/>
      </w:tblPr>
      <w:tblGrid>
        <w:gridCol w:w="3934"/>
        <w:gridCol w:w="3979"/>
      </w:tblGrid>
      <w:tr w:rsidR="00DB4AC9" w14:paraId="3853974E" w14:textId="77777777" w:rsidTr="00AD6AC8">
        <w:trPr>
          <w:jc w:val="center"/>
        </w:trPr>
        <w:tc>
          <w:tcPr>
            <w:tcW w:w="3934" w:type="dxa"/>
          </w:tcPr>
          <w:p w14:paraId="4F2AA6C3" w14:textId="77777777" w:rsidR="00DB4AC9" w:rsidRDefault="00DB4AC9" w:rsidP="00AD6AC8">
            <w:pPr>
              <w:spacing w:after="0"/>
            </w:pPr>
            <w:r>
              <w:rPr>
                <w:color w:val="666666"/>
                <w:sz w:val="20"/>
                <w:szCs w:val="20"/>
              </w:rPr>
              <w:t>Center:</w:t>
            </w:r>
          </w:p>
        </w:tc>
        <w:tc>
          <w:tcPr>
            <w:tcW w:w="3979" w:type="dxa"/>
          </w:tcPr>
          <w:p w14:paraId="324C688C" w14:textId="77777777" w:rsidR="00DB4AC9" w:rsidRDefault="00DB4AC9" w:rsidP="00AD6AC8">
            <w:pPr>
              <w:spacing w:after="0"/>
            </w:pPr>
            <w:r>
              <w:rPr>
                <w:sz w:val="20"/>
                <w:szCs w:val="20"/>
              </w:rPr>
              <w:t>Southwest</w:t>
            </w:r>
          </w:p>
        </w:tc>
      </w:tr>
      <w:tr w:rsidR="00DB4AC9" w14:paraId="604D9492" w14:textId="77777777" w:rsidTr="00AD6AC8">
        <w:trPr>
          <w:jc w:val="center"/>
        </w:trPr>
        <w:tc>
          <w:tcPr>
            <w:tcW w:w="3934" w:type="dxa"/>
          </w:tcPr>
          <w:p w14:paraId="79E05A02" w14:textId="77777777" w:rsidR="00DB4AC9" w:rsidRDefault="00DB4AC9" w:rsidP="00AD6AC8">
            <w:pPr>
              <w:spacing w:after="0"/>
            </w:pPr>
            <w:r>
              <w:rPr>
                <w:color w:val="666666"/>
                <w:sz w:val="20"/>
                <w:szCs w:val="20"/>
              </w:rPr>
              <w:t>Session Date:</w:t>
            </w:r>
          </w:p>
        </w:tc>
        <w:tc>
          <w:tcPr>
            <w:tcW w:w="3979" w:type="dxa"/>
          </w:tcPr>
          <w:p w14:paraId="2EE9F44A" w14:textId="77777777" w:rsidR="00DB4AC9" w:rsidRDefault="00DB4AC9" w:rsidP="00AD6AC8">
            <w:pPr>
              <w:spacing w:after="0"/>
            </w:pPr>
            <w:r>
              <w:rPr>
                <w:sz w:val="20"/>
                <w:szCs w:val="20"/>
              </w:rPr>
              <w:t>6/28/2005</w:t>
            </w:r>
          </w:p>
        </w:tc>
      </w:tr>
      <w:tr w:rsidR="00DB4AC9" w14:paraId="0DC40AD0" w14:textId="77777777" w:rsidTr="00AD6AC8">
        <w:trPr>
          <w:jc w:val="center"/>
        </w:trPr>
        <w:tc>
          <w:tcPr>
            <w:tcW w:w="3934" w:type="dxa"/>
          </w:tcPr>
          <w:p w14:paraId="1B498F24" w14:textId="77777777" w:rsidR="00DB4AC9" w:rsidRDefault="00DB4AC9" w:rsidP="00AD6AC8">
            <w:pPr>
              <w:spacing w:after="0"/>
            </w:pPr>
            <w:r>
              <w:rPr>
                <w:color w:val="666666"/>
                <w:sz w:val="20"/>
                <w:szCs w:val="20"/>
              </w:rPr>
              <w:t>Type:</w:t>
            </w:r>
          </w:p>
        </w:tc>
        <w:tc>
          <w:tcPr>
            <w:tcW w:w="3979" w:type="dxa"/>
          </w:tcPr>
          <w:p w14:paraId="70051358" w14:textId="77777777" w:rsidR="00DB4AC9" w:rsidRDefault="00DB4AC9" w:rsidP="00AD6AC8">
            <w:pPr>
              <w:spacing w:after="0"/>
            </w:pPr>
            <w:r>
              <w:rPr>
                <w:sz w:val="20"/>
                <w:szCs w:val="20"/>
              </w:rPr>
              <w:t>Follow-up or Ongoing</w:t>
            </w:r>
          </w:p>
        </w:tc>
      </w:tr>
      <w:tr w:rsidR="00DB4AC9" w14:paraId="32BD31C9" w14:textId="77777777" w:rsidTr="00AD6AC8">
        <w:trPr>
          <w:jc w:val="center"/>
        </w:trPr>
        <w:tc>
          <w:tcPr>
            <w:tcW w:w="3934" w:type="dxa"/>
          </w:tcPr>
          <w:p w14:paraId="34DF7A25" w14:textId="77777777" w:rsidR="00DB4AC9" w:rsidRDefault="00DB4AC9" w:rsidP="00AD6AC8">
            <w:pPr>
              <w:spacing w:after="0"/>
            </w:pPr>
            <w:r>
              <w:rPr>
                <w:color w:val="666666"/>
                <w:sz w:val="20"/>
                <w:szCs w:val="20"/>
              </w:rPr>
              <w:t>Contact Type:</w:t>
            </w:r>
          </w:p>
        </w:tc>
        <w:tc>
          <w:tcPr>
            <w:tcW w:w="3979" w:type="dxa"/>
          </w:tcPr>
          <w:p w14:paraId="7C5DBA33" w14:textId="77777777" w:rsidR="00DB4AC9" w:rsidRDefault="00DB4AC9" w:rsidP="00AD6AC8">
            <w:pPr>
              <w:spacing w:after="0"/>
            </w:pPr>
            <w:r>
              <w:rPr>
                <w:sz w:val="20"/>
                <w:szCs w:val="20"/>
              </w:rPr>
              <w:t>Client Site (face-to-face)</w:t>
            </w:r>
          </w:p>
        </w:tc>
      </w:tr>
      <w:tr w:rsidR="00DB4AC9" w14:paraId="1B5C21C3" w14:textId="77777777" w:rsidTr="00AD6AC8">
        <w:trPr>
          <w:jc w:val="center"/>
        </w:trPr>
        <w:tc>
          <w:tcPr>
            <w:tcW w:w="3934" w:type="dxa"/>
          </w:tcPr>
          <w:p w14:paraId="1F2BBE38" w14:textId="77777777" w:rsidR="00DB4AC9" w:rsidRDefault="00DB4AC9" w:rsidP="00AD6AC8">
            <w:pPr>
              <w:spacing w:after="0"/>
            </w:pPr>
            <w:r>
              <w:rPr>
                <w:color w:val="666666"/>
                <w:sz w:val="20"/>
                <w:szCs w:val="20"/>
              </w:rPr>
              <w:t xml:space="preserve">SBA Counseling Area: </w:t>
            </w:r>
          </w:p>
        </w:tc>
        <w:tc>
          <w:tcPr>
            <w:tcW w:w="3979" w:type="dxa"/>
          </w:tcPr>
          <w:p w14:paraId="6C2D27C8" w14:textId="77777777" w:rsidR="00DB4AC9" w:rsidRDefault="00DB4AC9" w:rsidP="00AD6AC8">
            <w:pPr>
              <w:spacing w:after="0"/>
            </w:pPr>
            <w:r>
              <w:rPr>
                <w:sz w:val="20"/>
                <w:szCs w:val="20"/>
              </w:rPr>
              <w:t>Business Start-up/Acquisition</w:t>
            </w:r>
          </w:p>
        </w:tc>
      </w:tr>
      <w:tr w:rsidR="00DB4AC9" w14:paraId="4B3F731C" w14:textId="77777777" w:rsidTr="00AD6AC8">
        <w:trPr>
          <w:jc w:val="center"/>
        </w:trPr>
        <w:tc>
          <w:tcPr>
            <w:tcW w:w="3934" w:type="dxa"/>
          </w:tcPr>
          <w:p w14:paraId="3888044A" w14:textId="77777777" w:rsidR="00DB4AC9" w:rsidRDefault="00DB4AC9" w:rsidP="00AD6AC8">
            <w:pPr>
              <w:spacing w:after="0"/>
            </w:pPr>
            <w:r>
              <w:rPr>
                <w:color w:val="666666"/>
                <w:sz w:val="20"/>
                <w:szCs w:val="20"/>
              </w:rPr>
              <w:t>Preparation Time:</w:t>
            </w:r>
          </w:p>
        </w:tc>
        <w:tc>
          <w:tcPr>
            <w:tcW w:w="3979" w:type="dxa"/>
          </w:tcPr>
          <w:p w14:paraId="55196B8A" w14:textId="77777777" w:rsidR="00DB4AC9" w:rsidRDefault="00DB4AC9" w:rsidP="00AD6AC8">
            <w:pPr>
              <w:spacing w:after="0"/>
            </w:pPr>
            <w:r>
              <w:rPr>
                <w:sz w:val="20"/>
                <w:szCs w:val="20"/>
              </w:rPr>
              <w:t>7.0</w:t>
            </w:r>
          </w:p>
        </w:tc>
      </w:tr>
      <w:tr w:rsidR="00DB4AC9" w14:paraId="7862874F" w14:textId="77777777" w:rsidTr="00AD6AC8">
        <w:trPr>
          <w:jc w:val="center"/>
        </w:trPr>
        <w:tc>
          <w:tcPr>
            <w:tcW w:w="3934" w:type="dxa"/>
          </w:tcPr>
          <w:p w14:paraId="5C2FDB2D" w14:textId="77777777" w:rsidR="00DB4AC9" w:rsidRDefault="00DB4AC9" w:rsidP="00AD6AC8">
            <w:pPr>
              <w:spacing w:after="0"/>
            </w:pPr>
            <w:r>
              <w:rPr>
                <w:color w:val="666666"/>
                <w:sz w:val="20"/>
                <w:szCs w:val="20"/>
              </w:rPr>
              <w:t xml:space="preserve">Travel Time: </w:t>
            </w:r>
          </w:p>
        </w:tc>
        <w:tc>
          <w:tcPr>
            <w:tcW w:w="3979" w:type="dxa"/>
          </w:tcPr>
          <w:p w14:paraId="32F83DAB" w14:textId="77777777" w:rsidR="00DB4AC9" w:rsidRDefault="00DB4AC9" w:rsidP="00AD6AC8">
            <w:pPr>
              <w:spacing w:after="0"/>
            </w:pPr>
            <w:r>
              <w:rPr>
                <w:sz w:val="20"/>
                <w:szCs w:val="20"/>
              </w:rPr>
              <w:t>0.25</w:t>
            </w:r>
          </w:p>
        </w:tc>
      </w:tr>
      <w:tr w:rsidR="00DB4AC9" w14:paraId="572FDF87" w14:textId="77777777" w:rsidTr="00AD6AC8">
        <w:trPr>
          <w:jc w:val="center"/>
        </w:trPr>
        <w:tc>
          <w:tcPr>
            <w:tcW w:w="3934" w:type="dxa"/>
          </w:tcPr>
          <w:p w14:paraId="76EDD8C2" w14:textId="77777777" w:rsidR="00DB4AC9" w:rsidRDefault="00DB4AC9" w:rsidP="00AD6AC8">
            <w:pPr>
              <w:spacing w:after="0"/>
            </w:pPr>
            <w:r>
              <w:rPr>
                <w:color w:val="666666"/>
                <w:sz w:val="20"/>
                <w:szCs w:val="20"/>
              </w:rPr>
              <w:t>Contact Time:</w:t>
            </w:r>
          </w:p>
        </w:tc>
        <w:tc>
          <w:tcPr>
            <w:tcW w:w="3979" w:type="dxa"/>
          </w:tcPr>
          <w:p w14:paraId="1DA17C72" w14:textId="77777777" w:rsidR="00DB4AC9" w:rsidRDefault="00DB4AC9" w:rsidP="00AD6AC8">
            <w:pPr>
              <w:spacing w:after="0"/>
            </w:pPr>
            <w:r>
              <w:rPr>
                <w:sz w:val="20"/>
                <w:szCs w:val="20"/>
              </w:rPr>
              <w:t>2.0</w:t>
            </w:r>
          </w:p>
        </w:tc>
      </w:tr>
    </w:tbl>
    <w:p w14:paraId="629F2E22" w14:textId="77777777" w:rsidR="00DB4AC9" w:rsidRDefault="00DB4AC9" w:rsidP="00DB4AC9">
      <w:pPr>
        <w:spacing w:after="0"/>
      </w:pPr>
    </w:p>
    <w:p w14:paraId="0FB9C45E" w14:textId="77777777" w:rsidR="00DB4AC9" w:rsidRDefault="00DB4AC9" w:rsidP="00DB4AC9">
      <w:r>
        <w:rPr>
          <w:sz w:val="20"/>
          <w:szCs w:val="20"/>
        </w:rPr>
        <w:t xml:space="preserve">I met with the client at the request of </w:t>
      </w:r>
      <w:proofErr w:type="gramStart"/>
      <w:r>
        <w:rPr>
          <w:sz w:val="20"/>
          <w:szCs w:val="20"/>
        </w:rPr>
        <w:t>the Marshall</w:t>
      </w:r>
      <w:proofErr w:type="gramEnd"/>
      <w:r>
        <w:rPr>
          <w:sz w:val="20"/>
          <w:szCs w:val="20"/>
        </w:rPr>
        <w:t xml:space="preserve"> SBDC. The client is a licensed master plumber that has decided to start business on his own. He has more than twenty years of experience with the last seven years being a master plumber. CLIENT previously worked for Jones Plumbing but was dissatisfied with the working environment. CLIENT has registered his business with the Secretary of State and started effect June 12, 2005. The client has already accrued receivables in the amount of $1,200.00. </w:t>
      </w:r>
    </w:p>
    <w:p w14:paraId="64AF00D8" w14:textId="77777777" w:rsidR="00DB4AC9" w:rsidRDefault="00DB4AC9" w:rsidP="00DB4AC9">
      <w:r>
        <w:rPr>
          <w:sz w:val="20"/>
          <w:szCs w:val="20"/>
        </w:rPr>
        <w:t xml:space="preserve">CLIENT is asking for assistance to prepare a business plan to obtain funding to help build necessary inventory and cover operating expenses for the next three to four months. The client has </w:t>
      </w:r>
      <w:proofErr w:type="gramStart"/>
      <w:r>
        <w:rPr>
          <w:sz w:val="20"/>
          <w:szCs w:val="20"/>
        </w:rPr>
        <w:t>quoted on</w:t>
      </w:r>
      <w:proofErr w:type="gramEnd"/>
      <w:r>
        <w:rPr>
          <w:sz w:val="20"/>
          <w:szCs w:val="20"/>
        </w:rPr>
        <w:t xml:space="preserve"> three jobs that could be worth approximately $30,000.00 if he is selected. The client has three competitors in the </w:t>
      </w:r>
      <w:proofErr w:type="gramStart"/>
      <w:r>
        <w:rPr>
          <w:sz w:val="20"/>
          <w:szCs w:val="20"/>
        </w:rPr>
        <w:t>area</w:t>
      </w:r>
      <w:proofErr w:type="gramEnd"/>
      <w:r>
        <w:rPr>
          <w:sz w:val="20"/>
          <w:szCs w:val="20"/>
        </w:rPr>
        <w:t xml:space="preserve"> but they are not much competition. Jones is the largest and has been in the area longest but is developing a reputation for overly expensive and </w:t>
      </w:r>
      <w:proofErr w:type="gramStart"/>
      <w:r>
        <w:rPr>
          <w:sz w:val="20"/>
          <w:szCs w:val="20"/>
        </w:rPr>
        <w:t>poor quality</w:t>
      </w:r>
      <w:proofErr w:type="gramEnd"/>
      <w:r>
        <w:rPr>
          <w:sz w:val="20"/>
          <w:szCs w:val="20"/>
        </w:rPr>
        <w:t xml:space="preserve"> work. The other two competitors are an independent plumber that works part-time and a two-man company that is not very effective. CLIENT has developed a following locally and should be able to be successful. In talking to CLIENT was informed that his wife would be doing the office work and keeping the books. The company is using </w:t>
      </w:r>
      <w:proofErr w:type="gramStart"/>
      <w:r>
        <w:rPr>
          <w:sz w:val="20"/>
          <w:szCs w:val="20"/>
        </w:rPr>
        <w:t>QuickBooks</w:t>
      </w:r>
      <w:proofErr w:type="gramEnd"/>
      <w:r>
        <w:rPr>
          <w:sz w:val="20"/>
          <w:szCs w:val="20"/>
        </w:rPr>
        <w:t xml:space="preserve"> and the wife is having a difficult time with the system. CLIENT has asked for assistance in teaching her the basics of the system also. </w:t>
      </w:r>
    </w:p>
    <w:p w14:paraId="28C04F3D" w14:textId="77777777" w:rsidR="00DB4AC9" w:rsidRDefault="00DB4AC9" w:rsidP="00DB4AC9">
      <w:r>
        <w:rPr>
          <w:sz w:val="20"/>
          <w:szCs w:val="20"/>
        </w:rPr>
        <w:t>I will prepare a short guide for her on the system and suggestions on how to handle the accounts. A quick review of the system indicated that she may have set up the accounts incorrectly and will need to redo the chart of accounts as well as part listings that she has placed in the system to date. I will also help mentor them through the business plan. I have started to prepare the necessary information to assist with QuickBooks and will meet with them after July 4th.</w:t>
      </w:r>
      <w:r>
        <w:rPr>
          <w:sz w:val="20"/>
          <w:szCs w:val="20"/>
        </w:rPr>
        <w:br/>
      </w:r>
    </w:p>
    <w:tbl>
      <w:tblPr>
        <w:tblW w:w="7913" w:type="dxa"/>
        <w:jc w:val="center"/>
        <w:tblLayout w:type="fixed"/>
        <w:tblCellMar>
          <w:left w:w="0" w:type="dxa"/>
          <w:right w:w="0" w:type="dxa"/>
        </w:tblCellMar>
        <w:tblLook w:val="0000" w:firstRow="0" w:lastRow="0" w:firstColumn="0" w:lastColumn="0" w:noHBand="0" w:noVBand="0"/>
      </w:tblPr>
      <w:tblGrid>
        <w:gridCol w:w="3934"/>
        <w:gridCol w:w="3979"/>
      </w:tblGrid>
      <w:tr w:rsidR="00DB4AC9" w14:paraId="5C40EB43" w14:textId="77777777" w:rsidTr="00AD6AC8">
        <w:trPr>
          <w:jc w:val="center"/>
        </w:trPr>
        <w:tc>
          <w:tcPr>
            <w:tcW w:w="3934" w:type="dxa"/>
          </w:tcPr>
          <w:p w14:paraId="74AC98CB" w14:textId="77777777" w:rsidR="00DB4AC9" w:rsidRDefault="00DB4AC9" w:rsidP="00AD6AC8">
            <w:pPr>
              <w:spacing w:after="0"/>
            </w:pPr>
            <w:r>
              <w:rPr>
                <w:color w:val="666666"/>
                <w:sz w:val="20"/>
                <w:szCs w:val="20"/>
              </w:rPr>
              <w:t>Center:</w:t>
            </w:r>
          </w:p>
        </w:tc>
        <w:tc>
          <w:tcPr>
            <w:tcW w:w="3979" w:type="dxa"/>
          </w:tcPr>
          <w:p w14:paraId="1C6EA872" w14:textId="77777777" w:rsidR="00DB4AC9" w:rsidRDefault="00DB4AC9" w:rsidP="00AD6AC8">
            <w:pPr>
              <w:spacing w:after="0"/>
            </w:pPr>
            <w:r>
              <w:rPr>
                <w:sz w:val="20"/>
                <w:szCs w:val="20"/>
              </w:rPr>
              <w:t>St. Thomas</w:t>
            </w:r>
          </w:p>
        </w:tc>
      </w:tr>
      <w:tr w:rsidR="00DB4AC9" w14:paraId="2B7DB76E" w14:textId="77777777" w:rsidTr="00AD6AC8">
        <w:trPr>
          <w:jc w:val="center"/>
        </w:trPr>
        <w:tc>
          <w:tcPr>
            <w:tcW w:w="3934" w:type="dxa"/>
          </w:tcPr>
          <w:p w14:paraId="418E5EFA" w14:textId="77777777" w:rsidR="00DB4AC9" w:rsidRDefault="00DB4AC9" w:rsidP="00AD6AC8">
            <w:pPr>
              <w:spacing w:after="0"/>
            </w:pPr>
            <w:r>
              <w:rPr>
                <w:color w:val="666666"/>
                <w:sz w:val="20"/>
                <w:szCs w:val="20"/>
              </w:rPr>
              <w:t>Session Date:</w:t>
            </w:r>
          </w:p>
        </w:tc>
        <w:tc>
          <w:tcPr>
            <w:tcW w:w="3979" w:type="dxa"/>
          </w:tcPr>
          <w:p w14:paraId="0DDE7D68" w14:textId="77777777" w:rsidR="00DB4AC9" w:rsidRDefault="00DB4AC9" w:rsidP="00AD6AC8">
            <w:pPr>
              <w:spacing w:after="0"/>
            </w:pPr>
            <w:r>
              <w:rPr>
                <w:sz w:val="20"/>
                <w:szCs w:val="20"/>
              </w:rPr>
              <w:t>1/4/2005</w:t>
            </w:r>
          </w:p>
        </w:tc>
      </w:tr>
      <w:tr w:rsidR="00DB4AC9" w14:paraId="4ADCE4E1" w14:textId="77777777" w:rsidTr="00AD6AC8">
        <w:trPr>
          <w:jc w:val="center"/>
        </w:trPr>
        <w:tc>
          <w:tcPr>
            <w:tcW w:w="3934" w:type="dxa"/>
          </w:tcPr>
          <w:p w14:paraId="10F2B6BA" w14:textId="77777777" w:rsidR="00DB4AC9" w:rsidRDefault="00DB4AC9" w:rsidP="00AD6AC8">
            <w:pPr>
              <w:spacing w:after="0"/>
            </w:pPr>
            <w:r>
              <w:rPr>
                <w:color w:val="666666"/>
                <w:sz w:val="20"/>
                <w:szCs w:val="20"/>
              </w:rPr>
              <w:t>Type:</w:t>
            </w:r>
          </w:p>
        </w:tc>
        <w:tc>
          <w:tcPr>
            <w:tcW w:w="3979" w:type="dxa"/>
          </w:tcPr>
          <w:p w14:paraId="4A58C726" w14:textId="77777777" w:rsidR="00DB4AC9" w:rsidRDefault="00DB4AC9" w:rsidP="00AD6AC8">
            <w:pPr>
              <w:spacing w:after="0"/>
            </w:pPr>
            <w:r>
              <w:rPr>
                <w:sz w:val="20"/>
                <w:szCs w:val="20"/>
              </w:rPr>
              <w:t>Initial/New</w:t>
            </w:r>
          </w:p>
        </w:tc>
      </w:tr>
      <w:tr w:rsidR="00DB4AC9" w14:paraId="6CD0DB59" w14:textId="77777777" w:rsidTr="00AD6AC8">
        <w:trPr>
          <w:jc w:val="center"/>
        </w:trPr>
        <w:tc>
          <w:tcPr>
            <w:tcW w:w="3934" w:type="dxa"/>
          </w:tcPr>
          <w:p w14:paraId="1745710B" w14:textId="77777777" w:rsidR="00DB4AC9" w:rsidRDefault="00DB4AC9" w:rsidP="00AD6AC8">
            <w:pPr>
              <w:spacing w:after="0"/>
            </w:pPr>
            <w:r>
              <w:rPr>
                <w:color w:val="666666"/>
                <w:sz w:val="20"/>
                <w:szCs w:val="20"/>
              </w:rPr>
              <w:t>Contact Type:</w:t>
            </w:r>
          </w:p>
        </w:tc>
        <w:tc>
          <w:tcPr>
            <w:tcW w:w="3979" w:type="dxa"/>
          </w:tcPr>
          <w:p w14:paraId="5E0E7CA6" w14:textId="77777777" w:rsidR="00DB4AC9" w:rsidRDefault="00DB4AC9" w:rsidP="00AD6AC8">
            <w:pPr>
              <w:spacing w:after="0"/>
            </w:pPr>
            <w:r>
              <w:rPr>
                <w:sz w:val="20"/>
                <w:szCs w:val="20"/>
              </w:rPr>
              <w:t>Online (E-mail or Web)</w:t>
            </w:r>
          </w:p>
        </w:tc>
      </w:tr>
      <w:tr w:rsidR="00DB4AC9" w14:paraId="42EC8B94" w14:textId="77777777" w:rsidTr="00AD6AC8">
        <w:trPr>
          <w:jc w:val="center"/>
        </w:trPr>
        <w:tc>
          <w:tcPr>
            <w:tcW w:w="3934" w:type="dxa"/>
          </w:tcPr>
          <w:p w14:paraId="237BC684" w14:textId="77777777" w:rsidR="00DB4AC9" w:rsidRDefault="00DB4AC9" w:rsidP="00AD6AC8">
            <w:pPr>
              <w:spacing w:after="0"/>
            </w:pPr>
            <w:r>
              <w:rPr>
                <w:color w:val="666666"/>
                <w:sz w:val="20"/>
                <w:szCs w:val="20"/>
              </w:rPr>
              <w:t xml:space="preserve">SBA Counseling Area: </w:t>
            </w:r>
          </w:p>
        </w:tc>
        <w:tc>
          <w:tcPr>
            <w:tcW w:w="3979" w:type="dxa"/>
          </w:tcPr>
          <w:p w14:paraId="5E7B800E" w14:textId="77777777" w:rsidR="00DB4AC9" w:rsidRDefault="00DB4AC9" w:rsidP="00AD6AC8">
            <w:pPr>
              <w:spacing w:after="0"/>
            </w:pPr>
            <w:r>
              <w:rPr>
                <w:sz w:val="20"/>
                <w:szCs w:val="20"/>
              </w:rPr>
              <w:t>Business Start-up/Acquisition</w:t>
            </w:r>
          </w:p>
        </w:tc>
      </w:tr>
      <w:tr w:rsidR="00DB4AC9" w14:paraId="70FEB4F0" w14:textId="77777777" w:rsidTr="00AD6AC8">
        <w:trPr>
          <w:jc w:val="center"/>
        </w:trPr>
        <w:tc>
          <w:tcPr>
            <w:tcW w:w="3934" w:type="dxa"/>
          </w:tcPr>
          <w:p w14:paraId="07B3753A" w14:textId="77777777" w:rsidR="00DB4AC9" w:rsidRDefault="00DB4AC9" w:rsidP="00AD6AC8">
            <w:pPr>
              <w:spacing w:after="0"/>
            </w:pPr>
            <w:r>
              <w:rPr>
                <w:color w:val="666666"/>
                <w:sz w:val="20"/>
                <w:szCs w:val="20"/>
              </w:rPr>
              <w:t>Preparation Time:</w:t>
            </w:r>
          </w:p>
        </w:tc>
        <w:tc>
          <w:tcPr>
            <w:tcW w:w="3979" w:type="dxa"/>
          </w:tcPr>
          <w:p w14:paraId="0AA4D7FD" w14:textId="77777777" w:rsidR="00DB4AC9" w:rsidRDefault="00DB4AC9" w:rsidP="00AD6AC8">
            <w:pPr>
              <w:spacing w:after="0"/>
            </w:pPr>
            <w:r>
              <w:rPr>
                <w:sz w:val="20"/>
                <w:szCs w:val="20"/>
              </w:rPr>
              <w:t>0.0</w:t>
            </w:r>
          </w:p>
        </w:tc>
      </w:tr>
      <w:tr w:rsidR="00DB4AC9" w14:paraId="1116C449" w14:textId="77777777" w:rsidTr="00AD6AC8">
        <w:trPr>
          <w:jc w:val="center"/>
        </w:trPr>
        <w:tc>
          <w:tcPr>
            <w:tcW w:w="3934" w:type="dxa"/>
          </w:tcPr>
          <w:p w14:paraId="76704595" w14:textId="77777777" w:rsidR="00DB4AC9" w:rsidRDefault="00DB4AC9" w:rsidP="00AD6AC8">
            <w:pPr>
              <w:spacing w:after="0"/>
            </w:pPr>
            <w:r>
              <w:rPr>
                <w:color w:val="666666"/>
                <w:sz w:val="20"/>
                <w:szCs w:val="20"/>
              </w:rPr>
              <w:t xml:space="preserve">Travel Time: </w:t>
            </w:r>
          </w:p>
        </w:tc>
        <w:tc>
          <w:tcPr>
            <w:tcW w:w="3979" w:type="dxa"/>
          </w:tcPr>
          <w:p w14:paraId="4C2A62A2" w14:textId="77777777" w:rsidR="00DB4AC9" w:rsidRDefault="00DB4AC9" w:rsidP="00AD6AC8">
            <w:pPr>
              <w:spacing w:after="0"/>
            </w:pPr>
            <w:r>
              <w:rPr>
                <w:sz w:val="20"/>
                <w:szCs w:val="20"/>
              </w:rPr>
              <w:t>0.0</w:t>
            </w:r>
          </w:p>
        </w:tc>
      </w:tr>
      <w:tr w:rsidR="00DB4AC9" w14:paraId="3F844303" w14:textId="77777777" w:rsidTr="00AD6AC8">
        <w:trPr>
          <w:jc w:val="center"/>
        </w:trPr>
        <w:tc>
          <w:tcPr>
            <w:tcW w:w="3934" w:type="dxa"/>
          </w:tcPr>
          <w:p w14:paraId="3174D96C" w14:textId="77777777" w:rsidR="00DB4AC9" w:rsidRDefault="00DB4AC9" w:rsidP="00AD6AC8">
            <w:pPr>
              <w:spacing w:after="0"/>
            </w:pPr>
            <w:r>
              <w:rPr>
                <w:color w:val="666666"/>
                <w:sz w:val="20"/>
                <w:szCs w:val="20"/>
              </w:rPr>
              <w:t>Contact Time:</w:t>
            </w:r>
          </w:p>
        </w:tc>
        <w:tc>
          <w:tcPr>
            <w:tcW w:w="3979" w:type="dxa"/>
          </w:tcPr>
          <w:p w14:paraId="6AC5C0D9" w14:textId="77777777" w:rsidR="00DB4AC9" w:rsidRDefault="00DB4AC9" w:rsidP="00AD6AC8">
            <w:pPr>
              <w:spacing w:after="0"/>
            </w:pPr>
            <w:r>
              <w:rPr>
                <w:sz w:val="20"/>
                <w:szCs w:val="20"/>
              </w:rPr>
              <w:t>1.0</w:t>
            </w:r>
          </w:p>
        </w:tc>
      </w:tr>
    </w:tbl>
    <w:p w14:paraId="500B9F6F" w14:textId="77777777" w:rsidR="00DB4AC9" w:rsidRDefault="00DB4AC9" w:rsidP="00DB4AC9">
      <w:pPr>
        <w:keepNext/>
      </w:pPr>
    </w:p>
    <w:p w14:paraId="68F03AE4" w14:textId="77777777" w:rsidR="00DB4AC9" w:rsidRDefault="00DB4AC9" w:rsidP="00DB4AC9">
      <w:pPr>
        <w:keepNext/>
      </w:pPr>
      <w:r>
        <w:rPr>
          <w:sz w:val="20"/>
          <w:szCs w:val="20"/>
        </w:rPr>
        <w:t xml:space="preserve">Analysis of client problem: CLIENT is starting a commercial construction company and needs advice on various start-up issues. I have worked with him previously on a variety of issues; today's work was to address the DBA/women owned designation, which they have been dealing with. This can be advantageous in their situation, so it is in their best interest to complete the paperwork and obtain the designation. </w:t>
      </w:r>
    </w:p>
    <w:p w14:paraId="6310274D" w14:textId="77777777" w:rsidR="00DB4AC9" w:rsidRDefault="00DB4AC9" w:rsidP="00DB4AC9">
      <w:pPr>
        <w:keepNext/>
      </w:pPr>
      <w:r>
        <w:rPr>
          <w:sz w:val="20"/>
          <w:szCs w:val="20"/>
        </w:rPr>
        <w:t xml:space="preserve">Summary of what counselor did during the session: </w:t>
      </w:r>
      <w:r>
        <w:rPr>
          <w:sz w:val="20"/>
          <w:szCs w:val="20"/>
        </w:rPr>
        <w:br/>
        <w:t xml:space="preserve">CLIENT and his wife </w:t>
      </w:r>
      <w:proofErr w:type="gramStart"/>
      <w:r>
        <w:rPr>
          <w:sz w:val="20"/>
          <w:szCs w:val="20"/>
        </w:rPr>
        <w:t>have established</w:t>
      </w:r>
      <w:proofErr w:type="gramEnd"/>
      <w:r>
        <w:rPr>
          <w:sz w:val="20"/>
          <w:szCs w:val="20"/>
        </w:rPr>
        <w:t xml:space="preserve"> this company with 51% ownership by her and 49% by CLIENT, therefore they can qualify as a DBA. She is taking an active role in the business. They have found some information about getting this </w:t>
      </w:r>
      <w:proofErr w:type="gramStart"/>
      <w:r>
        <w:rPr>
          <w:sz w:val="20"/>
          <w:szCs w:val="20"/>
        </w:rPr>
        <w:t>designation, but</w:t>
      </w:r>
      <w:proofErr w:type="gramEnd"/>
      <w:r>
        <w:rPr>
          <w:sz w:val="20"/>
          <w:szCs w:val="20"/>
        </w:rPr>
        <w:t xml:space="preserve"> want to be sure they have things done. They have found a source that will charge them to </w:t>
      </w:r>
      <w:r>
        <w:rPr>
          <w:sz w:val="20"/>
          <w:szCs w:val="20"/>
        </w:rPr>
        <w:lastRenderedPageBreak/>
        <w:t xml:space="preserve">complete the paperwork, but there are ways that they can easily do this themselves. This information was forwarded to them for their consideration. </w:t>
      </w:r>
    </w:p>
    <w:p w14:paraId="7DC09314" w14:textId="77777777" w:rsidR="00DB4AC9" w:rsidRDefault="00DB4AC9" w:rsidP="00DB4AC9">
      <w:pPr>
        <w:keepNext/>
      </w:pPr>
      <w:r>
        <w:rPr>
          <w:sz w:val="20"/>
          <w:szCs w:val="20"/>
        </w:rPr>
        <w:t xml:space="preserve">Recommendation: Complete the </w:t>
      </w:r>
      <w:proofErr w:type="gramStart"/>
      <w:r>
        <w:rPr>
          <w:sz w:val="20"/>
          <w:szCs w:val="20"/>
        </w:rPr>
        <w:t>all in one</w:t>
      </w:r>
      <w:proofErr w:type="gramEnd"/>
      <w:r>
        <w:rPr>
          <w:sz w:val="20"/>
          <w:szCs w:val="20"/>
        </w:rPr>
        <w:t xml:space="preserve"> form for Minnesota--which covers the Met Council, MnDOT and others. I will follow up to see how they have chosen to do this. </w:t>
      </w:r>
    </w:p>
    <w:p w14:paraId="5FD76BDC" w14:textId="77777777" w:rsidR="00DB4AC9" w:rsidRDefault="00DB4AC9" w:rsidP="00DB4AC9">
      <w:pPr>
        <w:keepNext/>
      </w:pPr>
      <w:r>
        <w:rPr>
          <w:sz w:val="20"/>
          <w:szCs w:val="20"/>
        </w:rPr>
        <w:t>Follow up: In January with client.</w:t>
      </w:r>
    </w:p>
    <w:p w14:paraId="6651D207" w14:textId="77777777" w:rsidR="00DB4AC9" w:rsidRDefault="00DB4AC9" w:rsidP="00DB4AC9">
      <w:pPr>
        <w:spacing w:after="0"/>
      </w:pPr>
    </w:p>
    <w:p w14:paraId="6BF34117" w14:textId="77777777" w:rsidR="00DB4AC9" w:rsidRDefault="00DB4AC9" w:rsidP="00DB4AC9">
      <w:pPr>
        <w:pStyle w:val="Heading4"/>
        <w:spacing w:before="0"/>
      </w:pPr>
    </w:p>
    <w:p w14:paraId="6E14F46E" w14:textId="77777777" w:rsidR="00DB4AC9" w:rsidRDefault="00DB4AC9" w:rsidP="00DB4AC9">
      <w:r>
        <w:br w:type="page"/>
      </w:r>
    </w:p>
    <w:p w14:paraId="34F22183" w14:textId="77777777" w:rsidR="00DB4AC9" w:rsidRDefault="00DB4AC9" w:rsidP="00DB4AC9">
      <w:pPr>
        <w:widowControl w:val="0"/>
        <w:spacing w:after="0" w:line="276" w:lineRule="auto"/>
      </w:pPr>
    </w:p>
    <w:p w14:paraId="47FC7AAD" w14:textId="77777777" w:rsidR="00DB4AC9" w:rsidRDefault="00DB4AC9" w:rsidP="00DB4AC9"/>
    <w:p w14:paraId="3BFB21C1" w14:textId="77777777" w:rsidR="00DB4AC9" w:rsidRDefault="00DB4AC9" w:rsidP="00DB4AC9">
      <w:pPr>
        <w:pStyle w:val="Heading1"/>
      </w:pPr>
      <w:bookmarkStart w:id="257" w:name="_4ddeoix" w:colFirst="0" w:colLast="0"/>
      <w:bookmarkEnd w:id="257"/>
      <w:r>
        <w:t>Appendix 3 – Database Cleanup Manual</w:t>
      </w:r>
    </w:p>
    <w:p w14:paraId="2C4AB9F6" w14:textId="77777777" w:rsidR="00DB4AC9" w:rsidRDefault="00DB4AC9" w:rsidP="00DB4AC9">
      <w:pPr>
        <w:spacing w:after="0"/>
      </w:pPr>
    </w:p>
    <w:tbl>
      <w:tblPr>
        <w:tblW w:w="0" w:type="auto"/>
        <w:tblInd w:w="-216" w:type="dxa"/>
        <w:tblLayout w:type="fixed"/>
        <w:tblCellMar>
          <w:top w:w="216" w:type="dxa"/>
          <w:left w:w="216" w:type="dxa"/>
          <w:bottom w:w="216" w:type="dxa"/>
          <w:right w:w="216" w:type="dxa"/>
        </w:tblCellMar>
        <w:tblLook w:val="0400" w:firstRow="0" w:lastRow="0" w:firstColumn="0" w:lastColumn="0" w:noHBand="0" w:noVBand="1"/>
      </w:tblPr>
      <w:tblGrid>
        <w:gridCol w:w="3120"/>
        <w:gridCol w:w="3120"/>
        <w:gridCol w:w="3120"/>
      </w:tblGrid>
      <w:tr w:rsidR="00DB4AC9" w14:paraId="4BA6441F" w14:textId="77777777" w:rsidTr="00AD6AC8">
        <w:tc>
          <w:tcPr>
            <w:tcW w:w="3120" w:type="dxa"/>
            <w:tcBorders>
              <w:bottom w:val="single" w:sz="18" w:space="0" w:color="808080"/>
              <w:right w:val="single" w:sz="18" w:space="0" w:color="808080"/>
            </w:tcBorders>
            <w:vAlign w:val="center"/>
          </w:tcPr>
          <w:p w14:paraId="49CCEBD5" w14:textId="77777777" w:rsidR="00DB4AC9" w:rsidRDefault="00DB4AC9" w:rsidP="00AD6AC8">
            <w:pPr>
              <w:spacing w:after="0"/>
            </w:pPr>
            <w:r>
              <w:rPr>
                <w:rFonts w:ascii="Cambria" w:eastAsia="Cambria" w:hAnsi="Cambria" w:cs="Cambria"/>
                <w:sz w:val="76"/>
                <w:szCs w:val="76"/>
              </w:rPr>
              <w:t>WebCATS</w:t>
            </w:r>
            <w:r>
              <w:rPr>
                <w:rFonts w:ascii="Times New Roman" w:eastAsia="Times New Roman" w:hAnsi="Times New Roman" w:cs="Times New Roman"/>
                <w:sz w:val="36"/>
                <w:szCs w:val="36"/>
              </w:rPr>
              <w:t xml:space="preserve"> </w:t>
            </w:r>
          </w:p>
          <w:p w14:paraId="55801F92" w14:textId="77777777" w:rsidR="00DB4AC9" w:rsidRDefault="00DB4AC9" w:rsidP="00AD6AC8">
            <w:pPr>
              <w:spacing w:after="0"/>
            </w:pPr>
            <w:r>
              <w:rPr>
                <w:rFonts w:ascii="Cambria" w:eastAsia="Cambria" w:hAnsi="Cambria" w:cs="Cambria"/>
                <w:b/>
                <w:sz w:val="56"/>
                <w:szCs w:val="56"/>
              </w:rPr>
              <w:t>Review and Database Clean-Up Procedures</w:t>
            </w:r>
          </w:p>
        </w:tc>
        <w:tc>
          <w:tcPr>
            <w:tcW w:w="6240" w:type="dxa"/>
            <w:gridSpan w:val="2"/>
            <w:tcBorders>
              <w:left w:val="single" w:sz="18" w:space="0" w:color="808080"/>
              <w:bottom w:val="single" w:sz="18" w:space="0" w:color="808080"/>
            </w:tcBorders>
            <w:vAlign w:val="center"/>
          </w:tcPr>
          <w:p w14:paraId="2F481209" w14:textId="77777777" w:rsidR="00DB4AC9" w:rsidRDefault="00DB4AC9" w:rsidP="00AD6AC8">
            <w:pPr>
              <w:spacing w:after="0"/>
            </w:pPr>
            <w:r>
              <w:rPr>
                <w:rFonts w:ascii="Cambria" w:eastAsia="Cambria" w:hAnsi="Cambria" w:cs="Cambria"/>
                <w:sz w:val="24"/>
                <w:szCs w:val="24"/>
              </w:rPr>
              <w:t>Last Updated: February 4</w:t>
            </w:r>
          </w:p>
          <w:p w14:paraId="7AE8AF9E" w14:textId="77777777" w:rsidR="00DB4AC9" w:rsidRDefault="00DB4AC9" w:rsidP="00AD6AC8">
            <w:pPr>
              <w:spacing w:after="0"/>
            </w:pPr>
            <w:r>
              <w:rPr>
                <w:color w:val="4F81BD"/>
                <w:sz w:val="200"/>
                <w:szCs w:val="200"/>
              </w:rPr>
              <w:t>2013</w:t>
            </w:r>
          </w:p>
        </w:tc>
      </w:tr>
      <w:tr w:rsidR="00DB4AC9" w14:paraId="21625BEC" w14:textId="77777777" w:rsidTr="00AD6AC8">
        <w:tc>
          <w:tcPr>
            <w:tcW w:w="6240" w:type="dxa"/>
            <w:gridSpan w:val="2"/>
            <w:tcBorders>
              <w:top w:val="single" w:sz="18" w:space="0" w:color="808080"/>
            </w:tcBorders>
            <w:vAlign w:val="center"/>
          </w:tcPr>
          <w:p w14:paraId="44903FB0" w14:textId="77777777" w:rsidR="00DB4AC9" w:rsidRDefault="00DB4AC9" w:rsidP="00AD6AC8">
            <w:pPr>
              <w:spacing w:after="0"/>
            </w:pPr>
            <w:r>
              <w:t xml:space="preserve">This document contains procedures for ensuring the integrity of the data stored within the </w:t>
            </w:r>
            <w:proofErr w:type="spellStart"/>
            <w:r>
              <w:t>WebCATs</w:t>
            </w:r>
            <w:proofErr w:type="spellEnd"/>
            <w:r>
              <w:t xml:space="preserve"> system. Regional centers must perform database clean-up regularly to ensure the Minnesota SBDC management information system contains only allowable client, counseling, training and investment data. </w:t>
            </w:r>
          </w:p>
        </w:tc>
        <w:tc>
          <w:tcPr>
            <w:tcW w:w="3120" w:type="dxa"/>
            <w:tcBorders>
              <w:top w:val="single" w:sz="18" w:space="0" w:color="808080"/>
            </w:tcBorders>
            <w:vAlign w:val="center"/>
          </w:tcPr>
          <w:p w14:paraId="6CE82863" w14:textId="77777777" w:rsidR="00DB4AC9" w:rsidRDefault="00DB4AC9" w:rsidP="00AD6AC8">
            <w:pPr>
              <w:spacing w:after="0"/>
            </w:pPr>
            <w:r>
              <w:rPr>
                <w:rFonts w:ascii="Cambria" w:eastAsia="Cambria" w:hAnsi="Cambria" w:cs="Cambria"/>
                <w:sz w:val="36"/>
                <w:szCs w:val="36"/>
              </w:rPr>
              <w:t>To be performed on a monthly or quarterly basis.</w:t>
            </w:r>
          </w:p>
        </w:tc>
      </w:tr>
    </w:tbl>
    <w:p w14:paraId="556D2D3F" w14:textId="77777777" w:rsidR="00DB4AC9" w:rsidRDefault="00DB4AC9" w:rsidP="00DB4AC9">
      <w:r>
        <w:br w:type="page"/>
      </w:r>
    </w:p>
    <w:p w14:paraId="586DB2C9" w14:textId="77777777" w:rsidR="00DB4AC9" w:rsidRDefault="00DB4AC9" w:rsidP="00DB4AC9">
      <w:pPr>
        <w:spacing w:after="200" w:line="276" w:lineRule="auto"/>
      </w:pPr>
      <w:r>
        <w:rPr>
          <w:noProof/>
        </w:rPr>
        <w:lastRenderedPageBreak/>
        <w:drawing>
          <wp:anchor distT="0" distB="0" distL="114300" distR="114300" simplePos="0" relativeHeight="251658263" behindDoc="0" locked="0" layoutInCell="0" hidden="0" allowOverlap="1" wp14:anchorId="28087ACA" wp14:editId="685B4CA8">
            <wp:simplePos x="0" y="0"/>
            <wp:positionH relativeFrom="margin">
              <wp:posOffset>-248919</wp:posOffset>
            </wp:positionH>
            <wp:positionV relativeFrom="paragraph">
              <wp:posOffset>6444615</wp:posOffset>
            </wp:positionV>
            <wp:extent cx="2842895" cy="1899920"/>
            <wp:effectExtent l="0" t="0" r="0" b="0"/>
            <wp:wrapTopAndBottom distT="0" distB="0"/>
            <wp:docPr id="1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4"/>
                    <a:srcRect/>
                    <a:stretch>
                      <a:fillRect/>
                    </a:stretch>
                  </pic:blipFill>
                  <pic:spPr>
                    <a:xfrm>
                      <a:off x="0" y="0"/>
                      <a:ext cx="2842895" cy="1899920"/>
                    </a:xfrm>
                    <a:prstGeom prst="rect">
                      <a:avLst/>
                    </a:prstGeom>
                    <a:ln/>
                  </pic:spPr>
                </pic:pic>
              </a:graphicData>
            </a:graphic>
          </wp:anchor>
        </w:drawing>
      </w:r>
    </w:p>
    <w:p w14:paraId="0370AE40" w14:textId="77777777" w:rsidR="00DB4AC9" w:rsidRDefault="00DB4AC9" w:rsidP="00DB4AC9">
      <w:pPr>
        <w:keepNext/>
        <w:keepLines/>
        <w:spacing w:before="480" w:after="0" w:line="276" w:lineRule="auto"/>
      </w:pPr>
      <w:r>
        <w:rPr>
          <w:rFonts w:ascii="Cambria" w:eastAsia="Cambria" w:hAnsi="Cambria" w:cs="Cambria"/>
          <w:b/>
          <w:color w:val="365F91"/>
          <w:sz w:val="28"/>
          <w:szCs w:val="28"/>
        </w:rPr>
        <w:t>Contents</w:t>
      </w:r>
    </w:p>
    <w:p w14:paraId="14D98FF0" w14:textId="77777777" w:rsidR="00DB4AC9" w:rsidRDefault="00DB4AC9" w:rsidP="00DB4AC9">
      <w:pPr>
        <w:spacing w:after="0"/>
      </w:pPr>
    </w:p>
    <w:p w14:paraId="7973B6FC" w14:textId="77777777" w:rsidR="00DB4AC9" w:rsidRDefault="00DB4AC9" w:rsidP="00DB4AC9">
      <w:pPr>
        <w:tabs>
          <w:tab w:val="right" w:pos="9030"/>
        </w:tabs>
        <w:spacing w:after="100"/>
      </w:pPr>
      <w:hyperlink w:anchor="_2sioyqq">
        <w:r>
          <w:rPr>
            <w:rFonts w:ascii="Times New Roman" w:eastAsia="Times New Roman" w:hAnsi="Times New Roman" w:cs="Times New Roman"/>
            <w:color w:val="0000FF"/>
            <w:sz w:val="24"/>
            <w:szCs w:val="24"/>
            <w:u w:val="single"/>
          </w:rPr>
          <w:t>YEAR-END REVIEW AND DATABASE CLEAN-UP</w:t>
        </w:r>
      </w:hyperlink>
      <w:hyperlink w:anchor="_17nz8yj">
        <w:r>
          <w:rPr>
            <w:rFonts w:ascii="Times New Roman" w:eastAsia="Times New Roman" w:hAnsi="Times New Roman" w:cs="Times New Roman"/>
            <w:sz w:val="24"/>
            <w:szCs w:val="24"/>
          </w:rPr>
          <w:tab/>
        </w:r>
      </w:hyperlink>
    </w:p>
    <w:p w14:paraId="673FE8B7" w14:textId="77777777" w:rsidR="00DB4AC9" w:rsidRDefault="00DB4AC9" w:rsidP="00DB4AC9">
      <w:pPr>
        <w:tabs>
          <w:tab w:val="right" w:pos="9030"/>
        </w:tabs>
        <w:spacing w:after="100"/>
      </w:pPr>
      <w:hyperlink w:anchor="_17nz8yj">
        <w:r>
          <w:rPr>
            <w:rFonts w:ascii="Times New Roman" w:eastAsia="Times New Roman" w:hAnsi="Times New Roman" w:cs="Times New Roman"/>
            <w:color w:val="0000FF"/>
            <w:sz w:val="24"/>
            <w:szCs w:val="24"/>
            <w:u w:val="single"/>
          </w:rPr>
          <w:t>HOW TO USE THIS MANUAL</w:t>
        </w:r>
      </w:hyperlink>
      <w:hyperlink w:anchor="_3rnmrmc">
        <w:r>
          <w:rPr>
            <w:rFonts w:ascii="Times New Roman" w:eastAsia="Times New Roman" w:hAnsi="Times New Roman" w:cs="Times New Roman"/>
            <w:sz w:val="24"/>
            <w:szCs w:val="24"/>
          </w:rPr>
          <w:tab/>
        </w:r>
      </w:hyperlink>
    </w:p>
    <w:p w14:paraId="19CFA866" w14:textId="77777777" w:rsidR="00DB4AC9" w:rsidRDefault="00DB4AC9" w:rsidP="00DB4AC9">
      <w:pPr>
        <w:tabs>
          <w:tab w:val="right" w:pos="9030"/>
        </w:tabs>
        <w:spacing w:after="100"/>
      </w:pPr>
      <w:hyperlink w:anchor="_3rnmrmc">
        <w:r>
          <w:rPr>
            <w:rFonts w:ascii="Times New Roman" w:eastAsia="Times New Roman" w:hAnsi="Times New Roman" w:cs="Times New Roman"/>
            <w:color w:val="0000FF"/>
            <w:sz w:val="24"/>
            <w:szCs w:val="24"/>
            <w:u w:val="single"/>
          </w:rPr>
          <w:t>NOTE TO LEAD OFFICE</w:t>
        </w:r>
      </w:hyperlink>
      <w:hyperlink w:anchor="_26sx1u5">
        <w:r>
          <w:rPr>
            <w:rFonts w:ascii="Times New Roman" w:eastAsia="Times New Roman" w:hAnsi="Times New Roman" w:cs="Times New Roman"/>
            <w:sz w:val="24"/>
            <w:szCs w:val="24"/>
          </w:rPr>
          <w:tab/>
        </w:r>
      </w:hyperlink>
    </w:p>
    <w:p w14:paraId="4E7C0474" w14:textId="77777777" w:rsidR="00DB4AC9" w:rsidRDefault="00DB4AC9" w:rsidP="00DB4AC9">
      <w:pPr>
        <w:tabs>
          <w:tab w:val="right" w:pos="9030"/>
        </w:tabs>
        <w:spacing w:after="100"/>
      </w:pPr>
      <w:hyperlink w:anchor="_26sx1u5">
        <w:r>
          <w:rPr>
            <w:rFonts w:ascii="Times New Roman" w:eastAsia="Times New Roman" w:hAnsi="Times New Roman" w:cs="Times New Roman"/>
            <w:color w:val="0000FF"/>
            <w:sz w:val="24"/>
            <w:szCs w:val="24"/>
            <w:u w:val="single"/>
          </w:rPr>
          <w:t>KEY CLIENT DETAIL DATA REVIEW</w:t>
        </w:r>
      </w:hyperlink>
      <w:hyperlink w:anchor="_ly7c1y">
        <w:r>
          <w:rPr>
            <w:rFonts w:ascii="Times New Roman" w:eastAsia="Times New Roman" w:hAnsi="Times New Roman" w:cs="Times New Roman"/>
            <w:sz w:val="24"/>
            <w:szCs w:val="24"/>
          </w:rPr>
          <w:tab/>
        </w:r>
      </w:hyperlink>
    </w:p>
    <w:p w14:paraId="06C3C736" w14:textId="77777777" w:rsidR="00DB4AC9" w:rsidRDefault="00DB4AC9" w:rsidP="00DB4AC9">
      <w:pPr>
        <w:tabs>
          <w:tab w:val="right" w:pos="9030"/>
        </w:tabs>
        <w:spacing w:after="100"/>
        <w:ind w:left="240"/>
      </w:pPr>
      <w:hyperlink w:anchor="_ly7c1y">
        <w:r>
          <w:rPr>
            <w:rFonts w:ascii="Times New Roman" w:eastAsia="Times New Roman" w:hAnsi="Times New Roman" w:cs="Times New Roman"/>
            <w:color w:val="0000FF"/>
            <w:sz w:val="24"/>
            <w:szCs w:val="24"/>
            <w:u w:val="single"/>
          </w:rPr>
          <w:t>1. Company Status</w:t>
        </w:r>
      </w:hyperlink>
      <w:hyperlink w:anchor="_35xuupr">
        <w:r>
          <w:rPr>
            <w:rFonts w:ascii="Times New Roman" w:eastAsia="Times New Roman" w:hAnsi="Times New Roman" w:cs="Times New Roman"/>
            <w:sz w:val="24"/>
            <w:szCs w:val="24"/>
          </w:rPr>
          <w:tab/>
        </w:r>
      </w:hyperlink>
    </w:p>
    <w:p w14:paraId="1FBE19C4" w14:textId="77777777" w:rsidR="00DB4AC9" w:rsidRDefault="00DB4AC9" w:rsidP="00DB4AC9">
      <w:pPr>
        <w:tabs>
          <w:tab w:val="right" w:pos="9030"/>
        </w:tabs>
        <w:spacing w:after="100"/>
        <w:ind w:left="240"/>
      </w:pPr>
      <w:hyperlink w:anchor="_35xuupr">
        <w:r>
          <w:rPr>
            <w:rFonts w:ascii="Times New Roman" w:eastAsia="Times New Roman" w:hAnsi="Times New Roman" w:cs="Times New Roman"/>
            <w:color w:val="0000FF"/>
            <w:sz w:val="24"/>
            <w:szCs w:val="24"/>
            <w:u w:val="single"/>
          </w:rPr>
          <w:t>2. Business Type</w:t>
        </w:r>
      </w:hyperlink>
      <w:hyperlink w:anchor="_1l354xk">
        <w:r>
          <w:rPr>
            <w:rFonts w:ascii="Times New Roman" w:eastAsia="Times New Roman" w:hAnsi="Times New Roman" w:cs="Times New Roman"/>
            <w:sz w:val="24"/>
            <w:szCs w:val="24"/>
          </w:rPr>
          <w:tab/>
        </w:r>
      </w:hyperlink>
    </w:p>
    <w:p w14:paraId="5AEF420D" w14:textId="77777777" w:rsidR="00DB4AC9" w:rsidRDefault="00DB4AC9" w:rsidP="00DB4AC9">
      <w:pPr>
        <w:tabs>
          <w:tab w:val="right" w:pos="9030"/>
        </w:tabs>
        <w:spacing w:after="100"/>
        <w:ind w:left="240"/>
      </w:pPr>
      <w:hyperlink w:anchor="_1l354xk">
        <w:r>
          <w:rPr>
            <w:rFonts w:ascii="Times New Roman" w:eastAsia="Times New Roman" w:hAnsi="Times New Roman" w:cs="Times New Roman"/>
            <w:color w:val="0000FF"/>
            <w:sz w:val="24"/>
            <w:szCs w:val="24"/>
            <w:u w:val="single"/>
          </w:rPr>
          <w:t>3. Organization Type</w:t>
        </w:r>
      </w:hyperlink>
      <w:hyperlink w:anchor="_452snld">
        <w:r>
          <w:rPr>
            <w:rFonts w:ascii="Times New Roman" w:eastAsia="Times New Roman" w:hAnsi="Times New Roman" w:cs="Times New Roman"/>
            <w:sz w:val="24"/>
            <w:szCs w:val="24"/>
          </w:rPr>
          <w:tab/>
        </w:r>
      </w:hyperlink>
    </w:p>
    <w:p w14:paraId="27C5E25D" w14:textId="77777777" w:rsidR="00DB4AC9" w:rsidRDefault="00DB4AC9" w:rsidP="00DB4AC9">
      <w:pPr>
        <w:tabs>
          <w:tab w:val="right" w:pos="9030"/>
        </w:tabs>
        <w:spacing w:after="100"/>
        <w:ind w:left="240"/>
      </w:pPr>
      <w:hyperlink w:anchor="_452snld">
        <w:r>
          <w:rPr>
            <w:rFonts w:ascii="Times New Roman" w:eastAsia="Times New Roman" w:hAnsi="Times New Roman" w:cs="Times New Roman"/>
            <w:color w:val="0000FF"/>
            <w:sz w:val="24"/>
            <w:szCs w:val="24"/>
            <w:u w:val="single"/>
          </w:rPr>
          <w:t>4. Company Gender</w:t>
        </w:r>
      </w:hyperlink>
      <w:hyperlink w:anchor="_2k82xt6">
        <w:r>
          <w:rPr>
            <w:rFonts w:ascii="Times New Roman" w:eastAsia="Times New Roman" w:hAnsi="Times New Roman" w:cs="Times New Roman"/>
            <w:sz w:val="24"/>
            <w:szCs w:val="24"/>
          </w:rPr>
          <w:tab/>
        </w:r>
      </w:hyperlink>
    </w:p>
    <w:p w14:paraId="6D89C401" w14:textId="77777777" w:rsidR="00DB4AC9" w:rsidRDefault="00DB4AC9" w:rsidP="00DB4AC9">
      <w:pPr>
        <w:tabs>
          <w:tab w:val="right" w:pos="9030"/>
        </w:tabs>
        <w:spacing w:after="100"/>
        <w:ind w:left="240"/>
      </w:pPr>
      <w:hyperlink w:anchor="_2k82xt6">
        <w:r>
          <w:rPr>
            <w:rFonts w:ascii="Times New Roman" w:eastAsia="Times New Roman" w:hAnsi="Times New Roman" w:cs="Times New Roman"/>
            <w:color w:val="0000FF"/>
            <w:sz w:val="24"/>
            <w:szCs w:val="24"/>
            <w:u w:val="single"/>
          </w:rPr>
          <w:t>5. Company Veteran Status</w:t>
        </w:r>
      </w:hyperlink>
      <w:hyperlink w:anchor="_zdd80z">
        <w:r>
          <w:rPr>
            <w:rFonts w:ascii="Times New Roman" w:eastAsia="Times New Roman" w:hAnsi="Times New Roman" w:cs="Times New Roman"/>
            <w:sz w:val="24"/>
            <w:szCs w:val="24"/>
          </w:rPr>
          <w:tab/>
        </w:r>
      </w:hyperlink>
    </w:p>
    <w:p w14:paraId="5931395F" w14:textId="77777777" w:rsidR="00DB4AC9" w:rsidRDefault="00DB4AC9" w:rsidP="00DB4AC9">
      <w:pPr>
        <w:tabs>
          <w:tab w:val="right" w:pos="9030"/>
        </w:tabs>
        <w:spacing w:after="100"/>
        <w:ind w:left="240"/>
      </w:pPr>
      <w:hyperlink w:anchor="_zdd80z">
        <w:r>
          <w:rPr>
            <w:rFonts w:ascii="Times New Roman" w:eastAsia="Times New Roman" w:hAnsi="Times New Roman" w:cs="Times New Roman"/>
            <w:color w:val="0000FF"/>
            <w:sz w:val="24"/>
            <w:szCs w:val="24"/>
            <w:u w:val="single"/>
          </w:rPr>
          <w:t>6. Disability Status</w:t>
        </w:r>
      </w:hyperlink>
      <w:hyperlink w:anchor="_3jd0qos">
        <w:r>
          <w:rPr>
            <w:rFonts w:ascii="Times New Roman" w:eastAsia="Times New Roman" w:hAnsi="Times New Roman" w:cs="Times New Roman"/>
            <w:sz w:val="24"/>
            <w:szCs w:val="24"/>
          </w:rPr>
          <w:tab/>
        </w:r>
      </w:hyperlink>
    </w:p>
    <w:p w14:paraId="5072D7A3" w14:textId="77777777" w:rsidR="00DB4AC9" w:rsidRDefault="00DB4AC9" w:rsidP="00DB4AC9">
      <w:pPr>
        <w:tabs>
          <w:tab w:val="right" w:pos="9030"/>
        </w:tabs>
        <w:spacing w:after="100"/>
        <w:ind w:left="240"/>
      </w:pPr>
      <w:hyperlink w:anchor="_3jd0qos">
        <w:r>
          <w:rPr>
            <w:rFonts w:ascii="Times New Roman" w:eastAsia="Times New Roman" w:hAnsi="Times New Roman" w:cs="Times New Roman"/>
            <w:color w:val="0000FF"/>
            <w:sz w:val="24"/>
            <w:szCs w:val="24"/>
            <w:u w:val="single"/>
          </w:rPr>
          <w:t>7. Company Race</w:t>
        </w:r>
      </w:hyperlink>
      <w:hyperlink w:anchor="_1yib0wl">
        <w:r>
          <w:rPr>
            <w:rFonts w:ascii="Times New Roman" w:eastAsia="Times New Roman" w:hAnsi="Times New Roman" w:cs="Times New Roman"/>
            <w:sz w:val="24"/>
            <w:szCs w:val="24"/>
          </w:rPr>
          <w:tab/>
        </w:r>
      </w:hyperlink>
    </w:p>
    <w:p w14:paraId="60C77828" w14:textId="77777777" w:rsidR="00DB4AC9" w:rsidRDefault="00DB4AC9" w:rsidP="00DB4AC9">
      <w:pPr>
        <w:tabs>
          <w:tab w:val="right" w:pos="9030"/>
        </w:tabs>
        <w:spacing w:after="100"/>
        <w:ind w:left="240"/>
      </w:pPr>
      <w:hyperlink w:anchor="_1yib0wl">
        <w:r>
          <w:rPr>
            <w:rFonts w:ascii="Times New Roman" w:eastAsia="Times New Roman" w:hAnsi="Times New Roman" w:cs="Times New Roman"/>
            <w:color w:val="0000FF"/>
            <w:sz w:val="24"/>
            <w:szCs w:val="24"/>
            <w:u w:val="single"/>
          </w:rPr>
          <w:t>8. Miscellaneous</w:t>
        </w:r>
      </w:hyperlink>
      <w:hyperlink w:anchor="_4ihyjke">
        <w:r>
          <w:rPr>
            <w:rFonts w:ascii="Times New Roman" w:eastAsia="Times New Roman" w:hAnsi="Times New Roman" w:cs="Times New Roman"/>
            <w:sz w:val="24"/>
            <w:szCs w:val="24"/>
          </w:rPr>
          <w:tab/>
        </w:r>
      </w:hyperlink>
    </w:p>
    <w:p w14:paraId="5F597E9B" w14:textId="77777777" w:rsidR="00DB4AC9" w:rsidRDefault="00DB4AC9" w:rsidP="00DB4AC9">
      <w:pPr>
        <w:tabs>
          <w:tab w:val="right" w:pos="9030"/>
        </w:tabs>
        <w:spacing w:after="100"/>
        <w:ind w:left="240"/>
      </w:pPr>
      <w:hyperlink w:anchor="_4ihyjke">
        <w:r>
          <w:rPr>
            <w:rFonts w:ascii="Times New Roman" w:eastAsia="Times New Roman" w:hAnsi="Times New Roman" w:cs="Times New Roman"/>
            <w:color w:val="0000FF"/>
            <w:sz w:val="24"/>
            <w:szCs w:val="24"/>
            <w:u w:val="single"/>
          </w:rPr>
          <w:t>9. Company Federal and State Representative Districts</w:t>
        </w:r>
      </w:hyperlink>
      <w:hyperlink w:anchor="_2xn8ts7">
        <w:r>
          <w:rPr>
            <w:rFonts w:ascii="Times New Roman" w:eastAsia="Times New Roman" w:hAnsi="Times New Roman" w:cs="Times New Roman"/>
            <w:sz w:val="24"/>
            <w:szCs w:val="24"/>
          </w:rPr>
          <w:tab/>
        </w:r>
      </w:hyperlink>
    </w:p>
    <w:p w14:paraId="075AE59E" w14:textId="77777777" w:rsidR="00DB4AC9" w:rsidRDefault="00DB4AC9" w:rsidP="00DB4AC9">
      <w:pPr>
        <w:tabs>
          <w:tab w:val="right" w:pos="9030"/>
        </w:tabs>
        <w:spacing w:after="100"/>
      </w:pPr>
      <w:hyperlink w:anchor="_2xn8ts7">
        <w:r>
          <w:rPr>
            <w:rFonts w:ascii="Times New Roman" w:eastAsia="Times New Roman" w:hAnsi="Times New Roman" w:cs="Times New Roman"/>
            <w:color w:val="0000FF"/>
            <w:sz w:val="24"/>
            <w:szCs w:val="24"/>
            <w:u w:val="single"/>
          </w:rPr>
          <w:t>KEY COUNSELING SESSION FIELD REVIEW</w:t>
        </w:r>
      </w:hyperlink>
      <w:hyperlink w:anchor="_1csj400">
        <w:r>
          <w:rPr>
            <w:rFonts w:ascii="Times New Roman" w:eastAsia="Times New Roman" w:hAnsi="Times New Roman" w:cs="Times New Roman"/>
            <w:sz w:val="24"/>
            <w:szCs w:val="24"/>
          </w:rPr>
          <w:tab/>
        </w:r>
      </w:hyperlink>
    </w:p>
    <w:p w14:paraId="452781B1" w14:textId="77777777" w:rsidR="00DB4AC9" w:rsidRDefault="00DB4AC9" w:rsidP="00DB4AC9">
      <w:pPr>
        <w:tabs>
          <w:tab w:val="right" w:pos="9030"/>
        </w:tabs>
        <w:spacing w:after="100"/>
        <w:ind w:left="240"/>
      </w:pPr>
      <w:hyperlink w:anchor="_1csj400">
        <w:r>
          <w:rPr>
            <w:rFonts w:ascii="Times New Roman" w:eastAsia="Times New Roman" w:hAnsi="Times New Roman" w:cs="Times New Roman"/>
            <w:color w:val="0000FF"/>
            <w:sz w:val="24"/>
            <w:szCs w:val="24"/>
            <w:u w:val="single"/>
          </w:rPr>
          <w:t>1. Funding Source</w:t>
        </w:r>
      </w:hyperlink>
      <w:hyperlink w:anchor="_3ws6mnt">
        <w:r>
          <w:rPr>
            <w:rFonts w:ascii="Times New Roman" w:eastAsia="Times New Roman" w:hAnsi="Times New Roman" w:cs="Times New Roman"/>
            <w:sz w:val="24"/>
            <w:szCs w:val="24"/>
          </w:rPr>
          <w:tab/>
        </w:r>
      </w:hyperlink>
    </w:p>
    <w:p w14:paraId="17A72BFC" w14:textId="77777777" w:rsidR="00DB4AC9" w:rsidRDefault="00DB4AC9" w:rsidP="00DB4AC9">
      <w:pPr>
        <w:tabs>
          <w:tab w:val="right" w:pos="9030"/>
        </w:tabs>
        <w:spacing w:after="100"/>
        <w:ind w:left="240"/>
      </w:pPr>
      <w:hyperlink w:anchor="_3ws6mnt">
        <w:r>
          <w:rPr>
            <w:rFonts w:ascii="Times New Roman" w:eastAsia="Times New Roman" w:hAnsi="Times New Roman" w:cs="Times New Roman"/>
            <w:color w:val="0000FF"/>
            <w:sz w:val="24"/>
            <w:szCs w:val="24"/>
            <w:u w:val="single"/>
          </w:rPr>
          <w:t>2. Session Type</w:t>
        </w:r>
      </w:hyperlink>
      <w:hyperlink w:anchor="_2bxgwvm">
        <w:r>
          <w:rPr>
            <w:rFonts w:ascii="Times New Roman" w:eastAsia="Times New Roman" w:hAnsi="Times New Roman" w:cs="Times New Roman"/>
            <w:sz w:val="24"/>
            <w:szCs w:val="24"/>
          </w:rPr>
          <w:tab/>
        </w:r>
      </w:hyperlink>
    </w:p>
    <w:p w14:paraId="034F1D5F" w14:textId="77777777" w:rsidR="00DB4AC9" w:rsidRDefault="00DB4AC9" w:rsidP="00DB4AC9">
      <w:pPr>
        <w:tabs>
          <w:tab w:val="right" w:pos="9030"/>
        </w:tabs>
        <w:spacing w:after="100"/>
        <w:ind w:left="240"/>
      </w:pPr>
      <w:hyperlink w:anchor="_2bxgwvm">
        <w:r>
          <w:rPr>
            <w:rFonts w:ascii="Times New Roman" w:eastAsia="Times New Roman" w:hAnsi="Times New Roman" w:cs="Times New Roman"/>
            <w:color w:val="0000FF"/>
            <w:sz w:val="24"/>
            <w:szCs w:val="24"/>
            <w:u w:val="single"/>
          </w:rPr>
          <w:t>3. Reportable Status</w:t>
        </w:r>
      </w:hyperlink>
      <w:hyperlink w:anchor="_r2r73f">
        <w:r>
          <w:rPr>
            <w:rFonts w:ascii="Times New Roman" w:eastAsia="Times New Roman" w:hAnsi="Times New Roman" w:cs="Times New Roman"/>
            <w:sz w:val="24"/>
            <w:szCs w:val="24"/>
          </w:rPr>
          <w:tab/>
        </w:r>
      </w:hyperlink>
    </w:p>
    <w:p w14:paraId="0D26692E" w14:textId="77777777" w:rsidR="00DB4AC9" w:rsidRDefault="00DB4AC9" w:rsidP="00DB4AC9">
      <w:pPr>
        <w:tabs>
          <w:tab w:val="right" w:pos="9030"/>
        </w:tabs>
        <w:spacing w:after="100"/>
        <w:ind w:left="240"/>
      </w:pPr>
      <w:hyperlink w:anchor="_r2r73f">
        <w:r>
          <w:rPr>
            <w:rFonts w:ascii="Times New Roman" w:eastAsia="Times New Roman" w:hAnsi="Times New Roman" w:cs="Times New Roman"/>
            <w:color w:val="0000FF"/>
            <w:sz w:val="24"/>
            <w:szCs w:val="24"/>
            <w:u w:val="single"/>
          </w:rPr>
          <w:t>4. SBA Counseling Area</w:t>
        </w:r>
      </w:hyperlink>
      <w:hyperlink w:anchor="_3b2epr8">
        <w:r>
          <w:rPr>
            <w:rFonts w:ascii="Times New Roman" w:eastAsia="Times New Roman" w:hAnsi="Times New Roman" w:cs="Times New Roman"/>
            <w:sz w:val="24"/>
            <w:szCs w:val="24"/>
          </w:rPr>
          <w:tab/>
        </w:r>
      </w:hyperlink>
    </w:p>
    <w:p w14:paraId="159DCEE0" w14:textId="77777777" w:rsidR="00DB4AC9" w:rsidRDefault="00DB4AC9" w:rsidP="00DB4AC9">
      <w:pPr>
        <w:tabs>
          <w:tab w:val="right" w:pos="9030"/>
        </w:tabs>
        <w:spacing w:after="100"/>
      </w:pPr>
      <w:hyperlink w:anchor="_3b2epr8">
        <w:r>
          <w:rPr>
            <w:rFonts w:ascii="Times New Roman" w:eastAsia="Times New Roman" w:hAnsi="Times New Roman" w:cs="Times New Roman"/>
            <w:color w:val="0000FF"/>
            <w:sz w:val="24"/>
            <w:szCs w:val="24"/>
            <w:u w:val="single"/>
          </w:rPr>
          <w:t>KEY CONFERENCE FIELD REVIEW</w:t>
        </w:r>
      </w:hyperlink>
      <w:hyperlink w:anchor="_1q7ozz1">
        <w:r>
          <w:rPr>
            <w:rFonts w:ascii="Times New Roman" w:eastAsia="Times New Roman" w:hAnsi="Times New Roman" w:cs="Times New Roman"/>
            <w:sz w:val="24"/>
            <w:szCs w:val="24"/>
          </w:rPr>
          <w:tab/>
        </w:r>
      </w:hyperlink>
    </w:p>
    <w:p w14:paraId="62162495" w14:textId="77777777" w:rsidR="00DB4AC9" w:rsidRDefault="00DB4AC9" w:rsidP="00DB4AC9">
      <w:pPr>
        <w:tabs>
          <w:tab w:val="right" w:pos="9030"/>
        </w:tabs>
        <w:spacing w:after="100"/>
        <w:ind w:left="240"/>
      </w:pPr>
      <w:hyperlink w:anchor="_1q7ozz1">
        <w:r>
          <w:rPr>
            <w:rFonts w:ascii="Times New Roman" w:eastAsia="Times New Roman" w:hAnsi="Times New Roman" w:cs="Times New Roman"/>
            <w:color w:val="0000FF"/>
            <w:sz w:val="24"/>
            <w:szCs w:val="24"/>
            <w:u w:val="single"/>
          </w:rPr>
          <w:t>1. Conference Reportable Status</w:t>
        </w:r>
      </w:hyperlink>
      <w:hyperlink w:anchor="_4a7cimu">
        <w:r>
          <w:rPr>
            <w:rFonts w:ascii="Times New Roman" w:eastAsia="Times New Roman" w:hAnsi="Times New Roman" w:cs="Times New Roman"/>
            <w:sz w:val="24"/>
            <w:szCs w:val="24"/>
          </w:rPr>
          <w:tab/>
        </w:r>
      </w:hyperlink>
    </w:p>
    <w:p w14:paraId="06864216" w14:textId="77777777" w:rsidR="00DB4AC9" w:rsidRDefault="00DB4AC9" w:rsidP="00DB4AC9">
      <w:pPr>
        <w:tabs>
          <w:tab w:val="right" w:pos="9030"/>
        </w:tabs>
        <w:spacing w:after="100"/>
        <w:ind w:left="240"/>
      </w:pPr>
      <w:hyperlink w:anchor="_4a7cimu">
        <w:r>
          <w:rPr>
            <w:rFonts w:ascii="Times New Roman" w:eastAsia="Times New Roman" w:hAnsi="Times New Roman" w:cs="Times New Roman"/>
            <w:color w:val="0000FF"/>
            <w:sz w:val="24"/>
            <w:szCs w:val="24"/>
            <w:u w:val="single"/>
          </w:rPr>
          <w:t>2. Conference Status and Format</w:t>
        </w:r>
      </w:hyperlink>
      <w:hyperlink w:anchor="_2pcmsun">
        <w:r>
          <w:rPr>
            <w:rFonts w:ascii="Times New Roman" w:eastAsia="Times New Roman" w:hAnsi="Times New Roman" w:cs="Times New Roman"/>
            <w:sz w:val="24"/>
            <w:szCs w:val="24"/>
          </w:rPr>
          <w:tab/>
        </w:r>
      </w:hyperlink>
    </w:p>
    <w:p w14:paraId="67A1E89B" w14:textId="77777777" w:rsidR="00DB4AC9" w:rsidRDefault="00DB4AC9" w:rsidP="00DB4AC9">
      <w:pPr>
        <w:tabs>
          <w:tab w:val="right" w:pos="9030"/>
        </w:tabs>
        <w:spacing w:after="100"/>
      </w:pPr>
      <w:hyperlink w:anchor="_2pcmsun">
        <w:r>
          <w:rPr>
            <w:rFonts w:ascii="Times New Roman" w:eastAsia="Times New Roman" w:hAnsi="Times New Roman" w:cs="Times New Roman"/>
            <w:color w:val="0000FF"/>
            <w:sz w:val="24"/>
            <w:szCs w:val="24"/>
            <w:u w:val="single"/>
          </w:rPr>
          <w:t>KEY INVESTMENT SESSION FIELD REVIEW</w:t>
        </w:r>
      </w:hyperlink>
      <w:hyperlink w:anchor="_14hx32g">
        <w:r>
          <w:rPr>
            <w:rFonts w:ascii="Times New Roman" w:eastAsia="Times New Roman" w:hAnsi="Times New Roman" w:cs="Times New Roman"/>
            <w:sz w:val="24"/>
            <w:szCs w:val="24"/>
          </w:rPr>
          <w:tab/>
        </w:r>
      </w:hyperlink>
    </w:p>
    <w:p w14:paraId="49657F5D" w14:textId="77777777" w:rsidR="00DB4AC9" w:rsidRDefault="00DB4AC9" w:rsidP="00DB4AC9">
      <w:pPr>
        <w:tabs>
          <w:tab w:val="right" w:pos="9030"/>
        </w:tabs>
        <w:spacing w:after="100"/>
        <w:ind w:left="240"/>
      </w:pPr>
      <w:hyperlink w:anchor="_14hx32g">
        <w:r>
          <w:rPr>
            <w:rFonts w:ascii="Times New Roman" w:eastAsia="Times New Roman" w:hAnsi="Times New Roman" w:cs="Times New Roman"/>
            <w:color w:val="0000FF"/>
            <w:sz w:val="24"/>
            <w:szCs w:val="24"/>
            <w:u w:val="single"/>
          </w:rPr>
          <w:t>1. Reportable Status</w:t>
        </w:r>
      </w:hyperlink>
      <w:hyperlink w:anchor="_Toc277666662">
        <w:r>
          <w:rPr>
            <w:rFonts w:ascii="Times New Roman" w:eastAsia="Times New Roman" w:hAnsi="Times New Roman" w:cs="Times New Roman"/>
            <w:sz w:val="24"/>
            <w:szCs w:val="24"/>
          </w:rPr>
          <w:tab/>
        </w:r>
      </w:hyperlink>
    </w:p>
    <w:p w14:paraId="55D3F2B1" w14:textId="77777777" w:rsidR="00DB4AC9" w:rsidRDefault="00DB4AC9" w:rsidP="00DB4AC9">
      <w:pPr>
        <w:spacing w:after="0"/>
      </w:pPr>
    </w:p>
    <w:p w14:paraId="3F125D52" w14:textId="77777777" w:rsidR="00DB4AC9" w:rsidRDefault="00DB4AC9" w:rsidP="00DB4AC9">
      <w:r>
        <w:br w:type="page"/>
      </w:r>
    </w:p>
    <w:p w14:paraId="3E92F7A5" w14:textId="77777777" w:rsidR="00DB4AC9" w:rsidRDefault="00DB4AC9" w:rsidP="00DB4AC9">
      <w:pPr>
        <w:spacing w:after="0"/>
      </w:pPr>
    </w:p>
    <w:p w14:paraId="27333B27" w14:textId="77777777" w:rsidR="00DB4AC9" w:rsidRDefault="00DB4AC9" w:rsidP="00DB4AC9">
      <w:pPr>
        <w:keepNext/>
        <w:spacing w:before="240" w:after="60"/>
      </w:pPr>
      <w:bookmarkStart w:id="258" w:name="_2sioyqq" w:colFirst="0" w:colLast="0"/>
      <w:bookmarkEnd w:id="258"/>
      <w:r>
        <w:rPr>
          <w:rFonts w:ascii="Arial" w:eastAsia="Arial" w:hAnsi="Arial" w:cs="Arial"/>
          <w:b/>
          <w:sz w:val="32"/>
          <w:szCs w:val="32"/>
        </w:rPr>
        <w:t>YEAR-END REVIEW AND DATABASE CLEAN-UP</w:t>
      </w:r>
    </w:p>
    <w:p w14:paraId="73710235" w14:textId="77777777" w:rsidR="00DB4AC9" w:rsidRDefault="00DB4AC9" w:rsidP="00DB4AC9">
      <w:pPr>
        <w:spacing w:after="0"/>
      </w:pPr>
    </w:p>
    <w:p w14:paraId="516EB08D" w14:textId="77777777" w:rsidR="00DB4AC9" w:rsidRDefault="00DB4AC9" w:rsidP="00DB4A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Regional centers must perform database clean-up to ensure the Minnesota SBDC management information system contains only allowable client, counseling and training data. Centers may use the following report generation procedures and general subsets to generate WebCATS reports and views that will help identify information that must be corrected. Centers must perform database clean-up on a quarterly basis by the 15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for the month which contains the quarter-end report (April 15, July 15, October 15, January 15), but it is recommended that clean-up occur </w:t>
      </w:r>
      <w:proofErr w:type="gramStart"/>
      <w:r>
        <w:rPr>
          <w:rFonts w:ascii="Times New Roman" w:eastAsia="Times New Roman" w:hAnsi="Times New Roman" w:cs="Times New Roman"/>
          <w:sz w:val="24"/>
          <w:szCs w:val="24"/>
        </w:rPr>
        <w:t>on a monthly basis</w:t>
      </w:r>
      <w:proofErr w:type="gramEnd"/>
      <w:r>
        <w:rPr>
          <w:rFonts w:ascii="Times New Roman" w:eastAsia="Times New Roman" w:hAnsi="Times New Roman" w:cs="Times New Roman"/>
          <w:sz w:val="24"/>
          <w:szCs w:val="24"/>
        </w:rPr>
        <w:t xml:space="preserve">. </w:t>
      </w:r>
    </w:p>
    <w:p w14:paraId="1E77F075" w14:textId="77777777" w:rsidR="00DB4AC9" w:rsidRDefault="00DB4AC9" w:rsidP="00DB4AC9">
      <w:pPr>
        <w:spacing w:after="0"/>
      </w:pPr>
      <w:r>
        <w:rPr>
          <w:rFonts w:ascii="Times New Roman" w:eastAsia="Times New Roman" w:hAnsi="Times New Roman" w:cs="Times New Roman"/>
          <w:sz w:val="24"/>
          <w:szCs w:val="24"/>
        </w:rPr>
        <w:t xml:space="preserve">NOTE – it is especially critical that all Centers perform database clean-up by the October 15 deadline to cover the federal fiscal year of October 1 through September 30. The reason for </w:t>
      </w:r>
      <w:proofErr w:type="gramStart"/>
      <w:r>
        <w:rPr>
          <w:rFonts w:ascii="Times New Roman" w:eastAsia="Times New Roman" w:hAnsi="Times New Roman" w:cs="Times New Roman"/>
          <w:sz w:val="24"/>
          <w:szCs w:val="24"/>
        </w:rPr>
        <w:t>this,</w:t>
      </w:r>
      <w:proofErr w:type="gramEnd"/>
      <w:r>
        <w:rPr>
          <w:rFonts w:ascii="Times New Roman" w:eastAsia="Times New Roman" w:hAnsi="Times New Roman" w:cs="Times New Roman"/>
          <w:sz w:val="24"/>
          <w:szCs w:val="24"/>
        </w:rPr>
        <w:t xml:space="preserve"> is that the SBA takes all metrics from the national SBDC network and reports this to Congress as evidence of the results of the SBDC program. Continued funding of the SBDC program relies on complete and accurate records that cover the federal fiscal year (October 1 through September 30) that the SBA reports to Congress.</w:t>
      </w:r>
    </w:p>
    <w:p w14:paraId="7A508D2B" w14:textId="77777777" w:rsidR="00DB4AC9" w:rsidRDefault="00DB4AC9" w:rsidP="00DB4AC9">
      <w:pPr>
        <w:spacing w:after="0"/>
      </w:pPr>
    </w:p>
    <w:p w14:paraId="7F44B48F" w14:textId="77777777" w:rsidR="00DB4AC9" w:rsidRDefault="00DB4AC9" w:rsidP="00DB4AC9">
      <w:pPr>
        <w:keepNext/>
        <w:spacing w:before="240" w:after="60"/>
      </w:pPr>
      <w:bookmarkStart w:id="259" w:name="_17nz8yj" w:colFirst="0" w:colLast="0"/>
      <w:bookmarkEnd w:id="259"/>
      <w:r>
        <w:rPr>
          <w:rFonts w:ascii="Arial" w:eastAsia="Arial" w:hAnsi="Arial" w:cs="Arial"/>
          <w:b/>
          <w:sz w:val="32"/>
          <w:szCs w:val="32"/>
        </w:rPr>
        <w:t>HOW TO USE THIS MANUAL</w:t>
      </w:r>
    </w:p>
    <w:p w14:paraId="09CFE197" w14:textId="77777777" w:rsidR="00DB4AC9" w:rsidRDefault="00DB4AC9" w:rsidP="00DB4AC9">
      <w:pPr>
        <w:spacing w:after="0"/>
      </w:pPr>
    </w:p>
    <w:p w14:paraId="070E1947" w14:textId="77777777" w:rsidR="00DB4AC9" w:rsidRDefault="00DB4AC9" w:rsidP="00DB4AC9">
      <w:pPr>
        <w:spacing w:after="0"/>
      </w:pPr>
      <w:r>
        <w:rPr>
          <w:rFonts w:ascii="Times New Roman" w:eastAsia="Times New Roman" w:hAnsi="Times New Roman" w:cs="Times New Roman"/>
          <w:sz w:val="24"/>
          <w:szCs w:val="24"/>
        </w:rPr>
        <w:t xml:space="preserve">This procedure has been designed with the use of saved subsets in WebCATS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create an easy means for regional centers to ensure the integrity of the data in the system and to meet the standards as required by the Small Business Development Center Lead Office.</w:t>
      </w:r>
    </w:p>
    <w:p w14:paraId="42EC6DD8" w14:textId="77777777" w:rsidR="00DB4AC9" w:rsidRDefault="00DB4AC9" w:rsidP="00DB4AC9">
      <w:pPr>
        <w:spacing w:after="0"/>
      </w:pPr>
    </w:p>
    <w:p w14:paraId="033EC207" w14:textId="77777777" w:rsidR="00DB4AC9" w:rsidRDefault="00DB4AC9" w:rsidP="00DB4AC9">
      <w:pPr>
        <w:spacing w:after="0"/>
      </w:pPr>
      <w:r>
        <w:rPr>
          <w:rFonts w:ascii="Times New Roman" w:eastAsia="Times New Roman" w:hAnsi="Times New Roman" w:cs="Times New Roman"/>
          <w:sz w:val="24"/>
          <w:szCs w:val="24"/>
        </w:rPr>
        <w:t xml:space="preserve">Review and database clean-up should be performed in the same sequence as the procedures outline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organized. Following the procedure in order will help to minimize database revision issues. If a region has multiple center IDs, the procedure will need to be run for each. </w:t>
      </w:r>
    </w:p>
    <w:p w14:paraId="19A62FC2" w14:textId="77777777" w:rsidR="00DB4AC9" w:rsidRDefault="00DB4AC9" w:rsidP="00DB4AC9">
      <w:pPr>
        <w:spacing w:after="0"/>
      </w:pPr>
    </w:p>
    <w:p w14:paraId="1782D536" w14:textId="77777777" w:rsidR="00DB4AC9" w:rsidRDefault="00DB4AC9" w:rsidP="00DB4AC9">
      <w:pPr>
        <w:spacing w:after="0"/>
      </w:pPr>
      <w:r>
        <w:rPr>
          <w:rFonts w:ascii="Times New Roman" w:eastAsia="Times New Roman" w:hAnsi="Times New Roman" w:cs="Times New Roman"/>
          <w:sz w:val="24"/>
          <w:szCs w:val="24"/>
        </w:rPr>
        <w:t xml:space="preserve">Below each instruction are boxes which contain the logic for which each subset was created: </w:t>
      </w:r>
    </w:p>
    <w:p w14:paraId="113A37C9" w14:textId="77777777" w:rsidR="00DB4AC9" w:rsidRDefault="00DB4AC9" w:rsidP="00DB4AC9">
      <w:pPr>
        <w:spacing w:after="0"/>
      </w:pPr>
    </w:p>
    <w:p w14:paraId="017AD238" w14:textId="77777777" w:rsidR="00DB4AC9" w:rsidRDefault="00DB4AC9" w:rsidP="00DB4AC9">
      <w:pPr>
        <w:spacing w:after="0"/>
      </w:pPr>
      <w:r>
        <w:rPr>
          <w:noProof/>
        </w:rPr>
        <mc:AlternateContent>
          <mc:Choice Requires="wps">
            <w:drawing>
              <wp:inline distT="0" distB="0" distL="0" distR="0" wp14:anchorId="1198A87E" wp14:editId="2884ACFC">
                <wp:extent cx="5651500" cy="469900"/>
                <wp:effectExtent l="0" t="0" r="0" b="0"/>
                <wp:docPr id="37" name="Rectangle 37"/>
                <wp:cNvGraphicFramePr/>
                <a:graphic xmlns:a="http://schemas.openxmlformats.org/drawingml/2006/main">
                  <a:graphicData uri="http://schemas.microsoft.com/office/word/2010/wordprocessingShape">
                    <wps:wsp>
                      <wps:cNvSpPr/>
                      <wps:spPr>
                        <a:xfrm>
                          <a:off x="2524059" y="3547273"/>
                          <a:ext cx="5643879" cy="465454"/>
                        </a:xfrm>
                        <a:prstGeom prst="rect">
                          <a:avLst/>
                        </a:prstGeom>
                        <a:solidFill>
                          <a:srgbClr val="FFFFFF"/>
                        </a:solidFill>
                        <a:ln w="12700" cap="flat" cmpd="sng">
                          <a:solidFill>
                            <a:srgbClr val="4F81BD"/>
                          </a:solidFill>
                          <a:prstDash val="dash"/>
                          <a:miter/>
                          <a:headEnd type="none" w="med" len="med"/>
                          <a:tailEnd type="none" w="med" len="med"/>
                        </a:ln>
                      </wps:spPr>
                      <wps:txbx>
                        <w:txbxContent>
                          <w:p w14:paraId="76BFFD6B" w14:textId="77777777" w:rsidR="00DB4AC9" w:rsidRDefault="00DB4AC9" w:rsidP="00DB4AC9">
                            <w:pPr>
                              <w:textDirection w:val="btLr"/>
                            </w:pPr>
                            <w:r>
                              <w:t>First Line: Fields selected for subset creation</w:t>
                            </w:r>
                          </w:p>
                          <w:p w14:paraId="3E69DAEC" w14:textId="77777777" w:rsidR="00DB4AC9" w:rsidRDefault="00DB4AC9" w:rsidP="00DB4AC9">
                            <w:pPr>
                              <w:textDirection w:val="btLr"/>
                            </w:pPr>
                            <w:r>
                              <w:t>Second Line: Selections for each respective field in previous step</w:t>
                            </w:r>
                          </w:p>
                        </w:txbxContent>
                      </wps:txbx>
                      <wps:bodyPr lIns="91425" tIns="45700" rIns="91425" bIns="45700" anchor="t" anchorCtr="0"/>
                    </wps:wsp>
                  </a:graphicData>
                </a:graphic>
              </wp:inline>
            </w:drawing>
          </mc:Choice>
          <mc:Fallback>
            <w:pict>
              <v:rect w14:anchorId="1198A87E" id="Rectangle 37" o:spid="_x0000_s1043" style="width:445pt;height: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" strokecolor="#4f81bd" strokeweight="1pt">
                <v:stroke dashstyle="dash"/>
                <v:textbox inset="2.53958mm,1.2694mm,2.53958mm,1.2694mm">
                  <w:txbxContent>
                    <w:p w14:paraId="76BFFD6B" w14:textId="77777777" w:rsidR="00DB4AC9" w:rsidRDefault="00DB4AC9" w:rsidP="00DB4AC9">
                      <w:pPr>
                        <w:textDirection w:val="btLr"/>
                      </w:pPr>
                      <w:r>
                        <w:t>First Line: Fields selected for subset creation</w:t>
                      </w:r>
                    </w:p>
                    <w:p w14:paraId="3E69DAEC" w14:textId="77777777" w:rsidR="00DB4AC9" w:rsidRDefault="00DB4AC9" w:rsidP="00DB4AC9">
                      <w:pPr>
                        <w:textDirection w:val="btLr"/>
                      </w:pPr>
                      <w:r>
                        <w:t>Second Line: Selections for each respective field in previous step</w:t>
                      </w:r>
                    </w:p>
                  </w:txbxContent>
                </v:textbox>
                <w10:anchorlock/>
              </v:rect>
            </w:pict>
          </mc:Fallback>
        </mc:AlternateContent>
      </w:r>
    </w:p>
    <w:p w14:paraId="5FDF6AA9" w14:textId="77777777" w:rsidR="00DB4AC9" w:rsidRDefault="00DB4AC9" w:rsidP="00DB4AC9">
      <w:pPr>
        <w:spacing w:after="0"/>
      </w:pPr>
    </w:p>
    <w:p w14:paraId="190BB7B4" w14:textId="77777777" w:rsidR="00DB4AC9" w:rsidRDefault="00DB4AC9" w:rsidP="00DB4AC9">
      <w:pPr>
        <w:spacing w:after="0"/>
      </w:pPr>
      <w:r>
        <w:rPr>
          <w:rFonts w:ascii="Times New Roman" w:eastAsia="Times New Roman" w:hAnsi="Times New Roman" w:cs="Times New Roman"/>
          <w:sz w:val="24"/>
          <w:szCs w:val="24"/>
        </w:rPr>
        <w:t xml:space="preserve">These boxes are not part of the regular procedures but are there for the users’ reference in case they believe there may be a flaw with one of the subsets or </w:t>
      </w:r>
      <w:proofErr w:type="gramStart"/>
      <w:r>
        <w:rPr>
          <w:rFonts w:ascii="Times New Roman" w:eastAsia="Times New Roman" w:hAnsi="Times New Roman" w:cs="Times New Roman"/>
          <w:sz w:val="24"/>
          <w:szCs w:val="24"/>
        </w:rPr>
        <w:t>in the event that</w:t>
      </w:r>
      <w:proofErr w:type="gramEnd"/>
      <w:r>
        <w:rPr>
          <w:rFonts w:ascii="Times New Roman" w:eastAsia="Times New Roman" w:hAnsi="Times New Roman" w:cs="Times New Roman"/>
          <w:sz w:val="24"/>
          <w:szCs w:val="24"/>
        </w:rPr>
        <w:t xml:space="preserve"> they want to create a variation of the logic for their own use.</w:t>
      </w:r>
    </w:p>
    <w:p w14:paraId="71933F51" w14:textId="77777777" w:rsidR="00DB4AC9" w:rsidRDefault="00DB4AC9" w:rsidP="00DB4AC9">
      <w:pPr>
        <w:spacing w:after="0"/>
      </w:pPr>
    </w:p>
    <w:p w14:paraId="38F0F8D8" w14:textId="77777777" w:rsidR="00DB4AC9" w:rsidRDefault="00DB4AC9" w:rsidP="00DB4AC9">
      <w:pPr>
        <w:spacing w:after="0"/>
      </w:pPr>
      <w:r>
        <w:rPr>
          <w:rFonts w:ascii="Times New Roman" w:eastAsia="Times New Roman" w:hAnsi="Times New Roman" w:cs="Times New Roman"/>
          <w:sz w:val="24"/>
          <w:szCs w:val="24"/>
        </w:rPr>
        <w:t>Any questions, concerns or report of errors regarding this procedure should be directed to the SBDC Lead Office Database Administrator, Hayley Rowan (651-259-7422).</w:t>
      </w:r>
    </w:p>
    <w:p w14:paraId="0F873809" w14:textId="77777777" w:rsidR="00DB4AC9" w:rsidRDefault="00DB4AC9" w:rsidP="00DB4AC9">
      <w:pPr>
        <w:spacing w:after="0"/>
      </w:pPr>
    </w:p>
    <w:p w14:paraId="517D6246" w14:textId="77777777" w:rsidR="00DB4AC9" w:rsidRDefault="00DB4AC9" w:rsidP="00DB4AC9">
      <w:pPr>
        <w:keepNext/>
        <w:spacing w:before="240" w:after="60"/>
      </w:pPr>
      <w:bookmarkStart w:id="260" w:name="_3rnmrmc" w:colFirst="0" w:colLast="0"/>
      <w:bookmarkEnd w:id="260"/>
      <w:r>
        <w:rPr>
          <w:rFonts w:ascii="Arial" w:eastAsia="Arial" w:hAnsi="Arial" w:cs="Arial"/>
          <w:b/>
          <w:sz w:val="32"/>
          <w:szCs w:val="32"/>
        </w:rPr>
        <w:lastRenderedPageBreak/>
        <w:t>NOTE TO LEAD OFFICE</w:t>
      </w:r>
    </w:p>
    <w:p w14:paraId="522FE953" w14:textId="77777777" w:rsidR="00DB4AC9" w:rsidRDefault="00DB4AC9" w:rsidP="00DB4AC9">
      <w:pPr>
        <w:spacing w:after="0"/>
      </w:pPr>
    </w:p>
    <w:p w14:paraId="13170373" w14:textId="77777777" w:rsidR="00DB4AC9" w:rsidRDefault="00DB4AC9" w:rsidP="00DB4AC9">
      <w:pPr>
        <w:spacing w:after="0"/>
      </w:pPr>
      <w:r>
        <w:rPr>
          <w:rFonts w:ascii="Times New Roman" w:eastAsia="Times New Roman" w:hAnsi="Times New Roman" w:cs="Times New Roman"/>
          <w:sz w:val="24"/>
          <w:szCs w:val="24"/>
        </w:rPr>
        <w:t xml:space="preserve">Each subset created in this manual must be managed at the Lead Office administrative level. At the end of first quarter for each given year, the names of the saved subsets and the Initial/Follow-up Session fields should have their date range updated for review of the current year. If the dates have not been updated, the subsets will not locate the most recent records in the client management database. </w:t>
      </w:r>
    </w:p>
    <w:p w14:paraId="74EC14A3" w14:textId="77777777" w:rsidR="00DB4AC9" w:rsidRDefault="00DB4AC9" w:rsidP="00DB4AC9">
      <w:r>
        <w:br w:type="page"/>
      </w:r>
    </w:p>
    <w:p w14:paraId="1FE0A475" w14:textId="77777777" w:rsidR="00DB4AC9" w:rsidRDefault="00DB4AC9" w:rsidP="00DB4AC9">
      <w:pPr>
        <w:spacing w:after="200" w:line="276" w:lineRule="auto"/>
      </w:pPr>
    </w:p>
    <w:p w14:paraId="0811DE12" w14:textId="77777777" w:rsidR="00DB4AC9" w:rsidRDefault="00DB4AC9" w:rsidP="00DB4AC9">
      <w:pPr>
        <w:keepNext/>
        <w:spacing w:before="240" w:after="60"/>
      </w:pPr>
      <w:bookmarkStart w:id="261" w:name="_26sx1u5" w:colFirst="0" w:colLast="0"/>
      <w:bookmarkEnd w:id="261"/>
      <w:r>
        <w:rPr>
          <w:rFonts w:ascii="Arial" w:eastAsia="Arial" w:hAnsi="Arial" w:cs="Arial"/>
          <w:b/>
          <w:sz w:val="32"/>
          <w:szCs w:val="32"/>
        </w:rPr>
        <w:t>KEY CLIENT DETAIL DATA REVIEW</w:t>
      </w:r>
    </w:p>
    <w:p w14:paraId="3081098B" w14:textId="77777777" w:rsidR="00DB4AC9" w:rsidRDefault="00DB4AC9" w:rsidP="00DB4AC9">
      <w:pPr>
        <w:spacing w:after="0"/>
      </w:pPr>
    </w:p>
    <w:p w14:paraId="6157EB64" w14:textId="77777777" w:rsidR="00DB4AC9" w:rsidRDefault="00DB4AC9" w:rsidP="00DB4AC9">
      <w:pPr>
        <w:spacing w:after="0"/>
      </w:pPr>
      <w:r>
        <w:rPr>
          <w:rFonts w:ascii="Times New Roman" w:eastAsia="Times New Roman" w:hAnsi="Times New Roman" w:cs="Times New Roman"/>
          <w:sz w:val="24"/>
          <w:szCs w:val="24"/>
        </w:rPr>
        <w:t xml:space="preserve">The saved subset list for this section of the procedures can be located by clicking on “Clients/Pre-clients” on the </w:t>
      </w:r>
      <w:proofErr w:type="gramStart"/>
      <w:r>
        <w:rPr>
          <w:rFonts w:ascii="Times New Roman" w:eastAsia="Times New Roman" w:hAnsi="Times New Roman" w:cs="Times New Roman"/>
          <w:sz w:val="24"/>
          <w:szCs w:val="24"/>
        </w:rPr>
        <w:t>left hand</w:t>
      </w:r>
      <w:proofErr w:type="gramEnd"/>
      <w:r>
        <w:rPr>
          <w:rFonts w:ascii="Times New Roman" w:eastAsia="Times New Roman" w:hAnsi="Times New Roman" w:cs="Times New Roman"/>
          <w:sz w:val="24"/>
          <w:szCs w:val="24"/>
        </w:rPr>
        <w:t xml:space="preserve"> navigation of WebCATS, and selected with the drop down menu under “Client Views.”</w:t>
      </w:r>
    </w:p>
    <w:p w14:paraId="04EE49A0" w14:textId="77777777" w:rsidR="00DB4AC9" w:rsidRDefault="00DB4AC9" w:rsidP="00DB4AC9">
      <w:pPr>
        <w:spacing w:after="0"/>
      </w:pPr>
    </w:p>
    <w:p w14:paraId="448B40FD" w14:textId="77777777" w:rsidR="00DB4AC9" w:rsidRDefault="00DB4AC9" w:rsidP="00DB4AC9">
      <w:pPr>
        <w:spacing w:after="0"/>
      </w:pPr>
      <w:r>
        <w:rPr>
          <w:noProof/>
        </w:rPr>
        <w:drawing>
          <wp:inline distT="0" distB="0" distL="0" distR="0" wp14:anchorId="04ED16C4" wp14:editId="168F212A">
            <wp:extent cx="5734050" cy="4648200"/>
            <wp:effectExtent l="0" t="0" r="0" b="0"/>
            <wp:docPr id="17" name="image36.png" descr="ClientPreclient"/>
            <wp:cNvGraphicFramePr/>
            <a:graphic xmlns:a="http://schemas.openxmlformats.org/drawingml/2006/main">
              <a:graphicData uri="http://schemas.openxmlformats.org/drawingml/2006/picture">
                <pic:pic xmlns:pic="http://schemas.openxmlformats.org/drawingml/2006/picture">
                  <pic:nvPicPr>
                    <pic:cNvPr id="0" name="image36.png" descr="ClientPreclient"/>
                    <pic:cNvPicPr preferRelativeResize="0"/>
                  </pic:nvPicPr>
                  <pic:blipFill>
                    <a:blip r:embed="rId35"/>
                    <a:srcRect/>
                    <a:stretch>
                      <a:fillRect/>
                    </a:stretch>
                  </pic:blipFill>
                  <pic:spPr>
                    <a:xfrm>
                      <a:off x="0" y="0"/>
                      <a:ext cx="5734050" cy="4648200"/>
                    </a:xfrm>
                    <a:prstGeom prst="rect">
                      <a:avLst/>
                    </a:prstGeom>
                    <a:ln/>
                  </pic:spPr>
                </pic:pic>
              </a:graphicData>
            </a:graphic>
          </wp:inline>
        </w:drawing>
      </w:r>
    </w:p>
    <w:p w14:paraId="2D48F6CA" w14:textId="77777777" w:rsidR="00DB4AC9" w:rsidRDefault="00DB4AC9" w:rsidP="00DB4AC9">
      <w:r>
        <w:br w:type="page"/>
      </w:r>
    </w:p>
    <w:p w14:paraId="633064CB" w14:textId="77777777" w:rsidR="00DB4AC9" w:rsidRDefault="00DB4AC9" w:rsidP="00DB4AC9">
      <w:pPr>
        <w:spacing w:after="0"/>
      </w:pPr>
    </w:p>
    <w:p w14:paraId="5297AF8A" w14:textId="77777777" w:rsidR="00DB4AC9" w:rsidRDefault="00DB4AC9" w:rsidP="00DB4AC9">
      <w:pPr>
        <w:keepNext/>
        <w:spacing w:before="240" w:after="60"/>
      </w:pPr>
      <w:bookmarkStart w:id="262" w:name="_ly7c1y" w:colFirst="0" w:colLast="0"/>
      <w:bookmarkEnd w:id="262"/>
      <w:r>
        <w:rPr>
          <w:rFonts w:ascii="Arial" w:eastAsia="Arial" w:hAnsi="Arial" w:cs="Arial"/>
          <w:b/>
          <w:i/>
          <w:sz w:val="28"/>
          <w:szCs w:val="28"/>
        </w:rPr>
        <w:t>1. Company Status</w:t>
      </w:r>
    </w:p>
    <w:p w14:paraId="20361B46" w14:textId="77777777" w:rsidR="00DB4AC9" w:rsidRDefault="00DB4AC9" w:rsidP="00DB4AC9">
      <w:pPr>
        <w:spacing w:after="0"/>
      </w:pPr>
    </w:p>
    <w:p w14:paraId="56C1139C" w14:textId="77777777" w:rsidR="00DB4AC9" w:rsidRDefault="00DB4AC9" w:rsidP="00DB4AC9">
      <w:pPr>
        <w:spacing w:after="0"/>
        <w:ind w:left="360"/>
      </w:pPr>
      <w:r>
        <w:rPr>
          <w:rFonts w:ascii="Times New Roman" w:eastAsia="Times New Roman" w:hAnsi="Times New Roman" w:cs="Times New Roman"/>
          <w:b/>
          <w:sz w:val="24"/>
          <w:szCs w:val="24"/>
        </w:rPr>
        <w:t>1. Undefined Current Company Status</w:t>
      </w:r>
    </w:p>
    <w:p w14:paraId="481A36F1" w14:textId="77777777" w:rsidR="00DB4AC9" w:rsidRDefault="00DB4AC9" w:rsidP="00DB4AC9">
      <w:pPr>
        <w:spacing w:after="0"/>
        <w:ind w:left="360"/>
      </w:pPr>
    </w:p>
    <w:p w14:paraId="30BA8B47"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1 Company Status Undefined” </w:t>
      </w:r>
    </w:p>
    <w:p w14:paraId="7F7DE075" w14:textId="77777777" w:rsidR="00DB4AC9" w:rsidRDefault="00DB4AC9" w:rsidP="00DB4AC9">
      <w:pPr>
        <w:spacing w:after="0"/>
        <w:ind w:left="360"/>
      </w:pPr>
    </w:p>
    <w:p w14:paraId="1B18D527" w14:textId="77777777" w:rsidR="00DB4AC9" w:rsidRDefault="00DB4AC9" w:rsidP="00DB4AC9">
      <w:pPr>
        <w:spacing w:after="0"/>
        <w:ind w:left="360"/>
      </w:pPr>
      <w:r>
        <w:rPr>
          <w:rFonts w:ascii="Times New Roman" w:eastAsia="Times New Roman" w:hAnsi="Times New Roman" w:cs="Times New Roman"/>
          <w:sz w:val="24"/>
          <w:szCs w:val="24"/>
        </w:rPr>
        <w:t xml:space="preserve">Client current company status must not be “Undefined.” Review each record carefully to make best determination of client’s actual </w:t>
      </w:r>
      <w:proofErr w:type="gramStart"/>
      <w:r>
        <w:rPr>
          <w:rFonts w:ascii="Times New Roman" w:eastAsia="Times New Roman" w:hAnsi="Times New Roman" w:cs="Times New Roman"/>
          <w:sz w:val="24"/>
          <w:szCs w:val="24"/>
        </w:rPr>
        <w:t>status, and</w:t>
      </w:r>
      <w:proofErr w:type="gramEnd"/>
      <w:r>
        <w:rPr>
          <w:rFonts w:ascii="Times New Roman" w:eastAsia="Times New Roman" w:hAnsi="Times New Roman" w:cs="Times New Roman"/>
          <w:sz w:val="24"/>
          <w:szCs w:val="24"/>
        </w:rPr>
        <w:t xml:space="preserve"> make changes as necessary. If there are other details missing from the client record, take this chance to complete the needed data.</w:t>
      </w:r>
    </w:p>
    <w:p w14:paraId="22B5FB55" w14:textId="77777777" w:rsidR="00DB4AC9" w:rsidRDefault="00DB4AC9" w:rsidP="00DB4AC9">
      <w:pPr>
        <w:spacing w:after="0"/>
        <w:ind w:left="360"/>
      </w:pPr>
    </w:p>
    <w:p w14:paraId="3A77AE44" w14:textId="77777777" w:rsidR="00DB4AC9" w:rsidRDefault="00DB4AC9" w:rsidP="00DB4AC9">
      <w:pPr>
        <w:spacing w:after="0"/>
        <w:ind w:left="360"/>
      </w:pPr>
      <w:r>
        <w:rPr>
          <w:noProof/>
        </w:rPr>
        <mc:AlternateContent>
          <mc:Choice Requires="wps">
            <w:drawing>
              <wp:inline distT="0" distB="0" distL="0" distR="0" wp14:anchorId="0BF8186F" wp14:editId="47CE1B70">
                <wp:extent cx="5651500" cy="482600"/>
                <wp:effectExtent l="0" t="0" r="0" b="0"/>
                <wp:docPr id="38" name="Rectangle 38"/>
                <wp:cNvGraphicFramePr/>
                <a:graphic xmlns:a="http://schemas.openxmlformats.org/drawingml/2006/main">
                  <a:graphicData uri="http://schemas.microsoft.com/office/word/2010/wordprocessingShape">
                    <wps:wsp>
                      <wps:cNvSpPr/>
                      <wps:spPr>
                        <a:xfrm>
                          <a:off x="2524059" y="3541875"/>
                          <a:ext cx="5643879" cy="476249"/>
                        </a:xfrm>
                        <a:prstGeom prst="rect">
                          <a:avLst/>
                        </a:prstGeom>
                        <a:solidFill>
                          <a:srgbClr val="FFFFFF"/>
                        </a:solidFill>
                        <a:ln w="12700" cap="flat" cmpd="sng">
                          <a:solidFill>
                            <a:srgbClr val="4F81BD"/>
                          </a:solidFill>
                          <a:prstDash val="dash"/>
                          <a:miter/>
                          <a:headEnd type="none" w="med" len="med"/>
                          <a:tailEnd type="none" w="med" len="med"/>
                        </a:ln>
                      </wps:spPr>
                      <wps:txbx>
                        <w:txbxContent>
                          <w:p w14:paraId="6EF09451" w14:textId="77777777" w:rsidR="00DB4AC9" w:rsidRDefault="00DB4AC9" w:rsidP="00DB4AC9">
                            <w:pPr>
                              <w:textDirection w:val="btLr"/>
                            </w:pPr>
                            <w:r>
                              <w:t>Current Company Status and I/F Session</w:t>
                            </w:r>
                          </w:p>
                          <w:p w14:paraId="1E76D340" w14:textId="77777777" w:rsidR="00DB4AC9" w:rsidRDefault="00DB4AC9" w:rsidP="00DB4AC9">
                            <w:pPr>
                              <w:textDirection w:val="btLr"/>
                            </w:pPr>
                            <w:r>
                              <w:t>Select “Undefined,” date range</w:t>
                            </w:r>
                          </w:p>
                        </w:txbxContent>
                      </wps:txbx>
                      <wps:bodyPr lIns="91425" tIns="45700" rIns="91425" bIns="45700" anchor="t" anchorCtr="0"/>
                    </wps:wsp>
                  </a:graphicData>
                </a:graphic>
              </wp:inline>
            </w:drawing>
          </mc:Choice>
          <mc:Fallback>
            <w:pict>
              <v:rect w14:anchorId="0BF8186F" id="Rectangle 38" o:spid="_x0000_s1044" style="width:445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" strokecolor="#4f81bd" strokeweight="1pt">
                <v:stroke dashstyle="dash"/>
                <v:textbox inset="2.53958mm,1.2694mm,2.53958mm,1.2694mm">
                  <w:txbxContent>
                    <w:p w14:paraId="6EF09451" w14:textId="77777777" w:rsidR="00DB4AC9" w:rsidRDefault="00DB4AC9" w:rsidP="00DB4AC9">
                      <w:pPr>
                        <w:textDirection w:val="btLr"/>
                      </w:pPr>
                      <w:r>
                        <w:t>Current Company Status and I/F Session</w:t>
                      </w:r>
                    </w:p>
                    <w:p w14:paraId="1E76D340" w14:textId="77777777" w:rsidR="00DB4AC9" w:rsidRDefault="00DB4AC9" w:rsidP="00DB4AC9">
                      <w:pPr>
                        <w:textDirection w:val="btLr"/>
                      </w:pPr>
                      <w:r>
                        <w:t>Select “Undefined,” date range</w:t>
                      </w:r>
                    </w:p>
                  </w:txbxContent>
                </v:textbox>
                <w10:anchorlock/>
              </v:rect>
            </w:pict>
          </mc:Fallback>
        </mc:AlternateContent>
      </w:r>
    </w:p>
    <w:p w14:paraId="1C653DFF" w14:textId="77777777" w:rsidR="00DB4AC9" w:rsidRDefault="00DB4AC9" w:rsidP="00DB4AC9">
      <w:pPr>
        <w:spacing w:after="0"/>
        <w:ind w:left="360"/>
      </w:pPr>
    </w:p>
    <w:p w14:paraId="73082A90" w14:textId="77777777" w:rsidR="00DB4AC9" w:rsidRDefault="00DB4AC9" w:rsidP="00DB4AC9">
      <w:pPr>
        <w:keepNext/>
        <w:spacing w:before="240" w:after="60"/>
      </w:pPr>
      <w:bookmarkStart w:id="263" w:name="_35xuupr" w:colFirst="0" w:colLast="0"/>
      <w:bookmarkEnd w:id="263"/>
      <w:r>
        <w:rPr>
          <w:rFonts w:ascii="Arial" w:eastAsia="Arial" w:hAnsi="Arial" w:cs="Arial"/>
          <w:b/>
          <w:i/>
          <w:sz w:val="28"/>
          <w:szCs w:val="28"/>
        </w:rPr>
        <w:t>2. Business Type</w:t>
      </w:r>
    </w:p>
    <w:p w14:paraId="1B55C8BB" w14:textId="77777777" w:rsidR="00DB4AC9" w:rsidRDefault="00DB4AC9" w:rsidP="00DB4AC9">
      <w:pPr>
        <w:spacing w:after="0"/>
      </w:pPr>
    </w:p>
    <w:p w14:paraId="45026F7F" w14:textId="77777777" w:rsidR="00DB4AC9" w:rsidRDefault="00DB4AC9" w:rsidP="00DB4AC9">
      <w:pPr>
        <w:spacing w:after="0"/>
        <w:ind w:left="360"/>
      </w:pPr>
      <w:r>
        <w:rPr>
          <w:rFonts w:ascii="Times New Roman" w:eastAsia="Times New Roman" w:hAnsi="Times New Roman" w:cs="Times New Roman"/>
          <w:b/>
          <w:sz w:val="24"/>
          <w:szCs w:val="24"/>
        </w:rPr>
        <w:t>2a. Undefined Business Type for In-Business Clients</w:t>
      </w:r>
    </w:p>
    <w:p w14:paraId="097C3282" w14:textId="77777777" w:rsidR="00DB4AC9" w:rsidRDefault="00DB4AC9" w:rsidP="00DB4AC9">
      <w:pPr>
        <w:spacing w:after="0"/>
        <w:ind w:left="360"/>
      </w:pPr>
    </w:p>
    <w:p w14:paraId="7CAA50C2"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2a Undefined Business Type” </w:t>
      </w:r>
    </w:p>
    <w:p w14:paraId="2CE910C6" w14:textId="77777777" w:rsidR="00DB4AC9" w:rsidRDefault="00DB4AC9" w:rsidP="00DB4AC9">
      <w:pPr>
        <w:spacing w:after="0"/>
        <w:ind w:left="360"/>
      </w:pPr>
    </w:p>
    <w:p w14:paraId="04353DCC" w14:textId="77777777" w:rsidR="00DB4AC9" w:rsidRDefault="00DB4AC9" w:rsidP="00DB4AC9">
      <w:pPr>
        <w:spacing w:after="0"/>
        <w:ind w:left="360"/>
      </w:pPr>
      <w:r>
        <w:rPr>
          <w:rFonts w:ascii="Times New Roman" w:eastAsia="Times New Roman" w:hAnsi="Times New Roman" w:cs="Times New Roman"/>
          <w:sz w:val="24"/>
          <w:szCs w:val="24"/>
        </w:rPr>
        <w:t xml:space="preserve">Verify the </w:t>
      </w:r>
      <w:proofErr w:type="gramStart"/>
      <w:r>
        <w:rPr>
          <w:rFonts w:ascii="Times New Roman" w:eastAsia="Times New Roman" w:hAnsi="Times New Roman" w:cs="Times New Roman"/>
          <w:sz w:val="24"/>
          <w:szCs w:val="24"/>
        </w:rPr>
        <w:t>in business</w:t>
      </w:r>
      <w:proofErr w:type="gramEnd"/>
      <w:r>
        <w:rPr>
          <w:rFonts w:ascii="Times New Roman" w:eastAsia="Times New Roman" w:hAnsi="Times New Roman" w:cs="Times New Roman"/>
          <w:sz w:val="24"/>
          <w:szCs w:val="24"/>
        </w:rPr>
        <w:t xml:space="preserve"> status of the client. Make changes as necessary. Clients currently in-business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“Undefined” or “Choose not to respond” as a business type.</w:t>
      </w:r>
    </w:p>
    <w:p w14:paraId="099061A0" w14:textId="77777777" w:rsidR="00DB4AC9" w:rsidRDefault="00DB4AC9" w:rsidP="00DB4AC9">
      <w:pPr>
        <w:spacing w:after="0"/>
        <w:ind w:left="360"/>
      </w:pPr>
    </w:p>
    <w:p w14:paraId="02FDF88B" w14:textId="77777777" w:rsidR="00DB4AC9" w:rsidRDefault="00DB4AC9" w:rsidP="00DB4AC9">
      <w:pPr>
        <w:spacing w:after="0"/>
        <w:ind w:left="360"/>
      </w:pPr>
      <w:r>
        <w:rPr>
          <w:noProof/>
        </w:rPr>
        <mc:AlternateContent>
          <mc:Choice Requires="wps">
            <w:drawing>
              <wp:inline distT="0" distB="0" distL="0" distR="0" wp14:anchorId="48FF6B9B" wp14:editId="09D003EF">
                <wp:extent cx="5651500" cy="673100"/>
                <wp:effectExtent l="0" t="0" r="0" b="0"/>
                <wp:docPr id="35" name="Rectangle 35"/>
                <wp:cNvGraphicFramePr/>
                <a:graphic xmlns:a="http://schemas.openxmlformats.org/drawingml/2006/main">
                  <a:graphicData uri="http://schemas.microsoft.com/office/word/2010/wordprocessingShape">
                    <wps:wsp>
                      <wps:cNvSpPr/>
                      <wps:spPr>
                        <a:xfrm>
                          <a:off x="2524059" y="3446942"/>
                          <a:ext cx="5643879" cy="66611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5583A4E5" w14:textId="77777777" w:rsidR="00DB4AC9" w:rsidRDefault="00DB4AC9" w:rsidP="00DB4AC9">
                            <w:pPr>
                              <w:textDirection w:val="btLr"/>
                            </w:pPr>
                            <w:r>
                              <w:t>Current Company Status, Business Type, and I/F Session</w:t>
                            </w:r>
                          </w:p>
                          <w:p w14:paraId="3659BC7C" w14:textId="77777777" w:rsidR="00DB4AC9" w:rsidRDefault="00DB4AC9" w:rsidP="00DB4AC9">
                            <w:pPr>
                              <w:textDirection w:val="btLr"/>
                            </w:pPr>
                            <w:r>
                              <w:t>Select start-up and in business, select “Undefined” and “Choose not to Respond”, date range</w:t>
                            </w:r>
                          </w:p>
                          <w:p w14:paraId="2BA0ABFA"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48FF6B9B" id="Rectangle 35" o:spid="_x0000_s1045" style="width:445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" strokecolor="#4bacc6" strokeweight="1pt">
                <v:stroke dashstyle="dash"/>
                <v:textbox inset="2.53958mm,1.2694mm,2.53958mm,1.2694mm">
                  <w:txbxContent>
                    <w:p w14:paraId="5583A4E5" w14:textId="77777777" w:rsidR="00DB4AC9" w:rsidRDefault="00DB4AC9" w:rsidP="00DB4AC9">
                      <w:pPr>
                        <w:textDirection w:val="btLr"/>
                      </w:pPr>
                      <w:r>
                        <w:t>Current Company Status, Business Type, and I/F Session</w:t>
                      </w:r>
                    </w:p>
                    <w:p w14:paraId="3659BC7C" w14:textId="77777777" w:rsidR="00DB4AC9" w:rsidRDefault="00DB4AC9" w:rsidP="00DB4AC9">
                      <w:pPr>
                        <w:textDirection w:val="btLr"/>
                      </w:pPr>
                      <w:r>
                        <w:t>Select start-up and in business, select “Undefined” and “Choose not to Respond”, date range</w:t>
                      </w:r>
                    </w:p>
                    <w:p w14:paraId="2BA0ABFA" w14:textId="77777777" w:rsidR="00DB4AC9" w:rsidRDefault="00DB4AC9" w:rsidP="00DB4AC9">
                      <w:pPr>
                        <w:textDirection w:val="btLr"/>
                      </w:pPr>
                    </w:p>
                  </w:txbxContent>
                </v:textbox>
                <w10:anchorlock/>
              </v:rect>
            </w:pict>
          </mc:Fallback>
        </mc:AlternateContent>
      </w:r>
    </w:p>
    <w:p w14:paraId="64348F90" w14:textId="77777777" w:rsidR="00DB4AC9" w:rsidRDefault="00DB4AC9" w:rsidP="00DB4AC9">
      <w:pPr>
        <w:spacing w:after="0"/>
        <w:ind w:left="360"/>
      </w:pPr>
    </w:p>
    <w:p w14:paraId="4F746174" w14:textId="77777777" w:rsidR="00DB4AC9" w:rsidRDefault="00DB4AC9" w:rsidP="00DB4AC9">
      <w:pPr>
        <w:tabs>
          <w:tab w:val="left" w:pos="360"/>
        </w:tabs>
        <w:spacing w:after="0"/>
        <w:ind w:left="360"/>
      </w:pPr>
      <w:r>
        <w:rPr>
          <w:rFonts w:ascii="Times New Roman" w:eastAsia="Times New Roman" w:hAnsi="Times New Roman" w:cs="Times New Roman"/>
          <w:b/>
          <w:sz w:val="24"/>
          <w:szCs w:val="24"/>
        </w:rPr>
        <w:t>2b. Business Type other than “Choose not to Respond” for Pre-venture Clients</w:t>
      </w:r>
    </w:p>
    <w:p w14:paraId="3ECB7D53" w14:textId="77777777" w:rsidR="00DB4AC9" w:rsidRDefault="00DB4AC9" w:rsidP="00DB4AC9">
      <w:pPr>
        <w:spacing w:after="0"/>
        <w:ind w:left="360"/>
      </w:pPr>
    </w:p>
    <w:p w14:paraId="1F93BF5B"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2b Preventure Business Type” </w:t>
      </w:r>
    </w:p>
    <w:p w14:paraId="0220D69C" w14:textId="77777777" w:rsidR="00DB4AC9" w:rsidRDefault="00DB4AC9" w:rsidP="00DB4AC9">
      <w:pPr>
        <w:spacing w:after="0"/>
        <w:ind w:left="360"/>
      </w:pPr>
    </w:p>
    <w:p w14:paraId="40D5DC43" w14:textId="77777777" w:rsidR="00DB4AC9" w:rsidRDefault="00DB4AC9" w:rsidP="00DB4AC9">
      <w:pPr>
        <w:spacing w:after="0"/>
        <w:ind w:left="360"/>
      </w:pPr>
      <w:r>
        <w:rPr>
          <w:rFonts w:ascii="Times New Roman" w:eastAsia="Times New Roman" w:hAnsi="Times New Roman" w:cs="Times New Roman"/>
          <w:sz w:val="24"/>
          <w:szCs w:val="24"/>
        </w:rPr>
        <w:t>Verify the pre-venture status of the individual. Make changes as necessary. Pre-venture clients should have “Choose not to respond” or “Undefined” as a business type. If the pre-venture client has an intended business type, it can be captured by “NAICS code” and/or in the “Notes” section of the client record.</w:t>
      </w:r>
    </w:p>
    <w:p w14:paraId="676FDC05" w14:textId="77777777" w:rsidR="00DB4AC9" w:rsidRDefault="00DB4AC9" w:rsidP="00DB4AC9">
      <w:pPr>
        <w:spacing w:after="0"/>
        <w:ind w:left="360"/>
      </w:pPr>
    </w:p>
    <w:p w14:paraId="495888F4" w14:textId="77777777" w:rsidR="00DB4AC9" w:rsidRDefault="00DB4AC9" w:rsidP="00DB4AC9">
      <w:pPr>
        <w:spacing w:after="0"/>
        <w:ind w:left="360"/>
      </w:pPr>
      <w:r>
        <w:rPr>
          <w:noProof/>
        </w:rPr>
        <mc:AlternateContent>
          <mc:Choice Requires="wps">
            <w:drawing>
              <wp:inline distT="0" distB="0" distL="0" distR="0" wp14:anchorId="0C33AD83" wp14:editId="35942B38">
                <wp:extent cx="5651500" cy="673100"/>
                <wp:effectExtent l="0" t="0" r="0" b="0"/>
                <wp:docPr id="36" name="Rectangle 36"/>
                <wp:cNvGraphicFramePr/>
                <a:graphic xmlns:a="http://schemas.openxmlformats.org/drawingml/2006/main">
                  <a:graphicData uri="http://schemas.microsoft.com/office/word/2010/wordprocessingShape">
                    <wps:wsp>
                      <wps:cNvSpPr/>
                      <wps:spPr>
                        <a:xfrm>
                          <a:off x="2524059" y="3446307"/>
                          <a:ext cx="5643879" cy="667385"/>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66A18FDC" w14:textId="77777777" w:rsidR="00DB4AC9" w:rsidRDefault="00DB4AC9" w:rsidP="00DB4AC9">
                            <w:pPr>
                              <w:textDirection w:val="btLr"/>
                            </w:pPr>
                            <w:r>
                              <w:t>Current Company Status, Business Type, and I/F Session</w:t>
                            </w:r>
                          </w:p>
                          <w:p w14:paraId="5F18E1AF" w14:textId="77777777" w:rsidR="00DB4AC9" w:rsidRDefault="00DB4AC9" w:rsidP="00DB4AC9">
                            <w:pPr>
                              <w:textDirection w:val="btLr"/>
                            </w:pPr>
                            <w:r>
                              <w:t>Select Pre-venture, select all except “choose not to respond” and “undefined”, date range</w:t>
                            </w:r>
                          </w:p>
                          <w:p w14:paraId="5896CC9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C33AD83" id="Rectangle 36" o:spid="_x0000_s1046" style="width:445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" strokecolor="#4bacc6" strokeweight="1pt">
                <v:stroke dashstyle="dash"/>
                <v:textbox inset="2.53958mm,1.2694mm,2.53958mm,1.2694mm">
                  <w:txbxContent>
                    <w:p w14:paraId="66A18FDC" w14:textId="77777777" w:rsidR="00DB4AC9" w:rsidRDefault="00DB4AC9" w:rsidP="00DB4AC9">
                      <w:pPr>
                        <w:textDirection w:val="btLr"/>
                      </w:pPr>
                      <w:r>
                        <w:t>Current Company Status, Business Type, and I/F Session</w:t>
                      </w:r>
                    </w:p>
                    <w:p w14:paraId="5F18E1AF" w14:textId="77777777" w:rsidR="00DB4AC9" w:rsidRDefault="00DB4AC9" w:rsidP="00DB4AC9">
                      <w:pPr>
                        <w:textDirection w:val="btLr"/>
                      </w:pPr>
                      <w:r>
                        <w:t>Select Pre-venture, select all except “choose not to respond” and “undefined”, date range</w:t>
                      </w:r>
                    </w:p>
                    <w:p w14:paraId="5896CC97" w14:textId="77777777" w:rsidR="00DB4AC9" w:rsidRDefault="00DB4AC9" w:rsidP="00DB4AC9">
                      <w:pPr>
                        <w:textDirection w:val="btLr"/>
                      </w:pPr>
                    </w:p>
                  </w:txbxContent>
                </v:textbox>
                <w10:anchorlock/>
              </v:rect>
            </w:pict>
          </mc:Fallback>
        </mc:AlternateContent>
      </w:r>
    </w:p>
    <w:p w14:paraId="648ACA03" w14:textId="77777777" w:rsidR="00DB4AC9" w:rsidRDefault="00DB4AC9" w:rsidP="00DB4AC9">
      <w:pPr>
        <w:spacing w:after="0"/>
      </w:pPr>
    </w:p>
    <w:p w14:paraId="3B74B8F8" w14:textId="77777777" w:rsidR="00DB4AC9" w:rsidRDefault="00DB4AC9" w:rsidP="00DB4AC9">
      <w:pPr>
        <w:spacing w:after="0"/>
      </w:pPr>
    </w:p>
    <w:p w14:paraId="07E8E0CF" w14:textId="77777777" w:rsidR="00DB4AC9" w:rsidRDefault="00DB4AC9" w:rsidP="00DB4AC9">
      <w:pPr>
        <w:keepNext/>
        <w:spacing w:before="240" w:after="60"/>
      </w:pPr>
      <w:bookmarkStart w:id="264" w:name="_1l354xk" w:colFirst="0" w:colLast="0"/>
      <w:bookmarkEnd w:id="264"/>
      <w:r>
        <w:rPr>
          <w:rFonts w:ascii="Arial" w:eastAsia="Arial" w:hAnsi="Arial" w:cs="Arial"/>
          <w:b/>
          <w:i/>
          <w:sz w:val="28"/>
          <w:szCs w:val="28"/>
        </w:rPr>
        <w:lastRenderedPageBreak/>
        <w:t>3. Organization Type</w:t>
      </w:r>
    </w:p>
    <w:p w14:paraId="0C050918" w14:textId="77777777" w:rsidR="00DB4AC9" w:rsidRDefault="00DB4AC9" w:rsidP="00DB4AC9">
      <w:pPr>
        <w:spacing w:after="0"/>
        <w:ind w:left="360"/>
      </w:pPr>
    </w:p>
    <w:p w14:paraId="383A916C" w14:textId="77777777" w:rsidR="00DB4AC9" w:rsidRDefault="00DB4AC9" w:rsidP="00DB4AC9">
      <w:pPr>
        <w:spacing w:after="0"/>
        <w:ind w:left="360"/>
      </w:pPr>
      <w:r>
        <w:rPr>
          <w:rFonts w:ascii="Times New Roman" w:eastAsia="Times New Roman" w:hAnsi="Times New Roman" w:cs="Times New Roman"/>
          <w:b/>
          <w:sz w:val="24"/>
          <w:szCs w:val="24"/>
        </w:rPr>
        <w:t>3a. Not in Business Org Type for In-Business Clients</w:t>
      </w:r>
    </w:p>
    <w:p w14:paraId="39E99C73" w14:textId="77777777" w:rsidR="00DB4AC9" w:rsidRDefault="00DB4AC9" w:rsidP="00DB4AC9">
      <w:pPr>
        <w:spacing w:after="0"/>
        <w:ind w:left="360"/>
      </w:pPr>
    </w:p>
    <w:p w14:paraId="5223B4CE"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3a Status Org Discrepancy” </w:t>
      </w:r>
    </w:p>
    <w:p w14:paraId="3EDC122F" w14:textId="77777777" w:rsidR="00DB4AC9" w:rsidRDefault="00DB4AC9" w:rsidP="00DB4AC9">
      <w:pPr>
        <w:spacing w:after="0"/>
        <w:ind w:left="360"/>
      </w:pPr>
    </w:p>
    <w:p w14:paraId="1BB27CA1" w14:textId="77777777" w:rsidR="00DB4AC9" w:rsidRDefault="00DB4AC9" w:rsidP="00DB4AC9">
      <w:pPr>
        <w:spacing w:after="0"/>
        <w:ind w:left="360"/>
      </w:pPr>
      <w:r>
        <w:rPr>
          <w:rFonts w:ascii="Times New Roman" w:eastAsia="Times New Roman" w:hAnsi="Times New Roman" w:cs="Times New Roman"/>
          <w:sz w:val="24"/>
          <w:szCs w:val="24"/>
        </w:rPr>
        <w:t xml:space="preserve">In Business clients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an organization type of “Not in Business” or “undefined.” Select appropriate category.</w:t>
      </w:r>
    </w:p>
    <w:p w14:paraId="2963E104" w14:textId="77777777" w:rsidR="00DB4AC9" w:rsidRDefault="00DB4AC9" w:rsidP="00DB4AC9">
      <w:pPr>
        <w:spacing w:after="0"/>
        <w:ind w:left="360"/>
      </w:pPr>
    </w:p>
    <w:p w14:paraId="77BC1697" w14:textId="77777777" w:rsidR="00DB4AC9" w:rsidRDefault="00DB4AC9" w:rsidP="00DB4AC9">
      <w:pPr>
        <w:spacing w:after="0"/>
        <w:ind w:left="360"/>
      </w:pPr>
      <w:r>
        <w:rPr>
          <w:noProof/>
        </w:rPr>
        <mc:AlternateContent>
          <mc:Choice Requires="wps">
            <w:drawing>
              <wp:inline distT="0" distB="0" distL="0" distR="0" wp14:anchorId="104AD8C4" wp14:editId="226A8D61">
                <wp:extent cx="5651500" cy="508000"/>
                <wp:effectExtent l="0" t="0" r="0" b="0"/>
                <wp:docPr id="33" name="Rectangle 33"/>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552B59AD" w14:textId="77777777" w:rsidR="00DB4AC9" w:rsidRDefault="00DB4AC9" w:rsidP="00DB4AC9">
                            <w:pPr>
                              <w:textDirection w:val="btLr"/>
                            </w:pPr>
                            <w:r>
                              <w:t>Current Company Status, Organization type, I/F session</w:t>
                            </w:r>
                          </w:p>
                          <w:p w14:paraId="7B1C2353" w14:textId="77777777" w:rsidR="00DB4AC9" w:rsidRDefault="00DB4AC9" w:rsidP="00DB4AC9">
                            <w:pPr>
                              <w:textDirection w:val="btLr"/>
                            </w:pPr>
                            <w:r>
                              <w:t>Select In-business and start-up; Select not in business or undefined, date range</w:t>
                            </w:r>
                          </w:p>
                          <w:p w14:paraId="0184336C"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104AD8C4" id="Rectangle 33" o:spid="_x0000_s1047"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DjxXhH/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552B59AD" w14:textId="77777777" w:rsidR="00DB4AC9" w:rsidRDefault="00DB4AC9" w:rsidP="00DB4AC9">
                      <w:pPr>
                        <w:textDirection w:val="btLr"/>
                      </w:pPr>
                      <w:r>
                        <w:t>Current Company Status, Organization type, I/F session</w:t>
                      </w:r>
                    </w:p>
                    <w:p w14:paraId="7B1C2353" w14:textId="77777777" w:rsidR="00DB4AC9" w:rsidRDefault="00DB4AC9" w:rsidP="00DB4AC9">
                      <w:pPr>
                        <w:textDirection w:val="btLr"/>
                      </w:pPr>
                      <w:r>
                        <w:t>Select In-business and start-up; Select not in business or undefined, date range</w:t>
                      </w:r>
                    </w:p>
                    <w:p w14:paraId="0184336C" w14:textId="77777777" w:rsidR="00DB4AC9" w:rsidRDefault="00DB4AC9" w:rsidP="00DB4AC9">
                      <w:pPr>
                        <w:textDirection w:val="btLr"/>
                      </w:pPr>
                    </w:p>
                  </w:txbxContent>
                </v:textbox>
                <w10:anchorlock/>
              </v:rect>
            </w:pict>
          </mc:Fallback>
        </mc:AlternateContent>
      </w:r>
    </w:p>
    <w:p w14:paraId="05BB8B48" w14:textId="77777777" w:rsidR="00DB4AC9" w:rsidRDefault="00DB4AC9" w:rsidP="00DB4AC9">
      <w:pPr>
        <w:spacing w:after="0"/>
        <w:ind w:left="360"/>
      </w:pPr>
    </w:p>
    <w:p w14:paraId="06DAF658" w14:textId="77777777" w:rsidR="00DB4AC9" w:rsidRDefault="00DB4AC9" w:rsidP="00DB4AC9">
      <w:pPr>
        <w:spacing w:after="0"/>
        <w:ind w:left="360"/>
      </w:pPr>
      <w:r>
        <w:rPr>
          <w:rFonts w:ascii="Times New Roman" w:eastAsia="Times New Roman" w:hAnsi="Times New Roman" w:cs="Times New Roman"/>
          <w:b/>
          <w:sz w:val="24"/>
          <w:szCs w:val="24"/>
        </w:rPr>
        <w:t>3b. Org Type other than “Not in Business” for Pre-venture Clients</w:t>
      </w:r>
    </w:p>
    <w:p w14:paraId="19292F64" w14:textId="77777777" w:rsidR="00DB4AC9" w:rsidRDefault="00DB4AC9" w:rsidP="00DB4AC9">
      <w:pPr>
        <w:spacing w:after="0"/>
        <w:ind w:left="360"/>
      </w:pPr>
    </w:p>
    <w:p w14:paraId="5C0BC341"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3b Status Org Discrepancy” </w:t>
      </w:r>
    </w:p>
    <w:p w14:paraId="4A4E69BB" w14:textId="77777777" w:rsidR="00DB4AC9" w:rsidRDefault="00DB4AC9" w:rsidP="00DB4AC9">
      <w:pPr>
        <w:spacing w:after="0"/>
        <w:ind w:left="360"/>
      </w:pPr>
    </w:p>
    <w:p w14:paraId="3D3B11F6" w14:textId="77777777" w:rsidR="00DB4AC9" w:rsidRDefault="00DB4AC9" w:rsidP="00DB4AC9">
      <w:pPr>
        <w:spacing w:after="0"/>
        <w:ind w:left="360"/>
      </w:pPr>
      <w:r>
        <w:rPr>
          <w:rFonts w:ascii="Times New Roman" w:eastAsia="Times New Roman" w:hAnsi="Times New Roman" w:cs="Times New Roman"/>
          <w:sz w:val="24"/>
          <w:szCs w:val="24"/>
        </w:rPr>
        <w:t xml:space="preserve">Make changes as necessary. Pre-venture clients should have an organization type of “Not in Business” or “undefined” </w:t>
      </w:r>
    </w:p>
    <w:p w14:paraId="1E2CDAD8" w14:textId="77777777" w:rsidR="00DB4AC9" w:rsidRDefault="00DB4AC9" w:rsidP="00DB4AC9">
      <w:pPr>
        <w:spacing w:after="0"/>
        <w:ind w:left="360"/>
      </w:pPr>
    </w:p>
    <w:p w14:paraId="39D44718" w14:textId="77777777" w:rsidR="00DB4AC9" w:rsidRDefault="00DB4AC9" w:rsidP="00DB4AC9">
      <w:pPr>
        <w:spacing w:after="0"/>
        <w:ind w:left="360"/>
      </w:pPr>
      <w:r>
        <w:rPr>
          <w:noProof/>
        </w:rPr>
        <mc:AlternateContent>
          <mc:Choice Requires="wps">
            <w:drawing>
              <wp:inline distT="0" distB="0" distL="0" distR="0" wp14:anchorId="6CBE823A" wp14:editId="6396C98E">
                <wp:extent cx="5651500" cy="508000"/>
                <wp:effectExtent l="0" t="0" r="0" b="0"/>
                <wp:docPr id="34" name="Rectangle 34"/>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15D33AB9" w14:textId="77777777" w:rsidR="00DB4AC9" w:rsidRDefault="00DB4AC9" w:rsidP="00DB4AC9">
                            <w:pPr>
                              <w:textDirection w:val="btLr"/>
                            </w:pPr>
                            <w:r>
                              <w:t>Current Company Status, Organization type, I/F session</w:t>
                            </w:r>
                          </w:p>
                          <w:p w14:paraId="6380947C" w14:textId="77777777" w:rsidR="00DB4AC9" w:rsidRDefault="00DB4AC9" w:rsidP="00DB4AC9">
                            <w:pPr>
                              <w:textDirection w:val="btLr"/>
                            </w:pPr>
                            <w:r>
                              <w:t>Select pre-venture, Select all except not in business or undefined, date range</w:t>
                            </w:r>
                          </w:p>
                          <w:p w14:paraId="56CD4B9C"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6CBE823A" id="Rectangle 34" o:spid="_x0000_s1048"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wzj/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KCJd/NQadnl0SH7UYIvNvCwqsHnalFWSwt2ftPcnRNPewDCASFO4&#10;D2k0Yj8iNXguNfE6H9HU9/uEuk3x7gc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6OMM4/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15D33AB9" w14:textId="77777777" w:rsidR="00DB4AC9" w:rsidRDefault="00DB4AC9" w:rsidP="00DB4AC9">
                      <w:pPr>
                        <w:textDirection w:val="btLr"/>
                      </w:pPr>
                      <w:r>
                        <w:t>Current Company Status, Organization type, I/F session</w:t>
                      </w:r>
                    </w:p>
                    <w:p w14:paraId="6380947C" w14:textId="77777777" w:rsidR="00DB4AC9" w:rsidRDefault="00DB4AC9" w:rsidP="00DB4AC9">
                      <w:pPr>
                        <w:textDirection w:val="btLr"/>
                      </w:pPr>
                      <w:r>
                        <w:t>Select pre-venture, Select all except not in business or undefined, date range</w:t>
                      </w:r>
                    </w:p>
                    <w:p w14:paraId="56CD4B9C" w14:textId="77777777" w:rsidR="00DB4AC9" w:rsidRDefault="00DB4AC9" w:rsidP="00DB4AC9">
                      <w:pPr>
                        <w:textDirection w:val="btLr"/>
                      </w:pPr>
                    </w:p>
                  </w:txbxContent>
                </v:textbox>
                <w10:anchorlock/>
              </v:rect>
            </w:pict>
          </mc:Fallback>
        </mc:AlternateContent>
      </w:r>
    </w:p>
    <w:p w14:paraId="1FB82728" w14:textId="77777777" w:rsidR="00DB4AC9" w:rsidRDefault="00DB4AC9" w:rsidP="00DB4AC9">
      <w:pPr>
        <w:spacing w:after="0"/>
      </w:pPr>
    </w:p>
    <w:p w14:paraId="76C2EF49" w14:textId="77777777" w:rsidR="00DB4AC9" w:rsidRDefault="00DB4AC9" w:rsidP="00DB4AC9">
      <w:pPr>
        <w:spacing w:after="0"/>
        <w:ind w:left="360"/>
      </w:pPr>
      <w:r>
        <w:rPr>
          <w:rFonts w:ascii="Times New Roman" w:eastAsia="Times New Roman" w:hAnsi="Times New Roman" w:cs="Times New Roman"/>
          <w:b/>
          <w:sz w:val="24"/>
          <w:szCs w:val="24"/>
        </w:rPr>
        <w:t>3c + d. Business Type and Organization Type check</w:t>
      </w:r>
    </w:p>
    <w:p w14:paraId="2F62C7D8" w14:textId="77777777" w:rsidR="00DB4AC9" w:rsidRDefault="00DB4AC9" w:rsidP="00DB4AC9">
      <w:pPr>
        <w:spacing w:after="0"/>
        <w:ind w:left="360"/>
      </w:pPr>
    </w:p>
    <w:p w14:paraId="7B997AEA"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3c Business Org Type Check” and then “YE2013 3d Business Org Type Check II”</w:t>
      </w:r>
    </w:p>
    <w:p w14:paraId="4A0D4DDB" w14:textId="77777777" w:rsidR="00DB4AC9" w:rsidRDefault="00DB4AC9" w:rsidP="00DB4AC9">
      <w:pPr>
        <w:spacing w:after="0"/>
        <w:ind w:left="360"/>
      </w:pPr>
    </w:p>
    <w:p w14:paraId="7B70A54B" w14:textId="77777777" w:rsidR="00DB4AC9" w:rsidRDefault="00DB4AC9" w:rsidP="00DB4AC9">
      <w:pPr>
        <w:spacing w:after="0"/>
        <w:ind w:left="360"/>
      </w:pPr>
      <w:r>
        <w:rPr>
          <w:rFonts w:ascii="Times New Roman" w:eastAsia="Times New Roman" w:hAnsi="Times New Roman" w:cs="Times New Roman"/>
          <w:sz w:val="24"/>
          <w:szCs w:val="24"/>
        </w:rPr>
        <w:t xml:space="preserve">Assuming procedures 1-3b have been completed, there should not be any clients listed in these subsets, however if there are: Verify the current company status of the client – Are they </w:t>
      </w:r>
      <w:proofErr w:type="gramStart"/>
      <w:r>
        <w:rPr>
          <w:rFonts w:ascii="Times New Roman" w:eastAsia="Times New Roman" w:hAnsi="Times New Roman" w:cs="Times New Roman"/>
          <w:sz w:val="24"/>
          <w:szCs w:val="24"/>
        </w:rPr>
        <w:t>actually in-business</w:t>
      </w:r>
      <w:proofErr w:type="gramEnd"/>
      <w:r>
        <w:rPr>
          <w:rFonts w:ascii="Times New Roman" w:eastAsia="Times New Roman" w:hAnsi="Times New Roman" w:cs="Times New Roman"/>
          <w:sz w:val="24"/>
          <w:szCs w:val="24"/>
        </w:rPr>
        <w:t xml:space="preserve"> or pre-venture or have then been mislabeled? Make changes as needed with reference to </w:t>
      </w:r>
      <w:proofErr w:type="gramStart"/>
      <w:r>
        <w:rPr>
          <w:rFonts w:ascii="Times New Roman" w:eastAsia="Times New Roman" w:hAnsi="Times New Roman" w:cs="Times New Roman"/>
          <w:sz w:val="24"/>
          <w:szCs w:val="24"/>
        </w:rPr>
        <w:t>reconcile</w:t>
      </w:r>
      <w:proofErr w:type="gramEnd"/>
      <w:r>
        <w:rPr>
          <w:rFonts w:ascii="Times New Roman" w:eastAsia="Times New Roman" w:hAnsi="Times New Roman" w:cs="Times New Roman"/>
          <w:sz w:val="24"/>
          <w:szCs w:val="24"/>
        </w:rPr>
        <w:t xml:space="preserve"> the current company status with the proper entry of all other business info fields.</w:t>
      </w:r>
    </w:p>
    <w:p w14:paraId="2B822D2D" w14:textId="77777777" w:rsidR="00DB4AC9" w:rsidRDefault="00DB4AC9" w:rsidP="00DB4AC9">
      <w:pPr>
        <w:spacing w:after="0"/>
        <w:ind w:left="360"/>
      </w:pPr>
    </w:p>
    <w:p w14:paraId="3C0BE5CC" w14:textId="77777777" w:rsidR="00DB4AC9" w:rsidRDefault="00DB4AC9" w:rsidP="00DB4AC9">
      <w:pPr>
        <w:spacing w:after="0"/>
        <w:ind w:left="360"/>
      </w:pPr>
      <w:r>
        <w:rPr>
          <w:noProof/>
        </w:rPr>
        <mc:AlternateContent>
          <mc:Choice Requires="wps">
            <w:drawing>
              <wp:inline distT="0" distB="0" distL="0" distR="0" wp14:anchorId="2ABF2860" wp14:editId="027CB1E9">
                <wp:extent cx="5651500" cy="711200"/>
                <wp:effectExtent l="0" t="0" r="0" b="0"/>
                <wp:docPr id="31" name="Rectangle 31"/>
                <wp:cNvGraphicFramePr/>
                <a:graphic xmlns:a="http://schemas.openxmlformats.org/drawingml/2006/main">
                  <a:graphicData uri="http://schemas.microsoft.com/office/word/2010/wordprocessingShape">
                    <wps:wsp>
                      <wps:cNvSpPr/>
                      <wps:spPr>
                        <a:xfrm>
                          <a:off x="2524059" y="3430432"/>
                          <a:ext cx="5643879" cy="69913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08A49807" w14:textId="77777777" w:rsidR="00DB4AC9" w:rsidRDefault="00DB4AC9" w:rsidP="00DB4AC9">
                            <w:pPr>
                              <w:textDirection w:val="btLr"/>
                            </w:pPr>
                            <w:r>
                              <w:t>Business type, organization type, I/F session</w:t>
                            </w:r>
                          </w:p>
                          <w:p w14:paraId="2D68F4F3" w14:textId="77777777" w:rsidR="00DB4AC9" w:rsidRDefault="00DB4AC9" w:rsidP="00DB4AC9">
                            <w:pPr>
                              <w:textDirection w:val="btLr"/>
                            </w:pPr>
                            <w:r>
                              <w:t>Select all except choose not to respond or undefined, select not in business or undefined, date range</w:t>
                            </w:r>
                          </w:p>
                          <w:p w14:paraId="2E89CECB"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2ABF2860" id="Rectangle 31" o:spid="_x0000_s1049" style="width:44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" strokecolor="#4bacc6" strokeweight="1pt">
                <v:stroke dashstyle="dash"/>
                <v:textbox inset="2.53958mm,1.2694mm,2.53958mm,1.2694mm">
                  <w:txbxContent>
                    <w:p w14:paraId="08A49807" w14:textId="77777777" w:rsidR="00DB4AC9" w:rsidRDefault="00DB4AC9" w:rsidP="00DB4AC9">
                      <w:pPr>
                        <w:textDirection w:val="btLr"/>
                      </w:pPr>
                      <w:r>
                        <w:t>Business type, organization type, I/F session</w:t>
                      </w:r>
                    </w:p>
                    <w:p w14:paraId="2D68F4F3" w14:textId="77777777" w:rsidR="00DB4AC9" w:rsidRDefault="00DB4AC9" w:rsidP="00DB4AC9">
                      <w:pPr>
                        <w:textDirection w:val="btLr"/>
                      </w:pPr>
                      <w:r>
                        <w:t>Select all except choose not to respond or undefined, select not in business or undefined, date range</w:t>
                      </w:r>
                    </w:p>
                    <w:p w14:paraId="2E89CECB" w14:textId="77777777" w:rsidR="00DB4AC9" w:rsidRDefault="00DB4AC9" w:rsidP="00DB4AC9">
                      <w:pPr>
                        <w:textDirection w:val="btLr"/>
                      </w:pPr>
                    </w:p>
                  </w:txbxContent>
                </v:textbox>
                <w10:anchorlock/>
              </v:rect>
            </w:pict>
          </mc:Fallback>
        </mc:AlternateContent>
      </w:r>
    </w:p>
    <w:p w14:paraId="2F7BA3C5" w14:textId="77777777" w:rsidR="00DB4AC9" w:rsidRDefault="00DB4AC9" w:rsidP="00DB4AC9">
      <w:pPr>
        <w:spacing w:after="0"/>
        <w:ind w:left="360"/>
      </w:pPr>
    </w:p>
    <w:p w14:paraId="35467C2E" w14:textId="77777777" w:rsidR="00DB4AC9" w:rsidRDefault="00DB4AC9" w:rsidP="00DB4AC9">
      <w:pPr>
        <w:spacing w:after="0"/>
        <w:ind w:left="360"/>
      </w:pPr>
      <w:r>
        <w:rPr>
          <w:noProof/>
        </w:rPr>
        <mc:AlternateContent>
          <mc:Choice Requires="wps">
            <w:drawing>
              <wp:inline distT="0" distB="0" distL="0" distR="0" wp14:anchorId="04C1F29E" wp14:editId="1F854901">
                <wp:extent cx="5651500" cy="685800"/>
                <wp:effectExtent l="0" t="0" r="0" b="0"/>
                <wp:docPr id="32" name="Rectangle 32"/>
                <wp:cNvGraphicFramePr/>
                <a:graphic xmlns:a="http://schemas.openxmlformats.org/drawingml/2006/main">
                  <a:graphicData uri="http://schemas.microsoft.com/office/word/2010/wordprocessingShape">
                    <wps:wsp>
                      <wps:cNvSpPr/>
                      <wps:spPr>
                        <a:xfrm>
                          <a:off x="2524059" y="3441544"/>
                          <a:ext cx="5643879" cy="676909"/>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5BE42362" w14:textId="77777777" w:rsidR="00DB4AC9" w:rsidRDefault="00DB4AC9" w:rsidP="00DB4AC9">
                            <w:pPr>
                              <w:textDirection w:val="btLr"/>
                            </w:pPr>
                            <w:r>
                              <w:t>Organization type, business type, i/f session</w:t>
                            </w:r>
                          </w:p>
                          <w:p w14:paraId="5A2E4FBA" w14:textId="77777777" w:rsidR="00DB4AC9" w:rsidRDefault="00DB4AC9" w:rsidP="00DB4AC9">
                            <w:pPr>
                              <w:textDirection w:val="btLr"/>
                            </w:pPr>
                            <w:r>
                              <w:t>Select all except not in business or undefined, select choose not to respond or undefined, date range</w:t>
                            </w:r>
                          </w:p>
                          <w:p w14:paraId="3DB5665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4C1F29E" id="Rectangle 32" o:spid="_x0000_s1050" style="width:44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" strokecolor="#4bacc6" strokeweight="1pt">
                <v:stroke dashstyle="dash"/>
                <v:textbox inset="2.53958mm,1.2694mm,2.53958mm,1.2694mm">
                  <w:txbxContent>
                    <w:p w14:paraId="5BE42362" w14:textId="77777777" w:rsidR="00DB4AC9" w:rsidRDefault="00DB4AC9" w:rsidP="00DB4AC9">
                      <w:pPr>
                        <w:textDirection w:val="btLr"/>
                      </w:pPr>
                      <w:r>
                        <w:t>Organization type, business type, i/f session</w:t>
                      </w:r>
                    </w:p>
                    <w:p w14:paraId="5A2E4FBA" w14:textId="77777777" w:rsidR="00DB4AC9" w:rsidRDefault="00DB4AC9" w:rsidP="00DB4AC9">
                      <w:pPr>
                        <w:textDirection w:val="btLr"/>
                      </w:pPr>
                      <w:r>
                        <w:t>Select all except not in business or undefined, select choose not to respond or undefined, date range</w:t>
                      </w:r>
                    </w:p>
                    <w:p w14:paraId="3DB56657" w14:textId="77777777" w:rsidR="00DB4AC9" w:rsidRDefault="00DB4AC9" w:rsidP="00DB4AC9">
                      <w:pPr>
                        <w:textDirection w:val="btLr"/>
                      </w:pPr>
                    </w:p>
                  </w:txbxContent>
                </v:textbox>
                <w10:anchorlock/>
              </v:rect>
            </w:pict>
          </mc:Fallback>
        </mc:AlternateContent>
      </w:r>
    </w:p>
    <w:p w14:paraId="6C16D2B7" w14:textId="77777777" w:rsidR="00DB4AC9" w:rsidRDefault="00DB4AC9" w:rsidP="00DB4AC9">
      <w:pPr>
        <w:spacing w:after="0"/>
      </w:pPr>
    </w:p>
    <w:p w14:paraId="429EA6CC" w14:textId="77777777" w:rsidR="00DB4AC9" w:rsidRDefault="00DB4AC9" w:rsidP="00DB4AC9">
      <w:pPr>
        <w:spacing w:after="0"/>
        <w:ind w:left="360"/>
      </w:pPr>
    </w:p>
    <w:p w14:paraId="5B71C4BD" w14:textId="77777777" w:rsidR="00DB4AC9" w:rsidRDefault="00DB4AC9" w:rsidP="00DB4AC9">
      <w:pPr>
        <w:spacing w:after="0"/>
        <w:ind w:left="360"/>
      </w:pPr>
    </w:p>
    <w:p w14:paraId="36955E54" w14:textId="77777777" w:rsidR="00DB4AC9" w:rsidRDefault="00DB4AC9" w:rsidP="00DB4AC9">
      <w:pPr>
        <w:spacing w:after="0"/>
        <w:ind w:left="360"/>
      </w:pPr>
      <w:r>
        <w:rPr>
          <w:rFonts w:ascii="Times New Roman" w:eastAsia="Times New Roman" w:hAnsi="Times New Roman" w:cs="Times New Roman"/>
          <w:b/>
          <w:sz w:val="24"/>
          <w:szCs w:val="24"/>
        </w:rPr>
        <w:t xml:space="preserve">3e Verify list of </w:t>
      </w:r>
      <w:proofErr w:type="gramStart"/>
      <w:r>
        <w:rPr>
          <w:rFonts w:ascii="Times New Roman" w:eastAsia="Times New Roman" w:hAnsi="Times New Roman" w:cs="Times New Roman"/>
          <w:b/>
          <w:sz w:val="24"/>
          <w:szCs w:val="24"/>
        </w:rPr>
        <w:t>Non Profits</w:t>
      </w:r>
      <w:proofErr w:type="gramEnd"/>
    </w:p>
    <w:p w14:paraId="1B5083ED" w14:textId="77777777" w:rsidR="00DB4AC9" w:rsidRDefault="00DB4AC9" w:rsidP="00DB4AC9">
      <w:pPr>
        <w:spacing w:after="0"/>
        <w:ind w:left="360"/>
      </w:pPr>
    </w:p>
    <w:p w14:paraId="7AE1D28B"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3e </w:t>
      </w:r>
      <w:proofErr w:type="gramStart"/>
      <w:r>
        <w:rPr>
          <w:rFonts w:ascii="Times New Roman" w:eastAsia="Times New Roman" w:hAnsi="Times New Roman" w:cs="Times New Roman"/>
          <w:sz w:val="24"/>
          <w:szCs w:val="24"/>
        </w:rPr>
        <w:t>Non Profits</w:t>
      </w:r>
      <w:proofErr w:type="gramEnd"/>
      <w:r>
        <w:rPr>
          <w:rFonts w:ascii="Times New Roman" w:eastAsia="Times New Roman" w:hAnsi="Times New Roman" w:cs="Times New Roman"/>
          <w:sz w:val="24"/>
          <w:szCs w:val="24"/>
        </w:rPr>
        <w:t xml:space="preserve">” </w:t>
      </w:r>
    </w:p>
    <w:p w14:paraId="44570838" w14:textId="77777777" w:rsidR="00DB4AC9" w:rsidRDefault="00DB4AC9" w:rsidP="00DB4AC9">
      <w:pPr>
        <w:spacing w:after="0"/>
        <w:ind w:left="360"/>
      </w:pPr>
    </w:p>
    <w:p w14:paraId="59E33192" w14:textId="77777777" w:rsidR="00DB4AC9" w:rsidRDefault="00DB4AC9" w:rsidP="00DB4AC9">
      <w:pPr>
        <w:spacing w:after="0"/>
        <w:ind w:left="360"/>
      </w:pPr>
      <w:r>
        <w:rPr>
          <w:rFonts w:ascii="Times New Roman" w:eastAsia="Times New Roman" w:hAnsi="Times New Roman" w:cs="Times New Roman"/>
          <w:sz w:val="24"/>
          <w:szCs w:val="24"/>
        </w:rPr>
        <w:t xml:space="preserve">This Subset pulls a list of companies identified as non-profits. Review notes and client details to verify that the client is a non-profit. Make changes as necessary. It is </w:t>
      </w:r>
      <w:proofErr w:type="gramStart"/>
      <w:r>
        <w:rPr>
          <w:rFonts w:ascii="Times New Roman" w:eastAsia="Times New Roman" w:hAnsi="Times New Roman" w:cs="Times New Roman"/>
          <w:sz w:val="24"/>
          <w:szCs w:val="24"/>
        </w:rPr>
        <w:t>possible</w:t>
      </w:r>
      <w:proofErr w:type="gramEnd"/>
      <w:r>
        <w:rPr>
          <w:rFonts w:ascii="Times New Roman" w:eastAsia="Times New Roman" w:hAnsi="Times New Roman" w:cs="Times New Roman"/>
          <w:sz w:val="24"/>
          <w:szCs w:val="24"/>
        </w:rPr>
        <w:t xml:space="preserve"> no changes need to be made.</w:t>
      </w:r>
    </w:p>
    <w:p w14:paraId="7BF19716" w14:textId="77777777" w:rsidR="00DB4AC9" w:rsidRDefault="00DB4AC9" w:rsidP="00DB4AC9">
      <w:pPr>
        <w:spacing w:after="0"/>
        <w:ind w:left="360"/>
      </w:pPr>
    </w:p>
    <w:p w14:paraId="7E3E1A27" w14:textId="77777777" w:rsidR="00DB4AC9" w:rsidRDefault="00DB4AC9" w:rsidP="00DB4AC9">
      <w:pPr>
        <w:spacing w:after="0"/>
        <w:ind w:left="360"/>
      </w:pPr>
      <w:r>
        <w:rPr>
          <w:noProof/>
        </w:rPr>
        <mc:AlternateContent>
          <mc:Choice Requires="wps">
            <w:drawing>
              <wp:inline distT="0" distB="0" distL="0" distR="0" wp14:anchorId="574E7F46" wp14:editId="79757BCD">
                <wp:extent cx="5651500" cy="508000"/>
                <wp:effectExtent l="0" t="0" r="0" b="0"/>
                <wp:docPr id="39" name="Rectangle 39"/>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55FAF2C" w14:textId="77777777" w:rsidR="00DB4AC9" w:rsidRDefault="00DB4AC9" w:rsidP="00DB4AC9">
                            <w:pPr>
                              <w:textDirection w:val="btLr"/>
                            </w:pPr>
                            <w:r>
                              <w:t>Organization type, i/f session</w:t>
                            </w:r>
                          </w:p>
                          <w:p w14:paraId="02D0013B" w14:textId="77777777" w:rsidR="00DB4AC9" w:rsidRDefault="00DB4AC9" w:rsidP="00DB4AC9">
                            <w:pPr>
                              <w:textDirection w:val="btLr"/>
                            </w:pPr>
                            <w:r>
                              <w:t>Select non-profit, date range</w:t>
                            </w:r>
                          </w:p>
                          <w:p w14:paraId="00CBEA89"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574E7F46" id="Rectangle 39" o:spid="_x0000_s1051"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5tpal/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455FAF2C" w14:textId="77777777" w:rsidR="00DB4AC9" w:rsidRDefault="00DB4AC9" w:rsidP="00DB4AC9">
                      <w:pPr>
                        <w:textDirection w:val="btLr"/>
                      </w:pPr>
                      <w:r>
                        <w:t>Organization type, i/f session</w:t>
                      </w:r>
                    </w:p>
                    <w:p w14:paraId="02D0013B" w14:textId="77777777" w:rsidR="00DB4AC9" w:rsidRDefault="00DB4AC9" w:rsidP="00DB4AC9">
                      <w:pPr>
                        <w:textDirection w:val="btLr"/>
                      </w:pPr>
                      <w:r>
                        <w:t>Select non-profit, date range</w:t>
                      </w:r>
                    </w:p>
                    <w:p w14:paraId="00CBEA89" w14:textId="77777777" w:rsidR="00DB4AC9" w:rsidRDefault="00DB4AC9" w:rsidP="00DB4AC9">
                      <w:pPr>
                        <w:textDirection w:val="btLr"/>
                      </w:pPr>
                    </w:p>
                  </w:txbxContent>
                </v:textbox>
                <w10:anchorlock/>
              </v:rect>
            </w:pict>
          </mc:Fallback>
        </mc:AlternateContent>
      </w:r>
    </w:p>
    <w:p w14:paraId="2F7E516A" w14:textId="77777777" w:rsidR="00DB4AC9" w:rsidRDefault="00DB4AC9" w:rsidP="00DB4AC9">
      <w:pPr>
        <w:spacing w:after="0"/>
        <w:ind w:left="360"/>
        <w:jc w:val="center"/>
      </w:pPr>
    </w:p>
    <w:p w14:paraId="1C06241B" w14:textId="77777777" w:rsidR="00DB4AC9" w:rsidRDefault="00DB4AC9" w:rsidP="00DB4AC9">
      <w:pPr>
        <w:keepNext/>
        <w:spacing w:before="240" w:after="60"/>
      </w:pPr>
      <w:bookmarkStart w:id="265" w:name="_452snld" w:colFirst="0" w:colLast="0"/>
      <w:bookmarkEnd w:id="265"/>
      <w:r>
        <w:rPr>
          <w:rFonts w:ascii="Arial" w:eastAsia="Arial" w:hAnsi="Arial" w:cs="Arial"/>
          <w:b/>
          <w:i/>
          <w:sz w:val="28"/>
          <w:szCs w:val="28"/>
        </w:rPr>
        <w:t>4. Company Gender</w:t>
      </w:r>
    </w:p>
    <w:p w14:paraId="32A3D60F" w14:textId="77777777" w:rsidR="00DB4AC9" w:rsidRDefault="00DB4AC9" w:rsidP="00DB4AC9">
      <w:pPr>
        <w:spacing w:after="0"/>
      </w:pPr>
    </w:p>
    <w:p w14:paraId="5257C468" w14:textId="77777777" w:rsidR="00DB4AC9" w:rsidRDefault="00DB4AC9" w:rsidP="00DB4AC9">
      <w:pPr>
        <w:spacing w:after="0"/>
        <w:ind w:left="360"/>
      </w:pPr>
      <w:r>
        <w:rPr>
          <w:rFonts w:ascii="Times New Roman" w:eastAsia="Times New Roman" w:hAnsi="Times New Roman" w:cs="Times New Roman"/>
          <w:b/>
          <w:sz w:val="24"/>
          <w:szCs w:val="24"/>
        </w:rPr>
        <w:t>4a “Undefined” as Business Gender</w:t>
      </w:r>
    </w:p>
    <w:p w14:paraId="0C16A426" w14:textId="77777777" w:rsidR="00DB4AC9" w:rsidRDefault="00DB4AC9" w:rsidP="00DB4AC9">
      <w:pPr>
        <w:spacing w:after="0"/>
      </w:pPr>
    </w:p>
    <w:p w14:paraId="5BA3FB87"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4a Business Gender” </w:t>
      </w:r>
    </w:p>
    <w:p w14:paraId="3CF54CF3" w14:textId="77777777" w:rsidR="00DB4AC9" w:rsidRDefault="00DB4AC9" w:rsidP="00DB4AC9">
      <w:pPr>
        <w:spacing w:after="0"/>
        <w:ind w:left="360"/>
      </w:pPr>
    </w:p>
    <w:p w14:paraId="2995D720" w14:textId="77777777" w:rsidR="00DB4AC9" w:rsidRDefault="00DB4AC9" w:rsidP="00DB4AC9">
      <w:pPr>
        <w:spacing w:after="0"/>
        <w:ind w:left="360"/>
      </w:pPr>
      <w:r>
        <w:rPr>
          <w:rFonts w:ascii="Times New Roman" w:eastAsia="Times New Roman" w:hAnsi="Times New Roman" w:cs="Times New Roman"/>
          <w:sz w:val="24"/>
          <w:szCs w:val="24"/>
        </w:rPr>
        <w:t xml:space="preserve">Make changes as necessary. In-business clients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“Undefined” or “Choose not to respond” as gender type. If actual company gender is unknown, the reviewer should check their best guess based upon the primary </w:t>
      </w:r>
      <w:proofErr w:type="gramStart"/>
      <w:r>
        <w:rPr>
          <w:rFonts w:ascii="Times New Roman" w:eastAsia="Times New Roman" w:hAnsi="Times New Roman" w:cs="Times New Roman"/>
          <w:sz w:val="24"/>
          <w:szCs w:val="24"/>
        </w:rPr>
        <w:t>contact</w:t>
      </w:r>
      <w:proofErr w:type="gramEnd"/>
      <w:r>
        <w:rPr>
          <w:rFonts w:ascii="Times New Roman" w:eastAsia="Times New Roman" w:hAnsi="Times New Roman" w:cs="Times New Roman"/>
          <w:sz w:val="24"/>
          <w:szCs w:val="24"/>
        </w:rPr>
        <w:t xml:space="preserve"> name and initial session counseling notes.</w:t>
      </w:r>
    </w:p>
    <w:p w14:paraId="746AC016" w14:textId="77777777" w:rsidR="00DB4AC9" w:rsidRDefault="00DB4AC9" w:rsidP="00DB4AC9">
      <w:pPr>
        <w:spacing w:after="0"/>
        <w:ind w:left="360"/>
      </w:pPr>
    </w:p>
    <w:p w14:paraId="3E58078D" w14:textId="77777777" w:rsidR="00DB4AC9" w:rsidRDefault="00DB4AC9" w:rsidP="00DB4AC9">
      <w:pPr>
        <w:spacing w:after="0"/>
        <w:ind w:left="360"/>
      </w:pPr>
      <w:r>
        <w:rPr>
          <w:noProof/>
        </w:rPr>
        <mc:AlternateContent>
          <mc:Choice Requires="wps">
            <w:drawing>
              <wp:inline distT="0" distB="0" distL="0" distR="0" wp14:anchorId="2B1B680D" wp14:editId="557388DF">
                <wp:extent cx="5651500" cy="508000"/>
                <wp:effectExtent l="0" t="0" r="0" b="0"/>
                <wp:docPr id="40" name="Rectangle 40"/>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279C38FD" w14:textId="77777777" w:rsidR="00DB4AC9" w:rsidRDefault="00DB4AC9" w:rsidP="00DB4AC9">
                            <w:pPr>
                              <w:textDirection w:val="btLr"/>
                            </w:pPr>
                            <w:r>
                              <w:t>Current company status, company gender, i/f session</w:t>
                            </w:r>
                          </w:p>
                          <w:p w14:paraId="2F43010A" w14:textId="77777777" w:rsidR="00DB4AC9" w:rsidRDefault="00DB4AC9" w:rsidP="00DB4AC9">
                            <w:pPr>
                              <w:textDirection w:val="btLr"/>
                            </w:pPr>
                            <w:r>
                              <w:t>In business and start-up, “undefined” or “choose not to respond”, date range</w:t>
                            </w:r>
                          </w:p>
                          <w:p w14:paraId="388BA48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2B1B680D" id="Rectangle 40" o:spid="_x0000_s1052"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IB/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SInGT61hl0eH5EcNttjMy6ICm6dNWSUp3P1Je39CNO0NDAOINIX7&#10;kEYj9iNSg+dSE6/zEU19v0+o2xTvfg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ykOIB/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279C38FD" w14:textId="77777777" w:rsidR="00DB4AC9" w:rsidRDefault="00DB4AC9" w:rsidP="00DB4AC9">
                      <w:pPr>
                        <w:textDirection w:val="btLr"/>
                      </w:pPr>
                      <w:r>
                        <w:t>Current company status, company gender, i/f session</w:t>
                      </w:r>
                    </w:p>
                    <w:p w14:paraId="2F43010A" w14:textId="77777777" w:rsidR="00DB4AC9" w:rsidRDefault="00DB4AC9" w:rsidP="00DB4AC9">
                      <w:pPr>
                        <w:textDirection w:val="btLr"/>
                      </w:pPr>
                      <w:r>
                        <w:t>In business and start-up, “undefined” or “choose not to respond”, date range</w:t>
                      </w:r>
                    </w:p>
                    <w:p w14:paraId="388BA487" w14:textId="77777777" w:rsidR="00DB4AC9" w:rsidRDefault="00DB4AC9" w:rsidP="00DB4AC9">
                      <w:pPr>
                        <w:textDirection w:val="btLr"/>
                      </w:pPr>
                    </w:p>
                  </w:txbxContent>
                </v:textbox>
                <w10:anchorlock/>
              </v:rect>
            </w:pict>
          </mc:Fallback>
        </mc:AlternateContent>
      </w:r>
    </w:p>
    <w:p w14:paraId="522673EE" w14:textId="77777777" w:rsidR="00DB4AC9" w:rsidRDefault="00DB4AC9" w:rsidP="00DB4AC9">
      <w:pPr>
        <w:spacing w:after="0"/>
      </w:pPr>
    </w:p>
    <w:p w14:paraId="283A44C8" w14:textId="77777777" w:rsidR="00DB4AC9" w:rsidRDefault="00DB4AC9" w:rsidP="00DB4AC9">
      <w:pPr>
        <w:spacing w:after="0"/>
        <w:ind w:left="360"/>
      </w:pPr>
      <w:r>
        <w:rPr>
          <w:rFonts w:ascii="Times New Roman" w:eastAsia="Times New Roman" w:hAnsi="Times New Roman" w:cs="Times New Roman"/>
          <w:b/>
          <w:sz w:val="24"/>
          <w:szCs w:val="24"/>
        </w:rPr>
        <w:t>4b “Undefined” as Contact Gender</w:t>
      </w:r>
    </w:p>
    <w:p w14:paraId="5E6D85E5" w14:textId="77777777" w:rsidR="00DB4AC9" w:rsidRDefault="00DB4AC9" w:rsidP="00DB4AC9">
      <w:pPr>
        <w:spacing w:after="0"/>
        <w:ind w:left="360"/>
      </w:pPr>
    </w:p>
    <w:p w14:paraId="2AB688D8"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4b Contact Gender” </w:t>
      </w:r>
    </w:p>
    <w:p w14:paraId="37AC9A77" w14:textId="77777777" w:rsidR="00DB4AC9" w:rsidRDefault="00DB4AC9" w:rsidP="00DB4AC9">
      <w:pPr>
        <w:spacing w:after="0"/>
        <w:ind w:left="360"/>
      </w:pPr>
    </w:p>
    <w:p w14:paraId="73AE9275" w14:textId="77777777" w:rsidR="00DB4AC9" w:rsidRDefault="00DB4AC9" w:rsidP="00DB4AC9">
      <w:pPr>
        <w:spacing w:after="0"/>
        <w:ind w:left="360"/>
      </w:pPr>
      <w:r>
        <w:rPr>
          <w:rFonts w:ascii="Times New Roman" w:eastAsia="Times New Roman" w:hAnsi="Times New Roman" w:cs="Times New Roman"/>
          <w:sz w:val="24"/>
          <w:szCs w:val="24"/>
        </w:rPr>
        <w:t>Primary Contacts must not have “Undefined” or “Choose not to respond” as gender type. If actual gender is unknown, the reviewer should make their best guess based upon the contact’s name and initial session counseling notes.</w:t>
      </w:r>
    </w:p>
    <w:p w14:paraId="0B357A6F" w14:textId="77777777" w:rsidR="00DB4AC9" w:rsidRDefault="00DB4AC9" w:rsidP="00DB4AC9">
      <w:pPr>
        <w:spacing w:after="0"/>
        <w:ind w:left="360"/>
      </w:pPr>
    </w:p>
    <w:p w14:paraId="1DA6A568" w14:textId="77777777" w:rsidR="00DB4AC9" w:rsidRDefault="00DB4AC9" w:rsidP="00DB4AC9">
      <w:pPr>
        <w:spacing w:after="0"/>
        <w:ind w:left="360"/>
      </w:pPr>
      <w:r>
        <w:rPr>
          <w:noProof/>
        </w:rPr>
        <mc:AlternateContent>
          <mc:Choice Requires="wps">
            <w:drawing>
              <wp:inline distT="0" distB="0" distL="0" distR="0" wp14:anchorId="4C56BE29" wp14:editId="36C9FAFE">
                <wp:extent cx="5651500" cy="508000"/>
                <wp:effectExtent l="0" t="0" r="0" b="0"/>
                <wp:docPr id="29" name="Rectangle 29"/>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37A5161A" w14:textId="77777777" w:rsidR="00DB4AC9" w:rsidRDefault="00DB4AC9" w:rsidP="00DB4AC9">
                            <w:pPr>
                              <w:textDirection w:val="btLr"/>
                            </w:pPr>
                            <w:r>
                              <w:t>Primary contact gender, i/f session</w:t>
                            </w:r>
                          </w:p>
                          <w:p w14:paraId="534DBB56" w14:textId="77777777" w:rsidR="00DB4AC9" w:rsidRDefault="00DB4AC9" w:rsidP="00DB4AC9">
                            <w:pPr>
                              <w:textDirection w:val="btLr"/>
                            </w:pPr>
                            <w:r>
                              <w:t>“Undefined” or “choose not to respond”, date range</w:t>
                            </w:r>
                          </w:p>
                          <w:p w14:paraId="6818AE8D"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4C56BE29" id="Rectangle 29" o:spid="_x0000_s1053"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HU/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WEW6+Kk17PLokPyowRabeVlUYPO0Kaskhbs/ae9PiKa9gWEAkaZw&#10;H9JoxH5EavBcauJ1PqKp7/cJdZvi3Q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tI/h1P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37A5161A" w14:textId="77777777" w:rsidR="00DB4AC9" w:rsidRDefault="00DB4AC9" w:rsidP="00DB4AC9">
                      <w:pPr>
                        <w:textDirection w:val="btLr"/>
                      </w:pPr>
                      <w:r>
                        <w:t>Primary contact gender, i/f session</w:t>
                      </w:r>
                    </w:p>
                    <w:p w14:paraId="534DBB56" w14:textId="77777777" w:rsidR="00DB4AC9" w:rsidRDefault="00DB4AC9" w:rsidP="00DB4AC9">
                      <w:pPr>
                        <w:textDirection w:val="btLr"/>
                      </w:pPr>
                      <w:r>
                        <w:t>“Undefined” or “choose not to respond”, date range</w:t>
                      </w:r>
                    </w:p>
                    <w:p w14:paraId="6818AE8D" w14:textId="77777777" w:rsidR="00DB4AC9" w:rsidRDefault="00DB4AC9" w:rsidP="00DB4AC9">
                      <w:pPr>
                        <w:textDirection w:val="btLr"/>
                      </w:pPr>
                    </w:p>
                  </w:txbxContent>
                </v:textbox>
                <w10:anchorlock/>
              </v:rect>
            </w:pict>
          </mc:Fallback>
        </mc:AlternateContent>
      </w:r>
    </w:p>
    <w:p w14:paraId="1D243949" w14:textId="77777777" w:rsidR="00DB4AC9" w:rsidRDefault="00DB4AC9" w:rsidP="00DB4AC9">
      <w:pPr>
        <w:spacing w:after="0"/>
      </w:pPr>
    </w:p>
    <w:p w14:paraId="11B66955" w14:textId="77777777" w:rsidR="00DB4AC9" w:rsidRDefault="00DB4AC9" w:rsidP="00DB4AC9">
      <w:r>
        <w:br w:type="page"/>
      </w:r>
    </w:p>
    <w:p w14:paraId="1DF3A41E" w14:textId="77777777" w:rsidR="00DB4AC9" w:rsidRDefault="00DB4AC9" w:rsidP="00DB4AC9">
      <w:pPr>
        <w:keepNext/>
        <w:spacing w:before="240" w:after="60"/>
      </w:pPr>
      <w:bookmarkStart w:id="266" w:name="_2k82xt6" w:colFirst="0" w:colLast="0"/>
      <w:bookmarkEnd w:id="266"/>
      <w:r>
        <w:rPr>
          <w:rFonts w:ascii="Arial" w:eastAsia="Arial" w:hAnsi="Arial" w:cs="Arial"/>
          <w:b/>
          <w:i/>
          <w:sz w:val="28"/>
          <w:szCs w:val="28"/>
        </w:rPr>
        <w:lastRenderedPageBreak/>
        <w:t>5. Company Veteran Status</w:t>
      </w:r>
    </w:p>
    <w:p w14:paraId="26EBDC41" w14:textId="77777777" w:rsidR="00DB4AC9" w:rsidRDefault="00DB4AC9" w:rsidP="00DB4AC9">
      <w:pPr>
        <w:spacing w:after="0"/>
      </w:pPr>
    </w:p>
    <w:p w14:paraId="416D7CC9" w14:textId="77777777" w:rsidR="00DB4AC9" w:rsidRDefault="00DB4AC9" w:rsidP="00DB4AC9">
      <w:pPr>
        <w:spacing w:after="0"/>
        <w:ind w:left="360"/>
      </w:pPr>
      <w:r>
        <w:rPr>
          <w:rFonts w:ascii="Times New Roman" w:eastAsia="Times New Roman" w:hAnsi="Times New Roman" w:cs="Times New Roman"/>
          <w:b/>
          <w:sz w:val="24"/>
          <w:szCs w:val="24"/>
        </w:rPr>
        <w:t>5a “Undefined” as Contact Veteran Status</w:t>
      </w:r>
    </w:p>
    <w:p w14:paraId="2058F653" w14:textId="77777777" w:rsidR="00DB4AC9" w:rsidRDefault="00DB4AC9" w:rsidP="00DB4AC9">
      <w:pPr>
        <w:spacing w:after="0"/>
        <w:ind w:left="360"/>
      </w:pPr>
    </w:p>
    <w:p w14:paraId="0FEE96B0"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5a Contact Vet Status” </w:t>
      </w:r>
    </w:p>
    <w:p w14:paraId="4F178AD2" w14:textId="77777777" w:rsidR="00DB4AC9" w:rsidRDefault="00DB4AC9" w:rsidP="00DB4AC9">
      <w:pPr>
        <w:spacing w:after="0"/>
        <w:ind w:left="360"/>
      </w:pPr>
    </w:p>
    <w:p w14:paraId="55356C8F" w14:textId="77777777" w:rsidR="00DB4AC9" w:rsidRDefault="00DB4AC9" w:rsidP="00DB4AC9">
      <w:pPr>
        <w:spacing w:after="0"/>
        <w:ind w:left="360"/>
      </w:pPr>
      <w:r>
        <w:rPr>
          <w:rFonts w:ascii="Times New Roman" w:eastAsia="Times New Roman" w:hAnsi="Times New Roman" w:cs="Times New Roman"/>
          <w:sz w:val="24"/>
          <w:szCs w:val="24"/>
        </w:rPr>
        <w:t xml:space="preserve">Make changes as necessary. Primary client contacts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“Undefined” as Veteran Status. If actual company veteran status is unknown, the status should be “Choose not to respond”</w:t>
      </w:r>
    </w:p>
    <w:p w14:paraId="7D9294B8" w14:textId="77777777" w:rsidR="00DB4AC9" w:rsidRDefault="00DB4AC9" w:rsidP="00DB4AC9">
      <w:pPr>
        <w:spacing w:after="0"/>
        <w:ind w:left="360"/>
      </w:pPr>
    </w:p>
    <w:p w14:paraId="7B6050D3" w14:textId="77777777" w:rsidR="00DB4AC9" w:rsidRDefault="00DB4AC9" w:rsidP="00DB4AC9">
      <w:pPr>
        <w:spacing w:after="0"/>
        <w:ind w:left="360"/>
      </w:pPr>
      <w:r>
        <w:rPr>
          <w:noProof/>
        </w:rPr>
        <mc:AlternateContent>
          <mc:Choice Requires="wps">
            <w:drawing>
              <wp:inline distT="0" distB="0" distL="0" distR="0" wp14:anchorId="7DAEC2C7" wp14:editId="34734AB3">
                <wp:extent cx="5651500" cy="508000"/>
                <wp:effectExtent l="0" t="0" r="0" b="0"/>
                <wp:docPr id="27" name="Rectangle 27"/>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BFDD0C1" w14:textId="77777777" w:rsidR="00DB4AC9" w:rsidRDefault="00DB4AC9" w:rsidP="00DB4AC9">
                            <w:pPr>
                              <w:textDirection w:val="btLr"/>
                            </w:pPr>
                            <w:r>
                              <w:t>Primary Contact Veteran Status, i/f Session</w:t>
                            </w:r>
                          </w:p>
                          <w:p w14:paraId="633E56B3" w14:textId="77777777" w:rsidR="00DB4AC9" w:rsidRDefault="00DB4AC9" w:rsidP="00DB4AC9">
                            <w:pPr>
                              <w:textDirection w:val="btLr"/>
                            </w:pPr>
                            <w:r>
                              <w:t>“Undefined”, date range</w:t>
                            </w:r>
                          </w:p>
                          <w:p w14:paraId="69910204"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7DAEC2C7" id="Rectangle 27" o:spid="_x0000_s1054"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aM/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6kD81Bp2eXRIftRgi828LCqwedqUVZLC3Z+09ydE097AMIBIU7gP&#10;aTRiPyI1eC418Tof0dT3+4S6TfHuBw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QO9aM/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4BFDD0C1" w14:textId="77777777" w:rsidR="00DB4AC9" w:rsidRDefault="00DB4AC9" w:rsidP="00DB4AC9">
                      <w:pPr>
                        <w:textDirection w:val="btLr"/>
                      </w:pPr>
                      <w:r>
                        <w:t>Primary Contact Veteran Status, i/f Session</w:t>
                      </w:r>
                    </w:p>
                    <w:p w14:paraId="633E56B3" w14:textId="77777777" w:rsidR="00DB4AC9" w:rsidRDefault="00DB4AC9" w:rsidP="00DB4AC9">
                      <w:pPr>
                        <w:textDirection w:val="btLr"/>
                      </w:pPr>
                      <w:r>
                        <w:t>“Undefined”, date range</w:t>
                      </w:r>
                    </w:p>
                    <w:p w14:paraId="69910204" w14:textId="77777777" w:rsidR="00DB4AC9" w:rsidRDefault="00DB4AC9" w:rsidP="00DB4AC9">
                      <w:pPr>
                        <w:textDirection w:val="btLr"/>
                      </w:pPr>
                    </w:p>
                  </w:txbxContent>
                </v:textbox>
                <w10:anchorlock/>
              </v:rect>
            </w:pict>
          </mc:Fallback>
        </mc:AlternateContent>
      </w:r>
    </w:p>
    <w:p w14:paraId="3909A3C4" w14:textId="77777777" w:rsidR="00DB4AC9" w:rsidRDefault="00DB4AC9" w:rsidP="00DB4AC9">
      <w:pPr>
        <w:spacing w:after="0"/>
        <w:ind w:left="360"/>
      </w:pPr>
    </w:p>
    <w:p w14:paraId="41DC6C72" w14:textId="77777777" w:rsidR="00DB4AC9" w:rsidRDefault="00DB4AC9" w:rsidP="00DB4AC9">
      <w:pPr>
        <w:spacing w:after="0"/>
        <w:ind w:left="360"/>
      </w:pPr>
      <w:r>
        <w:rPr>
          <w:rFonts w:ascii="Times New Roman" w:eastAsia="Times New Roman" w:hAnsi="Times New Roman" w:cs="Times New Roman"/>
          <w:b/>
          <w:sz w:val="24"/>
          <w:szCs w:val="24"/>
        </w:rPr>
        <w:t>5b “Undefined” as Business Veteran Status</w:t>
      </w:r>
    </w:p>
    <w:p w14:paraId="40392DE0" w14:textId="77777777" w:rsidR="00DB4AC9" w:rsidRDefault="00DB4AC9" w:rsidP="00DB4AC9">
      <w:pPr>
        <w:spacing w:after="0"/>
      </w:pPr>
    </w:p>
    <w:p w14:paraId="6CA1C9C2"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5b Business Vet Status” </w:t>
      </w:r>
    </w:p>
    <w:p w14:paraId="15C5FA16" w14:textId="77777777" w:rsidR="00DB4AC9" w:rsidRDefault="00DB4AC9" w:rsidP="00DB4AC9">
      <w:pPr>
        <w:spacing w:after="0"/>
        <w:ind w:left="360"/>
      </w:pPr>
    </w:p>
    <w:p w14:paraId="6717D2F7" w14:textId="77777777" w:rsidR="00DB4AC9" w:rsidRDefault="00DB4AC9" w:rsidP="00DB4AC9">
      <w:pPr>
        <w:spacing w:after="0"/>
        <w:ind w:left="360"/>
      </w:pPr>
      <w:r>
        <w:rPr>
          <w:rFonts w:ascii="Times New Roman" w:eastAsia="Times New Roman" w:hAnsi="Times New Roman" w:cs="Times New Roman"/>
          <w:sz w:val="24"/>
          <w:szCs w:val="24"/>
        </w:rPr>
        <w:t xml:space="preserve">Make changes as necessary. In-business clients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“Undefined” as Veteran Status. If actual company veteran status is unknown, the status should be checked as “Choose not to Respond”</w:t>
      </w:r>
    </w:p>
    <w:p w14:paraId="180537AF" w14:textId="77777777" w:rsidR="00DB4AC9" w:rsidRDefault="00DB4AC9" w:rsidP="00DB4AC9">
      <w:pPr>
        <w:spacing w:after="0"/>
        <w:ind w:left="360"/>
      </w:pPr>
    </w:p>
    <w:p w14:paraId="1B35E1E9" w14:textId="77777777" w:rsidR="00DB4AC9" w:rsidRDefault="00DB4AC9" w:rsidP="00DB4AC9">
      <w:pPr>
        <w:spacing w:after="0"/>
        <w:ind w:left="360"/>
      </w:pPr>
      <w:r>
        <w:rPr>
          <w:noProof/>
        </w:rPr>
        <mc:AlternateContent>
          <mc:Choice Requires="wps">
            <w:drawing>
              <wp:inline distT="0" distB="0" distL="0" distR="0" wp14:anchorId="460578FD" wp14:editId="5AFF5215">
                <wp:extent cx="5651500" cy="508000"/>
                <wp:effectExtent l="0" t="0" r="0" b="0"/>
                <wp:docPr id="28" name="Rectangle 28"/>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62A2AB64" w14:textId="77777777" w:rsidR="00DB4AC9" w:rsidRDefault="00DB4AC9" w:rsidP="00DB4AC9">
                            <w:pPr>
                              <w:textDirection w:val="btLr"/>
                            </w:pPr>
                            <w:r>
                              <w:t>Current company status, company veteran Status, i/f session</w:t>
                            </w:r>
                          </w:p>
                          <w:p w14:paraId="159610BE" w14:textId="77777777" w:rsidR="00DB4AC9" w:rsidRDefault="00DB4AC9" w:rsidP="00DB4AC9">
                            <w:pPr>
                              <w:textDirection w:val="btLr"/>
                            </w:pPr>
                            <w:r>
                              <w:t>In business and start-up, “undefined”, date range</w:t>
                            </w:r>
                          </w:p>
                          <w:p w14:paraId="390D14B4"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460578FD" id="Rectangle 28" o:spid="_x0000_s1055"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liTVWf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62A2AB64" w14:textId="77777777" w:rsidR="00DB4AC9" w:rsidRDefault="00DB4AC9" w:rsidP="00DB4AC9">
                      <w:pPr>
                        <w:textDirection w:val="btLr"/>
                      </w:pPr>
                      <w:r>
                        <w:t>Current company status, company veteran Status, i/f session</w:t>
                      </w:r>
                    </w:p>
                    <w:p w14:paraId="159610BE" w14:textId="77777777" w:rsidR="00DB4AC9" w:rsidRDefault="00DB4AC9" w:rsidP="00DB4AC9">
                      <w:pPr>
                        <w:textDirection w:val="btLr"/>
                      </w:pPr>
                      <w:r>
                        <w:t>In business and start-up, “undefined”, date range</w:t>
                      </w:r>
                    </w:p>
                    <w:p w14:paraId="390D14B4" w14:textId="77777777" w:rsidR="00DB4AC9" w:rsidRDefault="00DB4AC9" w:rsidP="00DB4AC9">
                      <w:pPr>
                        <w:textDirection w:val="btLr"/>
                      </w:pPr>
                    </w:p>
                  </w:txbxContent>
                </v:textbox>
                <w10:anchorlock/>
              </v:rect>
            </w:pict>
          </mc:Fallback>
        </mc:AlternateContent>
      </w:r>
    </w:p>
    <w:p w14:paraId="7D2856FF" w14:textId="77777777" w:rsidR="00DB4AC9" w:rsidRDefault="00DB4AC9" w:rsidP="00DB4AC9">
      <w:pPr>
        <w:spacing w:after="0"/>
      </w:pPr>
    </w:p>
    <w:p w14:paraId="0F9E6D0D" w14:textId="77777777" w:rsidR="00DB4AC9" w:rsidRDefault="00DB4AC9" w:rsidP="00DB4AC9">
      <w:pPr>
        <w:keepNext/>
        <w:spacing w:before="240" w:after="60"/>
      </w:pPr>
      <w:bookmarkStart w:id="267" w:name="_zdd80z" w:colFirst="0" w:colLast="0"/>
      <w:bookmarkEnd w:id="267"/>
      <w:r>
        <w:rPr>
          <w:rFonts w:ascii="Arial" w:eastAsia="Arial" w:hAnsi="Arial" w:cs="Arial"/>
          <w:b/>
          <w:i/>
          <w:sz w:val="28"/>
          <w:szCs w:val="28"/>
        </w:rPr>
        <w:t>6. Disability Status</w:t>
      </w:r>
    </w:p>
    <w:p w14:paraId="4BCA3B4D" w14:textId="77777777" w:rsidR="00DB4AC9" w:rsidRDefault="00DB4AC9" w:rsidP="00DB4AC9">
      <w:pPr>
        <w:spacing w:after="0"/>
      </w:pPr>
    </w:p>
    <w:p w14:paraId="2851DFED" w14:textId="77777777" w:rsidR="00DB4AC9" w:rsidRDefault="00DB4AC9" w:rsidP="00DB4AC9">
      <w:pPr>
        <w:spacing w:after="0"/>
        <w:ind w:left="360"/>
      </w:pPr>
      <w:r>
        <w:rPr>
          <w:rFonts w:ascii="Times New Roman" w:eastAsia="Times New Roman" w:hAnsi="Times New Roman" w:cs="Times New Roman"/>
          <w:b/>
          <w:sz w:val="24"/>
          <w:szCs w:val="24"/>
        </w:rPr>
        <w:t>6a Contact Disability Status</w:t>
      </w:r>
    </w:p>
    <w:p w14:paraId="6808509A" w14:textId="77777777" w:rsidR="00DB4AC9" w:rsidRDefault="00DB4AC9" w:rsidP="00DB4AC9">
      <w:pPr>
        <w:spacing w:after="0"/>
      </w:pPr>
    </w:p>
    <w:p w14:paraId="2209050E" w14:textId="77777777" w:rsidR="00DB4AC9" w:rsidRDefault="00DB4AC9" w:rsidP="00DB4AC9">
      <w:pPr>
        <w:spacing w:after="0"/>
        <w:ind w:left="360"/>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Under the subset list, select “YE2013 6a Disability Status” </w:t>
      </w:r>
    </w:p>
    <w:p w14:paraId="4F13AD25" w14:textId="77777777" w:rsidR="00DB4AC9" w:rsidRDefault="00DB4AC9" w:rsidP="00DB4AC9">
      <w:pPr>
        <w:spacing w:after="0"/>
        <w:ind w:left="360"/>
      </w:pPr>
    </w:p>
    <w:p w14:paraId="40E65416" w14:textId="77777777" w:rsidR="00DB4AC9" w:rsidRDefault="00DB4AC9" w:rsidP="00DB4AC9">
      <w:pPr>
        <w:spacing w:after="0"/>
        <w:ind w:left="360"/>
      </w:pPr>
      <w:r>
        <w:rPr>
          <w:rFonts w:ascii="Times New Roman" w:eastAsia="Times New Roman" w:hAnsi="Times New Roman" w:cs="Times New Roman"/>
          <w:sz w:val="24"/>
          <w:szCs w:val="24"/>
        </w:rPr>
        <w:t>Make changes as necessary. Client primary contact disabled status should not be “Undefined.” If actual information is unknown, the primary contact disabled status should be checked as “Chose not to respond”.</w:t>
      </w:r>
    </w:p>
    <w:p w14:paraId="5F349C31" w14:textId="77777777" w:rsidR="00DB4AC9" w:rsidRDefault="00DB4AC9" w:rsidP="00DB4AC9">
      <w:pPr>
        <w:spacing w:after="0"/>
        <w:ind w:left="360"/>
      </w:pPr>
    </w:p>
    <w:p w14:paraId="0058F998" w14:textId="77777777" w:rsidR="00DB4AC9" w:rsidRDefault="00DB4AC9" w:rsidP="00DB4AC9">
      <w:pPr>
        <w:spacing w:after="0"/>
        <w:ind w:left="360"/>
      </w:pPr>
      <w:r>
        <w:rPr>
          <w:noProof/>
        </w:rPr>
        <mc:AlternateContent>
          <mc:Choice Requires="wps">
            <w:drawing>
              <wp:inline distT="0" distB="0" distL="0" distR="0" wp14:anchorId="0FFCD71C" wp14:editId="71D4FABA">
                <wp:extent cx="5651500" cy="508000"/>
                <wp:effectExtent l="0" t="0" r="0" b="0"/>
                <wp:docPr id="25" name="Rectangle 25"/>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3DC8E80F" w14:textId="77777777" w:rsidR="00DB4AC9" w:rsidRDefault="00DB4AC9" w:rsidP="00DB4AC9">
                            <w:pPr>
                              <w:textDirection w:val="btLr"/>
                            </w:pPr>
                            <w:r>
                              <w:t>Primary Contact Disabled, i/f session</w:t>
                            </w:r>
                          </w:p>
                          <w:p w14:paraId="5F7B5B98" w14:textId="77777777" w:rsidR="00DB4AC9" w:rsidRDefault="00DB4AC9" w:rsidP="00DB4AC9">
                            <w:pPr>
                              <w:textDirection w:val="btLr"/>
                            </w:pPr>
                            <w:r>
                              <w:t>Undefined, date range</w:t>
                            </w:r>
                          </w:p>
                          <w:p w14:paraId="1A75AF63"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FFCD71C" id="Rectangle 25" o:spid="_x0000_s1056"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g/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kawbP7WGXR4dkh812GIzL4sKbJ42ZZWkcPcn7f0J0bQ3MAwg0hTu&#10;QxqN2I9IDZ5LTbzORzT1/T6hblO8+wE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C/vqng/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3DC8E80F" w14:textId="77777777" w:rsidR="00DB4AC9" w:rsidRDefault="00DB4AC9" w:rsidP="00DB4AC9">
                      <w:pPr>
                        <w:textDirection w:val="btLr"/>
                      </w:pPr>
                      <w:r>
                        <w:t>Primary Contact Disabled, i/f session</w:t>
                      </w:r>
                    </w:p>
                    <w:p w14:paraId="5F7B5B98" w14:textId="77777777" w:rsidR="00DB4AC9" w:rsidRDefault="00DB4AC9" w:rsidP="00DB4AC9">
                      <w:pPr>
                        <w:textDirection w:val="btLr"/>
                      </w:pPr>
                      <w:r>
                        <w:t>Undefined, date range</w:t>
                      </w:r>
                    </w:p>
                    <w:p w14:paraId="1A75AF63" w14:textId="77777777" w:rsidR="00DB4AC9" w:rsidRDefault="00DB4AC9" w:rsidP="00DB4AC9">
                      <w:pPr>
                        <w:textDirection w:val="btLr"/>
                      </w:pPr>
                    </w:p>
                  </w:txbxContent>
                </v:textbox>
                <w10:anchorlock/>
              </v:rect>
            </w:pict>
          </mc:Fallback>
        </mc:AlternateContent>
      </w:r>
    </w:p>
    <w:p w14:paraId="706BDE02" w14:textId="77777777" w:rsidR="00DB4AC9" w:rsidRDefault="00DB4AC9" w:rsidP="00DB4AC9">
      <w:r>
        <w:br w:type="page"/>
      </w:r>
    </w:p>
    <w:p w14:paraId="7530EFDB" w14:textId="77777777" w:rsidR="00DB4AC9" w:rsidRDefault="00DB4AC9" w:rsidP="00DB4AC9">
      <w:pPr>
        <w:spacing w:after="0"/>
        <w:ind w:left="360"/>
      </w:pPr>
      <w:r>
        <w:rPr>
          <w:rFonts w:ascii="Times New Roman" w:eastAsia="Times New Roman" w:hAnsi="Times New Roman" w:cs="Times New Roman"/>
          <w:b/>
          <w:sz w:val="24"/>
          <w:szCs w:val="24"/>
        </w:rPr>
        <w:lastRenderedPageBreak/>
        <w:t xml:space="preserve">6b Service-Disabled Veteran discrepancy </w:t>
      </w:r>
    </w:p>
    <w:p w14:paraId="716E99D2" w14:textId="77777777" w:rsidR="00DB4AC9" w:rsidRDefault="00DB4AC9" w:rsidP="00DB4AC9">
      <w:pPr>
        <w:spacing w:after="0"/>
        <w:ind w:left="360"/>
      </w:pPr>
    </w:p>
    <w:p w14:paraId="3B0FF178" w14:textId="77777777" w:rsidR="00DB4AC9" w:rsidRDefault="00DB4AC9" w:rsidP="00DB4AC9">
      <w:pPr>
        <w:spacing w:after="0"/>
        <w:ind w:left="360"/>
      </w:pPr>
      <w:r>
        <w:rPr>
          <w:rFonts w:ascii="Times New Roman" w:eastAsia="Times New Roman" w:hAnsi="Times New Roman" w:cs="Times New Roman"/>
          <w:sz w:val="24"/>
          <w:szCs w:val="24"/>
        </w:rPr>
        <w:t xml:space="preserve">Under the subset list, select “YE2013 6b Vet Disabled Status” </w:t>
      </w:r>
    </w:p>
    <w:p w14:paraId="6DAF5CE3" w14:textId="77777777" w:rsidR="00DB4AC9" w:rsidRDefault="00DB4AC9" w:rsidP="00DB4AC9">
      <w:pPr>
        <w:spacing w:after="0"/>
      </w:pPr>
    </w:p>
    <w:p w14:paraId="7B8B5790" w14:textId="77777777" w:rsidR="00DB4AC9" w:rsidRDefault="00DB4AC9" w:rsidP="00DB4AC9">
      <w:pPr>
        <w:spacing w:after="0"/>
        <w:ind w:left="360"/>
      </w:pPr>
      <w:r>
        <w:rPr>
          <w:rFonts w:ascii="Times New Roman" w:eastAsia="Times New Roman" w:hAnsi="Times New Roman" w:cs="Times New Roman"/>
          <w:sz w:val="24"/>
          <w:szCs w:val="24"/>
        </w:rPr>
        <w:t>Make changes as necessary. If client primary contact veteran status is “Service-Disabled Veteran”, then “Yes” should be checked for primary contact disabled.</w:t>
      </w:r>
    </w:p>
    <w:p w14:paraId="2BAB2D1E" w14:textId="77777777" w:rsidR="00DB4AC9" w:rsidRDefault="00DB4AC9" w:rsidP="00DB4AC9">
      <w:pPr>
        <w:spacing w:after="0"/>
        <w:ind w:left="360"/>
      </w:pPr>
    </w:p>
    <w:p w14:paraId="60EEB0D6" w14:textId="77777777" w:rsidR="00DB4AC9" w:rsidRDefault="00DB4AC9" w:rsidP="00DB4AC9">
      <w:pPr>
        <w:spacing w:after="0"/>
        <w:ind w:left="360"/>
      </w:pPr>
      <w:r>
        <w:rPr>
          <w:noProof/>
        </w:rPr>
        <mc:AlternateContent>
          <mc:Choice Requires="wps">
            <w:drawing>
              <wp:inline distT="0" distB="0" distL="0" distR="0" wp14:anchorId="12A39C32" wp14:editId="29ABEFED">
                <wp:extent cx="5651500" cy="508000"/>
                <wp:effectExtent l="0" t="0" r="0" b="0"/>
                <wp:docPr id="26" name="Rectangle 26"/>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4EE22A3" w14:textId="77777777" w:rsidR="00DB4AC9" w:rsidRDefault="00DB4AC9" w:rsidP="00DB4AC9">
                            <w:pPr>
                              <w:textDirection w:val="btLr"/>
                            </w:pPr>
                            <w:r>
                              <w:t>Primary Contact Veteran Status, Primary Contact Disabled, i/f session</w:t>
                            </w:r>
                          </w:p>
                          <w:p w14:paraId="7EB39211" w14:textId="77777777" w:rsidR="00DB4AC9" w:rsidRDefault="00DB4AC9" w:rsidP="00DB4AC9">
                            <w:pPr>
                              <w:textDirection w:val="btLr"/>
                            </w:pPr>
                            <w:r>
                              <w:t>Service Disabled Veteran = yes, Primary Contact Disabled = All except yes, date range</w:t>
                            </w:r>
                          </w:p>
                          <w:p w14:paraId="49F7819F"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12A39C32" id="Rectangle 26" o:spid="_x0000_s1057"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5oao1/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44EE22A3" w14:textId="77777777" w:rsidR="00DB4AC9" w:rsidRDefault="00DB4AC9" w:rsidP="00DB4AC9">
                      <w:pPr>
                        <w:textDirection w:val="btLr"/>
                      </w:pPr>
                      <w:r>
                        <w:t>Primary Contact Veteran Status, Primary Contact Disabled, i/f session</w:t>
                      </w:r>
                    </w:p>
                    <w:p w14:paraId="7EB39211" w14:textId="77777777" w:rsidR="00DB4AC9" w:rsidRDefault="00DB4AC9" w:rsidP="00DB4AC9">
                      <w:pPr>
                        <w:textDirection w:val="btLr"/>
                      </w:pPr>
                      <w:r>
                        <w:t>Service Disabled Veteran = yes, Primary Contact Disabled = All except yes, date range</w:t>
                      </w:r>
                    </w:p>
                    <w:p w14:paraId="49F7819F" w14:textId="77777777" w:rsidR="00DB4AC9" w:rsidRDefault="00DB4AC9" w:rsidP="00DB4AC9">
                      <w:pPr>
                        <w:textDirection w:val="btLr"/>
                      </w:pPr>
                    </w:p>
                  </w:txbxContent>
                </v:textbox>
                <w10:anchorlock/>
              </v:rect>
            </w:pict>
          </mc:Fallback>
        </mc:AlternateContent>
      </w:r>
    </w:p>
    <w:p w14:paraId="4002F2E2" w14:textId="77777777" w:rsidR="00DB4AC9" w:rsidRDefault="00DB4AC9" w:rsidP="00DB4AC9">
      <w:pPr>
        <w:spacing w:after="0"/>
        <w:ind w:left="360"/>
      </w:pPr>
    </w:p>
    <w:p w14:paraId="4C2CAC94" w14:textId="77777777" w:rsidR="00DB4AC9" w:rsidRDefault="00DB4AC9" w:rsidP="00DB4AC9">
      <w:pPr>
        <w:keepNext/>
        <w:spacing w:before="240" w:after="60"/>
      </w:pPr>
      <w:bookmarkStart w:id="268" w:name="_3jd0qos" w:colFirst="0" w:colLast="0"/>
      <w:bookmarkEnd w:id="268"/>
      <w:r>
        <w:rPr>
          <w:rFonts w:ascii="Arial" w:eastAsia="Arial" w:hAnsi="Arial" w:cs="Arial"/>
          <w:b/>
          <w:i/>
          <w:sz w:val="28"/>
          <w:szCs w:val="28"/>
        </w:rPr>
        <w:t>7. Company Race</w:t>
      </w:r>
    </w:p>
    <w:p w14:paraId="68E599DB" w14:textId="77777777" w:rsidR="00DB4AC9" w:rsidRDefault="00DB4AC9" w:rsidP="00DB4AC9">
      <w:pPr>
        <w:spacing w:after="0"/>
      </w:pPr>
    </w:p>
    <w:p w14:paraId="4B4C5C92" w14:textId="77777777" w:rsidR="00DB4AC9" w:rsidRDefault="00DB4AC9" w:rsidP="00DB4AC9">
      <w:pPr>
        <w:spacing w:after="0"/>
        <w:ind w:left="360"/>
      </w:pPr>
      <w:r>
        <w:rPr>
          <w:rFonts w:ascii="Times New Roman" w:eastAsia="Times New Roman" w:hAnsi="Times New Roman" w:cs="Times New Roman"/>
          <w:b/>
          <w:sz w:val="24"/>
          <w:szCs w:val="24"/>
        </w:rPr>
        <w:t>7a Primary Contact Race Status</w:t>
      </w:r>
    </w:p>
    <w:p w14:paraId="4B882A1A" w14:textId="77777777" w:rsidR="00DB4AC9" w:rsidRDefault="00DB4AC9" w:rsidP="00DB4AC9">
      <w:pPr>
        <w:spacing w:after="0"/>
      </w:pPr>
    </w:p>
    <w:p w14:paraId="41C3F1D9"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7a Contact Race Status”</w:t>
      </w:r>
    </w:p>
    <w:p w14:paraId="1521F9D6" w14:textId="77777777" w:rsidR="00DB4AC9" w:rsidRDefault="00DB4AC9" w:rsidP="00DB4AC9">
      <w:pPr>
        <w:spacing w:after="0"/>
        <w:ind w:left="360"/>
      </w:pPr>
    </w:p>
    <w:p w14:paraId="537A3EB6" w14:textId="77777777" w:rsidR="00DB4AC9" w:rsidRDefault="00DB4AC9" w:rsidP="00DB4AC9">
      <w:pPr>
        <w:spacing w:after="0"/>
        <w:ind w:left="360"/>
      </w:pPr>
      <w:r>
        <w:rPr>
          <w:rFonts w:ascii="Times New Roman" w:eastAsia="Times New Roman" w:hAnsi="Times New Roman" w:cs="Times New Roman"/>
          <w:sz w:val="24"/>
          <w:szCs w:val="24"/>
        </w:rPr>
        <w:t>Make changes as necessary. Client primary contact ethnicity should not be “Undefined”. If actual information is unknown, the primary contact ethnicity should be checked as “Choose Not to Respond”.</w:t>
      </w:r>
    </w:p>
    <w:p w14:paraId="13C4C042" w14:textId="77777777" w:rsidR="00DB4AC9" w:rsidRDefault="00DB4AC9" w:rsidP="00DB4AC9">
      <w:pPr>
        <w:spacing w:after="0"/>
        <w:ind w:left="360"/>
      </w:pPr>
    </w:p>
    <w:p w14:paraId="7E106C47" w14:textId="77777777" w:rsidR="00DB4AC9" w:rsidRDefault="00DB4AC9" w:rsidP="00DB4AC9">
      <w:pPr>
        <w:spacing w:after="0"/>
        <w:ind w:left="360"/>
      </w:pPr>
      <w:r>
        <w:rPr>
          <w:noProof/>
        </w:rPr>
        <mc:AlternateContent>
          <mc:Choice Requires="wps">
            <w:drawing>
              <wp:inline distT="0" distB="0" distL="0" distR="0" wp14:anchorId="44200EB2" wp14:editId="1CE093F7">
                <wp:extent cx="5651500" cy="508000"/>
                <wp:effectExtent l="0" t="0" r="0" b="0"/>
                <wp:docPr id="23" name="Rectangle 23"/>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7873680F" w14:textId="77777777" w:rsidR="00DB4AC9" w:rsidRDefault="00DB4AC9" w:rsidP="00DB4AC9">
                            <w:pPr>
                              <w:textDirection w:val="btLr"/>
                            </w:pPr>
                            <w:r>
                              <w:t>Client/Preclient Type, Primary Contact Race, I/F Session</w:t>
                            </w:r>
                          </w:p>
                          <w:p w14:paraId="7E6BFF1B" w14:textId="77777777" w:rsidR="00DB4AC9" w:rsidRDefault="00DB4AC9" w:rsidP="00DB4AC9">
                            <w:pPr>
                              <w:textDirection w:val="btLr"/>
                            </w:pPr>
                            <w:r>
                              <w:t>Active and inactive, Undefined, date range</w:t>
                            </w:r>
                          </w:p>
                          <w:p w14:paraId="1026B229"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44200EB2" id="Rectangle 23" o:spid="_x0000_s1058"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6R/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UUS6+Kk17PLokPyowRabeVlUYPO0Kaskhbs/ae9PiKa9gWEAkaZw&#10;H9JoxH5EavBcauJ1PqKp7/cJdZvi3Q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cofekf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7873680F" w14:textId="77777777" w:rsidR="00DB4AC9" w:rsidRDefault="00DB4AC9" w:rsidP="00DB4AC9">
                      <w:pPr>
                        <w:textDirection w:val="btLr"/>
                      </w:pPr>
                      <w:r>
                        <w:t>Client/Preclient Type, Primary Contact Race, I/F Session</w:t>
                      </w:r>
                    </w:p>
                    <w:p w14:paraId="7E6BFF1B" w14:textId="77777777" w:rsidR="00DB4AC9" w:rsidRDefault="00DB4AC9" w:rsidP="00DB4AC9">
                      <w:pPr>
                        <w:textDirection w:val="btLr"/>
                      </w:pPr>
                      <w:r>
                        <w:t>Active and inactive, Undefined, date range</w:t>
                      </w:r>
                    </w:p>
                    <w:p w14:paraId="1026B229" w14:textId="77777777" w:rsidR="00DB4AC9" w:rsidRDefault="00DB4AC9" w:rsidP="00DB4AC9">
                      <w:pPr>
                        <w:textDirection w:val="btLr"/>
                      </w:pPr>
                    </w:p>
                  </w:txbxContent>
                </v:textbox>
                <w10:anchorlock/>
              </v:rect>
            </w:pict>
          </mc:Fallback>
        </mc:AlternateContent>
      </w:r>
    </w:p>
    <w:p w14:paraId="5716EADC" w14:textId="77777777" w:rsidR="00DB4AC9" w:rsidRDefault="00DB4AC9" w:rsidP="00DB4AC9">
      <w:pPr>
        <w:spacing w:after="0"/>
        <w:jc w:val="center"/>
      </w:pPr>
    </w:p>
    <w:p w14:paraId="253CD88F" w14:textId="77777777" w:rsidR="00DB4AC9" w:rsidRDefault="00DB4AC9" w:rsidP="00DB4AC9">
      <w:pPr>
        <w:spacing w:after="0"/>
        <w:ind w:left="360"/>
      </w:pPr>
      <w:r>
        <w:rPr>
          <w:rFonts w:ascii="Times New Roman" w:eastAsia="Times New Roman" w:hAnsi="Times New Roman" w:cs="Times New Roman"/>
          <w:b/>
          <w:sz w:val="24"/>
          <w:szCs w:val="24"/>
        </w:rPr>
        <w:t>7b Primary Contact Hispanic Status</w:t>
      </w:r>
    </w:p>
    <w:p w14:paraId="2A4CA93D" w14:textId="77777777" w:rsidR="00DB4AC9" w:rsidRDefault="00DB4AC9" w:rsidP="00DB4AC9">
      <w:pPr>
        <w:spacing w:after="0"/>
      </w:pPr>
    </w:p>
    <w:p w14:paraId="5A0540FB"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7b Contact Hispanic Status”</w:t>
      </w:r>
    </w:p>
    <w:p w14:paraId="169AC363" w14:textId="77777777" w:rsidR="00DB4AC9" w:rsidRDefault="00DB4AC9" w:rsidP="00DB4AC9">
      <w:pPr>
        <w:spacing w:after="0"/>
        <w:ind w:left="360"/>
      </w:pPr>
    </w:p>
    <w:p w14:paraId="4A467D83" w14:textId="77777777" w:rsidR="00DB4AC9" w:rsidRDefault="00DB4AC9" w:rsidP="00DB4AC9">
      <w:pPr>
        <w:spacing w:after="0"/>
        <w:ind w:left="360"/>
      </w:pPr>
      <w:r>
        <w:rPr>
          <w:rFonts w:ascii="Times New Roman" w:eastAsia="Times New Roman" w:hAnsi="Times New Roman" w:cs="Times New Roman"/>
          <w:sz w:val="24"/>
          <w:szCs w:val="24"/>
        </w:rPr>
        <w:t>Make changes as necessary. If primary contact is Hispanic origin, primary contact race must be “White/Caucasian”.</w:t>
      </w:r>
    </w:p>
    <w:p w14:paraId="0D49EE8C" w14:textId="77777777" w:rsidR="00DB4AC9" w:rsidRDefault="00DB4AC9" w:rsidP="00DB4AC9">
      <w:pPr>
        <w:spacing w:after="0"/>
        <w:ind w:left="360"/>
      </w:pPr>
    </w:p>
    <w:p w14:paraId="6851302C" w14:textId="77777777" w:rsidR="00DB4AC9" w:rsidRDefault="00DB4AC9" w:rsidP="00DB4AC9">
      <w:pPr>
        <w:spacing w:after="0"/>
        <w:ind w:left="360"/>
      </w:pPr>
      <w:r>
        <w:rPr>
          <w:noProof/>
        </w:rPr>
        <mc:AlternateContent>
          <mc:Choice Requires="wps">
            <w:drawing>
              <wp:inline distT="0" distB="0" distL="0" distR="0" wp14:anchorId="6E992147" wp14:editId="039E83A1">
                <wp:extent cx="5651500" cy="508000"/>
                <wp:effectExtent l="0" t="0" r="0" b="0"/>
                <wp:docPr id="24" name="Rectangle 24"/>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D366C82" w14:textId="77777777" w:rsidR="00DB4AC9" w:rsidRDefault="00DB4AC9" w:rsidP="00DB4AC9">
                            <w:pPr>
                              <w:textDirection w:val="btLr"/>
                            </w:pPr>
                            <w:r>
                              <w:t>Primary Contact Race, Primary Contact Hispanic Origin, I/F Session</w:t>
                            </w:r>
                          </w:p>
                          <w:p w14:paraId="3BED9111" w14:textId="77777777" w:rsidR="00DB4AC9" w:rsidRDefault="00DB4AC9" w:rsidP="00DB4AC9">
                            <w:pPr>
                              <w:textDirection w:val="btLr"/>
                            </w:pPr>
                            <w:r>
                              <w:t>All except “White/Caucasian”, Hispanic Origin= yes, date range</w:t>
                            </w:r>
                          </w:p>
                          <w:p w14:paraId="23E30ADA"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6E992147" id="Rectangle 24" o:spid="_x0000_s1059"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C0mN1E/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4D366C82" w14:textId="77777777" w:rsidR="00DB4AC9" w:rsidRDefault="00DB4AC9" w:rsidP="00DB4AC9">
                      <w:pPr>
                        <w:textDirection w:val="btLr"/>
                      </w:pPr>
                      <w:r>
                        <w:t>Primary Contact Race, Primary Contact Hispanic Origin, I/F Session</w:t>
                      </w:r>
                    </w:p>
                    <w:p w14:paraId="3BED9111" w14:textId="77777777" w:rsidR="00DB4AC9" w:rsidRDefault="00DB4AC9" w:rsidP="00DB4AC9">
                      <w:pPr>
                        <w:textDirection w:val="btLr"/>
                      </w:pPr>
                      <w:r>
                        <w:t>All except “White/Caucasian”, Hispanic Origin= yes, date range</w:t>
                      </w:r>
                    </w:p>
                    <w:p w14:paraId="23E30ADA" w14:textId="77777777" w:rsidR="00DB4AC9" w:rsidRDefault="00DB4AC9" w:rsidP="00DB4AC9">
                      <w:pPr>
                        <w:textDirection w:val="btLr"/>
                      </w:pPr>
                    </w:p>
                  </w:txbxContent>
                </v:textbox>
                <w10:anchorlock/>
              </v:rect>
            </w:pict>
          </mc:Fallback>
        </mc:AlternateContent>
      </w:r>
    </w:p>
    <w:p w14:paraId="0DB1F47C" w14:textId="77777777" w:rsidR="00DB4AC9" w:rsidRDefault="00DB4AC9" w:rsidP="00DB4AC9">
      <w:pPr>
        <w:spacing w:after="0"/>
        <w:ind w:left="360"/>
      </w:pPr>
    </w:p>
    <w:p w14:paraId="7EFCED1E" w14:textId="77777777" w:rsidR="00DB4AC9" w:rsidRDefault="00DB4AC9" w:rsidP="00DB4AC9">
      <w:pPr>
        <w:spacing w:after="0"/>
        <w:ind w:left="360"/>
      </w:pPr>
    </w:p>
    <w:p w14:paraId="4821A151" w14:textId="77777777" w:rsidR="00DB4AC9" w:rsidRDefault="00DB4AC9" w:rsidP="00DB4AC9">
      <w:pPr>
        <w:spacing w:after="0"/>
        <w:ind w:left="360"/>
      </w:pPr>
    </w:p>
    <w:p w14:paraId="4D367F5C" w14:textId="77777777" w:rsidR="00DB4AC9" w:rsidRDefault="00DB4AC9" w:rsidP="00DB4AC9">
      <w:pPr>
        <w:spacing w:after="0"/>
        <w:ind w:left="360"/>
      </w:pPr>
    </w:p>
    <w:p w14:paraId="3EC0CB95" w14:textId="77777777" w:rsidR="00DB4AC9" w:rsidRDefault="00DB4AC9" w:rsidP="00DB4AC9">
      <w:pPr>
        <w:spacing w:after="0"/>
        <w:ind w:left="360"/>
      </w:pPr>
    </w:p>
    <w:p w14:paraId="054EE0D5" w14:textId="77777777" w:rsidR="00DB4AC9" w:rsidRDefault="00DB4AC9" w:rsidP="00DB4AC9">
      <w:pPr>
        <w:spacing w:after="0"/>
        <w:ind w:left="360"/>
      </w:pPr>
    </w:p>
    <w:p w14:paraId="3E140CB8" w14:textId="77777777" w:rsidR="00DB4AC9" w:rsidRDefault="00DB4AC9" w:rsidP="00DB4AC9">
      <w:pPr>
        <w:spacing w:after="0"/>
        <w:ind w:left="360"/>
      </w:pPr>
    </w:p>
    <w:p w14:paraId="2238B14F" w14:textId="77777777" w:rsidR="00DB4AC9" w:rsidRDefault="00DB4AC9" w:rsidP="00DB4AC9">
      <w:pPr>
        <w:spacing w:after="0"/>
        <w:ind w:left="360"/>
      </w:pPr>
    </w:p>
    <w:p w14:paraId="73F6DB98" w14:textId="77777777" w:rsidR="00DB4AC9" w:rsidRDefault="00DB4AC9" w:rsidP="00DB4AC9">
      <w:pPr>
        <w:spacing w:after="0"/>
        <w:ind w:left="360"/>
      </w:pPr>
    </w:p>
    <w:p w14:paraId="60534363" w14:textId="77777777" w:rsidR="00DB4AC9" w:rsidRDefault="00DB4AC9" w:rsidP="00DB4AC9">
      <w:pPr>
        <w:keepNext/>
        <w:spacing w:before="240" w:after="60"/>
      </w:pPr>
      <w:bookmarkStart w:id="269" w:name="_1yib0wl" w:colFirst="0" w:colLast="0"/>
      <w:bookmarkEnd w:id="269"/>
      <w:r>
        <w:rPr>
          <w:rFonts w:ascii="Arial" w:eastAsia="Arial" w:hAnsi="Arial" w:cs="Arial"/>
          <w:b/>
          <w:i/>
          <w:sz w:val="28"/>
          <w:szCs w:val="28"/>
        </w:rPr>
        <w:lastRenderedPageBreak/>
        <w:t>8. Miscellaneous</w:t>
      </w:r>
    </w:p>
    <w:p w14:paraId="754D1FD4" w14:textId="77777777" w:rsidR="00DB4AC9" w:rsidRDefault="00DB4AC9" w:rsidP="00DB4AC9">
      <w:pPr>
        <w:spacing w:after="0"/>
      </w:pPr>
    </w:p>
    <w:p w14:paraId="2ACAF351" w14:textId="77777777" w:rsidR="00DB4AC9" w:rsidRDefault="00DB4AC9" w:rsidP="00DB4AC9">
      <w:pPr>
        <w:spacing w:after="0"/>
        <w:ind w:left="360"/>
      </w:pPr>
      <w:r>
        <w:rPr>
          <w:rFonts w:ascii="Times New Roman" w:eastAsia="Times New Roman" w:hAnsi="Times New Roman" w:cs="Times New Roman"/>
          <w:b/>
          <w:sz w:val="24"/>
          <w:szCs w:val="24"/>
        </w:rPr>
        <w:t>8a SBA Client Type</w:t>
      </w:r>
    </w:p>
    <w:p w14:paraId="46E52219" w14:textId="77777777" w:rsidR="00DB4AC9" w:rsidRDefault="00DB4AC9" w:rsidP="00DB4AC9">
      <w:pPr>
        <w:spacing w:after="0"/>
        <w:ind w:left="360"/>
      </w:pPr>
    </w:p>
    <w:p w14:paraId="5F59F159"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8a SBA Client Type”</w:t>
      </w:r>
    </w:p>
    <w:p w14:paraId="188CBC20" w14:textId="77777777" w:rsidR="00DB4AC9" w:rsidRDefault="00DB4AC9" w:rsidP="00DB4AC9">
      <w:pPr>
        <w:spacing w:after="0"/>
      </w:pPr>
    </w:p>
    <w:p w14:paraId="6A19D477" w14:textId="77777777" w:rsidR="00DB4AC9" w:rsidRDefault="00DB4AC9" w:rsidP="00DB4AC9">
      <w:pPr>
        <w:spacing w:after="0"/>
        <w:ind w:left="360" w:hanging="360"/>
      </w:pPr>
      <w:r>
        <w:rPr>
          <w:rFonts w:ascii="Times New Roman" w:eastAsia="Times New Roman" w:hAnsi="Times New Roman" w:cs="Times New Roman"/>
          <w:sz w:val="24"/>
          <w:szCs w:val="24"/>
        </w:rPr>
        <w:t xml:space="preserve"> Make changes as necessary under the Business Information section of the client detail (SBA Client Type). Undefined is not a valid choice selection. Note: the SBA client type is determined by the first counseling session “contact type” such as Center Site (face-to-face). </w:t>
      </w:r>
    </w:p>
    <w:p w14:paraId="7BF8C5F3" w14:textId="77777777" w:rsidR="00DB4AC9" w:rsidRDefault="00DB4AC9" w:rsidP="00DB4AC9">
      <w:pPr>
        <w:spacing w:after="0"/>
        <w:ind w:left="360" w:hanging="360"/>
      </w:pPr>
      <w:r>
        <w:rPr>
          <w:rFonts w:ascii="Times New Roman" w:eastAsia="Times New Roman" w:hAnsi="Times New Roman" w:cs="Times New Roman"/>
          <w:sz w:val="24"/>
          <w:szCs w:val="24"/>
        </w:rPr>
        <w:br/>
      </w:r>
      <w:r>
        <w:rPr>
          <w:noProof/>
        </w:rPr>
        <mc:AlternateContent>
          <mc:Choice Requires="wps">
            <w:drawing>
              <wp:inline distT="0" distB="0" distL="0" distR="0" wp14:anchorId="732C5B14" wp14:editId="07AEF2D3">
                <wp:extent cx="5651500" cy="508000"/>
                <wp:effectExtent l="0" t="0" r="0" b="0"/>
                <wp:docPr id="21" name="Rectangle 21"/>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782958EE" w14:textId="77777777" w:rsidR="00DB4AC9" w:rsidRDefault="00DB4AC9" w:rsidP="00DB4AC9">
                            <w:pPr>
                              <w:textDirection w:val="btLr"/>
                            </w:pPr>
                            <w:r>
                              <w:t>SBA Client Type, I/F Session</w:t>
                            </w:r>
                          </w:p>
                          <w:p w14:paraId="65459493" w14:textId="77777777" w:rsidR="00DB4AC9" w:rsidRDefault="00DB4AC9" w:rsidP="00DB4AC9">
                            <w:pPr>
                              <w:textDirection w:val="btLr"/>
                            </w:pPr>
                            <w:r>
                              <w:t>Undefined, date range</w:t>
                            </w:r>
                          </w:p>
                          <w:p w14:paraId="3961BDD2"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732C5B14" id="Rectangle 21" o:spid="_x0000_s1060"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UcC/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kQSOn1rDLo8OyY8abLGZl0UFNk+bskpSuPuT9v6EaNobGAYQaQr3&#10;IY1G7EekBs+lJl7nI5r6fp9Qtyne/Q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AlzUcC/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782958EE" w14:textId="77777777" w:rsidR="00DB4AC9" w:rsidRDefault="00DB4AC9" w:rsidP="00DB4AC9">
                      <w:pPr>
                        <w:textDirection w:val="btLr"/>
                      </w:pPr>
                      <w:r>
                        <w:t>SBA Client Type, I/F Session</w:t>
                      </w:r>
                    </w:p>
                    <w:p w14:paraId="65459493" w14:textId="77777777" w:rsidR="00DB4AC9" w:rsidRDefault="00DB4AC9" w:rsidP="00DB4AC9">
                      <w:pPr>
                        <w:textDirection w:val="btLr"/>
                      </w:pPr>
                      <w:r>
                        <w:t>Undefined, date range</w:t>
                      </w:r>
                    </w:p>
                    <w:p w14:paraId="3961BDD2" w14:textId="77777777" w:rsidR="00DB4AC9" w:rsidRDefault="00DB4AC9" w:rsidP="00DB4AC9">
                      <w:pPr>
                        <w:textDirection w:val="btLr"/>
                      </w:pPr>
                    </w:p>
                  </w:txbxContent>
                </v:textbox>
                <w10:anchorlock/>
              </v:rect>
            </w:pict>
          </mc:Fallback>
        </mc:AlternateContent>
      </w:r>
    </w:p>
    <w:p w14:paraId="11CEEAA0" w14:textId="77777777" w:rsidR="00DB4AC9" w:rsidRDefault="00DB4AC9" w:rsidP="00DB4AC9">
      <w:pPr>
        <w:spacing w:after="0"/>
      </w:pPr>
    </w:p>
    <w:p w14:paraId="4A0BAC9A" w14:textId="77777777" w:rsidR="00DB4AC9" w:rsidRDefault="00DB4AC9" w:rsidP="00DB4AC9">
      <w:pPr>
        <w:spacing w:after="0"/>
        <w:ind w:left="360"/>
      </w:pPr>
      <w:r>
        <w:rPr>
          <w:rFonts w:ascii="Times New Roman" w:eastAsia="Times New Roman" w:hAnsi="Times New Roman" w:cs="Times New Roman"/>
          <w:b/>
          <w:sz w:val="24"/>
          <w:szCs w:val="24"/>
        </w:rPr>
        <w:t>8b Product Codes, NAICS</w:t>
      </w:r>
    </w:p>
    <w:p w14:paraId="3CE97DCA" w14:textId="77777777" w:rsidR="00DB4AC9" w:rsidRDefault="00DB4AC9" w:rsidP="00DB4AC9">
      <w:pPr>
        <w:spacing w:after="0"/>
        <w:ind w:left="360"/>
      </w:pPr>
    </w:p>
    <w:p w14:paraId="648B9329"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8b NAICS Code”</w:t>
      </w:r>
    </w:p>
    <w:p w14:paraId="5999717F" w14:textId="77777777" w:rsidR="00DB4AC9" w:rsidRDefault="00DB4AC9" w:rsidP="00DB4AC9">
      <w:pPr>
        <w:spacing w:after="0"/>
        <w:ind w:left="360"/>
      </w:pPr>
    </w:p>
    <w:p w14:paraId="6EA3FAA9" w14:textId="77777777" w:rsidR="00DB4AC9" w:rsidRDefault="00DB4AC9" w:rsidP="00DB4AC9">
      <w:pPr>
        <w:spacing w:after="0"/>
        <w:ind w:left="360"/>
      </w:pPr>
      <w:r>
        <w:rPr>
          <w:rFonts w:ascii="Times New Roman" w:eastAsia="Times New Roman" w:hAnsi="Times New Roman" w:cs="Times New Roman"/>
          <w:sz w:val="24"/>
          <w:szCs w:val="24"/>
        </w:rPr>
        <w:t>Make changes as necessary. A NAICS code should be identified for each client. Review business type and initial counseling notes to assess best NAICS code match. If the client is pre-</w:t>
      </w:r>
      <w:proofErr w:type="gramStart"/>
      <w:r>
        <w:rPr>
          <w:rFonts w:ascii="Times New Roman" w:eastAsia="Times New Roman" w:hAnsi="Times New Roman" w:cs="Times New Roman"/>
          <w:sz w:val="24"/>
          <w:szCs w:val="24"/>
        </w:rPr>
        <w:t>venture</w:t>
      </w:r>
      <w:proofErr w:type="gramEnd"/>
      <w:r>
        <w:rPr>
          <w:rFonts w:ascii="Times New Roman" w:eastAsia="Times New Roman" w:hAnsi="Times New Roman" w:cs="Times New Roman"/>
          <w:sz w:val="24"/>
          <w:szCs w:val="24"/>
        </w:rPr>
        <w:t>, the NAICS code of the business sector that the client is seeking to be in business in should be identified.</w:t>
      </w:r>
    </w:p>
    <w:p w14:paraId="23D42A52" w14:textId="77777777" w:rsidR="00DB4AC9" w:rsidRDefault="00DB4AC9" w:rsidP="00DB4AC9">
      <w:pPr>
        <w:spacing w:after="0"/>
        <w:ind w:left="360"/>
      </w:pPr>
    </w:p>
    <w:p w14:paraId="1D684842" w14:textId="77777777" w:rsidR="00DB4AC9" w:rsidRDefault="00DB4AC9" w:rsidP="00DB4AC9">
      <w:pPr>
        <w:spacing w:after="0"/>
        <w:ind w:left="360"/>
      </w:pPr>
      <w:r>
        <w:rPr>
          <w:noProof/>
        </w:rPr>
        <mc:AlternateContent>
          <mc:Choice Requires="wps">
            <w:drawing>
              <wp:inline distT="0" distB="0" distL="0" distR="0" wp14:anchorId="5DA63323" wp14:editId="4C049F2E">
                <wp:extent cx="5651500" cy="508000"/>
                <wp:effectExtent l="0" t="0" r="0" b="0"/>
                <wp:docPr id="22" name="Rectangle 22"/>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3F7BCB1" w14:textId="77777777" w:rsidR="00DB4AC9" w:rsidRDefault="00DB4AC9" w:rsidP="00DB4AC9">
                            <w:pPr>
                              <w:textDirection w:val="btLr"/>
                            </w:pPr>
                            <w:r>
                              <w:t>Product Code NAICS, I/F Session</w:t>
                            </w:r>
                          </w:p>
                          <w:p w14:paraId="120EA866" w14:textId="77777777" w:rsidR="00DB4AC9" w:rsidRDefault="00DB4AC9" w:rsidP="00DB4AC9">
                            <w:pPr>
                              <w:textDirection w:val="btLr"/>
                            </w:pPr>
                            <w:r>
                              <w:t>Leave blank, date range</w:t>
                            </w:r>
                          </w:p>
                          <w:p w14:paraId="575EF93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5DA63323" id="Rectangle 22" o:spid="_x0000_s1061"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kTX/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UUW6+Kk17PLokPyowRabeVlUYPO0Kaskhbs/ae9PiKa9gWEAkaZw&#10;H9JoxH5EavBcauJ1PqKp7/cJdZvi3Q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49JE1/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43F7BCB1" w14:textId="77777777" w:rsidR="00DB4AC9" w:rsidRDefault="00DB4AC9" w:rsidP="00DB4AC9">
                      <w:pPr>
                        <w:textDirection w:val="btLr"/>
                      </w:pPr>
                      <w:r>
                        <w:t>Product Code NAICS, I/F Session</w:t>
                      </w:r>
                    </w:p>
                    <w:p w14:paraId="120EA866" w14:textId="77777777" w:rsidR="00DB4AC9" w:rsidRDefault="00DB4AC9" w:rsidP="00DB4AC9">
                      <w:pPr>
                        <w:textDirection w:val="btLr"/>
                      </w:pPr>
                      <w:r>
                        <w:t>Leave blank, date range</w:t>
                      </w:r>
                    </w:p>
                    <w:p w14:paraId="575EF937" w14:textId="77777777" w:rsidR="00DB4AC9" w:rsidRDefault="00DB4AC9" w:rsidP="00DB4AC9">
                      <w:pPr>
                        <w:textDirection w:val="btLr"/>
                      </w:pPr>
                    </w:p>
                  </w:txbxContent>
                </v:textbox>
                <w10:anchorlock/>
              </v:rect>
            </w:pict>
          </mc:Fallback>
        </mc:AlternateContent>
      </w:r>
    </w:p>
    <w:p w14:paraId="44A8D5DB" w14:textId="77777777" w:rsidR="00DB4AC9" w:rsidRDefault="00DB4AC9" w:rsidP="00DB4AC9">
      <w:pPr>
        <w:spacing w:after="0"/>
        <w:jc w:val="center"/>
      </w:pPr>
    </w:p>
    <w:p w14:paraId="1C211026" w14:textId="77777777" w:rsidR="00DB4AC9" w:rsidRDefault="00DB4AC9" w:rsidP="00DB4AC9">
      <w:pPr>
        <w:keepNext/>
        <w:spacing w:before="240" w:after="60"/>
      </w:pPr>
      <w:bookmarkStart w:id="270" w:name="_4ihyjke" w:colFirst="0" w:colLast="0"/>
      <w:bookmarkEnd w:id="270"/>
      <w:r>
        <w:rPr>
          <w:rFonts w:ascii="Arial" w:eastAsia="Arial" w:hAnsi="Arial" w:cs="Arial"/>
          <w:b/>
          <w:i/>
          <w:sz w:val="28"/>
          <w:szCs w:val="28"/>
        </w:rPr>
        <w:t>9. Company Federal and State Representative Districts</w:t>
      </w:r>
    </w:p>
    <w:p w14:paraId="3B753043" w14:textId="77777777" w:rsidR="00DB4AC9" w:rsidRDefault="00DB4AC9" w:rsidP="00DB4AC9">
      <w:pPr>
        <w:spacing w:after="0"/>
      </w:pPr>
    </w:p>
    <w:p w14:paraId="19C9457F" w14:textId="77777777" w:rsidR="00DB4AC9" w:rsidRDefault="00DB4AC9" w:rsidP="00DB4AC9">
      <w:pPr>
        <w:spacing w:after="0"/>
        <w:ind w:left="360"/>
      </w:pPr>
      <w:r>
        <w:rPr>
          <w:rFonts w:ascii="Times New Roman" w:eastAsia="Times New Roman" w:hAnsi="Times New Roman" w:cs="Times New Roman"/>
          <w:sz w:val="24"/>
          <w:szCs w:val="24"/>
        </w:rPr>
        <w:t xml:space="preserve">The federal congressional and state senate and representative districts are </w:t>
      </w:r>
      <w:proofErr w:type="gramStart"/>
      <w:r>
        <w:rPr>
          <w:rFonts w:ascii="Times New Roman" w:eastAsia="Times New Roman" w:hAnsi="Times New Roman" w:cs="Times New Roman"/>
          <w:sz w:val="24"/>
          <w:szCs w:val="24"/>
        </w:rPr>
        <w:t>auto-populated</w:t>
      </w:r>
      <w:proofErr w:type="gramEnd"/>
      <w:r>
        <w:rPr>
          <w:rFonts w:ascii="Times New Roman" w:eastAsia="Times New Roman" w:hAnsi="Times New Roman" w:cs="Times New Roman"/>
          <w:sz w:val="24"/>
          <w:szCs w:val="24"/>
        </w:rPr>
        <w:t xml:space="preserve"> by a service contracted by Outreach Systems. The information is </w:t>
      </w:r>
      <w:proofErr w:type="gramStart"/>
      <w:r>
        <w:rPr>
          <w:rFonts w:ascii="Times New Roman" w:eastAsia="Times New Roman" w:hAnsi="Times New Roman" w:cs="Times New Roman"/>
          <w:sz w:val="24"/>
          <w:szCs w:val="24"/>
        </w:rPr>
        <w:t>based</w:t>
      </w:r>
      <w:proofErr w:type="gramEnd"/>
      <w:r>
        <w:rPr>
          <w:rFonts w:ascii="Times New Roman" w:eastAsia="Times New Roman" w:hAnsi="Times New Roman" w:cs="Times New Roman"/>
          <w:sz w:val="24"/>
          <w:szCs w:val="24"/>
        </w:rPr>
        <w:t xml:space="preserve"> the client’s 9-digit zip code and validated address. Any hits found in this subset may take some detective work to reconcile. Follow the suggestions in this FAQ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determine a valid address for the client.  </w:t>
      </w:r>
      <w:hyperlink r:id="rId36">
        <w:r>
          <w:rPr>
            <w:rFonts w:ascii="Times New Roman" w:eastAsia="Times New Roman" w:hAnsi="Times New Roman" w:cs="Times New Roman"/>
            <w:color w:val="0000FF"/>
            <w:sz w:val="24"/>
            <w:szCs w:val="24"/>
            <w:u w:val="single"/>
          </w:rPr>
          <w:t>http://www.outreachsystems.com/resources/help/webcats/faq.jsp?id=126</w:t>
        </w:r>
      </w:hyperlink>
      <w:r>
        <w:rPr>
          <w:rFonts w:ascii="Times New Roman" w:eastAsia="Times New Roman" w:hAnsi="Times New Roman" w:cs="Times New Roman"/>
          <w:sz w:val="24"/>
          <w:szCs w:val="24"/>
        </w:rPr>
        <w:t>. Once the system has a valid address, it will take overnight for the district data to update. If you are unable to obtain workable data, contact the Lead Center.</w:t>
      </w:r>
    </w:p>
    <w:p w14:paraId="597BD3BB" w14:textId="77777777" w:rsidR="00DB4AC9" w:rsidRDefault="00DB4AC9" w:rsidP="00DB4AC9">
      <w:pPr>
        <w:spacing w:after="0"/>
      </w:pPr>
    </w:p>
    <w:p w14:paraId="7E76886B" w14:textId="77777777" w:rsidR="00DB4AC9" w:rsidRDefault="00DB4AC9" w:rsidP="00DB4AC9">
      <w:pPr>
        <w:spacing w:after="0"/>
        <w:ind w:left="360"/>
      </w:pPr>
    </w:p>
    <w:p w14:paraId="245C68C2" w14:textId="77777777" w:rsidR="00DB4AC9" w:rsidRDefault="00DB4AC9" w:rsidP="00DB4AC9">
      <w:pPr>
        <w:spacing w:after="0"/>
        <w:ind w:left="360"/>
      </w:pPr>
    </w:p>
    <w:p w14:paraId="082BA5EF" w14:textId="77777777" w:rsidR="00DB4AC9" w:rsidRDefault="00DB4AC9" w:rsidP="00DB4AC9">
      <w:pPr>
        <w:spacing w:after="0"/>
        <w:ind w:left="360"/>
      </w:pPr>
    </w:p>
    <w:p w14:paraId="0D8971EE" w14:textId="77777777" w:rsidR="00DB4AC9" w:rsidRDefault="00DB4AC9" w:rsidP="00DB4AC9">
      <w:pPr>
        <w:spacing w:after="0"/>
        <w:ind w:left="360"/>
      </w:pPr>
    </w:p>
    <w:p w14:paraId="6CE48276" w14:textId="77777777" w:rsidR="00DB4AC9" w:rsidRDefault="00DB4AC9" w:rsidP="00DB4AC9">
      <w:pPr>
        <w:spacing w:after="0"/>
        <w:ind w:left="360"/>
      </w:pPr>
    </w:p>
    <w:p w14:paraId="156DE241" w14:textId="77777777" w:rsidR="00DB4AC9" w:rsidRDefault="00DB4AC9" w:rsidP="00DB4AC9">
      <w:pPr>
        <w:spacing w:after="0"/>
        <w:ind w:left="360"/>
      </w:pPr>
    </w:p>
    <w:p w14:paraId="338D94FB" w14:textId="77777777" w:rsidR="00DB4AC9" w:rsidRDefault="00DB4AC9" w:rsidP="00DB4AC9">
      <w:pPr>
        <w:spacing w:after="0"/>
        <w:ind w:left="360"/>
      </w:pPr>
    </w:p>
    <w:p w14:paraId="599931F4" w14:textId="77777777" w:rsidR="00DB4AC9" w:rsidRDefault="00DB4AC9" w:rsidP="00DB4AC9">
      <w:pPr>
        <w:spacing w:after="0"/>
        <w:ind w:left="360"/>
      </w:pPr>
    </w:p>
    <w:p w14:paraId="651E567F" w14:textId="77777777" w:rsidR="00DB4AC9" w:rsidRDefault="00DB4AC9" w:rsidP="00DB4AC9">
      <w:pPr>
        <w:spacing w:after="0"/>
        <w:ind w:left="360"/>
      </w:pPr>
      <w:r>
        <w:rPr>
          <w:rFonts w:ascii="Times New Roman" w:eastAsia="Times New Roman" w:hAnsi="Times New Roman" w:cs="Times New Roman"/>
          <w:b/>
          <w:sz w:val="24"/>
          <w:szCs w:val="24"/>
        </w:rPr>
        <w:t>9a State Representative District</w:t>
      </w:r>
    </w:p>
    <w:p w14:paraId="57E945D0" w14:textId="77777777" w:rsidR="00DB4AC9" w:rsidRDefault="00DB4AC9" w:rsidP="00DB4AC9">
      <w:pPr>
        <w:spacing w:after="0"/>
        <w:ind w:left="360"/>
      </w:pPr>
    </w:p>
    <w:p w14:paraId="2B282A2F"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9a State Rep District”</w:t>
      </w:r>
    </w:p>
    <w:p w14:paraId="3EE71CF3" w14:textId="77777777" w:rsidR="00DB4AC9" w:rsidRDefault="00DB4AC9" w:rsidP="00DB4AC9">
      <w:pPr>
        <w:spacing w:after="0"/>
        <w:ind w:left="360"/>
      </w:pPr>
    </w:p>
    <w:p w14:paraId="434E61E1" w14:textId="77777777" w:rsidR="00DB4AC9" w:rsidRDefault="00DB4AC9" w:rsidP="00DB4AC9">
      <w:pPr>
        <w:spacing w:after="0"/>
        <w:ind w:left="360"/>
      </w:pPr>
      <w:r>
        <w:rPr>
          <w:rFonts w:ascii="Times New Roman" w:eastAsia="Times New Roman" w:hAnsi="Times New Roman" w:cs="Times New Roman"/>
          <w:sz w:val="24"/>
          <w:szCs w:val="24"/>
        </w:rPr>
        <w:t>All client records must have a State Representative District with valid choices including 01A-67B. Make changes as necessary.</w:t>
      </w:r>
    </w:p>
    <w:p w14:paraId="310DD925" w14:textId="77777777" w:rsidR="00DB4AC9" w:rsidRDefault="00DB4AC9" w:rsidP="00DB4AC9">
      <w:pPr>
        <w:spacing w:after="0"/>
        <w:ind w:left="360"/>
      </w:pPr>
    </w:p>
    <w:p w14:paraId="7B502333" w14:textId="77777777" w:rsidR="00DB4AC9" w:rsidRDefault="00DB4AC9" w:rsidP="00DB4AC9">
      <w:pPr>
        <w:spacing w:after="0"/>
        <w:ind w:left="360"/>
      </w:pPr>
      <w:r>
        <w:rPr>
          <w:noProof/>
        </w:rPr>
        <mc:AlternateContent>
          <mc:Choice Requires="wps">
            <w:drawing>
              <wp:inline distT="0" distB="0" distL="0" distR="0" wp14:anchorId="685B7CE7" wp14:editId="18D397EA">
                <wp:extent cx="5651500" cy="508000"/>
                <wp:effectExtent l="0" t="0" r="0" b="0"/>
                <wp:docPr id="30" name="Rectangle 30"/>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13B70E2B" w14:textId="77777777" w:rsidR="00DB4AC9" w:rsidRDefault="00DB4AC9" w:rsidP="00DB4AC9">
                            <w:pPr>
                              <w:textDirection w:val="btLr"/>
                            </w:pPr>
                            <w:r>
                              <w:t>Company State Representative District, I/F Session</w:t>
                            </w:r>
                          </w:p>
                          <w:p w14:paraId="70A743C9" w14:textId="77777777" w:rsidR="00DB4AC9" w:rsidRDefault="00DB4AC9" w:rsidP="00DB4AC9">
                            <w:pPr>
                              <w:textDirection w:val="btLr"/>
                            </w:pPr>
                            <w:r>
                              <w:t>Select &lt;blank&gt; and ranges of 0 to 99X and F01 to F99 and S to S9ZZ , date range</w:t>
                            </w:r>
                          </w:p>
                        </w:txbxContent>
                      </wps:txbx>
                      <wps:bodyPr lIns="91425" tIns="45700" rIns="91425" bIns="45700" anchor="t" anchorCtr="0"/>
                    </wps:wsp>
                  </a:graphicData>
                </a:graphic>
              </wp:inline>
            </w:drawing>
          </mc:Choice>
          <mc:Fallback>
            <w:pict>
              <v:rect w14:anchorId="685B7CE7" id="Rectangle 30" o:spid="_x0000_s1062"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DBz/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kRKNn1rDLo8OyY8abLGZl0UFNk+bskpSuPuT9v6EaNobGAYQaQr3&#10;IY1G7EekBs+lJl7nI5r6fp9Qtyne/Q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Do9DBz/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13B70E2B" w14:textId="77777777" w:rsidR="00DB4AC9" w:rsidRDefault="00DB4AC9" w:rsidP="00DB4AC9">
                      <w:pPr>
                        <w:textDirection w:val="btLr"/>
                      </w:pPr>
                      <w:r>
                        <w:t>Company State Representative District, I/F Session</w:t>
                      </w:r>
                    </w:p>
                    <w:p w14:paraId="70A743C9" w14:textId="77777777" w:rsidR="00DB4AC9" w:rsidRDefault="00DB4AC9" w:rsidP="00DB4AC9">
                      <w:pPr>
                        <w:textDirection w:val="btLr"/>
                      </w:pPr>
                      <w:r>
                        <w:t>Select &lt;blank&gt; and ranges of 0 to 99X and F01 to F99 and S to S9ZZ , date range</w:t>
                      </w:r>
                    </w:p>
                  </w:txbxContent>
                </v:textbox>
                <w10:anchorlock/>
              </v:rect>
            </w:pict>
          </mc:Fallback>
        </mc:AlternateContent>
      </w:r>
    </w:p>
    <w:p w14:paraId="4C6355A9" w14:textId="77777777" w:rsidR="00DB4AC9" w:rsidRDefault="00DB4AC9" w:rsidP="00DB4AC9">
      <w:pPr>
        <w:spacing w:after="0"/>
        <w:ind w:left="360"/>
      </w:pPr>
    </w:p>
    <w:p w14:paraId="19DA113C" w14:textId="77777777" w:rsidR="00DB4AC9" w:rsidRDefault="00DB4AC9" w:rsidP="00DB4AC9">
      <w:pPr>
        <w:spacing w:after="0"/>
        <w:ind w:left="360"/>
      </w:pPr>
      <w:r>
        <w:rPr>
          <w:rFonts w:ascii="Times New Roman" w:eastAsia="Times New Roman" w:hAnsi="Times New Roman" w:cs="Times New Roman"/>
          <w:b/>
          <w:sz w:val="24"/>
          <w:szCs w:val="24"/>
        </w:rPr>
        <w:t>9b State Senate District</w:t>
      </w:r>
    </w:p>
    <w:p w14:paraId="5DD3E04B" w14:textId="77777777" w:rsidR="00DB4AC9" w:rsidRDefault="00DB4AC9" w:rsidP="00DB4AC9">
      <w:pPr>
        <w:spacing w:after="0"/>
        <w:ind w:left="360"/>
      </w:pPr>
    </w:p>
    <w:p w14:paraId="2450919D"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9b State Senate District”</w:t>
      </w:r>
    </w:p>
    <w:p w14:paraId="41EEEAE2" w14:textId="77777777" w:rsidR="00DB4AC9" w:rsidRDefault="00DB4AC9" w:rsidP="00DB4AC9">
      <w:pPr>
        <w:spacing w:after="0"/>
        <w:ind w:left="360"/>
      </w:pPr>
    </w:p>
    <w:p w14:paraId="05B5B872" w14:textId="77777777" w:rsidR="00DB4AC9" w:rsidRDefault="00DB4AC9" w:rsidP="00DB4AC9">
      <w:pPr>
        <w:spacing w:after="0"/>
        <w:ind w:left="360"/>
      </w:pPr>
      <w:r>
        <w:rPr>
          <w:rFonts w:ascii="Times New Roman" w:eastAsia="Times New Roman" w:hAnsi="Times New Roman" w:cs="Times New Roman"/>
          <w:sz w:val="24"/>
          <w:szCs w:val="24"/>
        </w:rPr>
        <w:t>All client records must have a State Senate District with valid choices including 01-67. Make changes as necessary.</w:t>
      </w:r>
    </w:p>
    <w:p w14:paraId="2771A6D0" w14:textId="77777777" w:rsidR="00DB4AC9" w:rsidRDefault="00DB4AC9" w:rsidP="00DB4AC9">
      <w:pPr>
        <w:spacing w:after="0"/>
        <w:ind w:left="360"/>
      </w:pPr>
    </w:p>
    <w:p w14:paraId="4E193248" w14:textId="77777777" w:rsidR="00DB4AC9" w:rsidRDefault="00DB4AC9" w:rsidP="00DB4AC9">
      <w:pPr>
        <w:spacing w:after="0"/>
        <w:ind w:left="360"/>
      </w:pPr>
      <w:r>
        <w:rPr>
          <w:noProof/>
        </w:rPr>
        <mc:AlternateContent>
          <mc:Choice Requires="wps">
            <w:drawing>
              <wp:inline distT="0" distB="0" distL="0" distR="0" wp14:anchorId="0877B85D" wp14:editId="73E87EC8">
                <wp:extent cx="5651500" cy="508000"/>
                <wp:effectExtent l="0" t="0" r="0" b="0"/>
                <wp:docPr id="56" name="Rectangle 56"/>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C5263F8" w14:textId="77777777" w:rsidR="00DB4AC9" w:rsidRDefault="00DB4AC9" w:rsidP="00DB4AC9">
                            <w:pPr>
                              <w:textDirection w:val="btLr"/>
                            </w:pPr>
                            <w:r>
                              <w:t>Company State Senate/Assy. District, I/F Session</w:t>
                            </w:r>
                          </w:p>
                          <w:p w14:paraId="0FD2025B" w14:textId="77777777" w:rsidR="00DB4AC9" w:rsidRDefault="00DB4AC9" w:rsidP="00DB4AC9">
                            <w:pPr>
                              <w:textDirection w:val="btLr"/>
                            </w:pPr>
                            <w:r>
                              <w:t>Select range of 01-99, date range</w:t>
                            </w:r>
                          </w:p>
                          <w:p w14:paraId="06B107B2"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877B85D" id="Rectangle 56" o:spid="_x0000_s1063"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zOm/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sYp08VNr2OXRIflRgy0287KowOZpU1ZJCnd/0t6fEE17A8MAIk3h&#10;PqTRiP2I1OC51MTrfERT3+8T6jbFux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Luszpv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4C5263F8" w14:textId="77777777" w:rsidR="00DB4AC9" w:rsidRDefault="00DB4AC9" w:rsidP="00DB4AC9">
                      <w:pPr>
                        <w:textDirection w:val="btLr"/>
                      </w:pPr>
                      <w:r>
                        <w:t>Company State Senate/Assy. District, I/F Session</w:t>
                      </w:r>
                    </w:p>
                    <w:p w14:paraId="0FD2025B" w14:textId="77777777" w:rsidR="00DB4AC9" w:rsidRDefault="00DB4AC9" w:rsidP="00DB4AC9">
                      <w:pPr>
                        <w:textDirection w:val="btLr"/>
                      </w:pPr>
                      <w:r>
                        <w:t>Select range of 01-99, date range</w:t>
                      </w:r>
                    </w:p>
                    <w:p w14:paraId="06B107B2" w14:textId="77777777" w:rsidR="00DB4AC9" w:rsidRDefault="00DB4AC9" w:rsidP="00DB4AC9">
                      <w:pPr>
                        <w:textDirection w:val="btLr"/>
                      </w:pPr>
                    </w:p>
                  </w:txbxContent>
                </v:textbox>
                <w10:anchorlock/>
              </v:rect>
            </w:pict>
          </mc:Fallback>
        </mc:AlternateContent>
      </w:r>
    </w:p>
    <w:p w14:paraId="37AAE141" w14:textId="77777777" w:rsidR="00DB4AC9" w:rsidRDefault="00DB4AC9" w:rsidP="00DB4AC9">
      <w:pPr>
        <w:spacing w:after="0"/>
        <w:ind w:left="360"/>
      </w:pPr>
    </w:p>
    <w:p w14:paraId="31904013" w14:textId="77777777" w:rsidR="00DB4AC9" w:rsidRDefault="00DB4AC9" w:rsidP="00DB4AC9">
      <w:pPr>
        <w:spacing w:after="0"/>
        <w:ind w:left="360"/>
      </w:pPr>
    </w:p>
    <w:p w14:paraId="05F6DAFE" w14:textId="77777777" w:rsidR="00DB4AC9" w:rsidRDefault="00DB4AC9" w:rsidP="00DB4AC9">
      <w:pPr>
        <w:spacing w:after="0"/>
        <w:ind w:left="360"/>
      </w:pPr>
      <w:r>
        <w:rPr>
          <w:rFonts w:ascii="Times New Roman" w:eastAsia="Times New Roman" w:hAnsi="Times New Roman" w:cs="Times New Roman"/>
          <w:b/>
          <w:sz w:val="24"/>
          <w:szCs w:val="24"/>
        </w:rPr>
        <w:t>9c Federal Congressional District</w:t>
      </w:r>
    </w:p>
    <w:p w14:paraId="6A3BFDB0" w14:textId="77777777" w:rsidR="00DB4AC9" w:rsidRDefault="00DB4AC9" w:rsidP="00DB4AC9">
      <w:pPr>
        <w:spacing w:after="0"/>
        <w:ind w:left="360"/>
      </w:pPr>
    </w:p>
    <w:p w14:paraId="1A804AB7"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9a Federal District”</w:t>
      </w:r>
    </w:p>
    <w:p w14:paraId="46BF1909" w14:textId="77777777" w:rsidR="00DB4AC9" w:rsidRDefault="00DB4AC9" w:rsidP="00DB4AC9">
      <w:pPr>
        <w:spacing w:after="0"/>
        <w:ind w:left="360"/>
      </w:pPr>
    </w:p>
    <w:p w14:paraId="2C303DD8" w14:textId="77777777" w:rsidR="00DB4AC9" w:rsidRDefault="00DB4AC9" w:rsidP="00DB4AC9">
      <w:pPr>
        <w:spacing w:after="0"/>
        <w:ind w:left="360"/>
      </w:pPr>
      <w:r>
        <w:rPr>
          <w:rFonts w:ascii="Times New Roman" w:eastAsia="Times New Roman" w:hAnsi="Times New Roman" w:cs="Times New Roman"/>
          <w:sz w:val="24"/>
          <w:szCs w:val="24"/>
        </w:rPr>
        <w:t>All client records must have a Federal Congressional with valid choices including 01-08. Make changes as necessary.</w:t>
      </w:r>
    </w:p>
    <w:p w14:paraId="51C15D90" w14:textId="77777777" w:rsidR="00DB4AC9" w:rsidRDefault="00DB4AC9" w:rsidP="00DB4AC9">
      <w:pPr>
        <w:spacing w:after="0"/>
        <w:ind w:left="360"/>
      </w:pPr>
    </w:p>
    <w:p w14:paraId="022F2BD7" w14:textId="77777777" w:rsidR="00DB4AC9" w:rsidRDefault="00DB4AC9" w:rsidP="00DB4AC9">
      <w:pPr>
        <w:spacing w:after="0"/>
        <w:ind w:left="360"/>
      </w:pPr>
      <w:r>
        <w:rPr>
          <w:noProof/>
        </w:rPr>
        <mc:AlternateContent>
          <mc:Choice Requires="wps">
            <w:drawing>
              <wp:inline distT="0" distB="0" distL="0" distR="0" wp14:anchorId="3954A4EF" wp14:editId="7F483C69">
                <wp:extent cx="5651500" cy="508000"/>
                <wp:effectExtent l="0" t="0" r="0" b="0"/>
                <wp:docPr id="57" name="Rectangle 57"/>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7ED1DE57" w14:textId="77777777" w:rsidR="00DB4AC9" w:rsidRDefault="00DB4AC9" w:rsidP="00DB4AC9">
                            <w:pPr>
                              <w:textDirection w:val="btLr"/>
                            </w:pPr>
                            <w:r>
                              <w:t>Company Federal Congressional District, I/F Session</w:t>
                            </w:r>
                          </w:p>
                          <w:p w14:paraId="544B9E59" w14:textId="77777777" w:rsidR="00DB4AC9" w:rsidRDefault="00DB4AC9" w:rsidP="00DB4AC9">
                            <w:pPr>
                              <w:textDirection w:val="btLr"/>
                            </w:pPr>
                            <w:r>
                              <w:t>Select all 01-99, date range</w:t>
                            </w:r>
                          </w:p>
                          <w:p w14:paraId="7406A82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3954A4EF" id="Rectangle 57" o:spid="_x0000_s1064"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T+/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kToQP7WGXR4dkh812GIzL4sKbJ42ZZWkcPcn7f0J0bQ3MAwg0hTu&#10;QxqN2I9IDZ5LTbzORzT1/T6hblO8+wE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DKXwT+/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7ED1DE57" w14:textId="77777777" w:rsidR="00DB4AC9" w:rsidRDefault="00DB4AC9" w:rsidP="00DB4AC9">
                      <w:pPr>
                        <w:textDirection w:val="btLr"/>
                      </w:pPr>
                      <w:r>
                        <w:t>Company Federal Congressional District, I/F Session</w:t>
                      </w:r>
                    </w:p>
                    <w:p w14:paraId="544B9E59" w14:textId="77777777" w:rsidR="00DB4AC9" w:rsidRDefault="00DB4AC9" w:rsidP="00DB4AC9">
                      <w:pPr>
                        <w:textDirection w:val="btLr"/>
                      </w:pPr>
                      <w:r>
                        <w:t>Select all 01-99, date range</w:t>
                      </w:r>
                    </w:p>
                    <w:p w14:paraId="7406A827" w14:textId="77777777" w:rsidR="00DB4AC9" w:rsidRDefault="00DB4AC9" w:rsidP="00DB4AC9">
                      <w:pPr>
                        <w:textDirection w:val="btLr"/>
                      </w:pPr>
                    </w:p>
                  </w:txbxContent>
                </v:textbox>
                <w10:anchorlock/>
              </v:rect>
            </w:pict>
          </mc:Fallback>
        </mc:AlternateContent>
      </w:r>
    </w:p>
    <w:p w14:paraId="66B1985E" w14:textId="77777777" w:rsidR="00DB4AC9" w:rsidRDefault="00DB4AC9" w:rsidP="00DB4AC9">
      <w:pPr>
        <w:spacing w:after="0"/>
      </w:pPr>
    </w:p>
    <w:p w14:paraId="462F3002" w14:textId="77777777" w:rsidR="00DB4AC9" w:rsidRDefault="00DB4AC9" w:rsidP="00DB4AC9">
      <w:r>
        <w:br w:type="page"/>
      </w:r>
    </w:p>
    <w:p w14:paraId="1B518FC0" w14:textId="77777777" w:rsidR="00DB4AC9" w:rsidRDefault="00DB4AC9" w:rsidP="00DB4AC9">
      <w:pPr>
        <w:spacing w:after="0"/>
      </w:pPr>
    </w:p>
    <w:p w14:paraId="2304761E" w14:textId="77777777" w:rsidR="00DB4AC9" w:rsidRDefault="00DB4AC9" w:rsidP="00DB4AC9">
      <w:pPr>
        <w:keepNext/>
        <w:spacing w:before="240" w:after="60"/>
      </w:pPr>
      <w:bookmarkStart w:id="271" w:name="_2xn8ts7" w:colFirst="0" w:colLast="0"/>
      <w:bookmarkEnd w:id="271"/>
      <w:r>
        <w:rPr>
          <w:rFonts w:ascii="Arial" w:eastAsia="Arial" w:hAnsi="Arial" w:cs="Arial"/>
          <w:b/>
          <w:sz w:val="32"/>
          <w:szCs w:val="32"/>
        </w:rPr>
        <w:t>KEY COUNSELING SESSION FIELD REVIEW</w:t>
      </w:r>
    </w:p>
    <w:p w14:paraId="7D342DAB" w14:textId="77777777" w:rsidR="00DB4AC9" w:rsidRDefault="00DB4AC9" w:rsidP="00DB4AC9">
      <w:pPr>
        <w:spacing w:after="0"/>
      </w:pPr>
    </w:p>
    <w:p w14:paraId="55C8F1FB" w14:textId="77777777" w:rsidR="00DB4AC9" w:rsidRDefault="00DB4AC9" w:rsidP="00DB4AC9">
      <w:pPr>
        <w:spacing w:after="0"/>
      </w:pPr>
      <w:r>
        <w:rPr>
          <w:rFonts w:ascii="Times New Roman" w:eastAsia="Times New Roman" w:hAnsi="Times New Roman" w:cs="Times New Roman"/>
          <w:sz w:val="24"/>
          <w:szCs w:val="24"/>
        </w:rPr>
        <w:t xml:space="preserve">The saved subset list for this section of the procedures can be located by clicking on “Counseling Sessions” on the </w:t>
      </w:r>
      <w:proofErr w:type="gramStart"/>
      <w:r>
        <w:rPr>
          <w:rFonts w:ascii="Times New Roman" w:eastAsia="Times New Roman" w:hAnsi="Times New Roman" w:cs="Times New Roman"/>
          <w:sz w:val="24"/>
          <w:szCs w:val="24"/>
        </w:rPr>
        <w:t>left hand</w:t>
      </w:r>
      <w:proofErr w:type="gramEnd"/>
      <w:r>
        <w:rPr>
          <w:rFonts w:ascii="Times New Roman" w:eastAsia="Times New Roman" w:hAnsi="Times New Roman" w:cs="Times New Roman"/>
          <w:sz w:val="24"/>
          <w:szCs w:val="24"/>
        </w:rPr>
        <w:t xml:space="preserve"> navigation of WebCATS, and selected with the drop down menu under “Counseling Session Views.” You should also ensure that the information under the viewing data (press the “+” sign next to “Viewing Data”) box matches the parameters in the picture below (</w:t>
      </w:r>
      <w:r>
        <w:rPr>
          <w:rFonts w:ascii="Times New Roman" w:eastAsia="Times New Roman" w:hAnsi="Times New Roman" w:cs="Times New Roman"/>
          <w:b/>
          <w:i/>
          <w:sz w:val="24"/>
          <w:szCs w:val="24"/>
        </w:rPr>
        <w:t>adjusting for the current year</w:t>
      </w:r>
      <w:r>
        <w:rPr>
          <w:rFonts w:ascii="Times New Roman" w:eastAsia="Times New Roman" w:hAnsi="Times New Roman" w:cs="Times New Roman"/>
          <w:sz w:val="24"/>
          <w:szCs w:val="24"/>
        </w:rPr>
        <w:t>). Check the “Save as default box” and press the “</w:t>
      </w:r>
      <w:proofErr w:type="spellStart"/>
      <w:r>
        <w:rPr>
          <w:rFonts w:ascii="Times New Roman" w:eastAsia="Times New Roman" w:hAnsi="Times New Roman" w:cs="Times New Roman"/>
          <w:sz w:val="24"/>
          <w:szCs w:val="24"/>
        </w:rPr>
        <w:t>Requery</w:t>
      </w:r>
      <w:proofErr w:type="spellEnd"/>
      <w:r>
        <w:rPr>
          <w:rFonts w:ascii="Times New Roman" w:eastAsia="Times New Roman" w:hAnsi="Times New Roman" w:cs="Times New Roman"/>
          <w:sz w:val="24"/>
          <w:szCs w:val="24"/>
        </w:rPr>
        <w:t xml:space="preserve">” button to ensure all of the relevant results will be visible on this screen when the subsets are </w:t>
      </w:r>
      <w:proofErr w:type="gramStart"/>
      <w:r>
        <w:rPr>
          <w:rFonts w:ascii="Times New Roman" w:eastAsia="Times New Roman" w:hAnsi="Times New Roman" w:cs="Times New Roman"/>
          <w:sz w:val="24"/>
          <w:szCs w:val="24"/>
        </w:rPr>
        <w:t>ran</w:t>
      </w:r>
      <w:proofErr w:type="gramEnd"/>
      <w:r>
        <w:rPr>
          <w:rFonts w:ascii="Times New Roman" w:eastAsia="Times New Roman" w:hAnsi="Times New Roman" w:cs="Times New Roman"/>
          <w:sz w:val="24"/>
          <w:szCs w:val="24"/>
        </w:rPr>
        <w:t xml:space="preserve">. </w:t>
      </w:r>
    </w:p>
    <w:p w14:paraId="18F80393" w14:textId="77777777" w:rsidR="00DB4AC9" w:rsidRDefault="00DB4AC9" w:rsidP="00DB4AC9">
      <w:pPr>
        <w:spacing w:after="0"/>
      </w:pPr>
    </w:p>
    <w:p w14:paraId="7DADECA0" w14:textId="77777777" w:rsidR="00DB4AC9" w:rsidRDefault="00DB4AC9" w:rsidP="00DB4AC9">
      <w:pPr>
        <w:spacing w:after="0"/>
      </w:pPr>
      <w:r>
        <w:rPr>
          <w:noProof/>
        </w:rPr>
        <w:drawing>
          <wp:inline distT="0" distB="0" distL="0" distR="0" wp14:anchorId="11429550" wp14:editId="4266D9A1">
            <wp:extent cx="5734050" cy="2905125"/>
            <wp:effectExtent l="0" t="0" r="0" b="0"/>
            <wp:docPr id="18" name="image37.png" descr="Counseling Sessions"/>
            <wp:cNvGraphicFramePr/>
            <a:graphic xmlns:a="http://schemas.openxmlformats.org/drawingml/2006/main">
              <a:graphicData uri="http://schemas.openxmlformats.org/drawingml/2006/picture">
                <pic:pic xmlns:pic="http://schemas.openxmlformats.org/drawingml/2006/picture">
                  <pic:nvPicPr>
                    <pic:cNvPr id="0" name="image37.png" descr="Counseling Sessions"/>
                    <pic:cNvPicPr preferRelativeResize="0"/>
                  </pic:nvPicPr>
                  <pic:blipFill>
                    <a:blip r:embed="rId37"/>
                    <a:srcRect/>
                    <a:stretch>
                      <a:fillRect/>
                    </a:stretch>
                  </pic:blipFill>
                  <pic:spPr>
                    <a:xfrm>
                      <a:off x="0" y="0"/>
                      <a:ext cx="5734050" cy="2905125"/>
                    </a:xfrm>
                    <a:prstGeom prst="rect">
                      <a:avLst/>
                    </a:prstGeom>
                    <a:ln/>
                  </pic:spPr>
                </pic:pic>
              </a:graphicData>
            </a:graphic>
          </wp:inline>
        </w:drawing>
      </w:r>
    </w:p>
    <w:p w14:paraId="145BA83E" w14:textId="77777777" w:rsidR="00DB4AC9" w:rsidRDefault="00DB4AC9" w:rsidP="00DB4AC9">
      <w:pPr>
        <w:spacing w:after="0"/>
        <w:ind w:left="360"/>
      </w:pPr>
    </w:p>
    <w:p w14:paraId="1B521E94" w14:textId="77777777" w:rsidR="00DB4AC9" w:rsidRDefault="00DB4AC9" w:rsidP="00DB4AC9">
      <w:pPr>
        <w:keepNext/>
        <w:spacing w:before="240" w:after="60"/>
      </w:pPr>
      <w:bookmarkStart w:id="272" w:name="_1csj400" w:colFirst="0" w:colLast="0"/>
      <w:bookmarkEnd w:id="272"/>
      <w:r>
        <w:rPr>
          <w:rFonts w:ascii="Arial" w:eastAsia="Arial" w:hAnsi="Arial" w:cs="Arial"/>
          <w:b/>
          <w:i/>
          <w:sz w:val="28"/>
          <w:szCs w:val="28"/>
        </w:rPr>
        <w:t>1. Funding Source</w:t>
      </w:r>
      <w:r>
        <w:rPr>
          <w:rFonts w:ascii="Arial" w:eastAsia="Arial" w:hAnsi="Arial" w:cs="Arial"/>
          <w:b/>
          <w:i/>
          <w:sz w:val="28"/>
          <w:szCs w:val="28"/>
        </w:rPr>
        <w:br/>
      </w:r>
    </w:p>
    <w:p w14:paraId="386BD541" w14:textId="77777777" w:rsidR="00DB4AC9" w:rsidRDefault="00DB4AC9" w:rsidP="00DB4AC9">
      <w:pPr>
        <w:tabs>
          <w:tab w:val="left" w:pos="360"/>
        </w:tabs>
        <w:spacing w:after="0"/>
        <w:ind w:left="360"/>
      </w:pPr>
      <w:r>
        <w:rPr>
          <w:rFonts w:ascii="Times New Roman" w:eastAsia="Times New Roman" w:hAnsi="Times New Roman" w:cs="Times New Roman"/>
          <w:b/>
          <w:sz w:val="24"/>
          <w:szCs w:val="24"/>
        </w:rPr>
        <w:t>1. Verify Session Funding Source</w:t>
      </w:r>
    </w:p>
    <w:p w14:paraId="1BE0EF04" w14:textId="77777777" w:rsidR="00DB4AC9" w:rsidRDefault="00DB4AC9" w:rsidP="00DB4AC9">
      <w:pPr>
        <w:spacing w:after="0"/>
      </w:pPr>
    </w:p>
    <w:p w14:paraId="1F3E1C1C"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1 Funding Source”</w:t>
      </w:r>
    </w:p>
    <w:p w14:paraId="2CC925BB" w14:textId="77777777" w:rsidR="00DB4AC9" w:rsidRDefault="00DB4AC9" w:rsidP="00DB4AC9">
      <w:pPr>
        <w:spacing w:after="0"/>
        <w:ind w:left="360"/>
      </w:pPr>
    </w:p>
    <w:p w14:paraId="3BB93C51" w14:textId="77777777" w:rsidR="00DB4AC9" w:rsidRDefault="00DB4AC9" w:rsidP="00DB4AC9">
      <w:pPr>
        <w:spacing w:after="0"/>
        <w:ind w:left="360"/>
      </w:pPr>
      <w:r>
        <w:rPr>
          <w:rFonts w:ascii="Times New Roman" w:eastAsia="Times New Roman" w:hAnsi="Times New Roman" w:cs="Times New Roman"/>
          <w:sz w:val="24"/>
          <w:szCs w:val="24"/>
        </w:rPr>
        <w:t xml:space="preserve">Counseling sessions funding source should be “SBA” unless the session qualifies under a predefined category per agreement with the state office (ex. “CED” or “GATE”). Sessions that are not “SBA” will not be reported or be reimbursable with SBDC funds. Carefully check the validity of the results of this subset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ensure that the sessions have the correct funding source. If they are valid, leave as is. If they are not, make changes as necessary. </w:t>
      </w:r>
    </w:p>
    <w:p w14:paraId="4C4BD0E8" w14:textId="77777777" w:rsidR="00DB4AC9" w:rsidRDefault="00DB4AC9" w:rsidP="00DB4AC9">
      <w:pPr>
        <w:spacing w:after="0"/>
        <w:ind w:left="360"/>
      </w:pPr>
    </w:p>
    <w:p w14:paraId="139A3A30" w14:textId="77777777" w:rsidR="00DB4AC9" w:rsidRDefault="00DB4AC9" w:rsidP="00DB4AC9">
      <w:pPr>
        <w:spacing w:after="0"/>
        <w:ind w:left="360"/>
        <w:jc w:val="center"/>
      </w:pPr>
      <w:r>
        <w:rPr>
          <w:noProof/>
        </w:rPr>
        <w:lastRenderedPageBreak/>
        <mc:AlternateContent>
          <mc:Choice Requires="wps">
            <w:drawing>
              <wp:inline distT="0" distB="0" distL="0" distR="0" wp14:anchorId="7EB7DED5" wp14:editId="6EECA06A">
                <wp:extent cx="5651500" cy="508000"/>
                <wp:effectExtent l="0" t="0" r="0" b="0"/>
                <wp:docPr id="54" name="Rectangle 54"/>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14B63755" w14:textId="77777777" w:rsidR="00DB4AC9" w:rsidRDefault="00DB4AC9" w:rsidP="00DB4AC9">
                            <w:pPr>
                              <w:textDirection w:val="btLr"/>
                            </w:pPr>
                            <w:r>
                              <w:t>Default Funding Source, Session Date</w:t>
                            </w:r>
                          </w:p>
                          <w:p w14:paraId="2D757ADE" w14:textId="77777777" w:rsidR="00DB4AC9" w:rsidRDefault="00DB4AC9" w:rsidP="00DB4AC9">
                            <w:pPr>
                              <w:textDirection w:val="btLr"/>
                            </w:pPr>
                            <w:r>
                              <w:t xml:space="preserve">Select All except SBA and CED, date range </w:t>
                            </w:r>
                          </w:p>
                          <w:p w14:paraId="0EF758F7"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7EB7DED5" id="Rectangle 54" o:spid="_x0000_s1065"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DEAHK/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14B63755" w14:textId="77777777" w:rsidR="00DB4AC9" w:rsidRDefault="00DB4AC9" w:rsidP="00DB4AC9">
                      <w:pPr>
                        <w:textDirection w:val="btLr"/>
                      </w:pPr>
                      <w:r>
                        <w:t>Default Funding Source, Session Date</w:t>
                      </w:r>
                    </w:p>
                    <w:p w14:paraId="2D757ADE" w14:textId="77777777" w:rsidR="00DB4AC9" w:rsidRDefault="00DB4AC9" w:rsidP="00DB4AC9">
                      <w:pPr>
                        <w:textDirection w:val="btLr"/>
                      </w:pPr>
                      <w:r>
                        <w:t xml:space="preserve">Select All except SBA and CED, date range </w:t>
                      </w:r>
                    </w:p>
                    <w:p w14:paraId="0EF758F7" w14:textId="77777777" w:rsidR="00DB4AC9" w:rsidRDefault="00DB4AC9" w:rsidP="00DB4AC9">
                      <w:pPr>
                        <w:textDirection w:val="btLr"/>
                      </w:pPr>
                    </w:p>
                  </w:txbxContent>
                </v:textbox>
                <w10:anchorlock/>
              </v:rect>
            </w:pict>
          </mc:Fallback>
        </mc:AlternateContent>
      </w:r>
    </w:p>
    <w:p w14:paraId="1EB6F81D" w14:textId="77777777" w:rsidR="00DB4AC9" w:rsidRDefault="00DB4AC9" w:rsidP="00DB4AC9">
      <w:pPr>
        <w:keepNext/>
        <w:spacing w:before="240" w:after="60"/>
      </w:pPr>
      <w:bookmarkStart w:id="273" w:name="_3ws6mnt" w:colFirst="0" w:colLast="0"/>
      <w:bookmarkEnd w:id="273"/>
      <w:r>
        <w:rPr>
          <w:rFonts w:ascii="Arial" w:eastAsia="Arial" w:hAnsi="Arial" w:cs="Arial"/>
          <w:b/>
          <w:i/>
          <w:sz w:val="28"/>
          <w:szCs w:val="28"/>
        </w:rPr>
        <w:t>2. Session Type</w:t>
      </w:r>
    </w:p>
    <w:p w14:paraId="6C593E9C" w14:textId="77777777" w:rsidR="00DB4AC9" w:rsidRDefault="00DB4AC9" w:rsidP="00DB4AC9">
      <w:pPr>
        <w:spacing w:after="0"/>
      </w:pPr>
    </w:p>
    <w:p w14:paraId="36C3CADA" w14:textId="77777777" w:rsidR="00DB4AC9" w:rsidRDefault="00DB4AC9" w:rsidP="00DB4AC9">
      <w:pPr>
        <w:spacing w:after="0"/>
        <w:ind w:left="360"/>
      </w:pPr>
      <w:r>
        <w:rPr>
          <w:rFonts w:ascii="Times New Roman" w:eastAsia="Times New Roman" w:hAnsi="Times New Roman" w:cs="Times New Roman"/>
          <w:b/>
          <w:sz w:val="24"/>
          <w:szCs w:val="24"/>
        </w:rPr>
        <w:t>2. Verify Session Type</w:t>
      </w:r>
    </w:p>
    <w:p w14:paraId="1049E17E" w14:textId="77777777" w:rsidR="00DB4AC9" w:rsidRDefault="00DB4AC9" w:rsidP="00DB4AC9">
      <w:pPr>
        <w:spacing w:after="0"/>
      </w:pPr>
    </w:p>
    <w:p w14:paraId="7D5C5F82"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2 Session Type”</w:t>
      </w:r>
    </w:p>
    <w:p w14:paraId="5BC8FC08" w14:textId="77777777" w:rsidR="00DB4AC9" w:rsidRDefault="00DB4AC9" w:rsidP="00DB4AC9">
      <w:pPr>
        <w:spacing w:after="0"/>
      </w:pPr>
    </w:p>
    <w:p w14:paraId="487997D9" w14:textId="77777777" w:rsidR="00DB4AC9" w:rsidRDefault="00DB4AC9" w:rsidP="00DB4AC9">
      <w:pPr>
        <w:spacing w:after="0"/>
        <w:ind w:left="360"/>
      </w:pPr>
      <w:r>
        <w:rPr>
          <w:rFonts w:ascii="Times New Roman" w:eastAsia="Times New Roman" w:hAnsi="Times New Roman" w:cs="Times New Roman"/>
          <w:sz w:val="24"/>
          <w:szCs w:val="24"/>
        </w:rPr>
        <w:t>Verify that the sessions listed after running this subset are legitimately administrative or close-out sessions. If the counseling session meets the definitions of consulting, change the session type to “Initial/New” or “Follow-up or Ongoing”.</w:t>
      </w:r>
    </w:p>
    <w:p w14:paraId="7BC32A9B" w14:textId="77777777" w:rsidR="00DB4AC9" w:rsidRDefault="00DB4AC9" w:rsidP="00DB4AC9">
      <w:pPr>
        <w:spacing w:after="0"/>
        <w:ind w:left="360"/>
      </w:pPr>
    </w:p>
    <w:p w14:paraId="09468728" w14:textId="77777777" w:rsidR="00DB4AC9" w:rsidRDefault="00DB4AC9" w:rsidP="00DB4AC9">
      <w:pPr>
        <w:spacing w:after="0"/>
        <w:ind w:left="360"/>
      </w:pPr>
      <w:r>
        <w:rPr>
          <w:noProof/>
        </w:rPr>
        <mc:AlternateContent>
          <mc:Choice Requires="wps">
            <w:drawing>
              <wp:inline distT="0" distB="0" distL="0" distR="0" wp14:anchorId="06D2F946" wp14:editId="66B1A228">
                <wp:extent cx="5651500" cy="508000"/>
                <wp:effectExtent l="0" t="0" r="0" b="0"/>
                <wp:docPr id="55" name="Rectangle 55"/>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600D4659" w14:textId="77777777" w:rsidR="00DB4AC9" w:rsidRDefault="00DB4AC9" w:rsidP="00DB4AC9">
                            <w:pPr>
                              <w:textDirection w:val="btLr"/>
                            </w:pPr>
                            <w:r>
                              <w:t>Session Type, Session Date</w:t>
                            </w:r>
                          </w:p>
                          <w:p w14:paraId="7850B65F" w14:textId="77777777" w:rsidR="00DB4AC9" w:rsidRDefault="00DB4AC9" w:rsidP="00DB4AC9">
                            <w:pPr>
                              <w:textDirection w:val="btLr"/>
                            </w:pPr>
                            <w:r>
                              <w:t>Select Administrative or Closeout, SBA, date range</w:t>
                            </w:r>
                          </w:p>
                          <w:p w14:paraId="4B7145E2"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6D2F946" id="Rectangle 55" o:spid="_x0000_s1066"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n/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TNaNn1rDLo8OyY8abLGZl0UFNk+bskpSuPuT9v6EaNobGAYQaQr3&#10;IY1G7EekBs+lJl7nI5r6fp9Qtyne/Q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A4h+dn/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600D4659" w14:textId="77777777" w:rsidR="00DB4AC9" w:rsidRDefault="00DB4AC9" w:rsidP="00DB4AC9">
                      <w:pPr>
                        <w:textDirection w:val="btLr"/>
                      </w:pPr>
                      <w:r>
                        <w:t>Session Type, Session Date</w:t>
                      </w:r>
                    </w:p>
                    <w:p w14:paraId="7850B65F" w14:textId="77777777" w:rsidR="00DB4AC9" w:rsidRDefault="00DB4AC9" w:rsidP="00DB4AC9">
                      <w:pPr>
                        <w:textDirection w:val="btLr"/>
                      </w:pPr>
                      <w:r>
                        <w:t>Select Administrative or Closeout, SBA, date range</w:t>
                      </w:r>
                    </w:p>
                    <w:p w14:paraId="4B7145E2" w14:textId="77777777" w:rsidR="00DB4AC9" w:rsidRDefault="00DB4AC9" w:rsidP="00DB4AC9">
                      <w:pPr>
                        <w:textDirection w:val="btLr"/>
                      </w:pPr>
                    </w:p>
                  </w:txbxContent>
                </v:textbox>
                <w10:anchorlock/>
              </v:rect>
            </w:pict>
          </mc:Fallback>
        </mc:AlternateContent>
      </w:r>
    </w:p>
    <w:p w14:paraId="71BBACF8" w14:textId="77777777" w:rsidR="00DB4AC9" w:rsidRDefault="00DB4AC9" w:rsidP="00DB4AC9">
      <w:pPr>
        <w:keepNext/>
        <w:spacing w:before="240" w:after="60"/>
      </w:pPr>
      <w:bookmarkStart w:id="274" w:name="_2bxgwvm" w:colFirst="0" w:colLast="0"/>
      <w:bookmarkEnd w:id="274"/>
      <w:r>
        <w:rPr>
          <w:rFonts w:ascii="Arial" w:eastAsia="Arial" w:hAnsi="Arial" w:cs="Arial"/>
          <w:b/>
          <w:i/>
          <w:sz w:val="28"/>
          <w:szCs w:val="28"/>
        </w:rPr>
        <w:t>3. Reportable Status</w:t>
      </w:r>
    </w:p>
    <w:p w14:paraId="47E7A313" w14:textId="77777777" w:rsidR="00DB4AC9" w:rsidRDefault="00DB4AC9" w:rsidP="00DB4AC9">
      <w:pPr>
        <w:spacing w:after="0"/>
        <w:ind w:left="360"/>
      </w:pPr>
    </w:p>
    <w:p w14:paraId="1C67E8D8" w14:textId="77777777" w:rsidR="00DB4AC9" w:rsidRDefault="00DB4AC9" w:rsidP="00DB4AC9">
      <w:pPr>
        <w:spacing w:after="0"/>
        <w:ind w:left="360"/>
      </w:pPr>
      <w:r>
        <w:rPr>
          <w:rFonts w:ascii="Times New Roman" w:eastAsia="Times New Roman" w:hAnsi="Times New Roman" w:cs="Times New Roman"/>
          <w:b/>
          <w:sz w:val="24"/>
          <w:szCs w:val="24"/>
        </w:rPr>
        <w:t>3. Verify Reportable Status</w:t>
      </w:r>
    </w:p>
    <w:p w14:paraId="595C713F" w14:textId="77777777" w:rsidR="00DB4AC9" w:rsidRDefault="00DB4AC9" w:rsidP="00DB4AC9">
      <w:pPr>
        <w:spacing w:after="0"/>
        <w:ind w:left="360"/>
      </w:pPr>
    </w:p>
    <w:p w14:paraId="4A71625E"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3 Reportable Sessions”</w:t>
      </w:r>
    </w:p>
    <w:p w14:paraId="7AD779E0" w14:textId="77777777" w:rsidR="00DB4AC9" w:rsidRDefault="00DB4AC9" w:rsidP="00DB4AC9">
      <w:pPr>
        <w:spacing w:after="0"/>
        <w:ind w:left="360"/>
      </w:pPr>
    </w:p>
    <w:p w14:paraId="376B7C63" w14:textId="77777777" w:rsidR="00DB4AC9" w:rsidRDefault="00DB4AC9" w:rsidP="00DB4AC9">
      <w:pPr>
        <w:spacing w:after="0"/>
        <w:ind w:left="360"/>
      </w:pPr>
      <w:r>
        <w:rPr>
          <w:rFonts w:ascii="Times New Roman" w:eastAsia="Times New Roman" w:hAnsi="Times New Roman" w:cs="Times New Roman"/>
          <w:sz w:val="24"/>
          <w:szCs w:val="24"/>
        </w:rPr>
        <w:t>If counseling sessions meet the definition of consulting, check the “Reportable?” box.</w:t>
      </w:r>
    </w:p>
    <w:p w14:paraId="318FBF1A" w14:textId="77777777" w:rsidR="00DB4AC9" w:rsidRDefault="00DB4AC9" w:rsidP="00DB4AC9">
      <w:pPr>
        <w:spacing w:after="0"/>
      </w:pPr>
    </w:p>
    <w:p w14:paraId="72A319D1" w14:textId="77777777" w:rsidR="00DB4AC9" w:rsidRDefault="00DB4AC9" w:rsidP="00DB4AC9">
      <w:pPr>
        <w:spacing w:after="0"/>
        <w:ind w:left="360"/>
        <w:jc w:val="center"/>
      </w:pPr>
      <w:r>
        <w:rPr>
          <w:noProof/>
        </w:rPr>
        <mc:AlternateContent>
          <mc:Choice Requires="wps">
            <w:drawing>
              <wp:inline distT="0" distB="0" distL="0" distR="0" wp14:anchorId="47A6CD6B" wp14:editId="6523697F">
                <wp:extent cx="5651500" cy="508000"/>
                <wp:effectExtent l="0" t="0" r="0" b="0"/>
                <wp:docPr id="52" name="Rectangle 52"/>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2E2C3D3" w14:textId="77777777" w:rsidR="00DB4AC9" w:rsidRDefault="00DB4AC9" w:rsidP="00DB4AC9">
                            <w:pPr>
                              <w:textDirection w:val="btLr"/>
                            </w:pPr>
                            <w:r>
                              <w:t>Session Type, Funding Source, Reportable?, Session Date</w:t>
                            </w:r>
                          </w:p>
                          <w:p w14:paraId="107F4AB3" w14:textId="77777777" w:rsidR="00DB4AC9" w:rsidRDefault="00DB4AC9" w:rsidP="00DB4AC9">
                            <w:pPr>
                              <w:textDirection w:val="btLr"/>
                            </w:pPr>
                            <w:r>
                              <w:t>Select New/initial and follow-up or ongoing, SBA, Reportable? = uncheck, date range</w:t>
                            </w:r>
                          </w:p>
                          <w:p w14:paraId="7E616EB8"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47A6CD6B" id="Rectangle 52" o:spid="_x0000_s1067"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D+mOSy/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42E2C3D3" w14:textId="77777777" w:rsidR="00DB4AC9" w:rsidRDefault="00DB4AC9" w:rsidP="00DB4AC9">
                      <w:pPr>
                        <w:textDirection w:val="btLr"/>
                      </w:pPr>
                      <w:r>
                        <w:t>Session Type, Funding Source, Reportable?, Session Date</w:t>
                      </w:r>
                    </w:p>
                    <w:p w14:paraId="107F4AB3" w14:textId="77777777" w:rsidR="00DB4AC9" w:rsidRDefault="00DB4AC9" w:rsidP="00DB4AC9">
                      <w:pPr>
                        <w:textDirection w:val="btLr"/>
                      </w:pPr>
                      <w:r>
                        <w:t>Select New/initial and follow-up or ongoing, SBA, Reportable? = uncheck, date range</w:t>
                      </w:r>
                    </w:p>
                    <w:p w14:paraId="7E616EB8" w14:textId="77777777" w:rsidR="00DB4AC9" w:rsidRDefault="00DB4AC9" w:rsidP="00DB4AC9">
                      <w:pPr>
                        <w:textDirection w:val="btLr"/>
                      </w:pPr>
                    </w:p>
                  </w:txbxContent>
                </v:textbox>
                <w10:anchorlock/>
              </v:rect>
            </w:pict>
          </mc:Fallback>
        </mc:AlternateContent>
      </w:r>
    </w:p>
    <w:p w14:paraId="76224ACD" w14:textId="77777777" w:rsidR="00DB4AC9" w:rsidRDefault="00DB4AC9" w:rsidP="00DB4AC9">
      <w:pPr>
        <w:spacing w:after="0"/>
        <w:jc w:val="center"/>
      </w:pPr>
    </w:p>
    <w:p w14:paraId="1C9C9F9F" w14:textId="77777777" w:rsidR="00DB4AC9" w:rsidRDefault="00DB4AC9" w:rsidP="00DB4AC9">
      <w:pPr>
        <w:keepNext/>
        <w:spacing w:before="240" w:after="60"/>
      </w:pPr>
      <w:bookmarkStart w:id="275" w:name="_r2r73f" w:colFirst="0" w:colLast="0"/>
      <w:bookmarkEnd w:id="275"/>
      <w:r>
        <w:rPr>
          <w:rFonts w:ascii="Arial" w:eastAsia="Arial" w:hAnsi="Arial" w:cs="Arial"/>
          <w:b/>
          <w:i/>
          <w:sz w:val="28"/>
          <w:szCs w:val="28"/>
        </w:rPr>
        <w:t>4. SBA Counseling Area</w:t>
      </w:r>
    </w:p>
    <w:p w14:paraId="3FA4680F" w14:textId="77777777" w:rsidR="00DB4AC9" w:rsidRDefault="00DB4AC9" w:rsidP="00DB4AC9">
      <w:pPr>
        <w:spacing w:after="0"/>
      </w:pPr>
    </w:p>
    <w:p w14:paraId="2138E45D" w14:textId="77777777" w:rsidR="00DB4AC9" w:rsidRDefault="00DB4AC9" w:rsidP="00DB4AC9">
      <w:pPr>
        <w:spacing w:after="0"/>
        <w:ind w:left="360"/>
      </w:pPr>
      <w:r>
        <w:rPr>
          <w:rFonts w:ascii="Times New Roman" w:eastAsia="Times New Roman" w:hAnsi="Times New Roman" w:cs="Times New Roman"/>
          <w:b/>
          <w:sz w:val="24"/>
          <w:szCs w:val="24"/>
        </w:rPr>
        <w:t>4. Undefined Counseling Area</w:t>
      </w:r>
    </w:p>
    <w:p w14:paraId="1E9D8041" w14:textId="77777777" w:rsidR="00DB4AC9" w:rsidRDefault="00DB4AC9" w:rsidP="00DB4AC9">
      <w:pPr>
        <w:spacing w:after="0"/>
        <w:ind w:left="360"/>
      </w:pPr>
    </w:p>
    <w:p w14:paraId="1B4E077F"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4 Counseling Area”</w:t>
      </w:r>
    </w:p>
    <w:p w14:paraId="1B824A5D" w14:textId="77777777" w:rsidR="00DB4AC9" w:rsidRDefault="00DB4AC9" w:rsidP="00DB4AC9">
      <w:pPr>
        <w:spacing w:after="0"/>
        <w:ind w:left="360"/>
      </w:pPr>
    </w:p>
    <w:p w14:paraId="706B803D" w14:textId="77777777" w:rsidR="00DB4AC9" w:rsidRDefault="00DB4AC9" w:rsidP="00DB4AC9">
      <w:pPr>
        <w:spacing w:after="0"/>
        <w:ind w:left="360"/>
      </w:pPr>
      <w:r>
        <w:rPr>
          <w:rFonts w:ascii="Times New Roman" w:eastAsia="Times New Roman" w:hAnsi="Times New Roman" w:cs="Times New Roman"/>
          <w:sz w:val="24"/>
          <w:szCs w:val="24"/>
        </w:rPr>
        <w:t xml:space="preserve">Legitimate consulting sessions must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have “Undefined” or “Choose not to respond” as its counseling area. Verify from the consulting notes that the session meets the definitions of consulting. If it does not, the Session Type should be categorized as an “Inquiry Session” (i.e. information transfer) or an “Administrative” session, whichever is most appropriate. If it does, choose the most appropriate counseling area and change accordingly.</w:t>
      </w:r>
    </w:p>
    <w:p w14:paraId="672395AD" w14:textId="77777777" w:rsidR="00DB4AC9" w:rsidRDefault="00DB4AC9" w:rsidP="00DB4AC9">
      <w:pPr>
        <w:spacing w:after="0"/>
        <w:ind w:left="360"/>
      </w:pPr>
    </w:p>
    <w:p w14:paraId="5B31EEE1" w14:textId="77777777" w:rsidR="00DB4AC9" w:rsidRDefault="00DB4AC9" w:rsidP="00DB4AC9">
      <w:pPr>
        <w:spacing w:after="0"/>
        <w:ind w:left="360"/>
        <w:jc w:val="center"/>
      </w:pPr>
      <w:r>
        <w:rPr>
          <w:noProof/>
        </w:rPr>
        <w:lastRenderedPageBreak/>
        <mc:AlternateContent>
          <mc:Choice Requires="wps">
            <w:drawing>
              <wp:inline distT="0" distB="0" distL="0" distR="0" wp14:anchorId="1A930EFF" wp14:editId="16B308A8">
                <wp:extent cx="5651500" cy="508000"/>
                <wp:effectExtent l="0" t="0" r="0" b="0"/>
                <wp:docPr id="53" name="Rectangle 53"/>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388A2C29" w14:textId="77777777" w:rsidR="00DB4AC9" w:rsidRDefault="00DB4AC9" w:rsidP="00DB4AC9">
                            <w:pPr>
                              <w:textDirection w:val="btLr"/>
                            </w:pPr>
                            <w:r>
                              <w:t>Counseling Area, Session Date</w:t>
                            </w:r>
                          </w:p>
                          <w:p w14:paraId="27CCEEE6" w14:textId="77777777" w:rsidR="00DB4AC9" w:rsidRDefault="00DB4AC9" w:rsidP="00DB4AC9">
                            <w:pPr>
                              <w:textDirection w:val="btLr"/>
                            </w:pPr>
                            <w:r>
                              <w:t>Select “Undefined” or “Choose not to respond”, date range</w:t>
                            </w:r>
                          </w:p>
                          <w:p w14:paraId="7BF5A466"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1A930EFF" id="Rectangle 53" o:spid="_x0000_s1068"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pAW/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LCJd/NQadnl0SH7UYIvNvCwqsHnalFWSwt2ftPcnRNPewDCASFO4&#10;D2k0Yj8iNXguNfE6H9HU9/uEuk3x7gc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9b6QFv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388A2C29" w14:textId="77777777" w:rsidR="00DB4AC9" w:rsidRDefault="00DB4AC9" w:rsidP="00DB4AC9">
                      <w:pPr>
                        <w:textDirection w:val="btLr"/>
                      </w:pPr>
                      <w:r>
                        <w:t>Counseling Area, Session Date</w:t>
                      </w:r>
                    </w:p>
                    <w:p w14:paraId="27CCEEE6" w14:textId="77777777" w:rsidR="00DB4AC9" w:rsidRDefault="00DB4AC9" w:rsidP="00DB4AC9">
                      <w:pPr>
                        <w:textDirection w:val="btLr"/>
                      </w:pPr>
                      <w:r>
                        <w:t>Select “Undefined” or “Choose not to respond”, date range</w:t>
                      </w:r>
                    </w:p>
                    <w:p w14:paraId="7BF5A466" w14:textId="77777777" w:rsidR="00DB4AC9" w:rsidRDefault="00DB4AC9" w:rsidP="00DB4AC9">
                      <w:pPr>
                        <w:textDirection w:val="btLr"/>
                      </w:pPr>
                    </w:p>
                  </w:txbxContent>
                </v:textbox>
                <w10:anchorlock/>
              </v:rect>
            </w:pict>
          </mc:Fallback>
        </mc:AlternateContent>
      </w:r>
    </w:p>
    <w:p w14:paraId="25A61032" w14:textId="77777777" w:rsidR="00DB4AC9" w:rsidRDefault="00DB4AC9" w:rsidP="00DB4AC9">
      <w:pPr>
        <w:spacing w:after="0"/>
        <w:ind w:left="360"/>
      </w:pPr>
    </w:p>
    <w:p w14:paraId="6EC81B90" w14:textId="77777777" w:rsidR="00DB4AC9" w:rsidRDefault="00DB4AC9" w:rsidP="00DB4AC9">
      <w:pPr>
        <w:spacing w:after="0"/>
        <w:ind w:left="360"/>
      </w:pPr>
      <w:r>
        <w:rPr>
          <w:rFonts w:ascii="Times New Roman" w:eastAsia="Times New Roman" w:hAnsi="Times New Roman" w:cs="Times New Roman"/>
          <w:sz w:val="24"/>
          <w:szCs w:val="24"/>
        </w:rPr>
        <w:t>Note: Regional centers should perform periodic reviews of all counseling sessions to ensure session notes are being categorized in appropriate SBA counseling areas.</w:t>
      </w:r>
    </w:p>
    <w:p w14:paraId="0DD65582" w14:textId="77777777" w:rsidR="00DB4AC9" w:rsidRDefault="00DB4AC9" w:rsidP="00DB4AC9">
      <w:r>
        <w:br w:type="page"/>
      </w:r>
    </w:p>
    <w:p w14:paraId="729B08CE" w14:textId="77777777" w:rsidR="00DB4AC9" w:rsidRDefault="00DB4AC9" w:rsidP="00DB4AC9">
      <w:pPr>
        <w:keepNext/>
        <w:spacing w:before="240" w:after="60"/>
      </w:pPr>
      <w:bookmarkStart w:id="276" w:name="_3b2epr8" w:colFirst="0" w:colLast="0"/>
      <w:bookmarkEnd w:id="276"/>
      <w:r>
        <w:rPr>
          <w:rFonts w:ascii="Arial" w:eastAsia="Arial" w:hAnsi="Arial" w:cs="Arial"/>
          <w:b/>
          <w:sz w:val="32"/>
          <w:szCs w:val="32"/>
        </w:rPr>
        <w:lastRenderedPageBreak/>
        <w:t>KEY CONFERENCE FIELD REVIEW</w:t>
      </w:r>
    </w:p>
    <w:p w14:paraId="40ADC9F6" w14:textId="77777777" w:rsidR="00DB4AC9" w:rsidRDefault="00DB4AC9" w:rsidP="00DB4AC9">
      <w:pPr>
        <w:spacing w:after="0"/>
      </w:pPr>
    </w:p>
    <w:p w14:paraId="6629B769" w14:textId="77777777" w:rsidR="00DB4AC9" w:rsidRDefault="00DB4AC9" w:rsidP="00DB4AC9">
      <w:pPr>
        <w:spacing w:after="0"/>
      </w:pPr>
      <w:r>
        <w:rPr>
          <w:rFonts w:ascii="Times New Roman" w:eastAsia="Times New Roman" w:hAnsi="Times New Roman" w:cs="Times New Roman"/>
          <w:sz w:val="24"/>
          <w:szCs w:val="24"/>
        </w:rPr>
        <w:t xml:space="preserve">The saved subset list for this section of the procedures can be located by clicking on “Conferences” on the </w:t>
      </w:r>
      <w:proofErr w:type="gramStart"/>
      <w:r>
        <w:rPr>
          <w:rFonts w:ascii="Times New Roman" w:eastAsia="Times New Roman" w:hAnsi="Times New Roman" w:cs="Times New Roman"/>
          <w:sz w:val="24"/>
          <w:szCs w:val="24"/>
        </w:rPr>
        <w:t>left hand</w:t>
      </w:r>
      <w:proofErr w:type="gramEnd"/>
      <w:r>
        <w:rPr>
          <w:rFonts w:ascii="Times New Roman" w:eastAsia="Times New Roman" w:hAnsi="Times New Roman" w:cs="Times New Roman"/>
          <w:sz w:val="24"/>
          <w:szCs w:val="24"/>
        </w:rPr>
        <w:t xml:space="preserve"> navigation of WebCATS, and selected with the drop down menu under “Conference Views.” You should also ensure that the information under the viewing data (press the “+” sign next to “Viewing Data”) box matches the parameters in the picture below (</w:t>
      </w:r>
      <w:r>
        <w:rPr>
          <w:rFonts w:ascii="Times New Roman" w:eastAsia="Times New Roman" w:hAnsi="Times New Roman" w:cs="Times New Roman"/>
          <w:b/>
          <w:i/>
          <w:sz w:val="24"/>
          <w:szCs w:val="24"/>
        </w:rPr>
        <w:t>adjusting for the current year</w:t>
      </w:r>
      <w:r>
        <w:rPr>
          <w:rFonts w:ascii="Times New Roman" w:eastAsia="Times New Roman" w:hAnsi="Times New Roman" w:cs="Times New Roman"/>
          <w:sz w:val="24"/>
          <w:szCs w:val="24"/>
        </w:rPr>
        <w:t>). Check the “Save as default box” and press the “</w:t>
      </w:r>
      <w:proofErr w:type="spellStart"/>
      <w:r>
        <w:rPr>
          <w:rFonts w:ascii="Times New Roman" w:eastAsia="Times New Roman" w:hAnsi="Times New Roman" w:cs="Times New Roman"/>
          <w:sz w:val="24"/>
          <w:szCs w:val="24"/>
        </w:rPr>
        <w:t>Requery</w:t>
      </w:r>
      <w:proofErr w:type="spellEnd"/>
      <w:r>
        <w:rPr>
          <w:rFonts w:ascii="Times New Roman" w:eastAsia="Times New Roman" w:hAnsi="Times New Roman" w:cs="Times New Roman"/>
          <w:sz w:val="24"/>
          <w:szCs w:val="24"/>
        </w:rPr>
        <w:t xml:space="preserve">” button to ensure all of the relevant results will be visible on this screen when the subsets are </w:t>
      </w:r>
      <w:proofErr w:type="gramStart"/>
      <w:r>
        <w:rPr>
          <w:rFonts w:ascii="Times New Roman" w:eastAsia="Times New Roman" w:hAnsi="Times New Roman" w:cs="Times New Roman"/>
          <w:sz w:val="24"/>
          <w:szCs w:val="24"/>
        </w:rPr>
        <w:t>ran</w:t>
      </w:r>
      <w:proofErr w:type="gramEnd"/>
      <w:r>
        <w:rPr>
          <w:rFonts w:ascii="Times New Roman" w:eastAsia="Times New Roman" w:hAnsi="Times New Roman" w:cs="Times New Roman"/>
          <w:sz w:val="24"/>
          <w:szCs w:val="24"/>
        </w:rPr>
        <w:t>.</w:t>
      </w:r>
    </w:p>
    <w:p w14:paraId="696E1733" w14:textId="77777777" w:rsidR="00DB4AC9" w:rsidRDefault="00DB4AC9" w:rsidP="00DB4AC9">
      <w:pPr>
        <w:spacing w:after="0"/>
      </w:pPr>
    </w:p>
    <w:p w14:paraId="3F7CFA7C" w14:textId="77777777" w:rsidR="00DB4AC9" w:rsidRDefault="00DB4AC9" w:rsidP="00DB4AC9">
      <w:pPr>
        <w:spacing w:after="0"/>
      </w:pPr>
      <w:r>
        <w:rPr>
          <w:noProof/>
        </w:rPr>
        <w:drawing>
          <wp:inline distT="0" distB="0" distL="0" distR="0" wp14:anchorId="6D5FDB76" wp14:editId="1173342F">
            <wp:extent cx="5734050" cy="2524125"/>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8"/>
                    <a:srcRect/>
                    <a:stretch>
                      <a:fillRect/>
                    </a:stretch>
                  </pic:blipFill>
                  <pic:spPr>
                    <a:xfrm>
                      <a:off x="0" y="0"/>
                      <a:ext cx="5734050" cy="2524125"/>
                    </a:xfrm>
                    <a:prstGeom prst="rect">
                      <a:avLst/>
                    </a:prstGeom>
                    <a:ln/>
                  </pic:spPr>
                </pic:pic>
              </a:graphicData>
            </a:graphic>
          </wp:inline>
        </w:drawing>
      </w:r>
    </w:p>
    <w:p w14:paraId="38A243A9" w14:textId="77777777" w:rsidR="00DB4AC9" w:rsidRDefault="00DB4AC9" w:rsidP="00DB4AC9">
      <w:pPr>
        <w:spacing w:after="0"/>
      </w:pPr>
    </w:p>
    <w:p w14:paraId="440A715A" w14:textId="77777777" w:rsidR="00DB4AC9" w:rsidRDefault="00DB4AC9" w:rsidP="00DB4AC9">
      <w:pPr>
        <w:keepNext/>
        <w:spacing w:before="240" w:after="60"/>
      </w:pPr>
      <w:bookmarkStart w:id="277" w:name="_1q7ozz1" w:colFirst="0" w:colLast="0"/>
      <w:bookmarkEnd w:id="277"/>
      <w:r>
        <w:rPr>
          <w:rFonts w:ascii="Arial" w:eastAsia="Arial" w:hAnsi="Arial" w:cs="Arial"/>
          <w:b/>
          <w:i/>
          <w:sz w:val="28"/>
          <w:szCs w:val="28"/>
        </w:rPr>
        <w:t>1. Conference Reportable Status</w:t>
      </w:r>
    </w:p>
    <w:p w14:paraId="5FAB640F" w14:textId="77777777" w:rsidR="00DB4AC9" w:rsidRDefault="00DB4AC9" w:rsidP="00DB4AC9">
      <w:pPr>
        <w:spacing w:after="0"/>
      </w:pPr>
    </w:p>
    <w:p w14:paraId="4D2A6F89" w14:textId="77777777" w:rsidR="00DB4AC9" w:rsidRDefault="00DB4AC9" w:rsidP="00DB4AC9">
      <w:pPr>
        <w:spacing w:after="0"/>
        <w:ind w:left="360"/>
      </w:pPr>
      <w:r>
        <w:rPr>
          <w:rFonts w:ascii="Times New Roman" w:eastAsia="Times New Roman" w:hAnsi="Times New Roman" w:cs="Times New Roman"/>
          <w:b/>
          <w:sz w:val="24"/>
          <w:szCs w:val="24"/>
        </w:rPr>
        <w:t>1a. Conference Funding Source</w:t>
      </w:r>
    </w:p>
    <w:p w14:paraId="7005BDAC" w14:textId="77777777" w:rsidR="00DB4AC9" w:rsidRDefault="00DB4AC9" w:rsidP="00DB4AC9">
      <w:pPr>
        <w:spacing w:after="0"/>
      </w:pPr>
    </w:p>
    <w:p w14:paraId="274A66B2"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1a Funding Source”</w:t>
      </w:r>
    </w:p>
    <w:p w14:paraId="6C529433" w14:textId="77777777" w:rsidR="00DB4AC9" w:rsidRDefault="00DB4AC9" w:rsidP="00DB4AC9">
      <w:pPr>
        <w:spacing w:after="0"/>
        <w:ind w:left="360"/>
      </w:pPr>
    </w:p>
    <w:p w14:paraId="370C6B0E" w14:textId="77777777" w:rsidR="00DB4AC9" w:rsidRDefault="00DB4AC9" w:rsidP="00DB4AC9">
      <w:pPr>
        <w:spacing w:after="0"/>
        <w:ind w:left="360"/>
      </w:pPr>
      <w:r>
        <w:rPr>
          <w:rFonts w:ascii="Times New Roman" w:eastAsia="Times New Roman" w:hAnsi="Times New Roman" w:cs="Times New Roman"/>
          <w:sz w:val="24"/>
          <w:szCs w:val="24"/>
        </w:rPr>
        <w:t xml:space="preserve">Conference subjects must note funding source as “SBA” unless center has been given specific guidance by the state office (e.g. “CED” or “GATE”). Exception: Special events such as Small Business Resource Fair workshops that are being credited to a different resource partner will have a different source such as “State Disallowed” as its funding source. Verify that the conferences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this list are allocated to the correct funding source and make changes as necessary.</w:t>
      </w:r>
    </w:p>
    <w:p w14:paraId="7273BBBE" w14:textId="77777777" w:rsidR="00DB4AC9" w:rsidRDefault="00DB4AC9" w:rsidP="00DB4AC9">
      <w:pPr>
        <w:spacing w:after="0"/>
        <w:ind w:left="360"/>
      </w:pPr>
    </w:p>
    <w:p w14:paraId="5CF6690C" w14:textId="77777777" w:rsidR="00DB4AC9" w:rsidRDefault="00DB4AC9" w:rsidP="00DB4AC9">
      <w:pPr>
        <w:spacing w:after="0"/>
        <w:ind w:left="360"/>
      </w:pPr>
      <w:r>
        <w:rPr>
          <w:noProof/>
        </w:rPr>
        <mc:AlternateContent>
          <mc:Choice Requires="wps">
            <w:drawing>
              <wp:inline distT="0" distB="0" distL="0" distR="0" wp14:anchorId="0BA59B5C" wp14:editId="6B45D94F">
                <wp:extent cx="5651500" cy="508000"/>
                <wp:effectExtent l="0" t="0" r="0" b="0"/>
                <wp:docPr id="50" name="Rectangle 50"/>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30EB8150" w14:textId="77777777" w:rsidR="00DB4AC9" w:rsidRDefault="00DB4AC9" w:rsidP="00DB4AC9">
                            <w:pPr>
                              <w:textDirection w:val="btLr"/>
                            </w:pPr>
                            <w:r>
                              <w:t>Funding Source, End Date</w:t>
                            </w:r>
                          </w:p>
                          <w:p w14:paraId="55CC99C0" w14:textId="77777777" w:rsidR="00DB4AC9" w:rsidRDefault="00DB4AC9" w:rsidP="00DB4AC9">
                            <w:pPr>
                              <w:textDirection w:val="btLr"/>
                            </w:pPr>
                            <w:r>
                              <w:t>Select All except SBA and CED, date range</w:t>
                            </w:r>
                          </w:p>
                          <w:p w14:paraId="253343BA"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0BA59B5C" id="Rectangle 50" o:spid="_x0000_s1069"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PD/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XES6+Kk17PLokPyowRabeVlUYPO0Kaskhbs/ae9PiKa9gWEAkaZw&#10;H9JoxH5EavBcauJ1PqKp7/cJdZvi3Q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M6GTw/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30EB8150" w14:textId="77777777" w:rsidR="00DB4AC9" w:rsidRDefault="00DB4AC9" w:rsidP="00DB4AC9">
                      <w:pPr>
                        <w:textDirection w:val="btLr"/>
                      </w:pPr>
                      <w:r>
                        <w:t>Funding Source, End Date</w:t>
                      </w:r>
                    </w:p>
                    <w:p w14:paraId="55CC99C0" w14:textId="77777777" w:rsidR="00DB4AC9" w:rsidRDefault="00DB4AC9" w:rsidP="00DB4AC9">
                      <w:pPr>
                        <w:textDirection w:val="btLr"/>
                      </w:pPr>
                      <w:r>
                        <w:t>Select All except SBA and CED, date range</w:t>
                      </w:r>
                    </w:p>
                    <w:p w14:paraId="253343BA" w14:textId="77777777" w:rsidR="00DB4AC9" w:rsidRDefault="00DB4AC9" w:rsidP="00DB4AC9">
                      <w:pPr>
                        <w:textDirection w:val="btLr"/>
                      </w:pPr>
                    </w:p>
                  </w:txbxContent>
                </v:textbox>
                <w10:anchorlock/>
              </v:rect>
            </w:pict>
          </mc:Fallback>
        </mc:AlternateContent>
      </w:r>
    </w:p>
    <w:p w14:paraId="7428E977" w14:textId="77777777" w:rsidR="00DB4AC9" w:rsidRDefault="00DB4AC9" w:rsidP="00DB4AC9">
      <w:pPr>
        <w:spacing w:after="0"/>
        <w:ind w:left="360"/>
      </w:pPr>
    </w:p>
    <w:p w14:paraId="609180F3" w14:textId="77777777" w:rsidR="00DB4AC9" w:rsidRDefault="00DB4AC9" w:rsidP="00DB4AC9">
      <w:pPr>
        <w:spacing w:after="0"/>
        <w:ind w:left="360"/>
      </w:pPr>
    </w:p>
    <w:p w14:paraId="490CDAE5" w14:textId="77777777" w:rsidR="00DB4AC9" w:rsidRDefault="00DB4AC9" w:rsidP="00DB4AC9">
      <w:pPr>
        <w:spacing w:after="0"/>
        <w:ind w:left="360"/>
      </w:pPr>
    </w:p>
    <w:p w14:paraId="0D365D42" w14:textId="77777777" w:rsidR="00DB4AC9" w:rsidRDefault="00DB4AC9" w:rsidP="00DB4AC9">
      <w:pPr>
        <w:spacing w:after="0"/>
        <w:ind w:left="360"/>
      </w:pPr>
    </w:p>
    <w:p w14:paraId="79A46D30" w14:textId="77777777" w:rsidR="00DB4AC9" w:rsidRDefault="00DB4AC9" w:rsidP="00DB4AC9">
      <w:pPr>
        <w:spacing w:after="0"/>
        <w:ind w:left="360"/>
      </w:pPr>
    </w:p>
    <w:p w14:paraId="33FDBDD4" w14:textId="77777777" w:rsidR="00DB4AC9" w:rsidRDefault="00DB4AC9" w:rsidP="00DB4AC9">
      <w:pPr>
        <w:spacing w:after="0"/>
        <w:ind w:left="360"/>
      </w:pPr>
      <w:r>
        <w:rPr>
          <w:rFonts w:ascii="Times New Roman" w:eastAsia="Times New Roman" w:hAnsi="Times New Roman" w:cs="Times New Roman"/>
          <w:b/>
          <w:sz w:val="24"/>
          <w:szCs w:val="24"/>
        </w:rPr>
        <w:t>1b. Reportable Status</w:t>
      </w:r>
    </w:p>
    <w:p w14:paraId="28683D5E" w14:textId="77777777" w:rsidR="00DB4AC9" w:rsidRDefault="00DB4AC9" w:rsidP="00DB4AC9">
      <w:pPr>
        <w:spacing w:after="0"/>
        <w:ind w:left="360"/>
      </w:pPr>
    </w:p>
    <w:p w14:paraId="42070056"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1b Reportable”</w:t>
      </w:r>
    </w:p>
    <w:p w14:paraId="21A4BE22" w14:textId="77777777" w:rsidR="00DB4AC9" w:rsidRDefault="00DB4AC9" w:rsidP="00DB4AC9">
      <w:pPr>
        <w:spacing w:after="0"/>
        <w:ind w:left="360"/>
      </w:pPr>
    </w:p>
    <w:p w14:paraId="481EDE7D" w14:textId="77777777" w:rsidR="00DB4AC9" w:rsidRDefault="00DB4AC9" w:rsidP="00DB4AC9">
      <w:pPr>
        <w:spacing w:after="0"/>
        <w:ind w:left="360"/>
      </w:pPr>
      <w:r>
        <w:rPr>
          <w:rFonts w:ascii="Times New Roman" w:eastAsia="Times New Roman" w:hAnsi="Times New Roman" w:cs="Times New Roman"/>
          <w:sz w:val="24"/>
          <w:szCs w:val="24"/>
        </w:rPr>
        <w:t>Make changes as necessary. If conference meets the training session criteria, the conference must be reportable.</w:t>
      </w:r>
    </w:p>
    <w:p w14:paraId="634A4DD4" w14:textId="77777777" w:rsidR="00DB4AC9" w:rsidRDefault="00DB4AC9" w:rsidP="00DB4AC9">
      <w:pPr>
        <w:spacing w:after="0"/>
        <w:ind w:left="360"/>
      </w:pPr>
    </w:p>
    <w:p w14:paraId="3498B7DA" w14:textId="77777777" w:rsidR="00DB4AC9" w:rsidRDefault="00DB4AC9" w:rsidP="00DB4AC9">
      <w:pPr>
        <w:spacing w:after="0"/>
        <w:ind w:left="360"/>
      </w:pPr>
      <w:r>
        <w:rPr>
          <w:noProof/>
        </w:rPr>
        <mc:AlternateContent>
          <mc:Choice Requires="wps">
            <w:drawing>
              <wp:inline distT="0" distB="0" distL="0" distR="0" wp14:anchorId="71AE9113" wp14:editId="51007CF6">
                <wp:extent cx="5651500" cy="508000"/>
                <wp:effectExtent l="0" t="0" r="0" b="0"/>
                <wp:docPr id="51" name="Rectangle 51"/>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0C14E05A" w14:textId="77777777" w:rsidR="00DB4AC9" w:rsidRDefault="00DB4AC9" w:rsidP="00DB4AC9">
                            <w:pPr>
                              <w:textDirection w:val="btLr"/>
                            </w:pPr>
                            <w:r>
                              <w:t>Reportable, funding source End Date</w:t>
                            </w:r>
                          </w:p>
                          <w:p w14:paraId="17EF8383" w14:textId="77777777" w:rsidR="00DB4AC9" w:rsidRDefault="00DB4AC9" w:rsidP="00DB4AC9">
                            <w:pPr>
                              <w:textDirection w:val="btLr"/>
                            </w:pPr>
                            <w:r>
                              <w:t>Reportable? = uncheck, SBA, date range</w:t>
                            </w:r>
                          </w:p>
                          <w:p w14:paraId="5A94EF83"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71AE9113" id="Rectangle 51" o:spid="_x0000_s1070"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mF/Q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" strokecolor="#4bacc6" strokeweight="1pt">
                <v:stroke dashstyle="dash"/>
                <v:textbox inset="2.53958mm,1.2694mm,2.53958mm,1.2694mm">
                  <w:txbxContent>
                    <w:p w14:paraId="0C14E05A" w14:textId="77777777" w:rsidR="00DB4AC9" w:rsidRDefault="00DB4AC9" w:rsidP="00DB4AC9">
                      <w:pPr>
                        <w:textDirection w:val="btLr"/>
                      </w:pPr>
                      <w:r>
                        <w:t>Reportable, funding source End Date</w:t>
                      </w:r>
                    </w:p>
                    <w:p w14:paraId="17EF8383" w14:textId="77777777" w:rsidR="00DB4AC9" w:rsidRDefault="00DB4AC9" w:rsidP="00DB4AC9">
                      <w:pPr>
                        <w:textDirection w:val="btLr"/>
                      </w:pPr>
                      <w:r>
                        <w:t>Reportable? = uncheck, SBA, date range</w:t>
                      </w:r>
                    </w:p>
                    <w:p w14:paraId="5A94EF83" w14:textId="77777777" w:rsidR="00DB4AC9" w:rsidRDefault="00DB4AC9" w:rsidP="00DB4AC9">
                      <w:pPr>
                        <w:textDirection w:val="btLr"/>
                      </w:pPr>
                    </w:p>
                  </w:txbxContent>
                </v:textbox>
                <w10:anchorlock/>
              </v:rect>
            </w:pict>
          </mc:Fallback>
        </mc:AlternateContent>
      </w:r>
    </w:p>
    <w:p w14:paraId="61D1E702" w14:textId="77777777" w:rsidR="00DB4AC9" w:rsidRDefault="00DB4AC9" w:rsidP="00DB4AC9">
      <w:pPr>
        <w:spacing w:after="0"/>
        <w:ind w:left="360"/>
      </w:pPr>
    </w:p>
    <w:p w14:paraId="4C981623" w14:textId="77777777" w:rsidR="00DB4AC9" w:rsidRDefault="00DB4AC9" w:rsidP="00DB4AC9">
      <w:pPr>
        <w:spacing w:after="0"/>
        <w:ind w:left="360"/>
      </w:pPr>
      <w:r>
        <w:rPr>
          <w:rFonts w:ascii="Times New Roman" w:eastAsia="Times New Roman" w:hAnsi="Times New Roman" w:cs="Times New Roman"/>
          <w:b/>
          <w:sz w:val="24"/>
          <w:szCs w:val="24"/>
        </w:rPr>
        <w:t>1c. Center Sponsorship</w:t>
      </w:r>
    </w:p>
    <w:p w14:paraId="01961176" w14:textId="77777777" w:rsidR="00DB4AC9" w:rsidRDefault="00DB4AC9" w:rsidP="00DB4AC9">
      <w:pPr>
        <w:spacing w:after="0"/>
        <w:ind w:left="360"/>
      </w:pPr>
    </w:p>
    <w:p w14:paraId="7528A00D"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1c Center Sponsor”</w:t>
      </w:r>
    </w:p>
    <w:p w14:paraId="3290F7CE" w14:textId="77777777" w:rsidR="00DB4AC9" w:rsidRDefault="00DB4AC9" w:rsidP="00DB4AC9">
      <w:pPr>
        <w:spacing w:after="0"/>
        <w:ind w:left="360"/>
      </w:pPr>
    </w:p>
    <w:p w14:paraId="7E7F5A32" w14:textId="77777777" w:rsidR="00DB4AC9" w:rsidRDefault="00DB4AC9" w:rsidP="00DB4AC9">
      <w:pPr>
        <w:spacing w:after="0"/>
        <w:ind w:left="360"/>
      </w:pPr>
      <w:r>
        <w:rPr>
          <w:rFonts w:ascii="Times New Roman" w:eastAsia="Times New Roman" w:hAnsi="Times New Roman" w:cs="Times New Roman"/>
          <w:sz w:val="24"/>
          <w:szCs w:val="24"/>
        </w:rPr>
        <w:t>Make changes as necessary. Conferences must be sponsored (co-sponsored) by regional center.</w:t>
      </w:r>
    </w:p>
    <w:p w14:paraId="76B4317D" w14:textId="77777777" w:rsidR="00DB4AC9" w:rsidRDefault="00DB4AC9" w:rsidP="00DB4AC9">
      <w:pPr>
        <w:spacing w:after="0"/>
      </w:pPr>
    </w:p>
    <w:p w14:paraId="79DB7607" w14:textId="77777777" w:rsidR="00DB4AC9" w:rsidRDefault="00DB4AC9" w:rsidP="00DB4AC9">
      <w:pPr>
        <w:spacing w:after="0"/>
        <w:ind w:left="360"/>
        <w:jc w:val="center"/>
      </w:pPr>
      <w:r>
        <w:rPr>
          <w:noProof/>
        </w:rPr>
        <mc:AlternateContent>
          <mc:Choice Requires="wps">
            <w:drawing>
              <wp:inline distT="0" distB="0" distL="0" distR="0" wp14:anchorId="1AC6DB56" wp14:editId="59D93048">
                <wp:extent cx="5651500" cy="508000"/>
                <wp:effectExtent l="0" t="0" r="0" b="0"/>
                <wp:docPr id="48" name="Rectangle 48"/>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2D607A32" w14:textId="77777777" w:rsidR="00DB4AC9" w:rsidRDefault="00DB4AC9" w:rsidP="00DB4AC9">
                            <w:pPr>
                              <w:textDirection w:val="btLr"/>
                            </w:pPr>
                            <w:r>
                              <w:t>Sponsored By Center?, Funding Source, End Date</w:t>
                            </w:r>
                          </w:p>
                          <w:p w14:paraId="693C8942" w14:textId="77777777" w:rsidR="00DB4AC9" w:rsidRDefault="00DB4AC9" w:rsidP="00DB4AC9">
                            <w:pPr>
                              <w:textDirection w:val="btLr"/>
                            </w:pPr>
                            <w:r>
                              <w:t>Sponsored By Center? = uncheck, SBA, date range</w:t>
                            </w:r>
                          </w:p>
                        </w:txbxContent>
                      </wps:txbx>
                      <wps:bodyPr lIns="91425" tIns="45700" rIns="91425" bIns="45700" anchor="t" anchorCtr="0"/>
                    </wps:wsp>
                  </a:graphicData>
                </a:graphic>
              </wp:inline>
            </w:drawing>
          </mc:Choice>
          <mc:Fallback>
            <w:pict>
              <v:rect w14:anchorId="1AC6DB56" id="Rectangle 48" o:spid="_x0000_s1071"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wpQ/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rCJd/NQadnl0SH7UYIvNvCwqsHnalFWSwt2ftPcnRNPewDCASFO4&#10;D2k0Yj8iNXguNfE6H9HU9/uEuk3x7gc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ZOsKUP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2D607A32" w14:textId="77777777" w:rsidR="00DB4AC9" w:rsidRDefault="00DB4AC9" w:rsidP="00DB4AC9">
                      <w:pPr>
                        <w:textDirection w:val="btLr"/>
                      </w:pPr>
                      <w:r>
                        <w:t>Sponsored By Center?, Funding Source, End Date</w:t>
                      </w:r>
                    </w:p>
                    <w:p w14:paraId="693C8942" w14:textId="77777777" w:rsidR="00DB4AC9" w:rsidRDefault="00DB4AC9" w:rsidP="00DB4AC9">
                      <w:pPr>
                        <w:textDirection w:val="btLr"/>
                      </w:pPr>
                      <w:r>
                        <w:t>Sponsored By Center? = uncheck, SBA, date range</w:t>
                      </w:r>
                    </w:p>
                  </w:txbxContent>
                </v:textbox>
                <w10:anchorlock/>
              </v:rect>
            </w:pict>
          </mc:Fallback>
        </mc:AlternateContent>
      </w:r>
    </w:p>
    <w:p w14:paraId="734BE0DA" w14:textId="77777777" w:rsidR="00DB4AC9" w:rsidRDefault="00DB4AC9" w:rsidP="00DB4AC9">
      <w:pPr>
        <w:spacing w:after="0"/>
        <w:ind w:left="360"/>
      </w:pPr>
    </w:p>
    <w:p w14:paraId="40FE0434" w14:textId="77777777" w:rsidR="00DB4AC9" w:rsidRDefault="00DB4AC9" w:rsidP="00DB4AC9">
      <w:pPr>
        <w:keepNext/>
        <w:spacing w:before="240" w:after="60"/>
      </w:pPr>
      <w:bookmarkStart w:id="278" w:name="_4a7cimu" w:colFirst="0" w:colLast="0"/>
      <w:bookmarkEnd w:id="278"/>
      <w:r>
        <w:rPr>
          <w:rFonts w:ascii="Arial" w:eastAsia="Arial" w:hAnsi="Arial" w:cs="Arial"/>
          <w:b/>
          <w:i/>
          <w:sz w:val="28"/>
          <w:szCs w:val="28"/>
        </w:rPr>
        <w:t>2. Conference Status and Format</w:t>
      </w:r>
    </w:p>
    <w:p w14:paraId="6BF42637" w14:textId="77777777" w:rsidR="00DB4AC9" w:rsidRDefault="00DB4AC9" w:rsidP="00DB4AC9">
      <w:pPr>
        <w:spacing w:after="0"/>
      </w:pPr>
    </w:p>
    <w:p w14:paraId="106AF854" w14:textId="77777777" w:rsidR="00DB4AC9" w:rsidRDefault="00DB4AC9" w:rsidP="00DB4AC9">
      <w:pPr>
        <w:spacing w:after="0"/>
        <w:ind w:left="360"/>
      </w:pPr>
      <w:r>
        <w:rPr>
          <w:rFonts w:ascii="Times New Roman" w:eastAsia="Times New Roman" w:hAnsi="Times New Roman" w:cs="Times New Roman"/>
          <w:b/>
          <w:sz w:val="24"/>
          <w:szCs w:val="24"/>
        </w:rPr>
        <w:t>2a. Cancelled Conference Status</w:t>
      </w:r>
    </w:p>
    <w:p w14:paraId="72C57B2A" w14:textId="77777777" w:rsidR="00DB4AC9" w:rsidRDefault="00DB4AC9" w:rsidP="00DB4AC9">
      <w:pPr>
        <w:spacing w:after="0"/>
        <w:ind w:left="360"/>
      </w:pPr>
    </w:p>
    <w:p w14:paraId="1D12F37F"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2a Conf Cancellation”</w:t>
      </w:r>
    </w:p>
    <w:p w14:paraId="7B13FEB7" w14:textId="77777777" w:rsidR="00DB4AC9" w:rsidRDefault="00DB4AC9" w:rsidP="00DB4AC9">
      <w:pPr>
        <w:spacing w:after="0"/>
        <w:ind w:left="360"/>
      </w:pPr>
    </w:p>
    <w:p w14:paraId="491F996F" w14:textId="77777777" w:rsidR="00DB4AC9" w:rsidRDefault="00DB4AC9" w:rsidP="00DB4AC9">
      <w:pPr>
        <w:spacing w:after="0"/>
        <w:ind w:left="360"/>
      </w:pPr>
      <w:r>
        <w:rPr>
          <w:rFonts w:ascii="Times New Roman" w:eastAsia="Times New Roman" w:hAnsi="Times New Roman" w:cs="Times New Roman"/>
          <w:sz w:val="24"/>
          <w:szCs w:val="24"/>
        </w:rPr>
        <w:t xml:space="preserve">Conference must have had at least one attendee. For conferences that have zero attendees, it is assumed that the conference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cancelled. In such a case the conference status should be changed to “cancelled” or “postponed” whichever is more appropriate. </w:t>
      </w:r>
    </w:p>
    <w:p w14:paraId="5C4E00FA" w14:textId="77777777" w:rsidR="00DB4AC9" w:rsidRDefault="00DB4AC9" w:rsidP="00DB4AC9">
      <w:pPr>
        <w:spacing w:after="0"/>
        <w:ind w:left="360"/>
      </w:pPr>
    </w:p>
    <w:p w14:paraId="378865DD" w14:textId="77777777" w:rsidR="00DB4AC9" w:rsidRDefault="00DB4AC9" w:rsidP="00DB4AC9">
      <w:pPr>
        <w:spacing w:after="0"/>
        <w:ind w:left="360"/>
      </w:pPr>
      <w:r>
        <w:rPr>
          <w:noProof/>
        </w:rPr>
        <mc:AlternateContent>
          <mc:Choice Requires="wps">
            <w:drawing>
              <wp:inline distT="0" distB="0" distL="0" distR="0" wp14:anchorId="7C1E2347" wp14:editId="2B3C54ED">
                <wp:extent cx="5651500" cy="508000"/>
                <wp:effectExtent l="0" t="0" r="0" b="0"/>
                <wp:docPr id="49" name="Rectangle 49"/>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5D850270" w14:textId="77777777" w:rsidR="00DB4AC9" w:rsidRDefault="00DB4AC9" w:rsidP="00DB4AC9">
                            <w:pPr>
                              <w:textDirection w:val="btLr"/>
                            </w:pPr>
                            <w:r>
                              <w:t>Attendees total, Funding Source, Status, End Date</w:t>
                            </w:r>
                          </w:p>
                          <w:p w14:paraId="52BB6D03" w14:textId="77777777" w:rsidR="00DB4AC9" w:rsidRDefault="00DB4AC9" w:rsidP="00DB4AC9">
                            <w:pPr>
                              <w:textDirection w:val="btLr"/>
                            </w:pPr>
                            <w:r>
                              <w:t>0 to 0, SBA, all except Cancelled and postponed, date range</w:t>
                            </w:r>
                          </w:p>
                          <w:p w14:paraId="7B51DC43"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7C1E2347" id="Rectangle 49" o:spid="_x0000_s1072"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70/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TInGT61hl0eH5EcNttjMy6ICm6dNWSUp3P1Je39CNO0NDAOINIX7&#10;kEYj9iNSg+dSE6/zEU19v0+o2xTvfg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vzX70/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5D850270" w14:textId="77777777" w:rsidR="00DB4AC9" w:rsidRDefault="00DB4AC9" w:rsidP="00DB4AC9">
                      <w:pPr>
                        <w:textDirection w:val="btLr"/>
                      </w:pPr>
                      <w:r>
                        <w:t>Attendees total, Funding Source, Status, End Date</w:t>
                      </w:r>
                    </w:p>
                    <w:p w14:paraId="52BB6D03" w14:textId="77777777" w:rsidR="00DB4AC9" w:rsidRDefault="00DB4AC9" w:rsidP="00DB4AC9">
                      <w:pPr>
                        <w:textDirection w:val="btLr"/>
                      </w:pPr>
                      <w:r>
                        <w:t>0 to 0, SBA, all except Cancelled and postponed, date range</w:t>
                      </w:r>
                    </w:p>
                    <w:p w14:paraId="7B51DC43" w14:textId="77777777" w:rsidR="00DB4AC9" w:rsidRDefault="00DB4AC9" w:rsidP="00DB4AC9">
                      <w:pPr>
                        <w:textDirection w:val="btLr"/>
                      </w:pPr>
                    </w:p>
                  </w:txbxContent>
                </v:textbox>
                <w10:anchorlock/>
              </v:rect>
            </w:pict>
          </mc:Fallback>
        </mc:AlternateContent>
      </w:r>
    </w:p>
    <w:p w14:paraId="06B8B079" w14:textId="77777777" w:rsidR="00DB4AC9" w:rsidRDefault="00DB4AC9" w:rsidP="00DB4AC9">
      <w:r>
        <w:br w:type="page"/>
      </w:r>
    </w:p>
    <w:p w14:paraId="7656B59F" w14:textId="77777777" w:rsidR="00DB4AC9" w:rsidRDefault="00DB4AC9" w:rsidP="00DB4AC9">
      <w:pPr>
        <w:spacing w:after="0"/>
        <w:ind w:left="360"/>
      </w:pPr>
      <w:r>
        <w:rPr>
          <w:rFonts w:ascii="Times New Roman" w:eastAsia="Times New Roman" w:hAnsi="Times New Roman" w:cs="Times New Roman"/>
          <w:b/>
          <w:sz w:val="24"/>
          <w:szCs w:val="24"/>
        </w:rPr>
        <w:lastRenderedPageBreak/>
        <w:t>2b. Undefined Training Topic</w:t>
      </w:r>
    </w:p>
    <w:p w14:paraId="77828048" w14:textId="77777777" w:rsidR="00DB4AC9" w:rsidRDefault="00DB4AC9" w:rsidP="00DB4AC9">
      <w:pPr>
        <w:spacing w:after="0"/>
        <w:ind w:left="360"/>
      </w:pPr>
    </w:p>
    <w:p w14:paraId="64803D2B"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2b Training Topic”</w:t>
      </w:r>
    </w:p>
    <w:p w14:paraId="26B793EF" w14:textId="77777777" w:rsidR="00DB4AC9" w:rsidRDefault="00DB4AC9" w:rsidP="00DB4AC9">
      <w:pPr>
        <w:spacing w:after="0"/>
        <w:ind w:left="360"/>
      </w:pPr>
    </w:p>
    <w:p w14:paraId="6BB2EE38" w14:textId="77777777" w:rsidR="00DB4AC9" w:rsidRDefault="00DB4AC9" w:rsidP="00DB4AC9">
      <w:pPr>
        <w:spacing w:after="0"/>
        <w:ind w:left="360"/>
      </w:pPr>
      <w:r>
        <w:rPr>
          <w:rFonts w:ascii="Times New Roman" w:eastAsia="Times New Roman" w:hAnsi="Times New Roman" w:cs="Times New Roman"/>
          <w:sz w:val="24"/>
          <w:szCs w:val="24"/>
        </w:rPr>
        <w:t>Click “Finish” button</w:t>
      </w:r>
    </w:p>
    <w:p w14:paraId="4A69D59A" w14:textId="77777777" w:rsidR="00DB4AC9" w:rsidRDefault="00DB4AC9" w:rsidP="00DB4AC9">
      <w:pPr>
        <w:spacing w:after="0"/>
        <w:ind w:left="360"/>
      </w:pPr>
      <w:r>
        <w:rPr>
          <w:rFonts w:ascii="Times New Roman" w:eastAsia="Times New Roman" w:hAnsi="Times New Roman" w:cs="Times New Roman"/>
          <w:sz w:val="24"/>
          <w:szCs w:val="24"/>
        </w:rPr>
        <w:t>Make changes as necessary. Conference subjects cannot be “Undefined” or “Other” unless center has received other specific direction from the state office.</w:t>
      </w:r>
    </w:p>
    <w:p w14:paraId="59344724" w14:textId="77777777" w:rsidR="00DB4AC9" w:rsidRDefault="00DB4AC9" w:rsidP="00DB4AC9">
      <w:pPr>
        <w:spacing w:after="0"/>
        <w:ind w:left="360"/>
      </w:pPr>
    </w:p>
    <w:p w14:paraId="459A13E2" w14:textId="77777777" w:rsidR="00DB4AC9" w:rsidRDefault="00DB4AC9" w:rsidP="00DB4AC9">
      <w:pPr>
        <w:spacing w:after="0"/>
        <w:ind w:left="360"/>
      </w:pPr>
      <w:r>
        <w:rPr>
          <w:noProof/>
        </w:rPr>
        <mc:AlternateContent>
          <mc:Choice Requires="wps">
            <w:drawing>
              <wp:inline distT="0" distB="0" distL="0" distR="0" wp14:anchorId="4492E4EF" wp14:editId="526580AF">
                <wp:extent cx="5651500" cy="508000"/>
                <wp:effectExtent l="0" t="0" r="0" b="0"/>
                <wp:docPr id="47" name="Rectangle 47"/>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40F96EEC" w14:textId="77777777" w:rsidR="00DB4AC9" w:rsidRDefault="00DB4AC9" w:rsidP="00DB4AC9">
                            <w:pPr>
                              <w:textDirection w:val="btLr"/>
                            </w:pPr>
                            <w:r>
                              <w:t>Primary Training Topic, Funding Source, End Date</w:t>
                            </w:r>
                          </w:p>
                          <w:p w14:paraId="3C211EF7" w14:textId="77777777" w:rsidR="00DB4AC9" w:rsidRDefault="00DB4AC9" w:rsidP="00DB4AC9">
                            <w:pPr>
                              <w:textDirection w:val="btLr"/>
                            </w:pPr>
                            <w:r>
                              <w:t>Select Undefined or Other, SBA, date range</w:t>
                            </w:r>
                          </w:p>
                        </w:txbxContent>
                      </wps:txbx>
                      <wps:bodyPr lIns="91425" tIns="45700" rIns="91425" bIns="45700" anchor="t" anchorCtr="0"/>
                    </wps:wsp>
                  </a:graphicData>
                </a:graphic>
              </wp:inline>
            </w:drawing>
          </mc:Choice>
          <mc:Fallback>
            <w:pict>
              <v:rect w14:anchorId="4492E4EF" id="Rectangle 47" o:spid="_x0000_s1073"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0h/w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XEW6+Kk17PLokPyowRabeVlUYPO0Kaskhbs/ae9PiKa9gWEAkaZw&#10;H9JoxH5EavBcauJ1PqKp7/cJdZvi3Q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qdJ9If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40F96EEC" w14:textId="77777777" w:rsidR="00DB4AC9" w:rsidRDefault="00DB4AC9" w:rsidP="00DB4AC9">
                      <w:pPr>
                        <w:textDirection w:val="btLr"/>
                      </w:pPr>
                      <w:r>
                        <w:t>Primary Training Topic, Funding Source, End Date</w:t>
                      </w:r>
                    </w:p>
                    <w:p w14:paraId="3C211EF7" w14:textId="77777777" w:rsidR="00DB4AC9" w:rsidRDefault="00DB4AC9" w:rsidP="00DB4AC9">
                      <w:pPr>
                        <w:textDirection w:val="btLr"/>
                      </w:pPr>
                      <w:r>
                        <w:t>Select Undefined or Other, SBA, date range</w:t>
                      </w:r>
                    </w:p>
                  </w:txbxContent>
                </v:textbox>
                <w10:anchorlock/>
              </v:rect>
            </w:pict>
          </mc:Fallback>
        </mc:AlternateContent>
      </w:r>
    </w:p>
    <w:p w14:paraId="42F99CD8" w14:textId="77777777" w:rsidR="00DB4AC9" w:rsidRDefault="00DB4AC9" w:rsidP="00DB4AC9">
      <w:pPr>
        <w:spacing w:after="0"/>
        <w:ind w:left="360"/>
      </w:pPr>
    </w:p>
    <w:p w14:paraId="7D02D8D7" w14:textId="77777777" w:rsidR="00DB4AC9" w:rsidRDefault="00DB4AC9" w:rsidP="00DB4AC9">
      <w:pPr>
        <w:spacing w:after="0"/>
        <w:ind w:left="360"/>
      </w:pPr>
      <w:r>
        <w:rPr>
          <w:rFonts w:ascii="Times New Roman" w:eastAsia="Times New Roman" w:hAnsi="Times New Roman" w:cs="Times New Roman"/>
          <w:b/>
          <w:sz w:val="24"/>
          <w:szCs w:val="24"/>
        </w:rPr>
        <w:t>2c. Program Format Discrepancy</w:t>
      </w:r>
    </w:p>
    <w:p w14:paraId="7145B028" w14:textId="77777777" w:rsidR="00DB4AC9" w:rsidRDefault="00DB4AC9" w:rsidP="00DB4AC9">
      <w:pPr>
        <w:spacing w:after="0"/>
        <w:ind w:left="360"/>
      </w:pPr>
    </w:p>
    <w:p w14:paraId="1983D8B5"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2c Program Format”</w:t>
      </w:r>
    </w:p>
    <w:p w14:paraId="721D5A10" w14:textId="77777777" w:rsidR="00DB4AC9" w:rsidRDefault="00DB4AC9" w:rsidP="00DB4AC9">
      <w:pPr>
        <w:spacing w:after="0"/>
        <w:ind w:left="360"/>
      </w:pPr>
    </w:p>
    <w:p w14:paraId="6B150E7F" w14:textId="77777777" w:rsidR="00DB4AC9" w:rsidRDefault="00DB4AC9" w:rsidP="00DB4AC9">
      <w:pPr>
        <w:spacing w:after="0"/>
        <w:ind w:left="360"/>
      </w:pPr>
      <w:r>
        <w:rPr>
          <w:rFonts w:ascii="Times New Roman" w:eastAsia="Times New Roman" w:hAnsi="Times New Roman" w:cs="Times New Roman"/>
          <w:sz w:val="24"/>
          <w:szCs w:val="24"/>
        </w:rPr>
        <w:t xml:space="preserve">Make changes as necessary. Conferences with SBA training topics of “Business Plan” and “Pre-venture Planning” must </w:t>
      </w:r>
      <w:proofErr w:type="gramStart"/>
      <w:r>
        <w:rPr>
          <w:rFonts w:ascii="Times New Roman" w:eastAsia="Times New Roman" w:hAnsi="Times New Roman" w:cs="Times New Roman"/>
          <w:sz w:val="24"/>
          <w:szCs w:val="24"/>
        </w:rPr>
        <w:t>be have</w:t>
      </w:r>
      <w:proofErr w:type="gramEnd"/>
      <w:r>
        <w:rPr>
          <w:rFonts w:ascii="Times New Roman" w:eastAsia="Times New Roman" w:hAnsi="Times New Roman" w:cs="Times New Roman"/>
          <w:sz w:val="24"/>
          <w:szCs w:val="24"/>
        </w:rPr>
        <w:t xml:space="preserve"> a program format of “Pre-venture Workshop”.</w:t>
      </w:r>
    </w:p>
    <w:p w14:paraId="21DA138D" w14:textId="77777777" w:rsidR="00DB4AC9" w:rsidRDefault="00DB4AC9" w:rsidP="00DB4AC9">
      <w:pPr>
        <w:spacing w:after="0"/>
        <w:ind w:left="360"/>
      </w:pPr>
    </w:p>
    <w:p w14:paraId="462CD3FA" w14:textId="77777777" w:rsidR="00DB4AC9" w:rsidRDefault="00DB4AC9" w:rsidP="00DB4AC9">
      <w:pPr>
        <w:spacing w:after="0"/>
        <w:ind w:left="360"/>
      </w:pPr>
      <w:r>
        <w:rPr>
          <w:noProof/>
        </w:rPr>
        <mc:AlternateContent>
          <mc:Choice Requires="wps">
            <w:drawing>
              <wp:inline distT="0" distB="0" distL="0" distR="0" wp14:anchorId="1B06ADF1" wp14:editId="6A4BAD65">
                <wp:extent cx="5651500" cy="660400"/>
                <wp:effectExtent l="0" t="0" r="0" b="0"/>
                <wp:docPr id="45" name="Rectangle 45"/>
                <wp:cNvGraphicFramePr/>
                <a:graphic xmlns:a="http://schemas.openxmlformats.org/drawingml/2006/main">
                  <a:graphicData uri="http://schemas.microsoft.com/office/word/2010/wordprocessingShape">
                    <wps:wsp>
                      <wps:cNvSpPr/>
                      <wps:spPr>
                        <a:xfrm>
                          <a:off x="2524059" y="3451069"/>
                          <a:ext cx="5643879" cy="657859"/>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6A91339C" w14:textId="77777777" w:rsidR="00DB4AC9" w:rsidRDefault="00DB4AC9" w:rsidP="00DB4AC9">
                            <w:pPr>
                              <w:textDirection w:val="btLr"/>
                            </w:pPr>
                            <w:r>
                              <w:t>Primary Training Topic, Program Format, Funding Source, End Date</w:t>
                            </w:r>
                          </w:p>
                          <w:p w14:paraId="5F75DFEE" w14:textId="77777777" w:rsidR="00DB4AC9" w:rsidRDefault="00DB4AC9" w:rsidP="00DB4AC9">
                            <w:pPr>
                              <w:textDirection w:val="btLr"/>
                            </w:pPr>
                            <w:r>
                              <w:t>Select Business Plan and Pre-Business Planning, All except “Pre-business Workshop”, SBA, date range</w:t>
                            </w:r>
                          </w:p>
                        </w:txbxContent>
                      </wps:txbx>
                      <wps:bodyPr lIns="91425" tIns="45700" rIns="91425" bIns="45700" anchor="t" anchorCtr="0"/>
                    </wps:wsp>
                  </a:graphicData>
                </a:graphic>
              </wp:inline>
            </w:drawing>
          </mc:Choice>
          <mc:Fallback>
            <w:pict>
              <v:rect w14:anchorId="1B06ADF1" id="Rectangle 45" o:spid="_x0000_s1074" style="width:445pt;height: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" strokecolor="#4bacc6" strokeweight="1pt">
                <v:stroke dashstyle="dash"/>
                <v:textbox inset="2.53958mm,1.2694mm,2.53958mm,1.2694mm">
                  <w:txbxContent>
                    <w:p w14:paraId="6A91339C" w14:textId="77777777" w:rsidR="00DB4AC9" w:rsidRDefault="00DB4AC9" w:rsidP="00DB4AC9">
                      <w:pPr>
                        <w:textDirection w:val="btLr"/>
                      </w:pPr>
                      <w:r>
                        <w:t>Primary Training Topic, Program Format, Funding Source, End Date</w:t>
                      </w:r>
                    </w:p>
                    <w:p w14:paraId="5F75DFEE" w14:textId="77777777" w:rsidR="00DB4AC9" w:rsidRDefault="00DB4AC9" w:rsidP="00DB4AC9">
                      <w:pPr>
                        <w:textDirection w:val="btLr"/>
                      </w:pPr>
                      <w:r>
                        <w:t>Select Business Plan and Pre-Business Planning, All except “Pre-business Workshop”, SBA, date range</w:t>
                      </w:r>
                    </w:p>
                  </w:txbxContent>
                </v:textbox>
                <w10:anchorlock/>
              </v:rect>
            </w:pict>
          </mc:Fallback>
        </mc:AlternateContent>
      </w:r>
    </w:p>
    <w:p w14:paraId="40CCE9CC" w14:textId="77777777" w:rsidR="00DB4AC9" w:rsidRDefault="00DB4AC9" w:rsidP="00DB4AC9">
      <w:r>
        <w:br w:type="page"/>
      </w:r>
    </w:p>
    <w:p w14:paraId="103217FF" w14:textId="77777777" w:rsidR="00DB4AC9" w:rsidRDefault="00DB4AC9" w:rsidP="00DB4AC9">
      <w:pPr>
        <w:keepNext/>
        <w:spacing w:before="240" w:after="60"/>
      </w:pPr>
      <w:bookmarkStart w:id="279" w:name="_2pcmsun" w:colFirst="0" w:colLast="0"/>
      <w:bookmarkEnd w:id="279"/>
      <w:r>
        <w:rPr>
          <w:rFonts w:ascii="Arial" w:eastAsia="Arial" w:hAnsi="Arial" w:cs="Arial"/>
          <w:b/>
          <w:i/>
          <w:sz w:val="28"/>
          <w:szCs w:val="28"/>
        </w:rPr>
        <w:lastRenderedPageBreak/>
        <w:t>KEY INVESTMENT SESSION FIELD REVIEW</w:t>
      </w:r>
    </w:p>
    <w:p w14:paraId="6CCF3FCA" w14:textId="77777777" w:rsidR="00DB4AC9" w:rsidRDefault="00DB4AC9" w:rsidP="00DB4AC9">
      <w:pPr>
        <w:spacing w:after="0"/>
      </w:pPr>
    </w:p>
    <w:p w14:paraId="65CF2463" w14:textId="77777777" w:rsidR="00DB4AC9" w:rsidRDefault="00DB4AC9" w:rsidP="00DB4AC9">
      <w:pPr>
        <w:spacing w:after="0"/>
      </w:pPr>
      <w:r>
        <w:rPr>
          <w:rFonts w:ascii="Times New Roman" w:eastAsia="Times New Roman" w:hAnsi="Times New Roman" w:cs="Times New Roman"/>
          <w:sz w:val="24"/>
          <w:szCs w:val="24"/>
        </w:rPr>
        <w:t xml:space="preserve">The saved subset list for this section of the procedures can be located by clicking on “Investments” on the </w:t>
      </w:r>
      <w:proofErr w:type="gramStart"/>
      <w:r>
        <w:rPr>
          <w:rFonts w:ascii="Times New Roman" w:eastAsia="Times New Roman" w:hAnsi="Times New Roman" w:cs="Times New Roman"/>
          <w:sz w:val="24"/>
          <w:szCs w:val="24"/>
        </w:rPr>
        <w:t>left hand</w:t>
      </w:r>
      <w:proofErr w:type="gramEnd"/>
      <w:r>
        <w:rPr>
          <w:rFonts w:ascii="Times New Roman" w:eastAsia="Times New Roman" w:hAnsi="Times New Roman" w:cs="Times New Roman"/>
          <w:sz w:val="24"/>
          <w:szCs w:val="24"/>
        </w:rPr>
        <w:t xml:space="preserve"> navigation of WebCATS, and selected with the drop down menu under “Investment Views.” You should also ensure that the information under the viewing data (press the “+” sign next to “Viewing Data”) box matches the parameters in the picture below (</w:t>
      </w:r>
      <w:r>
        <w:rPr>
          <w:rFonts w:ascii="Times New Roman" w:eastAsia="Times New Roman" w:hAnsi="Times New Roman" w:cs="Times New Roman"/>
          <w:b/>
          <w:i/>
          <w:sz w:val="24"/>
          <w:szCs w:val="24"/>
        </w:rPr>
        <w:t>adjusting for the current year</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Check the “Save as default box” and press the “</w:t>
      </w:r>
      <w:proofErr w:type="spellStart"/>
      <w:r>
        <w:rPr>
          <w:rFonts w:ascii="Times New Roman" w:eastAsia="Times New Roman" w:hAnsi="Times New Roman" w:cs="Times New Roman"/>
          <w:sz w:val="24"/>
          <w:szCs w:val="24"/>
        </w:rPr>
        <w:t>Requery</w:t>
      </w:r>
      <w:proofErr w:type="spellEnd"/>
      <w:r>
        <w:rPr>
          <w:rFonts w:ascii="Times New Roman" w:eastAsia="Times New Roman" w:hAnsi="Times New Roman" w:cs="Times New Roman"/>
          <w:sz w:val="24"/>
          <w:szCs w:val="24"/>
        </w:rPr>
        <w:t xml:space="preserve">” button to ensure all of the relevant results will be visible on this screen when the subsets are </w:t>
      </w:r>
      <w:proofErr w:type="gramStart"/>
      <w:r>
        <w:rPr>
          <w:rFonts w:ascii="Times New Roman" w:eastAsia="Times New Roman" w:hAnsi="Times New Roman" w:cs="Times New Roman"/>
          <w:sz w:val="24"/>
          <w:szCs w:val="24"/>
        </w:rPr>
        <w:t>ran</w:t>
      </w:r>
      <w:proofErr w:type="gramEnd"/>
      <w:r>
        <w:rPr>
          <w:rFonts w:ascii="Times New Roman" w:eastAsia="Times New Roman" w:hAnsi="Times New Roman" w:cs="Times New Roman"/>
          <w:sz w:val="24"/>
          <w:szCs w:val="24"/>
        </w:rPr>
        <w:t>.</w:t>
      </w:r>
    </w:p>
    <w:p w14:paraId="56B3DB7B" w14:textId="77777777" w:rsidR="00DB4AC9" w:rsidRDefault="00DB4AC9" w:rsidP="00DB4AC9">
      <w:pPr>
        <w:spacing w:after="0"/>
      </w:pPr>
    </w:p>
    <w:p w14:paraId="4CF7DEA4" w14:textId="77777777" w:rsidR="00DB4AC9" w:rsidRDefault="00DB4AC9" w:rsidP="00DB4AC9">
      <w:pPr>
        <w:spacing w:after="0"/>
      </w:pPr>
      <w:r>
        <w:rPr>
          <w:noProof/>
        </w:rPr>
        <w:drawing>
          <wp:inline distT="0" distB="0" distL="0" distR="0" wp14:anchorId="7447FA64" wp14:editId="085DD474">
            <wp:extent cx="5734050" cy="30575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9"/>
                    <a:srcRect/>
                    <a:stretch>
                      <a:fillRect/>
                    </a:stretch>
                  </pic:blipFill>
                  <pic:spPr>
                    <a:xfrm>
                      <a:off x="0" y="0"/>
                      <a:ext cx="5734050" cy="3057525"/>
                    </a:xfrm>
                    <a:prstGeom prst="rect">
                      <a:avLst/>
                    </a:prstGeom>
                    <a:ln/>
                  </pic:spPr>
                </pic:pic>
              </a:graphicData>
            </a:graphic>
          </wp:inline>
        </w:drawing>
      </w:r>
    </w:p>
    <w:p w14:paraId="5C251510" w14:textId="77777777" w:rsidR="00DB4AC9" w:rsidRDefault="00DB4AC9" w:rsidP="00DB4AC9">
      <w:pPr>
        <w:spacing w:after="0"/>
      </w:pPr>
    </w:p>
    <w:p w14:paraId="15A5FEB3" w14:textId="77777777" w:rsidR="00DB4AC9" w:rsidRDefault="00DB4AC9" w:rsidP="00DB4AC9">
      <w:pPr>
        <w:keepNext/>
        <w:spacing w:before="240" w:after="60"/>
      </w:pPr>
      <w:bookmarkStart w:id="280" w:name="_14hx32g" w:colFirst="0" w:colLast="0"/>
      <w:bookmarkEnd w:id="280"/>
      <w:r>
        <w:rPr>
          <w:rFonts w:ascii="Arial" w:eastAsia="Arial" w:hAnsi="Arial" w:cs="Arial"/>
          <w:b/>
          <w:i/>
          <w:sz w:val="28"/>
          <w:szCs w:val="28"/>
        </w:rPr>
        <w:t>1. Investment Funding Source</w:t>
      </w:r>
    </w:p>
    <w:p w14:paraId="1C28E47C" w14:textId="77777777" w:rsidR="00DB4AC9" w:rsidRDefault="00DB4AC9" w:rsidP="00DB4AC9">
      <w:pPr>
        <w:spacing w:after="0"/>
        <w:ind w:left="360"/>
      </w:pPr>
    </w:p>
    <w:p w14:paraId="67D21926"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1a Funding Source”</w:t>
      </w:r>
    </w:p>
    <w:p w14:paraId="021BB82D" w14:textId="77777777" w:rsidR="00DB4AC9" w:rsidRDefault="00DB4AC9" w:rsidP="00DB4AC9">
      <w:pPr>
        <w:spacing w:after="0"/>
        <w:ind w:left="360"/>
      </w:pPr>
    </w:p>
    <w:p w14:paraId="7C754300" w14:textId="77777777" w:rsidR="00DB4AC9" w:rsidRDefault="00DB4AC9" w:rsidP="00DB4AC9">
      <w:pPr>
        <w:spacing w:after="0"/>
        <w:ind w:left="360"/>
      </w:pPr>
      <w:r>
        <w:rPr>
          <w:rFonts w:ascii="Times New Roman" w:eastAsia="Times New Roman" w:hAnsi="Times New Roman" w:cs="Times New Roman"/>
          <w:sz w:val="24"/>
          <w:szCs w:val="24"/>
        </w:rPr>
        <w:t>Make changes as necessary. If the investment meets the definition of a loan package as defined by state policy, change funding source field to “SBA”.</w:t>
      </w:r>
    </w:p>
    <w:p w14:paraId="39986119" w14:textId="77777777" w:rsidR="00DB4AC9" w:rsidRDefault="00DB4AC9" w:rsidP="00DB4AC9">
      <w:pPr>
        <w:spacing w:after="0"/>
        <w:ind w:left="360"/>
      </w:pPr>
    </w:p>
    <w:p w14:paraId="25D1BD7F" w14:textId="77777777" w:rsidR="00DB4AC9" w:rsidRDefault="00DB4AC9" w:rsidP="00DB4AC9">
      <w:pPr>
        <w:spacing w:after="0"/>
        <w:ind w:left="360"/>
      </w:pPr>
      <w:r>
        <w:rPr>
          <w:noProof/>
        </w:rPr>
        <mc:AlternateContent>
          <mc:Choice Requires="wps">
            <w:drawing>
              <wp:inline distT="0" distB="0" distL="0" distR="0" wp14:anchorId="12AC1F04" wp14:editId="702E8AC2">
                <wp:extent cx="5651500" cy="508000"/>
                <wp:effectExtent l="0" t="0" r="0" b="0"/>
                <wp:docPr id="46" name="Rectangle 46"/>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0C902358" w14:textId="77777777" w:rsidR="00DB4AC9" w:rsidRDefault="00DB4AC9" w:rsidP="00DB4AC9">
                            <w:pPr>
                              <w:textDirection w:val="btLr"/>
                            </w:pPr>
                            <w:r>
                              <w:t>Funding Source, Date Completed</w:t>
                            </w:r>
                          </w:p>
                          <w:p w14:paraId="10A88D7C" w14:textId="77777777" w:rsidR="00DB4AC9" w:rsidRDefault="00DB4AC9" w:rsidP="00DB4AC9">
                            <w:pPr>
                              <w:textDirection w:val="btLr"/>
                            </w:pPr>
                            <w:r>
                              <w:t>Select All except SBA, date range</w:t>
                            </w:r>
                          </w:p>
                        </w:txbxContent>
                      </wps:txbx>
                      <wps:bodyPr lIns="91425" tIns="45700" rIns="91425" bIns="45700" anchor="t" anchorCtr="0"/>
                    </wps:wsp>
                  </a:graphicData>
                </a:graphic>
              </wp:inline>
            </w:drawing>
          </mc:Choice>
          <mc:Fallback>
            <w:pict>
              <v:rect w14:anchorId="12AC1F04" id="Rectangle 46" o:spid="_x0000_s1075"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" strokecolor="#4bacc6" strokeweight="1pt">
                <v:stroke dashstyle="dash"/>
                <v:textbox inset="2.53958mm,1.2694mm,2.53958mm,1.2694mm">
                  <w:txbxContent>
                    <w:p w14:paraId="0C902358" w14:textId="77777777" w:rsidR="00DB4AC9" w:rsidRDefault="00DB4AC9" w:rsidP="00DB4AC9">
                      <w:pPr>
                        <w:textDirection w:val="btLr"/>
                      </w:pPr>
                      <w:r>
                        <w:t>Funding Source, Date Completed</w:t>
                      </w:r>
                    </w:p>
                    <w:p w14:paraId="10A88D7C" w14:textId="77777777" w:rsidR="00DB4AC9" w:rsidRDefault="00DB4AC9" w:rsidP="00DB4AC9">
                      <w:pPr>
                        <w:textDirection w:val="btLr"/>
                      </w:pPr>
                      <w:r>
                        <w:t>Select All except SBA, date range</w:t>
                      </w:r>
                    </w:p>
                  </w:txbxContent>
                </v:textbox>
                <w10:anchorlock/>
              </v:rect>
            </w:pict>
          </mc:Fallback>
        </mc:AlternateContent>
      </w:r>
    </w:p>
    <w:p w14:paraId="7A5F7A90" w14:textId="77777777" w:rsidR="00DB4AC9" w:rsidRDefault="00DB4AC9" w:rsidP="00DB4AC9">
      <w:pPr>
        <w:spacing w:after="0"/>
        <w:ind w:left="360"/>
      </w:pPr>
    </w:p>
    <w:p w14:paraId="3BEDE6D1" w14:textId="77777777" w:rsidR="00DB4AC9" w:rsidRDefault="00DB4AC9" w:rsidP="00DB4AC9">
      <w:pPr>
        <w:spacing w:after="0"/>
        <w:ind w:left="360"/>
      </w:pPr>
    </w:p>
    <w:p w14:paraId="30BCA72F" w14:textId="77777777" w:rsidR="00DB4AC9" w:rsidRDefault="00DB4AC9" w:rsidP="00DB4AC9">
      <w:pPr>
        <w:spacing w:after="0"/>
        <w:ind w:left="360"/>
      </w:pPr>
    </w:p>
    <w:p w14:paraId="506685F2" w14:textId="77777777" w:rsidR="00DB4AC9" w:rsidRDefault="00DB4AC9" w:rsidP="00DB4AC9">
      <w:pPr>
        <w:spacing w:after="0"/>
        <w:ind w:left="360"/>
      </w:pPr>
    </w:p>
    <w:p w14:paraId="082D86E2" w14:textId="77777777" w:rsidR="00DB4AC9" w:rsidRDefault="00DB4AC9" w:rsidP="00DB4AC9">
      <w:pPr>
        <w:spacing w:after="0"/>
        <w:ind w:left="360"/>
      </w:pPr>
    </w:p>
    <w:p w14:paraId="559C4A24" w14:textId="77777777" w:rsidR="00DB4AC9" w:rsidRDefault="00DB4AC9" w:rsidP="00DB4AC9">
      <w:pPr>
        <w:spacing w:after="0"/>
        <w:ind w:left="360"/>
      </w:pPr>
    </w:p>
    <w:p w14:paraId="67D53033" w14:textId="77777777" w:rsidR="00DB4AC9" w:rsidRDefault="00DB4AC9" w:rsidP="00DB4AC9">
      <w:pPr>
        <w:keepNext/>
        <w:spacing w:before="240" w:after="60"/>
      </w:pPr>
      <w:bookmarkStart w:id="281" w:name="_3ohklq9" w:colFirst="0" w:colLast="0"/>
      <w:bookmarkEnd w:id="281"/>
      <w:r>
        <w:rPr>
          <w:rFonts w:ascii="Arial" w:eastAsia="Arial" w:hAnsi="Arial" w:cs="Arial"/>
          <w:b/>
          <w:i/>
          <w:sz w:val="28"/>
          <w:szCs w:val="28"/>
        </w:rPr>
        <w:lastRenderedPageBreak/>
        <w:t>2. Reportable Status</w:t>
      </w:r>
    </w:p>
    <w:p w14:paraId="78A70EA8" w14:textId="77777777" w:rsidR="00DB4AC9" w:rsidRDefault="00DB4AC9" w:rsidP="00DB4AC9">
      <w:pPr>
        <w:spacing w:after="0"/>
        <w:ind w:left="360"/>
      </w:pPr>
    </w:p>
    <w:p w14:paraId="3BEA4615"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2 Reportable?”</w:t>
      </w:r>
    </w:p>
    <w:p w14:paraId="258F61A2" w14:textId="77777777" w:rsidR="00DB4AC9" w:rsidRDefault="00DB4AC9" w:rsidP="00DB4AC9">
      <w:pPr>
        <w:spacing w:after="0"/>
        <w:ind w:left="360"/>
      </w:pPr>
    </w:p>
    <w:p w14:paraId="08A13AB4" w14:textId="77777777" w:rsidR="00DB4AC9" w:rsidRDefault="00DB4AC9" w:rsidP="00DB4AC9">
      <w:pPr>
        <w:spacing w:after="0"/>
        <w:ind w:left="360"/>
      </w:pPr>
      <w:r>
        <w:rPr>
          <w:rFonts w:ascii="Times New Roman" w:eastAsia="Times New Roman" w:hAnsi="Times New Roman" w:cs="Times New Roman"/>
          <w:sz w:val="24"/>
          <w:szCs w:val="24"/>
        </w:rPr>
        <w:t>Make changes as necessary. If the investment meets the definition of a loan package as defined by state policy, check the “Reportable?” checkbox.</w:t>
      </w:r>
    </w:p>
    <w:p w14:paraId="2C55BD5F" w14:textId="77777777" w:rsidR="00DB4AC9" w:rsidRDefault="00DB4AC9" w:rsidP="00DB4AC9">
      <w:pPr>
        <w:spacing w:after="0"/>
        <w:ind w:left="360"/>
      </w:pPr>
    </w:p>
    <w:p w14:paraId="704E9EE7" w14:textId="77777777" w:rsidR="00DB4AC9" w:rsidRDefault="00DB4AC9" w:rsidP="00DB4AC9">
      <w:pPr>
        <w:spacing w:after="0"/>
        <w:ind w:left="360"/>
      </w:pPr>
      <w:r>
        <w:rPr>
          <w:noProof/>
        </w:rPr>
        <mc:AlternateContent>
          <mc:Choice Requires="wps">
            <w:drawing>
              <wp:inline distT="0" distB="0" distL="0" distR="0" wp14:anchorId="448E180E" wp14:editId="1A3DBA5D">
                <wp:extent cx="5651500" cy="508000"/>
                <wp:effectExtent l="0" t="0" r="0" b="0"/>
                <wp:docPr id="43" name="Rectangle 43"/>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53B46B4C" w14:textId="77777777" w:rsidR="00DB4AC9" w:rsidRDefault="00DB4AC9" w:rsidP="00DB4AC9">
                            <w:pPr>
                              <w:textDirection w:val="btLr"/>
                            </w:pPr>
                            <w:r>
                              <w:t>Reportable, Date Completed</w:t>
                            </w:r>
                          </w:p>
                          <w:p w14:paraId="4B851CBF" w14:textId="77777777" w:rsidR="00DB4AC9" w:rsidRDefault="00DB4AC9" w:rsidP="00DB4AC9">
                            <w:pPr>
                              <w:textDirection w:val="btLr"/>
                            </w:pPr>
                            <w:r>
                              <w:t>Uncheck, date range</w:t>
                            </w:r>
                          </w:p>
                        </w:txbxContent>
                      </wps:txbx>
                      <wps:bodyPr lIns="91425" tIns="45700" rIns="91425" bIns="45700" anchor="t" anchorCtr="0"/>
                    </wps:wsp>
                  </a:graphicData>
                </a:graphic>
              </wp:inline>
            </w:drawing>
          </mc:Choice>
          <mc:Fallback>
            <w:pict>
              <v:rect w14:anchorId="448E180E" id="Rectangle 43" o:spid="_x0000_s1076"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Ci4zUV/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53B46B4C" w14:textId="77777777" w:rsidR="00DB4AC9" w:rsidRDefault="00DB4AC9" w:rsidP="00DB4AC9">
                      <w:pPr>
                        <w:textDirection w:val="btLr"/>
                      </w:pPr>
                      <w:r>
                        <w:t>Reportable, Date Completed</w:t>
                      </w:r>
                    </w:p>
                    <w:p w14:paraId="4B851CBF" w14:textId="77777777" w:rsidR="00DB4AC9" w:rsidRDefault="00DB4AC9" w:rsidP="00DB4AC9">
                      <w:pPr>
                        <w:textDirection w:val="btLr"/>
                      </w:pPr>
                      <w:r>
                        <w:t>Uncheck, date range</w:t>
                      </w:r>
                    </w:p>
                  </w:txbxContent>
                </v:textbox>
                <w10:anchorlock/>
              </v:rect>
            </w:pict>
          </mc:Fallback>
        </mc:AlternateContent>
      </w:r>
    </w:p>
    <w:p w14:paraId="1333095E" w14:textId="77777777" w:rsidR="00DB4AC9" w:rsidRDefault="00DB4AC9" w:rsidP="00DB4AC9">
      <w:pPr>
        <w:spacing w:after="0"/>
        <w:ind w:left="360"/>
      </w:pPr>
    </w:p>
    <w:p w14:paraId="27FB21F5" w14:textId="77777777" w:rsidR="00DB4AC9" w:rsidRDefault="00DB4AC9" w:rsidP="00DB4AC9">
      <w:pPr>
        <w:keepNext/>
        <w:spacing w:before="240" w:after="60"/>
      </w:pPr>
      <w:bookmarkStart w:id="282" w:name="_23muvy2" w:colFirst="0" w:colLast="0"/>
      <w:bookmarkEnd w:id="282"/>
      <w:r>
        <w:rPr>
          <w:rFonts w:ascii="Arial" w:eastAsia="Arial" w:hAnsi="Arial" w:cs="Arial"/>
          <w:b/>
          <w:i/>
          <w:sz w:val="28"/>
          <w:szCs w:val="28"/>
        </w:rPr>
        <w:t>3. Completion Status</w:t>
      </w:r>
    </w:p>
    <w:p w14:paraId="6852806E" w14:textId="77777777" w:rsidR="00DB4AC9" w:rsidRDefault="00DB4AC9" w:rsidP="00DB4AC9">
      <w:pPr>
        <w:spacing w:after="0"/>
        <w:ind w:left="360"/>
      </w:pPr>
    </w:p>
    <w:p w14:paraId="4015E04A"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3 Completion Status”</w:t>
      </w:r>
    </w:p>
    <w:p w14:paraId="224A590A" w14:textId="77777777" w:rsidR="00DB4AC9" w:rsidRDefault="00DB4AC9" w:rsidP="00DB4AC9">
      <w:pPr>
        <w:spacing w:after="0"/>
        <w:ind w:left="360"/>
      </w:pPr>
    </w:p>
    <w:p w14:paraId="1946AC87" w14:textId="77777777" w:rsidR="00DB4AC9" w:rsidRDefault="00DB4AC9" w:rsidP="00DB4AC9">
      <w:pPr>
        <w:spacing w:after="0"/>
        <w:ind w:left="360"/>
      </w:pPr>
      <w:r>
        <w:rPr>
          <w:rFonts w:ascii="Times New Roman" w:eastAsia="Times New Roman" w:hAnsi="Times New Roman" w:cs="Times New Roman"/>
          <w:sz w:val="24"/>
          <w:szCs w:val="24"/>
        </w:rPr>
        <w:t xml:space="preserve">Review investments sessions with a status of “In-progress” and verify that the loan has not yet been approved, denied or withdrawn. If there has been a status change, make the necessary update and complete the investment session fields. </w:t>
      </w:r>
    </w:p>
    <w:p w14:paraId="47556CFE" w14:textId="77777777" w:rsidR="00DB4AC9" w:rsidRDefault="00DB4AC9" w:rsidP="00DB4AC9">
      <w:pPr>
        <w:spacing w:after="0"/>
        <w:ind w:left="360"/>
      </w:pPr>
    </w:p>
    <w:p w14:paraId="33431DB9" w14:textId="77777777" w:rsidR="00DB4AC9" w:rsidRDefault="00DB4AC9" w:rsidP="00DB4AC9">
      <w:pPr>
        <w:spacing w:after="0"/>
        <w:ind w:left="360"/>
      </w:pPr>
      <w:r>
        <w:rPr>
          <w:noProof/>
        </w:rPr>
        <mc:AlternateContent>
          <mc:Choice Requires="wps">
            <w:drawing>
              <wp:inline distT="0" distB="0" distL="0" distR="0" wp14:anchorId="4D233D21" wp14:editId="5BECEF6E">
                <wp:extent cx="5651500" cy="508000"/>
                <wp:effectExtent l="0" t="0" r="0" b="0"/>
                <wp:docPr id="44" name="Rectangle 44"/>
                <wp:cNvGraphicFramePr/>
                <a:graphic xmlns:a="http://schemas.openxmlformats.org/drawingml/2006/main">
                  <a:graphicData uri="http://schemas.microsoft.com/office/word/2010/wordprocessingShape">
                    <wps:wsp>
                      <wps:cNvSpPr/>
                      <wps:spPr>
                        <a:xfrm>
                          <a:off x="2524059" y="3530128"/>
                          <a:ext cx="5643879" cy="499744"/>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193F71BB" w14:textId="77777777" w:rsidR="00DB4AC9" w:rsidRDefault="00DB4AC9" w:rsidP="00DB4AC9">
                            <w:pPr>
                              <w:textDirection w:val="btLr"/>
                            </w:pPr>
                            <w:r>
                              <w:t>Completion Status</w:t>
                            </w:r>
                          </w:p>
                          <w:p w14:paraId="31FAE2A9" w14:textId="77777777" w:rsidR="00DB4AC9" w:rsidRDefault="00DB4AC9" w:rsidP="00DB4AC9">
                            <w:pPr>
                              <w:textDirection w:val="btLr"/>
                            </w:pPr>
                            <w:r>
                              <w:t>Select “In progress”</w:t>
                            </w:r>
                          </w:p>
                        </w:txbxContent>
                      </wps:txbx>
                      <wps:bodyPr lIns="91425" tIns="45700" rIns="91425" bIns="45700" anchor="t" anchorCtr="0"/>
                    </wps:wsp>
                  </a:graphicData>
                </a:graphic>
              </wp:inline>
            </w:drawing>
          </mc:Choice>
          <mc:Fallback>
            <w:pict>
              <v:rect w14:anchorId="4D233D21" id="Rectangle 44" o:spid="_x0000_s1077" style="width:445pt;height: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" strokecolor="#4bacc6" strokeweight="1pt">
                <v:stroke dashstyle="dash"/>
                <v:textbox inset="2.53958mm,1.2694mm,2.53958mm,1.2694mm">
                  <w:txbxContent>
                    <w:p w14:paraId="193F71BB" w14:textId="77777777" w:rsidR="00DB4AC9" w:rsidRDefault="00DB4AC9" w:rsidP="00DB4AC9">
                      <w:pPr>
                        <w:textDirection w:val="btLr"/>
                      </w:pPr>
                      <w:r>
                        <w:t>Completion Status</w:t>
                      </w:r>
                    </w:p>
                    <w:p w14:paraId="31FAE2A9" w14:textId="77777777" w:rsidR="00DB4AC9" w:rsidRDefault="00DB4AC9" w:rsidP="00DB4AC9">
                      <w:pPr>
                        <w:textDirection w:val="btLr"/>
                      </w:pPr>
                      <w:r>
                        <w:t>Select “In progress”</w:t>
                      </w:r>
                    </w:p>
                  </w:txbxContent>
                </v:textbox>
                <w10:anchorlock/>
              </v:rect>
            </w:pict>
          </mc:Fallback>
        </mc:AlternateContent>
      </w:r>
    </w:p>
    <w:p w14:paraId="30D806B1" w14:textId="77777777" w:rsidR="00DB4AC9" w:rsidRDefault="00DB4AC9" w:rsidP="00DB4AC9">
      <w:pPr>
        <w:spacing w:after="0"/>
        <w:ind w:left="360"/>
      </w:pPr>
    </w:p>
    <w:p w14:paraId="6A858EE3" w14:textId="77777777" w:rsidR="00DB4AC9" w:rsidRDefault="00DB4AC9" w:rsidP="00DB4AC9">
      <w:pPr>
        <w:keepNext/>
        <w:spacing w:before="240" w:after="60"/>
      </w:pPr>
      <w:bookmarkStart w:id="283" w:name="_is565v" w:colFirst="0" w:colLast="0"/>
      <w:bookmarkEnd w:id="283"/>
      <w:r>
        <w:rPr>
          <w:rFonts w:ascii="Arial" w:eastAsia="Arial" w:hAnsi="Arial" w:cs="Arial"/>
          <w:b/>
          <w:i/>
          <w:sz w:val="28"/>
          <w:szCs w:val="28"/>
        </w:rPr>
        <w:t>4. Investment Type</w:t>
      </w:r>
    </w:p>
    <w:p w14:paraId="20C78B75" w14:textId="77777777" w:rsidR="00DB4AC9" w:rsidRDefault="00DB4AC9" w:rsidP="00DB4AC9">
      <w:pPr>
        <w:spacing w:after="0"/>
        <w:ind w:left="360"/>
      </w:pPr>
    </w:p>
    <w:p w14:paraId="223DDE0C" w14:textId="77777777" w:rsidR="00DB4AC9" w:rsidRDefault="00DB4AC9" w:rsidP="00DB4AC9">
      <w:pPr>
        <w:spacing w:after="0"/>
        <w:ind w:left="360"/>
      </w:pPr>
      <w:r>
        <w:rPr>
          <w:rFonts w:ascii="Times New Roman" w:eastAsia="Times New Roman" w:hAnsi="Times New Roman" w:cs="Times New Roman"/>
          <w:sz w:val="24"/>
          <w:szCs w:val="24"/>
        </w:rPr>
        <w:t>Under the subset list, select “YE2013 4 Investment Type”</w:t>
      </w:r>
    </w:p>
    <w:p w14:paraId="3A7C4455" w14:textId="77777777" w:rsidR="00DB4AC9" w:rsidRDefault="00DB4AC9" w:rsidP="00DB4AC9">
      <w:pPr>
        <w:spacing w:after="0"/>
        <w:ind w:left="360"/>
      </w:pPr>
    </w:p>
    <w:p w14:paraId="4C563FC7" w14:textId="77777777" w:rsidR="00DB4AC9" w:rsidRDefault="00DB4AC9" w:rsidP="00DB4AC9">
      <w:pPr>
        <w:spacing w:after="0"/>
        <w:ind w:left="360"/>
      </w:pPr>
      <w:r>
        <w:rPr>
          <w:rFonts w:ascii="Times New Roman" w:eastAsia="Times New Roman" w:hAnsi="Times New Roman" w:cs="Times New Roman"/>
          <w:sz w:val="24"/>
          <w:szCs w:val="24"/>
        </w:rPr>
        <w:t>Review investment sessions with investment types other than a state defined investment type (e.g. “(C1) Commercial (Bank) Loan (non-SBA)”, etc). Change the investment type to the appropriate state defined type. All state defined investment sessions have a number and letter before the investment type (C1, F1, N1, etc).</w:t>
      </w:r>
    </w:p>
    <w:p w14:paraId="23D99966" w14:textId="77777777" w:rsidR="00DB4AC9" w:rsidRDefault="00DB4AC9" w:rsidP="00DB4AC9">
      <w:pPr>
        <w:spacing w:after="0"/>
        <w:ind w:left="360"/>
      </w:pPr>
    </w:p>
    <w:p w14:paraId="6DDEAB4E" w14:textId="77777777" w:rsidR="00DB4AC9" w:rsidRDefault="00DB4AC9" w:rsidP="00DB4AC9">
      <w:pPr>
        <w:spacing w:after="0"/>
        <w:ind w:left="360"/>
      </w:pPr>
      <w:r>
        <w:rPr>
          <w:noProof/>
        </w:rPr>
        <mc:AlternateContent>
          <mc:Choice Requires="wps">
            <w:drawing>
              <wp:inline distT="0" distB="0" distL="0" distR="0" wp14:anchorId="2BAA4400" wp14:editId="3DFF8333">
                <wp:extent cx="5651500" cy="787400"/>
                <wp:effectExtent l="0" t="0" r="0" b="0"/>
                <wp:docPr id="41" name="Rectangle 41"/>
                <wp:cNvGraphicFramePr/>
                <a:graphic xmlns:a="http://schemas.openxmlformats.org/drawingml/2006/main">
                  <a:graphicData uri="http://schemas.microsoft.com/office/word/2010/wordprocessingShape">
                    <wps:wsp>
                      <wps:cNvSpPr/>
                      <wps:spPr>
                        <a:xfrm>
                          <a:off x="2524059" y="3386617"/>
                          <a:ext cx="5643879" cy="786765"/>
                        </a:xfrm>
                        <a:prstGeom prst="rect">
                          <a:avLst/>
                        </a:prstGeom>
                        <a:solidFill>
                          <a:srgbClr val="FFFFFF"/>
                        </a:solidFill>
                        <a:ln w="12700" cap="flat" cmpd="sng">
                          <a:solidFill>
                            <a:srgbClr val="4BACC6"/>
                          </a:solidFill>
                          <a:prstDash val="dash"/>
                          <a:miter/>
                          <a:headEnd type="none" w="med" len="med"/>
                          <a:tailEnd type="none" w="med" len="med"/>
                        </a:ln>
                      </wps:spPr>
                      <wps:txbx>
                        <w:txbxContent>
                          <w:p w14:paraId="333ECB19" w14:textId="77777777" w:rsidR="00DB4AC9" w:rsidRDefault="00DB4AC9" w:rsidP="00DB4AC9">
                            <w:pPr>
                              <w:textDirection w:val="btLr"/>
                            </w:pPr>
                            <w:r>
                              <w:t>Investment Type, Date Completed</w:t>
                            </w:r>
                          </w:p>
                          <w:p w14:paraId="0B024019" w14:textId="77777777" w:rsidR="00DB4AC9" w:rsidRDefault="00DB4AC9" w:rsidP="00DB4AC9">
                            <w:pPr>
                              <w:textDirection w:val="btLr"/>
                            </w:pPr>
                            <w:r>
                              <w:t>Select Micro-loan and Owner Investment and Undefined and Commercial (Bank) Loan and Other Equity Investment and SBA Loan and Venture Capital and Line of Credit and Other Federal Loan and Stock Investment, date range</w:t>
                            </w:r>
                          </w:p>
                          <w:p w14:paraId="7061BF08" w14:textId="77777777" w:rsidR="00DB4AC9" w:rsidRDefault="00DB4AC9" w:rsidP="00DB4AC9">
                            <w:pPr>
                              <w:textDirection w:val="btLr"/>
                            </w:pPr>
                          </w:p>
                        </w:txbxContent>
                      </wps:txbx>
                      <wps:bodyPr lIns="91425" tIns="45700" rIns="91425" bIns="45700" anchor="t" anchorCtr="0"/>
                    </wps:wsp>
                  </a:graphicData>
                </a:graphic>
              </wp:inline>
            </w:drawing>
          </mc:Choice>
          <mc:Fallback>
            <w:pict>
              <v:rect w14:anchorId="2BAA4400" id="Rectangle 41" o:spid="_x0000_s1078" style="width:445pt;height: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" strokecolor="#4bacc6" strokeweight="1pt">
                <v:stroke dashstyle="dash"/>
                <v:textbox inset="2.53958mm,1.2694mm,2.53958mm,1.2694mm">
                  <w:txbxContent>
                    <w:p w14:paraId="333ECB19" w14:textId="77777777" w:rsidR="00DB4AC9" w:rsidRDefault="00DB4AC9" w:rsidP="00DB4AC9">
                      <w:pPr>
                        <w:textDirection w:val="btLr"/>
                      </w:pPr>
                      <w:r>
                        <w:t>Investment Type, Date Completed</w:t>
                      </w:r>
                    </w:p>
                    <w:p w14:paraId="0B024019" w14:textId="77777777" w:rsidR="00DB4AC9" w:rsidRDefault="00DB4AC9" w:rsidP="00DB4AC9">
                      <w:pPr>
                        <w:textDirection w:val="btLr"/>
                      </w:pPr>
                      <w:r>
                        <w:t>Select Micro-loan and Owner Investment and Undefined and Commercial (Bank) Loan and Other Equity Investment and SBA Loan and Venture Capital and Line of Credit and Other Federal Loan and Stock Investment, date range</w:t>
                      </w:r>
                    </w:p>
                    <w:p w14:paraId="7061BF08" w14:textId="77777777" w:rsidR="00DB4AC9" w:rsidRDefault="00DB4AC9" w:rsidP="00DB4AC9">
                      <w:pPr>
                        <w:textDirection w:val="btLr"/>
                      </w:pPr>
                    </w:p>
                  </w:txbxContent>
                </v:textbox>
                <w10:anchorlock/>
              </v:rect>
            </w:pict>
          </mc:Fallback>
        </mc:AlternateContent>
      </w:r>
    </w:p>
    <w:p w14:paraId="125EB398" w14:textId="77777777" w:rsidR="00DB4AC9" w:rsidRDefault="00DB4AC9" w:rsidP="00DB4AC9">
      <w:pPr>
        <w:spacing w:after="0"/>
      </w:pPr>
    </w:p>
    <w:p w14:paraId="561C8331" w14:textId="77777777" w:rsidR="00DB4AC9" w:rsidRDefault="00DB4AC9" w:rsidP="00DB4AC9">
      <w:pPr>
        <w:spacing w:after="0"/>
      </w:pPr>
      <w:r>
        <w:rPr>
          <w:noProof/>
        </w:rPr>
        <w:lastRenderedPageBreak/>
        <mc:AlternateContent>
          <mc:Choice Requires="wps">
            <w:drawing>
              <wp:inline distT="0" distB="0" distL="0" distR="0" wp14:anchorId="0E591525" wp14:editId="0A8CE936">
                <wp:extent cx="5651500" cy="1701800"/>
                <wp:effectExtent l="0" t="0" r="0" b="0"/>
                <wp:docPr id="42" name="Rectangle 42"/>
                <wp:cNvGraphicFramePr/>
                <a:graphic xmlns:a="http://schemas.openxmlformats.org/drawingml/2006/main">
                  <a:graphicData uri="http://schemas.microsoft.com/office/word/2010/wordprocessingShape">
                    <wps:wsp>
                      <wps:cNvSpPr/>
                      <wps:spPr>
                        <a:xfrm>
                          <a:off x="2524059" y="2933544"/>
                          <a:ext cx="5643879" cy="1692910"/>
                        </a:xfrm>
                        <a:prstGeom prst="rect">
                          <a:avLst/>
                        </a:prstGeom>
                        <a:solidFill>
                          <a:srgbClr val="D8D8D8"/>
                        </a:solidFill>
                        <a:ln w="12700" cap="flat" cmpd="sng">
                          <a:solidFill>
                            <a:srgbClr val="000000"/>
                          </a:solidFill>
                          <a:prstDash val="solid"/>
                          <a:miter/>
                          <a:headEnd type="none" w="med" len="med"/>
                          <a:tailEnd type="none" w="med" len="med"/>
                        </a:ln>
                      </wps:spPr>
                      <wps:txbx>
                        <w:txbxContent>
                          <w:p w14:paraId="6FDA310E" w14:textId="77777777" w:rsidR="00DB4AC9" w:rsidRDefault="00DB4AC9" w:rsidP="00DB4AC9">
                            <w:pPr>
                              <w:spacing w:before="120"/>
                              <w:jc w:val="center"/>
                              <w:textDirection w:val="btLr"/>
                            </w:pPr>
                            <w:r>
                              <w:rPr>
                                <w:b/>
                                <w:sz w:val="28"/>
                              </w:rPr>
                              <w:t>CONGRATULATIONS!</w:t>
                            </w:r>
                            <w:r>
                              <w:rPr>
                                <w:sz w:val="36"/>
                              </w:rPr>
                              <w:br/>
                            </w:r>
                            <w:r>
                              <w:t>You have reached the end of the Year-End and Quarterly Database Clean-up Procedures.</w:t>
                            </w:r>
                          </w:p>
                          <w:p w14:paraId="2098EA09" w14:textId="77777777" w:rsidR="00DB4AC9" w:rsidRDefault="00DB4AC9" w:rsidP="00DB4AC9">
                            <w:pPr>
                              <w:spacing w:before="120"/>
                              <w:textDirection w:val="btLr"/>
                            </w:pPr>
                            <w:r>
                              <w:t>It is encouraged that you go back and run through the procedures once more to ensure that no fields were changed in the clean-up process that might trigger another error.</w:t>
                            </w:r>
                          </w:p>
                          <w:p w14:paraId="2557302A" w14:textId="77777777" w:rsidR="00DB4AC9" w:rsidRDefault="00DB4AC9" w:rsidP="00DB4AC9">
                            <w:pPr>
                              <w:spacing w:before="120"/>
                              <w:textDirection w:val="btLr"/>
                            </w:pPr>
                            <w:r>
                              <w:t>Furthermore, if your region has multiple centers listed in WebCATs you will need to run through this procedure for each, or create replica subsets for your region based on the logic provided.</w:t>
                            </w:r>
                          </w:p>
                        </w:txbxContent>
                      </wps:txbx>
                      <wps:bodyPr lIns="91425" tIns="45700" rIns="91425" bIns="45700" anchor="t" anchorCtr="0"/>
                    </wps:wsp>
                  </a:graphicData>
                </a:graphic>
              </wp:inline>
            </w:drawing>
          </mc:Choice>
          <mc:Fallback>
            <w:pict>
              <v:rect w14:anchorId="0E591525" id="Rectangle 42" o:spid="_x0000_s1079" style="width:44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" fillcolor="#d8d8d8" strokeweight="1pt">
                <v:textbox inset="2.53958mm,1.2694mm,2.53958mm,1.2694mm">
                  <w:txbxContent>
                    <w:p w14:paraId="6FDA310E" w14:textId="77777777" w:rsidR="00DB4AC9" w:rsidRDefault="00DB4AC9" w:rsidP="00DB4AC9">
                      <w:pPr>
                        <w:spacing w:before="120"/>
                        <w:jc w:val="center"/>
                        <w:textDirection w:val="btLr"/>
                      </w:pPr>
                      <w:r>
                        <w:rPr>
                          <w:b/>
                          <w:sz w:val="28"/>
                        </w:rPr>
                        <w:t>CONGRATULATIONS!</w:t>
                      </w:r>
                      <w:r>
                        <w:rPr>
                          <w:sz w:val="36"/>
                        </w:rPr>
                        <w:br/>
                      </w:r>
                      <w:r>
                        <w:t>You have reached the end of the Year-End and Quarterly Database Clean-up Procedures.</w:t>
                      </w:r>
                    </w:p>
                    <w:p w14:paraId="2098EA09" w14:textId="77777777" w:rsidR="00DB4AC9" w:rsidRDefault="00DB4AC9" w:rsidP="00DB4AC9">
                      <w:pPr>
                        <w:spacing w:before="120"/>
                        <w:textDirection w:val="btLr"/>
                      </w:pPr>
                      <w:r>
                        <w:t>It is encouraged that you go back and run through the procedures once more to ensure that no fields were changed in the clean-up process that might trigger another error.</w:t>
                      </w:r>
                    </w:p>
                    <w:p w14:paraId="2557302A" w14:textId="77777777" w:rsidR="00DB4AC9" w:rsidRDefault="00DB4AC9" w:rsidP="00DB4AC9">
                      <w:pPr>
                        <w:spacing w:before="120"/>
                        <w:textDirection w:val="btLr"/>
                      </w:pPr>
                      <w:r>
                        <w:t>Furthermore, if your region has multiple centers listed in WebCATs you will need to run through this procedure for each, or create replica subsets for your region based on the logic provided.</w:t>
                      </w:r>
                    </w:p>
                  </w:txbxContent>
                </v:textbox>
                <w10:anchorlock/>
              </v:rect>
            </w:pict>
          </mc:Fallback>
        </mc:AlternateContent>
      </w:r>
    </w:p>
    <w:p w14:paraId="1EE1D8C0" w14:textId="77777777" w:rsidR="00DB4AC9" w:rsidRDefault="00DB4AC9" w:rsidP="00DB4AC9">
      <w:pPr>
        <w:spacing w:after="180" w:line="274" w:lineRule="auto"/>
      </w:pPr>
    </w:p>
    <w:p w14:paraId="59451172" w14:textId="77777777" w:rsidR="00DB4AC9" w:rsidRDefault="00DB4AC9" w:rsidP="00DB4AC9">
      <w:r>
        <w:br w:type="page"/>
      </w:r>
    </w:p>
    <w:p w14:paraId="49BB1822" w14:textId="77777777" w:rsidR="00DB4AC9" w:rsidRDefault="00DB4AC9" w:rsidP="00DB4AC9">
      <w:pPr>
        <w:spacing w:after="0"/>
      </w:pPr>
    </w:p>
    <w:p w14:paraId="2999A266" w14:textId="77777777" w:rsidR="00DB4AC9" w:rsidRDefault="00DB4AC9" w:rsidP="00DB4AC9">
      <w:pPr>
        <w:spacing w:after="0"/>
      </w:pPr>
    </w:p>
    <w:p w14:paraId="05F7F8ED" w14:textId="77777777" w:rsidR="00DB4AC9" w:rsidRDefault="00DB4AC9" w:rsidP="00DB4AC9">
      <w:pPr>
        <w:pStyle w:val="Heading1"/>
      </w:pPr>
      <w:bookmarkStart w:id="284" w:name="_32rsoto" w:colFirst="0" w:colLast="0"/>
      <w:bookmarkEnd w:id="284"/>
      <w:r>
        <w:t>Electronic Bibliography</w:t>
      </w:r>
    </w:p>
    <w:p w14:paraId="151555B8" w14:textId="77777777" w:rsidR="00DB4AC9" w:rsidRDefault="00DB4AC9" w:rsidP="00DB4AC9"/>
    <w:p w14:paraId="6E864178" w14:textId="77777777" w:rsidR="00DB4AC9" w:rsidRDefault="00DB4AC9" w:rsidP="00DB4AC9">
      <w:r>
        <w:t>This Bibliography will list the abbreviated URL used to make access to an electronic reference easier, and the corresponding long URL.</w:t>
      </w:r>
    </w:p>
    <w:p w14:paraId="2F8A7954" w14:textId="77777777" w:rsidR="00DB4AC9" w:rsidRDefault="00DB4AC9" w:rsidP="00DB4AC9"/>
    <w:tbl>
      <w:tblPr>
        <w:tblW w:w="93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36"/>
        <w:gridCol w:w="2922"/>
        <w:gridCol w:w="2250"/>
        <w:gridCol w:w="3870"/>
      </w:tblGrid>
      <w:tr w:rsidR="00DB4AC9" w14:paraId="6AF1204F" w14:textId="77777777" w:rsidTr="00AD6AC8">
        <w:tc>
          <w:tcPr>
            <w:tcW w:w="336" w:type="dxa"/>
          </w:tcPr>
          <w:p w14:paraId="6E5D522C" w14:textId="77777777" w:rsidR="00DB4AC9" w:rsidRDefault="00DB4AC9" w:rsidP="00AD6AC8">
            <w:r>
              <w:t>#</w:t>
            </w:r>
          </w:p>
        </w:tc>
        <w:tc>
          <w:tcPr>
            <w:tcW w:w="2922" w:type="dxa"/>
          </w:tcPr>
          <w:p w14:paraId="0D2646D7" w14:textId="77777777" w:rsidR="00DB4AC9" w:rsidRDefault="00DB4AC9" w:rsidP="00AD6AC8">
            <w:r>
              <w:t>Description</w:t>
            </w:r>
          </w:p>
        </w:tc>
        <w:tc>
          <w:tcPr>
            <w:tcW w:w="2250" w:type="dxa"/>
          </w:tcPr>
          <w:p w14:paraId="10786C77" w14:textId="77777777" w:rsidR="00DB4AC9" w:rsidRDefault="00DB4AC9" w:rsidP="00AD6AC8">
            <w:r>
              <w:t>Short URL</w:t>
            </w:r>
          </w:p>
        </w:tc>
        <w:tc>
          <w:tcPr>
            <w:tcW w:w="3870" w:type="dxa"/>
          </w:tcPr>
          <w:p w14:paraId="76E5DA35" w14:textId="77777777" w:rsidR="00DB4AC9" w:rsidRDefault="00DB4AC9" w:rsidP="00AD6AC8">
            <w:r>
              <w:t>Long URL</w:t>
            </w:r>
          </w:p>
        </w:tc>
      </w:tr>
      <w:tr w:rsidR="00DB4AC9" w14:paraId="7417951C" w14:textId="77777777" w:rsidTr="00AD6AC8">
        <w:tc>
          <w:tcPr>
            <w:tcW w:w="336" w:type="dxa"/>
          </w:tcPr>
          <w:p w14:paraId="3F7156AF" w14:textId="77777777" w:rsidR="00DB4AC9" w:rsidRDefault="00DB4AC9" w:rsidP="00AD6AC8">
            <w:r>
              <w:t>1</w:t>
            </w:r>
          </w:p>
        </w:tc>
        <w:tc>
          <w:tcPr>
            <w:tcW w:w="2922" w:type="dxa"/>
          </w:tcPr>
          <w:p w14:paraId="7A174546" w14:textId="77777777" w:rsidR="00DB4AC9" w:rsidRDefault="00DB4AC9" w:rsidP="00AD6AC8">
            <w:r>
              <w:t xml:space="preserve">P.L. 96-302 (1980), codified as 15 United States Code §648 </w:t>
            </w:r>
            <w:r>
              <w:rPr>
                <w:i/>
              </w:rPr>
              <w:t>et seq</w:t>
            </w:r>
            <w:r>
              <w:t xml:space="preserve">. </w:t>
            </w:r>
          </w:p>
        </w:tc>
        <w:tc>
          <w:tcPr>
            <w:tcW w:w="2250" w:type="dxa"/>
          </w:tcPr>
          <w:p w14:paraId="69C97621" w14:textId="77777777" w:rsidR="00DB4AC9" w:rsidRDefault="00DB4AC9" w:rsidP="00AD6AC8">
            <w:bookmarkStart w:id="285" w:name="_1hx2z1h" w:colFirst="0" w:colLast="0"/>
            <w:bookmarkEnd w:id="285"/>
            <w:r>
              <w:t>http://bit.ly/bTG3ee</w:t>
            </w:r>
          </w:p>
        </w:tc>
        <w:tc>
          <w:tcPr>
            <w:tcW w:w="3870" w:type="dxa"/>
          </w:tcPr>
          <w:p w14:paraId="70C5B8CF" w14:textId="77777777" w:rsidR="00DB4AC9" w:rsidRDefault="00DB4AC9" w:rsidP="00AD6AC8">
            <w:r>
              <w:t>http://www.law.cornell.edu/</w:t>
            </w:r>
          </w:p>
          <w:p w14:paraId="6C4FE1D2" w14:textId="77777777" w:rsidR="00DB4AC9" w:rsidRDefault="00DB4AC9" w:rsidP="00AD6AC8">
            <w:proofErr w:type="spellStart"/>
            <w:r>
              <w:t>uscode</w:t>
            </w:r>
            <w:proofErr w:type="spellEnd"/>
            <w:r>
              <w:t>/html/uscode15/</w:t>
            </w:r>
          </w:p>
          <w:p w14:paraId="4F97229C" w14:textId="77777777" w:rsidR="00DB4AC9" w:rsidRDefault="00DB4AC9" w:rsidP="00AD6AC8">
            <w:r>
              <w:t>usc_sec_15_00000648----000-.html</w:t>
            </w:r>
          </w:p>
        </w:tc>
      </w:tr>
      <w:tr w:rsidR="00DB4AC9" w14:paraId="1CC1A904" w14:textId="77777777" w:rsidTr="00AD6AC8">
        <w:tc>
          <w:tcPr>
            <w:tcW w:w="336" w:type="dxa"/>
          </w:tcPr>
          <w:p w14:paraId="47C0363A" w14:textId="77777777" w:rsidR="00DB4AC9" w:rsidRDefault="00DB4AC9" w:rsidP="00AD6AC8">
            <w:r>
              <w:t>2</w:t>
            </w:r>
          </w:p>
        </w:tc>
        <w:tc>
          <w:tcPr>
            <w:tcW w:w="2922" w:type="dxa"/>
          </w:tcPr>
          <w:p w14:paraId="33ED2E01" w14:textId="77777777" w:rsidR="00DB4AC9" w:rsidRDefault="00DB4AC9" w:rsidP="00AD6AC8">
            <w:r>
              <w:t xml:space="preserve">13 C.F.R. §130 </w:t>
            </w:r>
            <w:r>
              <w:rPr>
                <w:i/>
              </w:rPr>
              <w:t>et seq</w:t>
            </w:r>
            <w:r>
              <w:t>.</w:t>
            </w:r>
          </w:p>
        </w:tc>
        <w:tc>
          <w:tcPr>
            <w:tcW w:w="2250" w:type="dxa"/>
          </w:tcPr>
          <w:p w14:paraId="2D0ABB86" w14:textId="77777777" w:rsidR="00DB4AC9" w:rsidRDefault="00DB4AC9" w:rsidP="00AD6AC8">
            <w:bookmarkStart w:id="286" w:name="_41wqhpa" w:colFirst="0" w:colLast="0"/>
            <w:bookmarkEnd w:id="286"/>
            <w:r>
              <w:t>http://bit.ly/aAdkZM</w:t>
            </w:r>
          </w:p>
        </w:tc>
        <w:tc>
          <w:tcPr>
            <w:tcW w:w="3870" w:type="dxa"/>
          </w:tcPr>
          <w:p w14:paraId="0FC8D162" w14:textId="77777777" w:rsidR="00DB4AC9" w:rsidRDefault="00DB4AC9" w:rsidP="00AD6AC8">
            <w:r>
              <w:t>http://edocket.access.gpo.gov/</w:t>
            </w:r>
          </w:p>
          <w:p w14:paraId="26155DF1" w14:textId="77777777" w:rsidR="00DB4AC9" w:rsidRDefault="00DB4AC9" w:rsidP="00AD6AC8">
            <w:r>
              <w:t>cfr_2009/</w:t>
            </w:r>
            <w:proofErr w:type="spellStart"/>
            <w:r>
              <w:t>janqtr</w:t>
            </w:r>
            <w:proofErr w:type="spellEnd"/>
            <w:r>
              <w:t>/pdf/13cfr130.110.pdf</w:t>
            </w:r>
          </w:p>
        </w:tc>
      </w:tr>
      <w:tr w:rsidR="00DB4AC9" w14:paraId="315AF6C7" w14:textId="77777777" w:rsidTr="00AD6AC8">
        <w:tc>
          <w:tcPr>
            <w:tcW w:w="336" w:type="dxa"/>
          </w:tcPr>
          <w:p w14:paraId="4C7DB659" w14:textId="77777777" w:rsidR="00DB4AC9" w:rsidRDefault="00DB4AC9" w:rsidP="00AD6AC8">
            <w:r>
              <w:t>3</w:t>
            </w:r>
          </w:p>
        </w:tc>
        <w:tc>
          <w:tcPr>
            <w:tcW w:w="2922" w:type="dxa"/>
          </w:tcPr>
          <w:p w14:paraId="0DC96182" w14:textId="77777777" w:rsidR="00DB4AC9" w:rsidRDefault="00DB4AC9" w:rsidP="00AD6AC8">
            <w:r>
              <w:t>2014 SBDC Program Announcement</w:t>
            </w:r>
          </w:p>
        </w:tc>
        <w:tc>
          <w:tcPr>
            <w:tcW w:w="2250" w:type="dxa"/>
          </w:tcPr>
          <w:p w14:paraId="01AE5E4B" w14:textId="77777777" w:rsidR="00DB4AC9" w:rsidRDefault="00DB4AC9" w:rsidP="00AD6AC8">
            <w:r>
              <w:t>http://bit.ly/ProgramAnnouncement</w:t>
            </w:r>
          </w:p>
        </w:tc>
        <w:tc>
          <w:tcPr>
            <w:tcW w:w="3870" w:type="dxa"/>
          </w:tcPr>
          <w:p w14:paraId="19642137" w14:textId="77777777" w:rsidR="00DB4AC9" w:rsidRDefault="00DB4AC9" w:rsidP="00AD6AC8">
            <w:r>
              <w:t>http://www.sba.gov/about-offices-content/1/700/resources/13279</w:t>
            </w:r>
          </w:p>
        </w:tc>
      </w:tr>
      <w:tr w:rsidR="00DB4AC9" w14:paraId="2EDDEF18" w14:textId="77777777" w:rsidTr="00AD6AC8">
        <w:tc>
          <w:tcPr>
            <w:tcW w:w="336" w:type="dxa"/>
          </w:tcPr>
          <w:p w14:paraId="09B9F8D4" w14:textId="77777777" w:rsidR="00DB4AC9" w:rsidRDefault="00DB4AC9" w:rsidP="00AD6AC8">
            <w:r>
              <w:t>4</w:t>
            </w:r>
          </w:p>
        </w:tc>
        <w:tc>
          <w:tcPr>
            <w:tcW w:w="2922" w:type="dxa"/>
          </w:tcPr>
          <w:p w14:paraId="3E8B89E6" w14:textId="77777777" w:rsidR="00DB4AC9" w:rsidRDefault="00DB4AC9" w:rsidP="00AD6AC8">
            <w:bookmarkStart w:id="287" w:name="_2h20rx3" w:colFirst="0" w:colLast="0"/>
            <w:bookmarkEnd w:id="287"/>
            <w:r>
              <w:t>13 C.F.R. PART 130—SMALL BUSINESS DEVELOPMENT CENTERS</w:t>
            </w:r>
          </w:p>
          <w:p w14:paraId="0A360ED4" w14:textId="77777777" w:rsidR="00DB4AC9" w:rsidRDefault="00DB4AC9" w:rsidP="00AD6AC8"/>
        </w:tc>
        <w:tc>
          <w:tcPr>
            <w:tcW w:w="2250" w:type="dxa"/>
          </w:tcPr>
          <w:p w14:paraId="56E39F6D" w14:textId="77777777" w:rsidR="00DB4AC9" w:rsidRDefault="00DB4AC9" w:rsidP="00AD6AC8">
            <w:r>
              <w:t>http://bit.ly/bu6EVp</w:t>
            </w:r>
          </w:p>
        </w:tc>
        <w:tc>
          <w:tcPr>
            <w:tcW w:w="3870" w:type="dxa"/>
          </w:tcPr>
          <w:p w14:paraId="7567EC37" w14:textId="77777777" w:rsidR="00DB4AC9" w:rsidRDefault="00DB4AC9" w:rsidP="00AD6AC8">
            <w:r>
              <w:t>http://law.justia.com/us/cfr/title13/13-1.0.1.1.20.html</w:t>
            </w:r>
          </w:p>
        </w:tc>
      </w:tr>
      <w:tr w:rsidR="00DB4AC9" w14:paraId="6B0B3FBB" w14:textId="77777777" w:rsidTr="00AD6AC8">
        <w:tc>
          <w:tcPr>
            <w:tcW w:w="336" w:type="dxa"/>
          </w:tcPr>
          <w:p w14:paraId="132A41F7" w14:textId="77777777" w:rsidR="00DB4AC9" w:rsidRDefault="00DB4AC9" w:rsidP="00AD6AC8">
            <w:r>
              <w:t>5</w:t>
            </w:r>
          </w:p>
        </w:tc>
        <w:tc>
          <w:tcPr>
            <w:tcW w:w="2922" w:type="dxa"/>
          </w:tcPr>
          <w:p w14:paraId="573156D4" w14:textId="77777777" w:rsidR="00DB4AC9" w:rsidRDefault="00DB4AC9" w:rsidP="00AD6AC8">
            <w:r>
              <w:t>Minn. Stat. §116J.68</w:t>
            </w:r>
          </w:p>
        </w:tc>
        <w:tc>
          <w:tcPr>
            <w:tcW w:w="2250" w:type="dxa"/>
          </w:tcPr>
          <w:p w14:paraId="1ADCE267" w14:textId="77777777" w:rsidR="00DB4AC9" w:rsidRDefault="00DB4AC9" w:rsidP="00AD6AC8">
            <w:r>
              <w:t>http://bit.ly/caTkla</w:t>
            </w:r>
          </w:p>
        </w:tc>
        <w:tc>
          <w:tcPr>
            <w:tcW w:w="3870" w:type="dxa"/>
          </w:tcPr>
          <w:p w14:paraId="26E645AA" w14:textId="77777777" w:rsidR="00DB4AC9" w:rsidRDefault="00DB4AC9" w:rsidP="00AD6AC8">
            <w:r>
              <w:t>https://www.revisor.mn.gov/statutes/?id=116J.68</w:t>
            </w:r>
          </w:p>
        </w:tc>
      </w:tr>
    </w:tbl>
    <w:p w14:paraId="2998D2E2" w14:textId="77777777" w:rsidR="00DB4AC9" w:rsidRDefault="00DB4AC9" w:rsidP="00DB4AC9"/>
    <w:p w14:paraId="66DEFBF2" w14:textId="77777777" w:rsidR="00DB4AC9" w:rsidRDefault="00DB4AC9" w:rsidP="00DB4AC9">
      <w:r>
        <w:br w:type="page"/>
      </w:r>
    </w:p>
    <w:p w14:paraId="13745692" w14:textId="7BC42516" w:rsidR="00DB4AC9" w:rsidRDefault="00DB4AC9" w:rsidP="00DB4AC9">
      <w:pPr>
        <w:pStyle w:val="Heading1"/>
      </w:pPr>
      <w:bookmarkStart w:id="288" w:name="_w7b24w" w:colFirst="0" w:colLast="0"/>
      <w:bookmarkEnd w:id="288"/>
      <w:r>
        <w:lastRenderedPageBreak/>
        <w:t>List of Changes</w:t>
      </w:r>
      <w:r w:rsidR="00361600">
        <w:t xml:space="preserve"> in 2026 Edition</w:t>
      </w:r>
      <w:r>
        <w:t>:</w:t>
      </w:r>
    </w:p>
    <w:tbl>
      <w:tblPr>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8"/>
        <w:gridCol w:w="1189"/>
        <w:gridCol w:w="6858"/>
        <w:gridCol w:w="735"/>
      </w:tblGrid>
      <w:tr w:rsidR="00DB4AC9" w14:paraId="00E9DC4D" w14:textId="77777777" w:rsidTr="00AD6AC8">
        <w:tc>
          <w:tcPr>
            <w:tcW w:w="568" w:type="dxa"/>
          </w:tcPr>
          <w:p w14:paraId="7129E8D7" w14:textId="77777777" w:rsidR="00DB4AC9" w:rsidRDefault="00DB4AC9" w:rsidP="00AD6AC8">
            <w:pPr>
              <w:jc w:val="center"/>
            </w:pPr>
            <w:r>
              <w:rPr>
                <w:b/>
                <w:u w:val="single"/>
              </w:rPr>
              <w:t>No.</w:t>
            </w:r>
          </w:p>
        </w:tc>
        <w:tc>
          <w:tcPr>
            <w:tcW w:w="1189" w:type="dxa"/>
          </w:tcPr>
          <w:p w14:paraId="6FD67D15" w14:textId="77777777" w:rsidR="00DB4AC9" w:rsidRDefault="00DB4AC9" w:rsidP="00AD6AC8">
            <w:pPr>
              <w:jc w:val="center"/>
            </w:pPr>
            <w:r>
              <w:rPr>
                <w:b/>
                <w:u w:val="single"/>
              </w:rPr>
              <w:t>Date</w:t>
            </w:r>
          </w:p>
        </w:tc>
        <w:tc>
          <w:tcPr>
            <w:tcW w:w="6858" w:type="dxa"/>
          </w:tcPr>
          <w:p w14:paraId="12898DEF" w14:textId="77777777" w:rsidR="00DB4AC9" w:rsidRDefault="00DB4AC9" w:rsidP="00AD6AC8">
            <w:pPr>
              <w:jc w:val="center"/>
            </w:pPr>
            <w:r>
              <w:rPr>
                <w:b/>
                <w:u w:val="single"/>
              </w:rPr>
              <w:t>Change</w:t>
            </w:r>
          </w:p>
        </w:tc>
        <w:tc>
          <w:tcPr>
            <w:tcW w:w="735" w:type="dxa"/>
          </w:tcPr>
          <w:p w14:paraId="4216D4AE" w14:textId="77777777" w:rsidR="00DB4AC9" w:rsidRDefault="00DB4AC9" w:rsidP="00AD6AC8">
            <w:pPr>
              <w:jc w:val="center"/>
            </w:pPr>
            <w:r>
              <w:rPr>
                <w:b/>
                <w:u w:val="single"/>
              </w:rPr>
              <w:t>Who</w:t>
            </w:r>
          </w:p>
        </w:tc>
      </w:tr>
      <w:tr w:rsidR="00DB4AC9" w14:paraId="6F5DC322" w14:textId="77777777" w:rsidTr="00AD6AC8">
        <w:tc>
          <w:tcPr>
            <w:tcW w:w="568" w:type="dxa"/>
          </w:tcPr>
          <w:p w14:paraId="26B51538" w14:textId="48C6A67B" w:rsidR="00DB4AC9" w:rsidRDefault="00B43428" w:rsidP="00AD6AC8">
            <w:r>
              <w:t>1</w:t>
            </w:r>
          </w:p>
        </w:tc>
        <w:tc>
          <w:tcPr>
            <w:tcW w:w="1189" w:type="dxa"/>
          </w:tcPr>
          <w:p w14:paraId="0BFBD55F" w14:textId="20765250" w:rsidR="00DB4AC9" w:rsidRDefault="00B43428" w:rsidP="00AD6AC8">
            <w:r>
              <w:t>6-28-2026</w:t>
            </w:r>
          </w:p>
        </w:tc>
        <w:tc>
          <w:tcPr>
            <w:tcW w:w="6858" w:type="dxa"/>
          </w:tcPr>
          <w:p w14:paraId="57355C30" w14:textId="485997C1" w:rsidR="00DB4AC9" w:rsidRDefault="00B43428" w:rsidP="00AD6AC8">
            <w:r>
              <w:t>Revised section “7.8 Time and Effort Records” by substituting in the required policy and procedure changes developed to address a finding in the 2024 SBA Financial Review. While this policy and procedure was implemented via email by Lyle Wright to all regional centers, dated May 2, 2024, it was not inserted into the latest version of the Operations Manual. This revision corrects that oversight.</w:t>
            </w:r>
          </w:p>
        </w:tc>
        <w:tc>
          <w:tcPr>
            <w:tcW w:w="735" w:type="dxa"/>
          </w:tcPr>
          <w:p w14:paraId="351E8840" w14:textId="77777777" w:rsidR="00DB4AC9" w:rsidRDefault="00DB4AC9" w:rsidP="00AD6AC8">
            <w:r>
              <w:t>LJW</w:t>
            </w:r>
          </w:p>
        </w:tc>
      </w:tr>
      <w:tr w:rsidR="00DB4AC9" w14:paraId="5BD4F9CD" w14:textId="77777777" w:rsidTr="00AD6AC8">
        <w:tc>
          <w:tcPr>
            <w:tcW w:w="568" w:type="dxa"/>
          </w:tcPr>
          <w:p w14:paraId="7B13DEEB" w14:textId="4530DA3E" w:rsidR="00DB4AC9" w:rsidRDefault="006F15CB" w:rsidP="00AD6AC8">
            <w:r>
              <w:t>2</w:t>
            </w:r>
          </w:p>
        </w:tc>
        <w:tc>
          <w:tcPr>
            <w:tcW w:w="1189" w:type="dxa"/>
          </w:tcPr>
          <w:p w14:paraId="445BC90B" w14:textId="57596D03" w:rsidR="00DB4AC9" w:rsidRDefault="006F15CB" w:rsidP="00AD6AC8">
            <w:r>
              <w:t>6-29-2026</w:t>
            </w:r>
          </w:p>
        </w:tc>
        <w:tc>
          <w:tcPr>
            <w:tcW w:w="6858" w:type="dxa"/>
          </w:tcPr>
          <w:p w14:paraId="103C8596" w14:textId="0DA35060" w:rsidR="00DB4AC9" w:rsidRDefault="006F15CB" w:rsidP="00807AE5">
            <w:pPr>
              <w:pStyle w:val="Heading2"/>
              <w:spacing w:before="0" w:after="240"/>
            </w:pPr>
            <w:r w:rsidRPr="006F15CB">
              <w:rPr>
                <w:rFonts w:ascii="Calibri" w:eastAsia="Calibri" w:hAnsi="Calibri" w:cs="Calibri"/>
                <w:color w:val="000000"/>
                <w:sz w:val="22"/>
                <w:szCs w:val="22"/>
              </w:rPr>
              <w:t xml:space="preserve">Added additional context and citations to section </w:t>
            </w:r>
            <w:r>
              <w:rPr>
                <w:rFonts w:ascii="Calibri" w:eastAsia="Calibri" w:hAnsi="Calibri" w:cs="Calibri"/>
                <w:color w:val="000000"/>
                <w:sz w:val="22"/>
                <w:szCs w:val="22"/>
              </w:rPr>
              <w:t>“</w:t>
            </w:r>
            <w:r w:rsidRPr="006F15CB">
              <w:rPr>
                <w:rFonts w:ascii="Calibri" w:eastAsia="Calibri" w:hAnsi="Calibri" w:cs="Calibri"/>
                <w:color w:val="000000"/>
                <w:sz w:val="22"/>
                <w:szCs w:val="22"/>
              </w:rPr>
              <w:t>7.17 OMB Circulars</w:t>
            </w:r>
            <w:r>
              <w:rPr>
                <w:rFonts w:ascii="Calibri" w:eastAsia="Calibri" w:hAnsi="Calibri" w:cs="Calibri"/>
                <w:color w:val="000000"/>
                <w:sz w:val="22"/>
                <w:szCs w:val="22"/>
              </w:rPr>
              <w:t>” to address the requirement that all expenses for the SBDC program must be ‘</w:t>
            </w:r>
            <w:r w:rsidR="00807AE5">
              <w:rPr>
                <w:rFonts w:ascii="Calibri" w:eastAsia="Calibri" w:hAnsi="Calibri" w:cs="Calibri"/>
                <w:color w:val="000000"/>
                <w:sz w:val="22"/>
                <w:szCs w:val="22"/>
              </w:rPr>
              <w:t xml:space="preserve">reasonable, allocable, and allowable’ as defined in parts </w:t>
            </w:r>
            <w:r w:rsidR="00807AE5" w:rsidRPr="00807AE5">
              <w:rPr>
                <w:rFonts w:ascii="Calibri" w:eastAsia="Calibri" w:hAnsi="Calibri" w:cs="Calibri"/>
                <w:color w:val="000000"/>
                <w:sz w:val="22"/>
                <w:szCs w:val="22"/>
              </w:rPr>
              <w:t>§ 200.403 Factors affecting allowability of costs</w:t>
            </w:r>
            <w:r w:rsidR="00807AE5">
              <w:rPr>
                <w:rFonts w:ascii="Calibri" w:eastAsia="Calibri" w:hAnsi="Calibri" w:cs="Calibri"/>
                <w:color w:val="000000"/>
                <w:sz w:val="22"/>
                <w:szCs w:val="22"/>
              </w:rPr>
              <w:t xml:space="preserve">, </w:t>
            </w:r>
            <w:r w:rsidR="00807AE5" w:rsidRPr="00807AE5">
              <w:rPr>
                <w:rFonts w:ascii="Calibri" w:eastAsia="Calibri" w:hAnsi="Calibri" w:cs="Calibri"/>
                <w:color w:val="000000"/>
                <w:sz w:val="22"/>
                <w:szCs w:val="22"/>
              </w:rPr>
              <w:t>§ 200.404 Reasonable costs</w:t>
            </w:r>
            <w:r w:rsidR="00807AE5">
              <w:rPr>
                <w:rFonts w:ascii="Calibri" w:eastAsia="Calibri" w:hAnsi="Calibri" w:cs="Calibri"/>
                <w:color w:val="000000"/>
                <w:sz w:val="22"/>
                <w:szCs w:val="22"/>
              </w:rPr>
              <w:t xml:space="preserve">, and </w:t>
            </w:r>
            <w:r w:rsidR="00807AE5" w:rsidRPr="00807AE5">
              <w:rPr>
                <w:rFonts w:ascii="Calibri" w:eastAsia="Calibri" w:hAnsi="Calibri" w:cs="Calibri"/>
                <w:color w:val="000000"/>
                <w:sz w:val="22"/>
                <w:szCs w:val="22"/>
              </w:rPr>
              <w:t>§ 200.405 Allocable costs</w:t>
            </w:r>
            <w:r w:rsidR="00807AE5">
              <w:rPr>
                <w:rFonts w:ascii="Calibri" w:eastAsia="Calibri" w:hAnsi="Calibri" w:cs="Calibri"/>
                <w:color w:val="000000"/>
                <w:sz w:val="22"/>
                <w:szCs w:val="22"/>
              </w:rPr>
              <w:t>.</w:t>
            </w:r>
          </w:p>
        </w:tc>
        <w:tc>
          <w:tcPr>
            <w:tcW w:w="735" w:type="dxa"/>
          </w:tcPr>
          <w:p w14:paraId="7CDD961E" w14:textId="4F5816DB" w:rsidR="00DB4AC9" w:rsidRDefault="00807AE5" w:rsidP="00AD6AC8">
            <w:r>
              <w:t>LJW</w:t>
            </w:r>
          </w:p>
        </w:tc>
      </w:tr>
      <w:tr w:rsidR="00DB4AC9" w14:paraId="0222B591" w14:textId="77777777" w:rsidTr="00AD6AC8">
        <w:tc>
          <w:tcPr>
            <w:tcW w:w="568" w:type="dxa"/>
          </w:tcPr>
          <w:p w14:paraId="148025E3" w14:textId="562CFD2F" w:rsidR="00DB4AC9" w:rsidRDefault="00DB4AC9" w:rsidP="00AD6AC8"/>
        </w:tc>
        <w:tc>
          <w:tcPr>
            <w:tcW w:w="1189" w:type="dxa"/>
          </w:tcPr>
          <w:p w14:paraId="133A24F9" w14:textId="5039D854" w:rsidR="00DB4AC9" w:rsidRDefault="00DB4AC9" w:rsidP="00AD6AC8"/>
        </w:tc>
        <w:tc>
          <w:tcPr>
            <w:tcW w:w="6858" w:type="dxa"/>
          </w:tcPr>
          <w:p w14:paraId="38A91E14" w14:textId="73DBBEF6" w:rsidR="00DB4AC9" w:rsidRDefault="00DB4AC9" w:rsidP="00AD6AC8"/>
        </w:tc>
        <w:tc>
          <w:tcPr>
            <w:tcW w:w="735" w:type="dxa"/>
          </w:tcPr>
          <w:p w14:paraId="4AF3B2E4" w14:textId="0190B260" w:rsidR="00DB4AC9" w:rsidRDefault="00DB4AC9" w:rsidP="00AD6AC8"/>
        </w:tc>
      </w:tr>
      <w:tr w:rsidR="00DB4AC9" w14:paraId="285E63F4" w14:textId="77777777" w:rsidTr="00AD6AC8">
        <w:tc>
          <w:tcPr>
            <w:tcW w:w="568" w:type="dxa"/>
          </w:tcPr>
          <w:p w14:paraId="089C1BE6" w14:textId="7674F5BE" w:rsidR="00DB4AC9" w:rsidRDefault="00DB4AC9" w:rsidP="00AD6AC8"/>
        </w:tc>
        <w:tc>
          <w:tcPr>
            <w:tcW w:w="1189" w:type="dxa"/>
          </w:tcPr>
          <w:p w14:paraId="67E6FE14" w14:textId="09FE28EE" w:rsidR="00DB4AC9" w:rsidRDefault="00DB4AC9" w:rsidP="00AD6AC8"/>
        </w:tc>
        <w:tc>
          <w:tcPr>
            <w:tcW w:w="6858" w:type="dxa"/>
          </w:tcPr>
          <w:p w14:paraId="23AE2697" w14:textId="16F9D8C8" w:rsidR="00DB4AC9" w:rsidRDefault="00DB4AC9" w:rsidP="00AD6AC8"/>
        </w:tc>
        <w:tc>
          <w:tcPr>
            <w:tcW w:w="735" w:type="dxa"/>
          </w:tcPr>
          <w:p w14:paraId="6B0B3789" w14:textId="2717C84C" w:rsidR="00DB4AC9" w:rsidRDefault="00DB4AC9" w:rsidP="00AD6AC8"/>
        </w:tc>
      </w:tr>
      <w:tr w:rsidR="00DB4AC9" w14:paraId="5488B5A0" w14:textId="77777777" w:rsidTr="00AD6AC8">
        <w:tc>
          <w:tcPr>
            <w:tcW w:w="568" w:type="dxa"/>
          </w:tcPr>
          <w:p w14:paraId="482D51BF" w14:textId="76D233F1" w:rsidR="00DB4AC9" w:rsidRDefault="00DB4AC9" w:rsidP="00AD6AC8"/>
        </w:tc>
        <w:tc>
          <w:tcPr>
            <w:tcW w:w="1189" w:type="dxa"/>
          </w:tcPr>
          <w:p w14:paraId="0DA5D884" w14:textId="47788D51" w:rsidR="00DB4AC9" w:rsidRDefault="00DB4AC9" w:rsidP="00AD6AC8"/>
        </w:tc>
        <w:tc>
          <w:tcPr>
            <w:tcW w:w="6858" w:type="dxa"/>
          </w:tcPr>
          <w:p w14:paraId="2E700869" w14:textId="00047E93" w:rsidR="00DB4AC9" w:rsidRDefault="00DB4AC9" w:rsidP="00AD6AC8"/>
        </w:tc>
        <w:tc>
          <w:tcPr>
            <w:tcW w:w="735" w:type="dxa"/>
          </w:tcPr>
          <w:p w14:paraId="1AFF706D" w14:textId="566BC0A9" w:rsidR="00DB4AC9" w:rsidRDefault="00DB4AC9" w:rsidP="00AD6AC8"/>
        </w:tc>
      </w:tr>
      <w:tr w:rsidR="00DB4AC9" w14:paraId="236339E6" w14:textId="77777777" w:rsidTr="00AD6AC8">
        <w:tc>
          <w:tcPr>
            <w:tcW w:w="568" w:type="dxa"/>
          </w:tcPr>
          <w:p w14:paraId="1BACA587" w14:textId="175E3A7E" w:rsidR="00DB4AC9" w:rsidRDefault="00DB4AC9" w:rsidP="00AD6AC8"/>
        </w:tc>
        <w:tc>
          <w:tcPr>
            <w:tcW w:w="1189" w:type="dxa"/>
          </w:tcPr>
          <w:p w14:paraId="4956DCD2" w14:textId="4B3A51BA" w:rsidR="00DB4AC9" w:rsidRDefault="00DB4AC9" w:rsidP="00AD6AC8"/>
        </w:tc>
        <w:tc>
          <w:tcPr>
            <w:tcW w:w="6858" w:type="dxa"/>
          </w:tcPr>
          <w:p w14:paraId="246247A5" w14:textId="791F923E" w:rsidR="00DB4AC9" w:rsidRDefault="00DB4AC9" w:rsidP="00AD6AC8"/>
        </w:tc>
        <w:tc>
          <w:tcPr>
            <w:tcW w:w="735" w:type="dxa"/>
          </w:tcPr>
          <w:p w14:paraId="6963593C" w14:textId="7ECAE972" w:rsidR="00DB4AC9" w:rsidRDefault="00DB4AC9" w:rsidP="00AD6AC8"/>
        </w:tc>
      </w:tr>
      <w:tr w:rsidR="00DB4AC9" w14:paraId="3D723E59" w14:textId="77777777" w:rsidTr="00AD6AC8">
        <w:tc>
          <w:tcPr>
            <w:tcW w:w="568" w:type="dxa"/>
          </w:tcPr>
          <w:p w14:paraId="30B103FF" w14:textId="6174F9FE" w:rsidR="00DB4AC9" w:rsidRDefault="00DB4AC9" w:rsidP="00AD6AC8"/>
        </w:tc>
        <w:tc>
          <w:tcPr>
            <w:tcW w:w="1189" w:type="dxa"/>
          </w:tcPr>
          <w:p w14:paraId="11F32681" w14:textId="582A1503" w:rsidR="00DB4AC9" w:rsidRDefault="00DB4AC9" w:rsidP="00AD6AC8"/>
        </w:tc>
        <w:tc>
          <w:tcPr>
            <w:tcW w:w="6858" w:type="dxa"/>
          </w:tcPr>
          <w:p w14:paraId="3818E6AD" w14:textId="14F6B929" w:rsidR="00DB4AC9" w:rsidRDefault="00DB4AC9" w:rsidP="00AD6AC8"/>
        </w:tc>
        <w:tc>
          <w:tcPr>
            <w:tcW w:w="735" w:type="dxa"/>
          </w:tcPr>
          <w:p w14:paraId="2E563D16" w14:textId="496ABF09" w:rsidR="00DB4AC9" w:rsidRDefault="00DB4AC9" w:rsidP="00AD6AC8"/>
        </w:tc>
      </w:tr>
      <w:tr w:rsidR="00DB4AC9" w14:paraId="23F7DCDB" w14:textId="77777777" w:rsidTr="00AD6AC8">
        <w:tc>
          <w:tcPr>
            <w:tcW w:w="568" w:type="dxa"/>
          </w:tcPr>
          <w:p w14:paraId="62CEAF80" w14:textId="6D8041E4" w:rsidR="00DB4AC9" w:rsidRDefault="00DB4AC9" w:rsidP="00AD6AC8"/>
        </w:tc>
        <w:tc>
          <w:tcPr>
            <w:tcW w:w="1189" w:type="dxa"/>
          </w:tcPr>
          <w:p w14:paraId="2E2FB32B" w14:textId="3326AB24" w:rsidR="00DB4AC9" w:rsidRDefault="00DB4AC9" w:rsidP="00AD6AC8"/>
        </w:tc>
        <w:tc>
          <w:tcPr>
            <w:tcW w:w="6858" w:type="dxa"/>
          </w:tcPr>
          <w:p w14:paraId="76F94126" w14:textId="5FA7604F" w:rsidR="00DB4AC9" w:rsidRDefault="00DB4AC9" w:rsidP="00AD6AC8"/>
        </w:tc>
        <w:tc>
          <w:tcPr>
            <w:tcW w:w="735" w:type="dxa"/>
          </w:tcPr>
          <w:p w14:paraId="5345486A" w14:textId="1F2FA998" w:rsidR="00DB4AC9" w:rsidRDefault="00DB4AC9" w:rsidP="00AD6AC8"/>
        </w:tc>
      </w:tr>
      <w:tr w:rsidR="00DB4AC9" w14:paraId="295DFEA6" w14:textId="77777777" w:rsidTr="00AD6AC8">
        <w:tc>
          <w:tcPr>
            <w:tcW w:w="568" w:type="dxa"/>
          </w:tcPr>
          <w:p w14:paraId="76E088EF" w14:textId="5E427D6E" w:rsidR="00DB4AC9" w:rsidRDefault="00DB4AC9" w:rsidP="00AD6AC8"/>
        </w:tc>
        <w:tc>
          <w:tcPr>
            <w:tcW w:w="1189" w:type="dxa"/>
          </w:tcPr>
          <w:p w14:paraId="1EF22EB0" w14:textId="236B1648" w:rsidR="00DB4AC9" w:rsidRDefault="00DB4AC9" w:rsidP="00AD6AC8"/>
        </w:tc>
        <w:tc>
          <w:tcPr>
            <w:tcW w:w="6858" w:type="dxa"/>
          </w:tcPr>
          <w:p w14:paraId="4BF5E523" w14:textId="6C6CC269" w:rsidR="00DB4AC9" w:rsidRDefault="00DB4AC9" w:rsidP="00AD6AC8"/>
        </w:tc>
        <w:tc>
          <w:tcPr>
            <w:tcW w:w="735" w:type="dxa"/>
          </w:tcPr>
          <w:p w14:paraId="33644955" w14:textId="0289E039" w:rsidR="00DB4AC9" w:rsidRDefault="00DB4AC9" w:rsidP="00AD6AC8"/>
        </w:tc>
      </w:tr>
      <w:tr w:rsidR="00DB4AC9" w14:paraId="19E956A7" w14:textId="77777777" w:rsidTr="00AD6AC8">
        <w:tc>
          <w:tcPr>
            <w:tcW w:w="568" w:type="dxa"/>
          </w:tcPr>
          <w:p w14:paraId="15FEE5B2" w14:textId="6BBDBAA1" w:rsidR="00DB4AC9" w:rsidRDefault="00DB4AC9" w:rsidP="00AD6AC8"/>
        </w:tc>
        <w:tc>
          <w:tcPr>
            <w:tcW w:w="1189" w:type="dxa"/>
          </w:tcPr>
          <w:p w14:paraId="6EBEAAC3" w14:textId="2BC62672" w:rsidR="00DB4AC9" w:rsidRDefault="00DB4AC9" w:rsidP="00AD6AC8"/>
        </w:tc>
        <w:tc>
          <w:tcPr>
            <w:tcW w:w="6858" w:type="dxa"/>
          </w:tcPr>
          <w:p w14:paraId="23A9F786" w14:textId="37D2C46C" w:rsidR="00DB4AC9" w:rsidRDefault="00DB4AC9" w:rsidP="00AD6AC8"/>
        </w:tc>
        <w:tc>
          <w:tcPr>
            <w:tcW w:w="735" w:type="dxa"/>
          </w:tcPr>
          <w:p w14:paraId="4A898CBF" w14:textId="7E6BA06D" w:rsidR="00DB4AC9" w:rsidRDefault="00DB4AC9" w:rsidP="00AD6AC8"/>
        </w:tc>
      </w:tr>
      <w:tr w:rsidR="00DB4AC9" w14:paraId="3BF96AEC" w14:textId="77777777" w:rsidTr="00AD6AC8">
        <w:tc>
          <w:tcPr>
            <w:tcW w:w="568" w:type="dxa"/>
          </w:tcPr>
          <w:p w14:paraId="27AE0149" w14:textId="41E39EA5" w:rsidR="00DB4AC9" w:rsidRDefault="00DB4AC9" w:rsidP="00AD6AC8"/>
        </w:tc>
        <w:tc>
          <w:tcPr>
            <w:tcW w:w="1189" w:type="dxa"/>
          </w:tcPr>
          <w:p w14:paraId="59742556" w14:textId="6765A7CF" w:rsidR="00DB4AC9" w:rsidRDefault="00DB4AC9" w:rsidP="00AD6AC8"/>
        </w:tc>
        <w:tc>
          <w:tcPr>
            <w:tcW w:w="6858" w:type="dxa"/>
          </w:tcPr>
          <w:p w14:paraId="57C92996" w14:textId="68AD9CCF" w:rsidR="00DB4AC9" w:rsidRDefault="00DB4AC9" w:rsidP="00AD6AC8"/>
        </w:tc>
        <w:tc>
          <w:tcPr>
            <w:tcW w:w="735" w:type="dxa"/>
          </w:tcPr>
          <w:p w14:paraId="5B4D350F" w14:textId="01F67EDF" w:rsidR="00DB4AC9" w:rsidRDefault="00DB4AC9" w:rsidP="00AD6AC8"/>
        </w:tc>
      </w:tr>
      <w:tr w:rsidR="00DB4AC9" w14:paraId="7282A87B" w14:textId="77777777" w:rsidTr="00AD6AC8">
        <w:tc>
          <w:tcPr>
            <w:tcW w:w="568" w:type="dxa"/>
          </w:tcPr>
          <w:p w14:paraId="6A87BDD8" w14:textId="2CAEE58F" w:rsidR="00DB4AC9" w:rsidRDefault="00DB4AC9" w:rsidP="00AD6AC8"/>
        </w:tc>
        <w:tc>
          <w:tcPr>
            <w:tcW w:w="1189" w:type="dxa"/>
          </w:tcPr>
          <w:p w14:paraId="748AE6B3" w14:textId="337F10A9" w:rsidR="00DB4AC9" w:rsidRDefault="00DB4AC9" w:rsidP="00AD6AC8"/>
        </w:tc>
        <w:tc>
          <w:tcPr>
            <w:tcW w:w="6858" w:type="dxa"/>
          </w:tcPr>
          <w:p w14:paraId="0FC15C10" w14:textId="5449EFBD" w:rsidR="00DB4AC9" w:rsidRDefault="00DB4AC9" w:rsidP="00AD6AC8"/>
        </w:tc>
        <w:tc>
          <w:tcPr>
            <w:tcW w:w="735" w:type="dxa"/>
          </w:tcPr>
          <w:p w14:paraId="07F58F2F" w14:textId="77777777" w:rsidR="00DB4AC9" w:rsidRDefault="00DB4AC9" w:rsidP="00AD6AC8"/>
        </w:tc>
      </w:tr>
      <w:tr w:rsidR="00DB4AC9" w14:paraId="208A9111" w14:textId="77777777" w:rsidTr="00AD6AC8">
        <w:tc>
          <w:tcPr>
            <w:tcW w:w="568" w:type="dxa"/>
          </w:tcPr>
          <w:p w14:paraId="19866F8C" w14:textId="61B00DB2" w:rsidR="00DB4AC9" w:rsidRDefault="00DB4AC9" w:rsidP="00AD6AC8"/>
        </w:tc>
        <w:tc>
          <w:tcPr>
            <w:tcW w:w="1189" w:type="dxa"/>
          </w:tcPr>
          <w:p w14:paraId="557200E2" w14:textId="1907F789" w:rsidR="00DB4AC9" w:rsidRDefault="00DB4AC9" w:rsidP="00AD6AC8"/>
        </w:tc>
        <w:tc>
          <w:tcPr>
            <w:tcW w:w="6858" w:type="dxa"/>
          </w:tcPr>
          <w:p w14:paraId="1198D2B1" w14:textId="4CA96156" w:rsidR="00DB4AC9" w:rsidRDefault="00DB4AC9" w:rsidP="00AD6AC8"/>
        </w:tc>
        <w:tc>
          <w:tcPr>
            <w:tcW w:w="735" w:type="dxa"/>
          </w:tcPr>
          <w:p w14:paraId="2ED79C0E" w14:textId="686DF292" w:rsidR="00DB4AC9" w:rsidRDefault="00DB4AC9" w:rsidP="00AD6AC8"/>
        </w:tc>
      </w:tr>
      <w:tr w:rsidR="00DB4AC9" w14:paraId="2A96C8E0" w14:textId="77777777" w:rsidTr="00AD6AC8">
        <w:tc>
          <w:tcPr>
            <w:tcW w:w="568" w:type="dxa"/>
          </w:tcPr>
          <w:p w14:paraId="7EEBF3B1" w14:textId="2939524C" w:rsidR="00DB4AC9" w:rsidRDefault="00DB4AC9" w:rsidP="00AD6AC8"/>
        </w:tc>
        <w:tc>
          <w:tcPr>
            <w:tcW w:w="1189" w:type="dxa"/>
          </w:tcPr>
          <w:p w14:paraId="3CF0C82F" w14:textId="39E1DF1E" w:rsidR="00DB4AC9" w:rsidRDefault="00DB4AC9" w:rsidP="00AD6AC8"/>
        </w:tc>
        <w:tc>
          <w:tcPr>
            <w:tcW w:w="6858" w:type="dxa"/>
          </w:tcPr>
          <w:p w14:paraId="7C3C88B7" w14:textId="3A0A5815" w:rsidR="00DB4AC9" w:rsidRDefault="00DB4AC9" w:rsidP="00AD6AC8"/>
        </w:tc>
        <w:tc>
          <w:tcPr>
            <w:tcW w:w="735" w:type="dxa"/>
          </w:tcPr>
          <w:p w14:paraId="3955C5EC" w14:textId="77777777" w:rsidR="00DB4AC9" w:rsidRDefault="00DB4AC9" w:rsidP="00AD6AC8"/>
        </w:tc>
      </w:tr>
      <w:tr w:rsidR="00DB4AC9" w14:paraId="09042915" w14:textId="77777777" w:rsidTr="00AD6AC8">
        <w:tc>
          <w:tcPr>
            <w:tcW w:w="568" w:type="dxa"/>
          </w:tcPr>
          <w:p w14:paraId="75A5008E" w14:textId="4D2F34BE" w:rsidR="00DB4AC9" w:rsidRDefault="00DB4AC9" w:rsidP="00AD6AC8"/>
        </w:tc>
        <w:tc>
          <w:tcPr>
            <w:tcW w:w="1189" w:type="dxa"/>
          </w:tcPr>
          <w:p w14:paraId="561336DA" w14:textId="68F2FF0B" w:rsidR="00DB4AC9" w:rsidRDefault="00DB4AC9" w:rsidP="00AD6AC8"/>
        </w:tc>
        <w:tc>
          <w:tcPr>
            <w:tcW w:w="6858" w:type="dxa"/>
          </w:tcPr>
          <w:p w14:paraId="220FCAF9" w14:textId="171703A1" w:rsidR="00DB4AC9" w:rsidRDefault="00DB4AC9" w:rsidP="00AD6AC8"/>
        </w:tc>
        <w:tc>
          <w:tcPr>
            <w:tcW w:w="735" w:type="dxa"/>
          </w:tcPr>
          <w:p w14:paraId="52EA7E82" w14:textId="5CFFC8C5" w:rsidR="00DB4AC9" w:rsidRDefault="00DB4AC9" w:rsidP="00AD6AC8"/>
        </w:tc>
      </w:tr>
      <w:tr w:rsidR="00DB4AC9" w14:paraId="534A5F3F" w14:textId="77777777" w:rsidTr="00AD6AC8">
        <w:tc>
          <w:tcPr>
            <w:tcW w:w="568" w:type="dxa"/>
          </w:tcPr>
          <w:p w14:paraId="7FA8B4A9" w14:textId="7DF0FA3D" w:rsidR="00DB4AC9" w:rsidRDefault="00DB4AC9" w:rsidP="00AD6AC8"/>
        </w:tc>
        <w:tc>
          <w:tcPr>
            <w:tcW w:w="1189" w:type="dxa"/>
          </w:tcPr>
          <w:p w14:paraId="0627B3C8" w14:textId="5BF5C0C4" w:rsidR="00DB4AC9" w:rsidRDefault="00DB4AC9" w:rsidP="00AD6AC8"/>
        </w:tc>
        <w:tc>
          <w:tcPr>
            <w:tcW w:w="6858" w:type="dxa"/>
          </w:tcPr>
          <w:p w14:paraId="3C28A0DA" w14:textId="27073E82" w:rsidR="00DB4AC9" w:rsidRDefault="00DB4AC9" w:rsidP="00AD6AC8"/>
        </w:tc>
        <w:tc>
          <w:tcPr>
            <w:tcW w:w="735" w:type="dxa"/>
          </w:tcPr>
          <w:p w14:paraId="7DAF9093" w14:textId="5BC61677" w:rsidR="00DB4AC9" w:rsidRDefault="00DB4AC9" w:rsidP="00AD6AC8"/>
        </w:tc>
      </w:tr>
      <w:tr w:rsidR="00DB4AC9" w14:paraId="57414332" w14:textId="77777777" w:rsidTr="00AD6AC8">
        <w:tc>
          <w:tcPr>
            <w:tcW w:w="568" w:type="dxa"/>
          </w:tcPr>
          <w:p w14:paraId="6734D9DD" w14:textId="0B4E73CE" w:rsidR="00DB4AC9" w:rsidRDefault="00DB4AC9" w:rsidP="00AD6AC8"/>
        </w:tc>
        <w:tc>
          <w:tcPr>
            <w:tcW w:w="1189" w:type="dxa"/>
          </w:tcPr>
          <w:p w14:paraId="7196D54A" w14:textId="0A80D3EA" w:rsidR="00DB4AC9" w:rsidRDefault="00DB4AC9" w:rsidP="00AD6AC8"/>
        </w:tc>
        <w:tc>
          <w:tcPr>
            <w:tcW w:w="6858" w:type="dxa"/>
          </w:tcPr>
          <w:p w14:paraId="42816833" w14:textId="20BCEA9A" w:rsidR="00DB4AC9" w:rsidRDefault="00DB4AC9" w:rsidP="00AD6AC8"/>
        </w:tc>
        <w:tc>
          <w:tcPr>
            <w:tcW w:w="735" w:type="dxa"/>
          </w:tcPr>
          <w:p w14:paraId="79875127" w14:textId="5958B875" w:rsidR="00DB4AC9" w:rsidRDefault="00DB4AC9" w:rsidP="00AD6AC8"/>
        </w:tc>
      </w:tr>
      <w:tr w:rsidR="00DB4AC9" w14:paraId="0F85E031" w14:textId="77777777" w:rsidTr="00AD6AC8">
        <w:tc>
          <w:tcPr>
            <w:tcW w:w="568" w:type="dxa"/>
          </w:tcPr>
          <w:p w14:paraId="7DBBC315" w14:textId="27F8FB88" w:rsidR="00DB4AC9" w:rsidRDefault="00DB4AC9" w:rsidP="00AD6AC8"/>
        </w:tc>
        <w:tc>
          <w:tcPr>
            <w:tcW w:w="1189" w:type="dxa"/>
          </w:tcPr>
          <w:p w14:paraId="2737E861" w14:textId="09CD671A" w:rsidR="00DB4AC9" w:rsidRDefault="00DB4AC9" w:rsidP="00AD6AC8"/>
        </w:tc>
        <w:tc>
          <w:tcPr>
            <w:tcW w:w="6858" w:type="dxa"/>
          </w:tcPr>
          <w:p w14:paraId="26DA8C82" w14:textId="5BBD575D" w:rsidR="00DB4AC9" w:rsidRDefault="00DB4AC9" w:rsidP="00AD6AC8"/>
        </w:tc>
        <w:tc>
          <w:tcPr>
            <w:tcW w:w="735" w:type="dxa"/>
          </w:tcPr>
          <w:p w14:paraId="294D24B4" w14:textId="3BA9498E" w:rsidR="00DB4AC9" w:rsidRDefault="00DB4AC9" w:rsidP="00AD6AC8"/>
        </w:tc>
      </w:tr>
      <w:tr w:rsidR="00DB4AC9" w14:paraId="21AFC96C" w14:textId="77777777" w:rsidTr="00AD6AC8">
        <w:tc>
          <w:tcPr>
            <w:tcW w:w="568" w:type="dxa"/>
          </w:tcPr>
          <w:p w14:paraId="1DF66044" w14:textId="033B9881" w:rsidR="00DB4AC9" w:rsidRDefault="00DB4AC9" w:rsidP="00AD6AC8"/>
        </w:tc>
        <w:tc>
          <w:tcPr>
            <w:tcW w:w="1189" w:type="dxa"/>
          </w:tcPr>
          <w:p w14:paraId="0FD7C77B" w14:textId="5A83896A" w:rsidR="00DB4AC9" w:rsidRDefault="00DB4AC9" w:rsidP="00AD6AC8"/>
        </w:tc>
        <w:tc>
          <w:tcPr>
            <w:tcW w:w="6858" w:type="dxa"/>
          </w:tcPr>
          <w:p w14:paraId="640C64B1" w14:textId="15D654E5" w:rsidR="00DB4AC9" w:rsidRDefault="00DB4AC9" w:rsidP="00AD6AC8"/>
        </w:tc>
        <w:tc>
          <w:tcPr>
            <w:tcW w:w="735" w:type="dxa"/>
          </w:tcPr>
          <w:p w14:paraId="4A7FBE2E" w14:textId="68779963" w:rsidR="00DB4AC9" w:rsidRDefault="00DB4AC9" w:rsidP="00AD6AC8"/>
        </w:tc>
      </w:tr>
      <w:tr w:rsidR="00DB4AC9" w14:paraId="44C9281C" w14:textId="77777777" w:rsidTr="00AD6AC8">
        <w:tc>
          <w:tcPr>
            <w:tcW w:w="568" w:type="dxa"/>
          </w:tcPr>
          <w:p w14:paraId="6FCEFE7C" w14:textId="26DC3000" w:rsidR="00DB4AC9" w:rsidRDefault="00DB4AC9" w:rsidP="00AD6AC8"/>
        </w:tc>
        <w:tc>
          <w:tcPr>
            <w:tcW w:w="1189" w:type="dxa"/>
          </w:tcPr>
          <w:p w14:paraId="7305DB79" w14:textId="2770A0F9" w:rsidR="00DB4AC9" w:rsidRDefault="00DB4AC9" w:rsidP="00AD6AC8"/>
        </w:tc>
        <w:tc>
          <w:tcPr>
            <w:tcW w:w="6858" w:type="dxa"/>
          </w:tcPr>
          <w:p w14:paraId="42C197AF" w14:textId="20563D0B" w:rsidR="00DB4AC9" w:rsidRDefault="00DB4AC9" w:rsidP="00AD6AC8">
            <w:pPr>
              <w:pStyle w:val="Heading4"/>
              <w:spacing w:before="0"/>
            </w:pPr>
          </w:p>
        </w:tc>
        <w:tc>
          <w:tcPr>
            <w:tcW w:w="735" w:type="dxa"/>
          </w:tcPr>
          <w:p w14:paraId="17E4EF9D" w14:textId="4F444BC6" w:rsidR="00DB4AC9" w:rsidRDefault="00DB4AC9" w:rsidP="00AD6AC8"/>
        </w:tc>
      </w:tr>
      <w:tr w:rsidR="00DB4AC9" w14:paraId="09427312" w14:textId="77777777" w:rsidTr="00AD6AC8">
        <w:tc>
          <w:tcPr>
            <w:tcW w:w="568" w:type="dxa"/>
          </w:tcPr>
          <w:p w14:paraId="74149E59" w14:textId="798817E9" w:rsidR="00DB4AC9" w:rsidRDefault="00DB4AC9" w:rsidP="00AD6AC8"/>
        </w:tc>
        <w:tc>
          <w:tcPr>
            <w:tcW w:w="1189" w:type="dxa"/>
          </w:tcPr>
          <w:p w14:paraId="560BB6EA" w14:textId="33CDCEED" w:rsidR="00DB4AC9" w:rsidRDefault="00DB4AC9" w:rsidP="00AD6AC8"/>
        </w:tc>
        <w:tc>
          <w:tcPr>
            <w:tcW w:w="6858" w:type="dxa"/>
          </w:tcPr>
          <w:p w14:paraId="1A750F25" w14:textId="682A24AC" w:rsidR="00DB4AC9" w:rsidRDefault="00DB4AC9" w:rsidP="00AD6AC8">
            <w:pPr>
              <w:pStyle w:val="Heading4"/>
              <w:spacing w:before="0"/>
            </w:pPr>
          </w:p>
        </w:tc>
        <w:tc>
          <w:tcPr>
            <w:tcW w:w="735" w:type="dxa"/>
          </w:tcPr>
          <w:p w14:paraId="17D2B3A5" w14:textId="0A1BB87C" w:rsidR="00DB4AC9" w:rsidRDefault="00DB4AC9" w:rsidP="00AD6AC8"/>
        </w:tc>
      </w:tr>
      <w:tr w:rsidR="00DB4AC9" w14:paraId="71E99BBF" w14:textId="77777777" w:rsidTr="00AD6AC8">
        <w:tc>
          <w:tcPr>
            <w:tcW w:w="568" w:type="dxa"/>
          </w:tcPr>
          <w:p w14:paraId="554540DF" w14:textId="5BBC9387" w:rsidR="00DB4AC9" w:rsidRDefault="00DB4AC9" w:rsidP="00AD6AC8"/>
        </w:tc>
        <w:tc>
          <w:tcPr>
            <w:tcW w:w="1189" w:type="dxa"/>
          </w:tcPr>
          <w:p w14:paraId="5CD681DA" w14:textId="254ED135" w:rsidR="00DB4AC9" w:rsidRDefault="00DB4AC9" w:rsidP="00AD6AC8"/>
        </w:tc>
        <w:tc>
          <w:tcPr>
            <w:tcW w:w="6858" w:type="dxa"/>
          </w:tcPr>
          <w:p w14:paraId="2C40760B" w14:textId="750A4039" w:rsidR="00DB4AC9" w:rsidRDefault="00DB4AC9" w:rsidP="00AD6AC8"/>
        </w:tc>
        <w:tc>
          <w:tcPr>
            <w:tcW w:w="735" w:type="dxa"/>
          </w:tcPr>
          <w:p w14:paraId="3FFD4269" w14:textId="64812072" w:rsidR="00DB4AC9" w:rsidRDefault="00DB4AC9" w:rsidP="00AD6AC8"/>
        </w:tc>
      </w:tr>
      <w:tr w:rsidR="00DB4AC9" w14:paraId="1B9EA9D1" w14:textId="77777777" w:rsidTr="00AD6AC8">
        <w:tc>
          <w:tcPr>
            <w:tcW w:w="568" w:type="dxa"/>
          </w:tcPr>
          <w:p w14:paraId="2A08D3EB" w14:textId="77777777" w:rsidR="00DB4AC9" w:rsidRDefault="00DB4AC9" w:rsidP="00AD6AC8"/>
        </w:tc>
        <w:tc>
          <w:tcPr>
            <w:tcW w:w="1189" w:type="dxa"/>
          </w:tcPr>
          <w:p w14:paraId="2FB696A5" w14:textId="77777777" w:rsidR="00DB4AC9" w:rsidRDefault="00DB4AC9" w:rsidP="00AD6AC8"/>
        </w:tc>
        <w:tc>
          <w:tcPr>
            <w:tcW w:w="6858" w:type="dxa"/>
          </w:tcPr>
          <w:p w14:paraId="0ABDFB3B" w14:textId="77777777" w:rsidR="00DB4AC9" w:rsidRDefault="00DB4AC9" w:rsidP="00AD6AC8"/>
        </w:tc>
        <w:tc>
          <w:tcPr>
            <w:tcW w:w="735" w:type="dxa"/>
          </w:tcPr>
          <w:p w14:paraId="355BBE42" w14:textId="77777777" w:rsidR="00DB4AC9" w:rsidRDefault="00DB4AC9" w:rsidP="00AD6AC8"/>
        </w:tc>
      </w:tr>
      <w:tr w:rsidR="00DB4AC9" w14:paraId="0D98E8D5" w14:textId="77777777" w:rsidTr="00AD6AC8">
        <w:tc>
          <w:tcPr>
            <w:tcW w:w="568" w:type="dxa"/>
          </w:tcPr>
          <w:p w14:paraId="30E5877A" w14:textId="77777777" w:rsidR="00DB4AC9" w:rsidRDefault="00DB4AC9" w:rsidP="00AD6AC8"/>
        </w:tc>
        <w:tc>
          <w:tcPr>
            <w:tcW w:w="1189" w:type="dxa"/>
          </w:tcPr>
          <w:p w14:paraId="708B10E9" w14:textId="77777777" w:rsidR="00DB4AC9" w:rsidRDefault="00DB4AC9" w:rsidP="00AD6AC8"/>
        </w:tc>
        <w:tc>
          <w:tcPr>
            <w:tcW w:w="6858" w:type="dxa"/>
          </w:tcPr>
          <w:p w14:paraId="2214A053" w14:textId="77777777" w:rsidR="00DB4AC9" w:rsidRDefault="00DB4AC9" w:rsidP="00AD6AC8"/>
        </w:tc>
        <w:tc>
          <w:tcPr>
            <w:tcW w:w="735" w:type="dxa"/>
          </w:tcPr>
          <w:p w14:paraId="0C57565D" w14:textId="77777777" w:rsidR="00DB4AC9" w:rsidRDefault="00DB4AC9" w:rsidP="00AD6AC8"/>
        </w:tc>
      </w:tr>
      <w:tr w:rsidR="00DB4AC9" w14:paraId="68341995" w14:textId="77777777" w:rsidTr="00AD6AC8">
        <w:tc>
          <w:tcPr>
            <w:tcW w:w="568" w:type="dxa"/>
          </w:tcPr>
          <w:p w14:paraId="3E28EBF3" w14:textId="77777777" w:rsidR="00DB4AC9" w:rsidRDefault="00DB4AC9" w:rsidP="00AD6AC8"/>
        </w:tc>
        <w:tc>
          <w:tcPr>
            <w:tcW w:w="1189" w:type="dxa"/>
          </w:tcPr>
          <w:p w14:paraId="42F0A870" w14:textId="77777777" w:rsidR="00DB4AC9" w:rsidRDefault="00DB4AC9" w:rsidP="00AD6AC8"/>
        </w:tc>
        <w:tc>
          <w:tcPr>
            <w:tcW w:w="6858" w:type="dxa"/>
          </w:tcPr>
          <w:p w14:paraId="257A9E64" w14:textId="77777777" w:rsidR="00DB4AC9" w:rsidRDefault="00DB4AC9" w:rsidP="00AD6AC8"/>
        </w:tc>
        <w:tc>
          <w:tcPr>
            <w:tcW w:w="735" w:type="dxa"/>
          </w:tcPr>
          <w:p w14:paraId="6C1B23AA" w14:textId="77777777" w:rsidR="00DB4AC9" w:rsidRDefault="00DB4AC9" w:rsidP="00AD6AC8"/>
        </w:tc>
      </w:tr>
    </w:tbl>
    <w:p w14:paraId="31C64777" w14:textId="77777777" w:rsidR="00DB4AC9" w:rsidRDefault="00DB4AC9" w:rsidP="00DB4AC9"/>
    <w:p w14:paraId="3DB277CE" w14:textId="77777777" w:rsidR="00DB4AC9" w:rsidRDefault="00DB4AC9"/>
    <w:sectPr w:rsidR="00DB4AC9" w:rsidSect="00DB4AC9">
      <w:footerReference w:type="default" r:id="rId4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A536" w14:textId="77777777" w:rsidR="003679FF" w:rsidRDefault="003679FF" w:rsidP="00DB4AC9">
      <w:pPr>
        <w:spacing w:after="0"/>
      </w:pPr>
      <w:r>
        <w:separator/>
      </w:r>
    </w:p>
  </w:endnote>
  <w:endnote w:type="continuationSeparator" w:id="0">
    <w:p w14:paraId="29C76E07" w14:textId="77777777" w:rsidR="003679FF" w:rsidRDefault="003679FF" w:rsidP="00DB4AC9">
      <w:pPr>
        <w:spacing w:after="0"/>
      </w:pPr>
      <w:r>
        <w:continuationSeparator/>
      </w:r>
    </w:p>
  </w:endnote>
  <w:endnote w:type="continuationNotice" w:id="1">
    <w:p w14:paraId="170F7BB4" w14:textId="77777777" w:rsidR="003679FF" w:rsidRDefault="003679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C7CC" w14:textId="77777777" w:rsidR="00B142FB" w:rsidRDefault="00A30D3A">
    <w:pPr>
      <w:widowControl w:val="0"/>
      <w:jc w:val="center"/>
    </w:pPr>
    <w:r>
      <w:fldChar w:fldCharType="begin"/>
    </w:r>
    <w:r>
      <w:instrText>PAGE</w:instrText>
    </w:r>
    <w:r>
      <w:fldChar w:fldCharType="separate"/>
    </w:r>
    <w:r>
      <w:rPr>
        <w:noProof/>
      </w:rPr>
      <w:t>12</w:t>
    </w:r>
    <w:r>
      <w:fldChar w:fldCharType="end"/>
    </w:r>
  </w:p>
  <w:p w14:paraId="74079108" w14:textId="77777777" w:rsidR="00B142FB" w:rsidRDefault="00B142FB">
    <w:pPr>
      <w:widowControl w:val="0"/>
      <w:spacing w:after="43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F6DF" w14:textId="77777777" w:rsidR="003679FF" w:rsidRDefault="003679FF" w:rsidP="00DB4AC9">
      <w:pPr>
        <w:spacing w:after="0"/>
      </w:pPr>
      <w:r>
        <w:separator/>
      </w:r>
    </w:p>
  </w:footnote>
  <w:footnote w:type="continuationSeparator" w:id="0">
    <w:p w14:paraId="7D1B2D41" w14:textId="77777777" w:rsidR="003679FF" w:rsidRDefault="003679FF" w:rsidP="00DB4AC9">
      <w:pPr>
        <w:spacing w:after="0"/>
      </w:pPr>
      <w:r>
        <w:continuationSeparator/>
      </w:r>
    </w:p>
  </w:footnote>
  <w:footnote w:type="continuationNotice" w:id="1">
    <w:p w14:paraId="2E96727C" w14:textId="77777777" w:rsidR="003679FF" w:rsidRDefault="003679FF">
      <w:pPr>
        <w:spacing w:after="0"/>
      </w:pPr>
    </w:p>
  </w:footnote>
  <w:footnote w:id="2">
    <w:p w14:paraId="1A5A43D0" w14:textId="77777777" w:rsidR="00DB4AC9" w:rsidRDefault="00DB4AC9" w:rsidP="00DB4AC9">
      <w:pPr>
        <w:widowControl w:val="0"/>
        <w:spacing w:after="40"/>
        <w:jc w:val="both"/>
      </w:pPr>
      <w:r>
        <w:rPr>
          <w:vertAlign w:val="superscript"/>
        </w:rPr>
        <w:footnoteRef/>
      </w:r>
      <w:r>
        <w:rPr>
          <w:sz w:val="20"/>
          <w:szCs w:val="20"/>
        </w:rPr>
        <w:t xml:space="preserve"> Minnesota SBDC Statewide Strategic Plan – 2023-2025.  An electronic copy of the current Strategic Plan is posted on the MnSBDC shared drive.</w:t>
      </w:r>
    </w:p>
  </w:footnote>
  <w:footnote w:id="3">
    <w:p w14:paraId="13E83EF5" w14:textId="77777777" w:rsidR="00DB4AC9" w:rsidRDefault="00DB4AC9" w:rsidP="00DB4AC9">
      <w:pPr>
        <w:widowControl w:val="0"/>
        <w:spacing w:after="40"/>
        <w:jc w:val="both"/>
      </w:pPr>
      <w:r>
        <w:rPr>
          <w:vertAlign w:val="superscript"/>
        </w:rPr>
        <w:footnoteRef/>
      </w:r>
      <w:r>
        <w:rPr>
          <w:sz w:val="20"/>
          <w:szCs w:val="20"/>
        </w:rPr>
        <w:t xml:space="preserve"> Minnesota SBDC Statewide Strategic Plan – 2023-2025.  An electronic copy of the current Strategic Plan is posted on the MnSBDC shared drive.</w:t>
      </w:r>
    </w:p>
  </w:footnote>
  <w:footnote w:id="4">
    <w:p w14:paraId="4FC3FFEA"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
        <w:r w:rsidRPr="00E13A60">
          <w:rPr>
            <w:color w:val="0000FF"/>
            <w:sz w:val="20"/>
            <w:szCs w:val="20"/>
            <w:u w:val="single"/>
          </w:rPr>
          <w:t xml:space="preserve">P.L. 96-302 (1980), codified as 15 United States Code §648 </w:t>
        </w:r>
      </w:hyperlink>
      <w:hyperlink r:id="rId2">
        <w:r w:rsidRPr="00E13A60">
          <w:rPr>
            <w:i/>
            <w:color w:val="0000FF"/>
            <w:sz w:val="20"/>
            <w:szCs w:val="20"/>
            <w:u w:val="single"/>
          </w:rPr>
          <w:t>et seq</w:t>
        </w:r>
      </w:hyperlink>
      <w:r w:rsidRPr="00E13A60">
        <w:rPr>
          <w:sz w:val="20"/>
          <w:szCs w:val="20"/>
        </w:rPr>
        <w:t>.  .</w:t>
      </w:r>
    </w:p>
  </w:footnote>
  <w:footnote w:id="5">
    <w:p w14:paraId="2D3D95B7"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3">
        <w:r w:rsidRPr="00E13A60">
          <w:rPr>
            <w:color w:val="0000FF"/>
            <w:sz w:val="20"/>
            <w:szCs w:val="20"/>
            <w:u w:val="single"/>
          </w:rPr>
          <w:t>15 U.S.C. §648(a) (3).</w:t>
        </w:r>
      </w:hyperlink>
      <w:r w:rsidRPr="00E13A60">
        <w:rPr>
          <w:sz w:val="20"/>
          <w:szCs w:val="20"/>
        </w:rPr>
        <w:t>.</w:t>
      </w:r>
    </w:p>
  </w:footnote>
  <w:footnote w:id="6">
    <w:p w14:paraId="2EA561ED"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4">
        <w:r w:rsidRPr="00E13A60">
          <w:rPr>
            <w:color w:val="0000FF"/>
            <w:sz w:val="20"/>
            <w:szCs w:val="20"/>
            <w:u w:val="single"/>
          </w:rPr>
          <w:t>15 U.S.C. §648(a) (3)</w:t>
        </w:r>
      </w:hyperlink>
      <w:r w:rsidRPr="00E13A60">
        <w:rPr>
          <w:sz w:val="20"/>
          <w:szCs w:val="20"/>
        </w:rPr>
        <w:t xml:space="preserve">; </w:t>
      </w:r>
      <w:hyperlink r:id="rId5">
        <w:r w:rsidRPr="00E13A60">
          <w:rPr>
            <w:color w:val="0000FF"/>
            <w:sz w:val="20"/>
            <w:szCs w:val="20"/>
            <w:u w:val="single"/>
          </w:rPr>
          <w:t>13 C.F.R. §130.100</w:t>
        </w:r>
      </w:hyperlink>
      <w:r w:rsidRPr="00E13A60">
        <w:rPr>
          <w:sz w:val="20"/>
          <w:szCs w:val="20"/>
        </w:rPr>
        <w:t>.  .</w:t>
      </w:r>
    </w:p>
  </w:footnote>
  <w:footnote w:id="7">
    <w:p w14:paraId="19AA8FC6"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6">
        <w:r w:rsidRPr="00E13A60">
          <w:rPr>
            <w:color w:val="0000FF"/>
            <w:sz w:val="20"/>
            <w:szCs w:val="20"/>
            <w:u w:val="single"/>
          </w:rPr>
          <w:t>15 U.S.C. §648(a) (4).</w:t>
        </w:r>
      </w:hyperlink>
      <w:r>
        <w:rPr>
          <w:sz w:val="20"/>
          <w:szCs w:val="20"/>
        </w:rPr>
        <w:t xml:space="preserve"> </w:t>
      </w:r>
    </w:p>
  </w:footnote>
  <w:footnote w:id="8">
    <w:p w14:paraId="3F5A6E21"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7">
        <w:r w:rsidRPr="00E13A60">
          <w:rPr>
            <w:color w:val="0000FF"/>
            <w:sz w:val="20"/>
            <w:szCs w:val="20"/>
            <w:u w:val="single"/>
          </w:rPr>
          <w:t>15 U.S.C. §648(a) (1).</w:t>
        </w:r>
      </w:hyperlink>
      <w:r w:rsidRPr="00E13A60">
        <w:rPr>
          <w:sz w:val="20"/>
          <w:szCs w:val="20"/>
        </w:rPr>
        <w:t xml:space="preserve"> </w:t>
      </w:r>
    </w:p>
  </w:footnote>
  <w:footnote w:id="9">
    <w:p w14:paraId="0B3FC19B"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8">
        <w:r w:rsidRPr="00E13A60">
          <w:rPr>
            <w:color w:val="0000FF"/>
            <w:sz w:val="20"/>
            <w:szCs w:val="20"/>
            <w:u w:val="single"/>
          </w:rPr>
          <w:t>15 U.S.C. §648(c) (2).</w:t>
        </w:r>
      </w:hyperlink>
      <w:hyperlink r:id="rId9">
        <w:r>
          <w:rPr>
            <w:rStyle w:val="Hyperlink"/>
          </w:rPr>
          <w:t>http://bit.ly/bTG3ee</w:t>
        </w:r>
      </w:hyperlink>
    </w:p>
  </w:footnote>
  <w:footnote w:id="10">
    <w:p w14:paraId="27F31414"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0">
        <w:r w:rsidRPr="00E13A60">
          <w:rPr>
            <w:color w:val="0000FF"/>
            <w:sz w:val="20"/>
            <w:szCs w:val="20"/>
            <w:u w:val="single"/>
          </w:rPr>
          <w:t>15 U.S.C. §648(c) (3).</w:t>
        </w:r>
      </w:hyperlink>
      <w:hyperlink r:id="rId11">
        <w:r>
          <w:rPr>
            <w:rStyle w:val="Hyperlink"/>
          </w:rPr>
          <w:t>http://bit.ly/bTG3ee</w:t>
        </w:r>
      </w:hyperlink>
    </w:p>
  </w:footnote>
  <w:footnote w:id="11">
    <w:p w14:paraId="335602A8"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2">
        <w:r w:rsidRPr="00E13A60">
          <w:rPr>
            <w:color w:val="0000FF"/>
            <w:sz w:val="20"/>
            <w:szCs w:val="20"/>
            <w:u w:val="single"/>
          </w:rPr>
          <w:t>15 U.S.C. §648(k) (3) (B).</w:t>
        </w:r>
      </w:hyperlink>
      <w:hyperlink r:id="rId13">
        <w:r>
          <w:rPr>
            <w:rStyle w:val="Hyperlink"/>
          </w:rPr>
          <w:t>http://bit.ly/bTG3ee</w:t>
        </w:r>
      </w:hyperlink>
    </w:p>
  </w:footnote>
  <w:footnote w:id="12">
    <w:p w14:paraId="05B0B423"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4">
        <w:r w:rsidRPr="00E13A60">
          <w:rPr>
            <w:color w:val="0000FF"/>
            <w:sz w:val="20"/>
            <w:szCs w:val="20"/>
            <w:u w:val="single"/>
          </w:rPr>
          <w:t>15 U.S.C. §648 (c) (3).</w:t>
        </w:r>
      </w:hyperlink>
      <w:hyperlink r:id="rId15">
        <w:r>
          <w:rPr>
            <w:rStyle w:val="Hyperlink"/>
          </w:rPr>
          <w:t>http://bit.ly/bTG3ee</w:t>
        </w:r>
      </w:hyperlink>
    </w:p>
  </w:footnote>
  <w:footnote w:id="13">
    <w:p w14:paraId="66FB52AB"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6">
        <w:r w:rsidRPr="00E13A60">
          <w:rPr>
            <w:color w:val="0000FF"/>
            <w:sz w:val="20"/>
            <w:szCs w:val="20"/>
            <w:u w:val="single"/>
          </w:rPr>
          <w:t xml:space="preserve">2025 Small Business Development Centers Program </w:t>
        </w:r>
      </w:hyperlink>
      <w:r w:rsidRPr="00E13A60">
        <w:rPr>
          <w:color w:val="0000FF"/>
          <w:sz w:val="20"/>
          <w:szCs w:val="20"/>
          <w:u w:val="single"/>
        </w:rPr>
        <w:t>Notice of Funding Opportunity</w:t>
      </w:r>
      <w:r w:rsidRPr="00E13A60">
        <w:rPr>
          <w:sz w:val="20"/>
          <w:szCs w:val="20"/>
        </w:rPr>
        <w:t>, released Mid-Year 2024</w:t>
      </w:r>
    </w:p>
  </w:footnote>
  <w:footnote w:id="14">
    <w:p w14:paraId="529F4D8D"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17">
        <w:r w:rsidRPr="00E13A60">
          <w:rPr>
            <w:color w:val="0000FF"/>
            <w:sz w:val="20"/>
            <w:szCs w:val="20"/>
            <w:u w:val="single"/>
          </w:rPr>
          <w:t>Minn. Stat. §116J.68 Subd.2 (m)</w:t>
        </w:r>
      </w:hyperlink>
      <w:r w:rsidRPr="00E13A60">
        <w:rPr>
          <w:sz w:val="20"/>
          <w:szCs w:val="20"/>
        </w:rPr>
        <w:t xml:space="preserve">; </w:t>
      </w:r>
      <w:hyperlink r:id="rId18">
        <w:r w:rsidRPr="00E13A60">
          <w:rPr>
            <w:color w:val="0000FF"/>
            <w:sz w:val="20"/>
            <w:szCs w:val="20"/>
            <w:u w:val="single"/>
          </w:rPr>
          <w:t>13 C.F.R. §130.610 and §130.330(b)</w:t>
        </w:r>
      </w:hyperlink>
      <w:r w:rsidRPr="00E13A60">
        <w:rPr>
          <w:sz w:val="20"/>
          <w:szCs w:val="20"/>
        </w:rPr>
        <w:t xml:space="preserve"> . </w:t>
      </w:r>
    </w:p>
  </w:footnote>
  <w:footnote w:id="15">
    <w:p w14:paraId="446EF57C"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19">
        <w:r w:rsidRPr="00E13A60">
          <w:rPr>
            <w:color w:val="0000FF"/>
            <w:sz w:val="20"/>
            <w:szCs w:val="20"/>
            <w:u w:val="single"/>
          </w:rPr>
          <w:t>13 C.F.R. §130.330(b)</w:t>
        </w:r>
      </w:hyperlink>
      <w:r w:rsidRPr="00E13A60">
        <w:rPr>
          <w:sz w:val="20"/>
          <w:szCs w:val="20"/>
        </w:rPr>
        <w:t xml:space="preserve">; </w:t>
      </w:r>
      <w:hyperlink r:id="rId20">
        <w:r w:rsidRPr="00E13A60">
          <w:rPr>
            <w:color w:val="0000FF"/>
            <w:sz w:val="20"/>
            <w:szCs w:val="20"/>
            <w:u w:val="single"/>
          </w:rPr>
          <w:t>13 C.F.R. 130.350(b).</w:t>
        </w:r>
      </w:hyperlink>
      <w:hyperlink r:id="rId21">
        <w:r>
          <w:rPr>
            <w:rStyle w:val="Hyperlink"/>
          </w:rPr>
          <w:t>http://bit.ly/</w:t>
        </w:r>
        <w:proofErr w:type="spellStart"/>
        <w:r>
          <w:rPr>
            <w:rStyle w:val="Hyperlink"/>
          </w:rPr>
          <w:t>aAdkZM</w:t>
        </w:r>
        <w:proofErr w:type="spellEnd"/>
      </w:hyperlink>
    </w:p>
  </w:footnote>
  <w:footnote w:id="16">
    <w:p w14:paraId="6FCC7906" w14:textId="77777777" w:rsidR="00DB4AC9" w:rsidRDefault="00DB4AC9" w:rsidP="00DB4AC9">
      <w:pPr>
        <w:widowControl w:val="0"/>
        <w:spacing w:after="40"/>
        <w:jc w:val="both"/>
      </w:pPr>
      <w:r>
        <w:rPr>
          <w:vertAlign w:val="superscript"/>
        </w:rPr>
        <w:footnoteRef/>
      </w:r>
      <w:r>
        <w:rPr>
          <w:sz w:val="20"/>
          <w:szCs w:val="20"/>
        </w:rPr>
        <w:t xml:space="preserve"> The current Cooperative Agreement is posted on the MnSBDC Intranet.  The proposal process is described in a later section of this manual.</w:t>
      </w:r>
    </w:p>
  </w:footnote>
  <w:footnote w:id="17">
    <w:p w14:paraId="124BD95D" w14:textId="77777777" w:rsidR="00DB4AC9" w:rsidRDefault="00DB4AC9" w:rsidP="00DB4AC9">
      <w:pPr>
        <w:widowControl w:val="0"/>
        <w:spacing w:after="40"/>
        <w:jc w:val="both"/>
      </w:pPr>
      <w:r>
        <w:rPr>
          <w:vertAlign w:val="superscript"/>
        </w:rPr>
        <w:footnoteRef/>
      </w:r>
      <w:r>
        <w:rPr>
          <w:sz w:val="20"/>
          <w:szCs w:val="20"/>
        </w:rPr>
        <w:t xml:space="preserve">  Minnesota SBDC Statewide Strategic Plan 2023-2025; an electronic copy of the current Strategic Plan is posted on the MnSBDC intranet.</w:t>
      </w:r>
    </w:p>
  </w:footnote>
  <w:footnote w:id="18">
    <w:p w14:paraId="02DE73C5" w14:textId="77777777" w:rsidR="00DB4AC9" w:rsidRDefault="00DB4AC9" w:rsidP="00DB4AC9">
      <w:pPr>
        <w:widowControl w:val="0"/>
        <w:spacing w:after="40"/>
        <w:jc w:val="both"/>
      </w:pPr>
      <w:r>
        <w:rPr>
          <w:vertAlign w:val="superscript"/>
        </w:rPr>
        <w:footnoteRef/>
      </w:r>
      <w:r>
        <w:rPr>
          <w:sz w:val="20"/>
          <w:szCs w:val="20"/>
        </w:rPr>
        <w:t xml:space="preserve">  Minnesota SBDC Statewide Strategic Plan 2023-2025; an electronic copy of the current Strategic Plan is posted on the MnSBDC intranet.</w:t>
      </w:r>
    </w:p>
  </w:footnote>
  <w:footnote w:id="19">
    <w:p w14:paraId="2B0BFBC6"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22">
        <w:r w:rsidRPr="00E13A60">
          <w:rPr>
            <w:color w:val="0000FF"/>
            <w:sz w:val="20"/>
            <w:szCs w:val="20"/>
            <w:u w:val="single"/>
          </w:rPr>
          <w:t>15 U.S.C. §648(a) (4) (C) (</w:t>
        </w:r>
        <w:proofErr w:type="spellStart"/>
        <w:r w:rsidRPr="00E13A60">
          <w:rPr>
            <w:color w:val="0000FF"/>
            <w:sz w:val="20"/>
            <w:szCs w:val="20"/>
            <w:u w:val="single"/>
          </w:rPr>
          <w:t>i</w:t>
        </w:r>
        <w:proofErr w:type="spellEnd"/>
        <w:r w:rsidRPr="00E13A60">
          <w:rPr>
            <w:color w:val="0000FF"/>
            <w:sz w:val="20"/>
            <w:szCs w:val="20"/>
            <w:u w:val="single"/>
          </w:rPr>
          <w:t>)</w:t>
        </w:r>
      </w:hyperlink>
      <w:r w:rsidRPr="00E13A60">
        <w:rPr>
          <w:sz w:val="20"/>
          <w:szCs w:val="20"/>
        </w:rPr>
        <w:t>.</w:t>
      </w:r>
    </w:p>
  </w:footnote>
  <w:footnote w:id="20">
    <w:p w14:paraId="05C69F0C"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23">
        <w:r w:rsidRPr="00E13A60">
          <w:rPr>
            <w:color w:val="0000FF"/>
            <w:sz w:val="20"/>
            <w:szCs w:val="20"/>
            <w:u w:val="single"/>
          </w:rPr>
          <w:t>15 U.S.C. §648(a)(4)(A)</w:t>
        </w:r>
      </w:hyperlink>
      <w:r w:rsidRPr="00E13A60">
        <w:rPr>
          <w:sz w:val="20"/>
          <w:szCs w:val="20"/>
        </w:rPr>
        <w:t xml:space="preserve">; </w:t>
      </w:r>
      <w:hyperlink r:id="rId24">
        <w:r w:rsidRPr="00E13A60">
          <w:rPr>
            <w:color w:val="0000FF"/>
            <w:sz w:val="20"/>
            <w:szCs w:val="20"/>
            <w:u w:val="single"/>
          </w:rPr>
          <w:t>13 C.F.R. §130.450</w:t>
        </w:r>
      </w:hyperlink>
      <w:hyperlink r:id="rId25">
        <w:r>
          <w:rPr>
            <w:rStyle w:val="Hyperlink"/>
          </w:rPr>
          <w:t>http://bit.ly/bu6EVp</w:t>
        </w:r>
      </w:hyperlink>
    </w:p>
  </w:footnote>
  <w:footnote w:id="21">
    <w:p w14:paraId="2FD037BF"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26">
        <w:r w:rsidRPr="00E13A60">
          <w:rPr>
            <w:color w:val="0000FF"/>
            <w:sz w:val="20"/>
            <w:szCs w:val="20"/>
            <w:u w:val="single"/>
          </w:rPr>
          <w:t>13 C.F.R. §130.450(e)</w:t>
        </w:r>
      </w:hyperlink>
      <w:r w:rsidRPr="00E13A60">
        <w:rPr>
          <w:sz w:val="20"/>
          <w:szCs w:val="20"/>
        </w:rPr>
        <w:t>;  2025 Notice of Funding Opportunity 2.7</w:t>
      </w:r>
    </w:p>
  </w:footnote>
  <w:footnote w:id="22">
    <w:p w14:paraId="61F7708D"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27">
        <w:r w:rsidRPr="00E13A60">
          <w:rPr>
            <w:color w:val="0000FF"/>
            <w:sz w:val="20"/>
            <w:szCs w:val="20"/>
            <w:u w:val="single"/>
          </w:rPr>
          <w:t>15 U.S.C. §648(m)</w:t>
        </w:r>
      </w:hyperlink>
      <w:r w:rsidRPr="00E13A60">
        <w:rPr>
          <w:sz w:val="20"/>
          <w:szCs w:val="20"/>
        </w:rPr>
        <w:t xml:space="preserve">; </w:t>
      </w:r>
      <w:hyperlink r:id="rId28">
        <w:r w:rsidRPr="00E13A60">
          <w:rPr>
            <w:color w:val="0000FF"/>
            <w:sz w:val="20"/>
            <w:szCs w:val="20"/>
            <w:u w:val="single"/>
          </w:rPr>
          <w:t>13 C.F.R. §130.470</w:t>
        </w:r>
      </w:hyperlink>
      <w:r w:rsidRPr="00E13A60">
        <w:rPr>
          <w:sz w:val="20"/>
          <w:szCs w:val="20"/>
        </w:rPr>
        <w:t xml:space="preserve">; </w:t>
      </w:r>
      <w:r>
        <w:rPr>
          <w:sz w:val="20"/>
          <w:szCs w:val="20"/>
        </w:rPr>
        <w:t>t</w:t>
      </w:r>
    </w:p>
  </w:footnote>
  <w:footnote w:id="23">
    <w:p w14:paraId="6CA5CD14" w14:textId="77777777" w:rsidR="00DB4AC9" w:rsidRDefault="00DB4AC9" w:rsidP="00DB4AC9">
      <w:pPr>
        <w:widowControl w:val="0"/>
        <w:spacing w:after="40"/>
        <w:jc w:val="both"/>
      </w:pPr>
      <w:r>
        <w:rPr>
          <w:vertAlign w:val="superscript"/>
        </w:rPr>
        <w:footnoteRef/>
      </w:r>
      <w:r>
        <w:rPr>
          <w:sz w:val="20"/>
          <w:szCs w:val="20"/>
        </w:rPr>
        <w:t>. 2025 Notice of Award, 15. The current Notice of Award is posted on the MnSBDC Intranet.</w:t>
      </w:r>
    </w:p>
  </w:footnote>
  <w:footnote w:id="24">
    <w:p w14:paraId="2FB95BC6" w14:textId="77777777" w:rsidR="00DB4AC9" w:rsidRDefault="00DB4AC9" w:rsidP="00DB4AC9">
      <w:pPr>
        <w:widowControl w:val="0"/>
        <w:spacing w:after="40"/>
        <w:jc w:val="both"/>
      </w:pPr>
      <w:r>
        <w:rPr>
          <w:vertAlign w:val="superscript"/>
        </w:rPr>
        <w:footnoteRef/>
      </w:r>
      <w:r>
        <w:rPr>
          <w:sz w:val="20"/>
          <w:szCs w:val="20"/>
        </w:rPr>
        <w:t xml:space="preserve"> Grant Contract, Clause 31. An example grant contract is posted on the MnSBDC Intranet</w:t>
      </w:r>
    </w:p>
  </w:footnote>
  <w:footnote w:id="25">
    <w:p w14:paraId="750276CB"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29">
        <w:r w:rsidRPr="00E13A60">
          <w:rPr>
            <w:color w:val="0000FF"/>
            <w:sz w:val="20"/>
            <w:szCs w:val="20"/>
            <w:u w:val="single"/>
          </w:rPr>
          <w:t>15 U.S.C. §648(c) (2) (A)</w:t>
        </w:r>
      </w:hyperlink>
      <w:r w:rsidRPr="00E13A60">
        <w:rPr>
          <w:sz w:val="20"/>
          <w:szCs w:val="20"/>
        </w:rPr>
        <w:t>.</w:t>
      </w:r>
    </w:p>
  </w:footnote>
  <w:footnote w:id="26">
    <w:p w14:paraId="7A944EF7"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30">
        <w:r w:rsidRPr="00E13A60">
          <w:rPr>
            <w:color w:val="0000FF"/>
            <w:sz w:val="20"/>
            <w:szCs w:val="20"/>
            <w:u w:val="single"/>
          </w:rPr>
          <w:t>15 U.S.C. §648(c) (2) (A)</w:t>
        </w:r>
      </w:hyperlink>
      <w:r w:rsidRPr="00E13A60">
        <w:rPr>
          <w:sz w:val="20"/>
          <w:szCs w:val="20"/>
        </w:rPr>
        <w:t xml:space="preserve">; </w:t>
      </w:r>
      <w:hyperlink r:id="rId31">
        <w:r w:rsidRPr="00E13A60">
          <w:rPr>
            <w:color w:val="0000FF"/>
            <w:sz w:val="20"/>
            <w:szCs w:val="20"/>
            <w:u w:val="single"/>
          </w:rPr>
          <w:t>13 C.F.R. §130.350(b)</w:t>
        </w:r>
      </w:hyperlink>
      <w:r w:rsidRPr="00E13A60">
        <w:rPr>
          <w:sz w:val="20"/>
          <w:szCs w:val="20"/>
        </w:rPr>
        <w:t xml:space="preserve">; </w:t>
      </w:r>
      <w:hyperlink r:id="rId32">
        <w:r w:rsidRPr="00E13A60">
          <w:rPr>
            <w:color w:val="0000FF"/>
            <w:sz w:val="20"/>
            <w:szCs w:val="20"/>
            <w:u w:val="single"/>
          </w:rPr>
          <w:t>Notice of Funding Opportunity I &amp; VIII.A</w:t>
        </w:r>
      </w:hyperlink>
      <w:r w:rsidRPr="00E13A60">
        <w:rPr>
          <w:sz w:val="20"/>
          <w:szCs w:val="20"/>
        </w:rPr>
        <w:t>.</w:t>
      </w:r>
    </w:p>
  </w:footnote>
  <w:footnote w:id="27">
    <w:p w14:paraId="26A65870" w14:textId="77777777" w:rsidR="00DB4AC9" w:rsidRPr="00AD6AC8" w:rsidRDefault="00DB4AC9" w:rsidP="00DB4AC9">
      <w:pPr>
        <w:widowControl w:val="0"/>
        <w:spacing w:after="40"/>
        <w:jc w:val="both"/>
        <w:rPr>
          <w:strike/>
        </w:rPr>
      </w:pPr>
      <w:r w:rsidRPr="00464E1C">
        <w:rPr>
          <w:vertAlign w:val="superscript"/>
        </w:rPr>
        <w:footnoteRef/>
      </w:r>
      <w:r w:rsidRPr="00464E1C">
        <w:rPr>
          <w:sz w:val="20"/>
          <w:szCs w:val="20"/>
        </w:rPr>
        <w:t xml:space="preserve"> Grant Contract, Clause I C. An example grant contract is posted on the MnSBDC Intranet</w:t>
      </w:r>
    </w:p>
  </w:footnote>
  <w:footnote w:id="28">
    <w:p w14:paraId="569B7A28" w14:textId="3BA4F916"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33">
        <w:r w:rsidRPr="00E13A60">
          <w:rPr>
            <w:color w:val="0000FF"/>
            <w:sz w:val="20"/>
            <w:szCs w:val="20"/>
            <w:u w:val="single"/>
          </w:rPr>
          <w:t>13 C.F.R. §130.110</w:t>
        </w:r>
      </w:hyperlink>
      <w:r w:rsidRPr="00E13A60">
        <w:rPr>
          <w:sz w:val="20"/>
          <w:szCs w:val="20"/>
        </w:rPr>
        <w:t>; Cooperative Agreement</w:t>
      </w:r>
      <w:r w:rsidR="00C0084A">
        <w:rPr>
          <w:sz w:val="20"/>
          <w:szCs w:val="20"/>
        </w:rPr>
        <w:t xml:space="preserve"> </w:t>
      </w:r>
      <w:r w:rsidRPr="00E13A60">
        <w:rPr>
          <w:sz w:val="20"/>
          <w:szCs w:val="20"/>
        </w:rPr>
        <w:t>18. The current Cooperative Agreement is posted on the MnSBDC Intranet.</w:t>
      </w:r>
    </w:p>
  </w:footnote>
  <w:footnote w:id="29">
    <w:p w14:paraId="25AA3696"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34">
        <w:r w:rsidRPr="00E13A60">
          <w:rPr>
            <w:color w:val="0000FF"/>
            <w:sz w:val="20"/>
            <w:szCs w:val="20"/>
            <w:u w:val="single"/>
          </w:rPr>
          <w:t>13 C.F.R. §130.460(f).</w:t>
        </w:r>
      </w:hyperlink>
      <w:hyperlink r:id="rId35">
        <w:r>
          <w:rPr>
            <w:rStyle w:val="Hyperlink"/>
          </w:rPr>
          <w:t>http://bit.ly/bu6EVp</w:t>
        </w:r>
      </w:hyperlink>
    </w:p>
  </w:footnote>
  <w:footnote w:id="30">
    <w:p w14:paraId="0DFCDB1B" w14:textId="13FF9C8D" w:rsidR="00DB4AC9" w:rsidRPr="00E13A60" w:rsidRDefault="00DB4AC9" w:rsidP="00DB4AC9">
      <w:pPr>
        <w:widowControl w:val="0"/>
        <w:spacing w:after="40"/>
        <w:jc w:val="both"/>
      </w:pPr>
      <w:r w:rsidRPr="00E13A60">
        <w:rPr>
          <w:vertAlign w:val="superscript"/>
        </w:rPr>
        <w:footnoteRef/>
      </w:r>
      <w:r w:rsidRPr="00E13A60">
        <w:rPr>
          <w:sz w:val="20"/>
          <w:szCs w:val="20"/>
        </w:rPr>
        <w:t xml:space="preserve"> Grant Contract,</w:t>
      </w:r>
      <w:r w:rsidR="00E02EE0">
        <w:rPr>
          <w:sz w:val="20"/>
          <w:szCs w:val="20"/>
        </w:rPr>
        <w:t xml:space="preserve"> </w:t>
      </w:r>
      <w:r w:rsidRPr="00E13A60">
        <w:rPr>
          <w:sz w:val="20"/>
          <w:szCs w:val="20"/>
        </w:rPr>
        <w:t>29. An example grant contract is posted on the MnSBDC Intranet</w:t>
      </w:r>
    </w:p>
  </w:footnote>
  <w:footnote w:id="31">
    <w:p w14:paraId="386E60A4" w14:textId="50258D49" w:rsidR="00DB4AC9" w:rsidRPr="00E13A60" w:rsidRDefault="00DB4AC9" w:rsidP="00DB4AC9">
      <w:pPr>
        <w:widowControl w:val="0"/>
        <w:spacing w:after="40"/>
        <w:jc w:val="both"/>
      </w:pPr>
      <w:r w:rsidRPr="00E13A60">
        <w:rPr>
          <w:vertAlign w:val="superscript"/>
        </w:rPr>
        <w:footnoteRef/>
      </w:r>
      <w:r w:rsidRPr="00E13A60">
        <w:rPr>
          <w:sz w:val="20"/>
          <w:szCs w:val="20"/>
        </w:rPr>
        <w:t xml:space="preserve"> Grant Contract,</w:t>
      </w:r>
      <w:r w:rsidR="00E02EE0">
        <w:rPr>
          <w:sz w:val="20"/>
          <w:szCs w:val="20"/>
        </w:rPr>
        <w:t xml:space="preserve"> </w:t>
      </w:r>
      <w:r w:rsidRPr="00E13A60">
        <w:rPr>
          <w:sz w:val="20"/>
          <w:szCs w:val="20"/>
        </w:rPr>
        <w:t>29. An example grant contract is posted on the MnSBDC Intranet</w:t>
      </w:r>
    </w:p>
  </w:footnote>
  <w:footnote w:id="32">
    <w:p w14:paraId="7D7E5881" w14:textId="77777777" w:rsidR="00DB4AC9" w:rsidRPr="00E13A60" w:rsidRDefault="00DB4AC9" w:rsidP="00DB4AC9">
      <w:pPr>
        <w:widowControl w:val="0"/>
        <w:spacing w:after="40"/>
        <w:jc w:val="both"/>
      </w:pPr>
      <w:r w:rsidRPr="00E13A60">
        <w:rPr>
          <w:vertAlign w:val="superscript"/>
        </w:rPr>
        <w:footnoteRef/>
      </w:r>
      <w:r w:rsidRPr="00E13A60">
        <w:rPr>
          <w:sz w:val="20"/>
          <w:szCs w:val="20"/>
        </w:rPr>
        <w:t xml:space="preserve"> </w:t>
      </w:r>
      <w:hyperlink r:id="rId36">
        <w:r w:rsidRPr="00E13A60">
          <w:rPr>
            <w:color w:val="0000FF"/>
            <w:sz w:val="20"/>
            <w:szCs w:val="20"/>
            <w:u w:val="single"/>
          </w:rPr>
          <w:t>15 U.S.C. §648(c) (7)</w:t>
        </w:r>
      </w:hyperlink>
      <w:r w:rsidRPr="00E13A60">
        <w:rPr>
          <w:sz w:val="20"/>
          <w:szCs w:val="20"/>
        </w:rPr>
        <w:t>.</w:t>
      </w:r>
    </w:p>
  </w:footnote>
  <w:footnote w:id="33">
    <w:p w14:paraId="73164066"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37">
        <w:r w:rsidRPr="00E13A60">
          <w:rPr>
            <w:color w:val="0000FF"/>
            <w:sz w:val="20"/>
            <w:szCs w:val="20"/>
            <w:u w:val="single"/>
          </w:rPr>
          <w:t>15 U.S.C. §648(h) (2)</w:t>
        </w:r>
      </w:hyperlink>
      <w:r w:rsidRPr="00E13A60">
        <w:rPr>
          <w:sz w:val="20"/>
          <w:szCs w:val="20"/>
        </w:rPr>
        <w:t>.</w:t>
      </w:r>
    </w:p>
  </w:footnote>
  <w:footnote w:id="34">
    <w:p w14:paraId="37B18CDB"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38">
        <w:r w:rsidRPr="00E13A60">
          <w:rPr>
            <w:color w:val="0000FF"/>
            <w:sz w:val="20"/>
            <w:szCs w:val="20"/>
            <w:u w:val="single"/>
          </w:rPr>
          <w:t>15 U.S.C. §648(a) (3) (A)</w:t>
        </w:r>
      </w:hyperlink>
      <w:r w:rsidRPr="00E13A60">
        <w:rPr>
          <w:sz w:val="20"/>
          <w:szCs w:val="20"/>
        </w:rPr>
        <w:t xml:space="preserve">; </w:t>
      </w:r>
      <w:hyperlink r:id="rId39">
        <w:r w:rsidRPr="00E13A60">
          <w:rPr>
            <w:color w:val="0000FF"/>
            <w:sz w:val="20"/>
            <w:szCs w:val="20"/>
            <w:u w:val="single"/>
          </w:rPr>
          <w:t>130 C.F.R. §130.800</w:t>
        </w:r>
      </w:hyperlink>
      <w:r w:rsidRPr="00E13A60">
        <w:rPr>
          <w:sz w:val="20"/>
          <w:szCs w:val="20"/>
        </w:rPr>
        <w:t>;</w:t>
      </w:r>
    </w:p>
  </w:footnote>
  <w:footnote w:id="35">
    <w:p w14:paraId="31757484" w14:textId="77777777" w:rsidR="00DB4AC9" w:rsidRDefault="00DB4AC9" w:rsidP="00DB4AC9">
      <w:pPr>
        <w:widowControl w:val="0"/>
        <w:spacing w:after="40"/>
        <w:jc w:val="both"/>
      </w:pPr>
      <w:r>
        <w:rPr>
          <w:vertAlign w:val="superscript"/>
        </w:rPr>
        <w:footnoteRef/>
      </w:r>
      <w:r>
        <w:rPr>
          <w:sz w:val="20"/>
          <w:szCs w:val="20"/>
        </w:rPr>
        <w:t xml:space="preserve"> </w:t>
      </w:r>
      <w:hyperlink r:id="rId40">
        <w:r>
          <w:rPr>
            <w:color w:val="0000FF"/>
            <w:sz w:val="20"/>
            <w:szCs w:val="20"/>
            <w:u w:val="single"/>
          </w:rPr>
          <w:t>Notice of Funding Opportunity</w:t>
        </w:r>
      </w:hyperlink>
      <w:r>
        <w:rPr>
          <w:color w:val="0000FF"/>
          <w:sz w:val="20"/>
          <w:szCs w:val="20"/>
          <w:u w:val="single"/>
        </w:rPr>
        <w:t xml:space="preserve"> 1.2</w:t>
      </w:r>
      <w:hyperlink r:id="rId41">
        <w:r>
          <w:rPr>
            <w:rStyle w:val="Hyperlink"/>
          </w:rPr>
          <w:t>http://bit.ly/</w:t>
        </w:r>
        <w:proofErr w:type="spellStart"/>
        <w:r>
          <w:rPr>
            <w:rStyle w:val="Hyperlink"/>
          </w:rPr>
          <w:t>bcPpSl</w:t>
        </w:r>
        <w:proofErr w:type="spellEnd"/>
      </w:hyperlink>
    </w:p>
  </w:footnote>
  <w:footnote w:id="36">
    <w:p w14:paraId="0203C652" w14:textId="77777777" w:rsidR="00DB4AC9" w:rsidRDefault="00DB4AC9" w:rsidP="00DB4AC9">
      <w:pPr>
        <w:widowControl w:val="0"/>
        <w:spacing w:after="40"/>
        <w:jc w:val="both"/>
      </w:pPr>
      <w:r>
        <w:rPr>
          <w:vertAlign w:val="superscript"/>
        </w:rPr>
        <w:footnoteRef/>
      </w:r>
      <w:r>
        <w:rPr>
          <w:sz w:val="20"/>
          <w:szCs w:val="20"/>
        </w:rPr>
        <w:t xml:space="preserve"> </w:t>
      </w:r>
      <w:hyperlink r:id="rId42">
        <w:r>
          <w:rPr>
            <w:color w:val="0000FF"/>
            <w:sz w:val="20"/>
            <w:szCs w:val="20"/>
            <w:u w:val="single"/>
          </w:rPr>
          <w:t>Notice of Funding Opportunity</w:t>
        </w:r>
      </w:hyperlink>
      <w:r>
        <w:rPr>
          <w:color w:val="0000FF"/>
          <w:sz w:val="20"/>
          <w:szCs w:val="20"/>
          <w:u w:val="single"/>
        </w:rPr>
        <w:t>1.2</w:t>
      </w:r>
      <w:r>
        <w:rPr>
          <w:sz w:val="20"/>
          <w:szCs w:val="20"/>
        </w:rPr>
        <w:t>.</w:t>
      </w:r>
    </w:p>
  </w:footnote>
  <w:footnote w:id="37">
    <w:p w14:paraId="65DBED83" w14:textId="77777777" w:rsidR="00DB4AC9" w:rsidRDefault="00DB4AC9" w:rsidP="00DB4AC9">
      <w:pPr>
        <w:widowControl w:val="0"/>
        <w:spacing w:after="40"/>
        <w:jc w:val="both"/>
      </w:pPr>
      <w:r>
        <w:rPr>
          <w:vertAlign w:val="superscript"/>
        </w:rPr>
        <w:footnoteRef/>
      </w:r>
      <w:r>
        <w:rPr>
          <w:sz w:val="20"/>
          <w:szCs w:val="20"/>
        </w:rPr>
        <w:t xml:space="preserve"> </w:t>
      </w:r>
      <w:hyperlink r:id="rId43">
        <w:r>
          <w:rPr>
            <w:color w:val="0000FF"/>
            <w:sz w:val="20"/>
            <w:szCs w:val="20"/>
            <w:u w:val="single"/>
          </w:rPr>
          <w:t>Notice of Funding Opportunity,</w:t>
        </w:r>
        <w:r w:rsidDel="00B83239">
          <w:rPr>
            <w:color w:val="0000FF"/>
            <w:sz w:val="20"/>
            <w:szCs w:val="20"/>
            <w:u w:val="single"/>
          </w:rPr>
          <w:t xml:space="preserve"> </w:t>
        </w:r>
        <w:r>
          <w:rPr>
            <w:color w:val="0000FF"/>
            <w:sz w:val="20"/>
            <w:szCs w:val="20"/>
            <w:u w:val="single"/>
          </w:rPr>
          <w:t>1.6</w:t>
        </w:r>
      </w:hyperlink>
      <w:hyperlink r:id="rId44">
        <w:r>
          <w:rPr>
            <w:rStyle w:val="Hyperlink"/>
          </w:rPr>
          <w:t>http://bit.ly/</w:t>
        </w:r>
        <w:proofErr w:type="spellStart"/>
        <w:r>
          <w:rPr>
            <w:rStyle w:val="Hyperlink"/>
          </w:rPr>
          <w:t>bcPpSl</w:t>
        </w:r>
        <w:proofErr w:type="spellEnd"/>
      </w:hyperlink>
    </w:p>
  </w:footnote>
  <w:footnote w:id="38">
    <w:p w14:paraId="41339D7F" w14:textId="77777777" w:rsidR="00DB4AC9" w:rsidRDefault="00DB4AC9" w:rsidP="00DB4AC9">
      <w:pPr>
        <w:widowControl w:val="0"/>
        <w:spacing w:after="40"/>
        <w:jc w:val="both"/>
      </w:pPr>
      <w:r w:rsidRPr="000F341D">
        <w:rPr>
          <w:vertAlign w:val="superscript"/>
        </w:rPr>
        <w:footnoteRef/>
      </w:r>
      <w:r w:rsidRPr="000F341D">
        <w:rPr>
          <w:sz w:val="20"/>
          <w:szCs w:val="20"/>
        </w:rPr>
        <w:t xml:space="preserve"> Grant Contract, 2.1. An example grant contract is posted on the MnSBDC Intranet</w:t>
      </w:r>
    </w:p>
  </w:footnote>
  <w:footnote w:id="39">
    <w:p w14:paraId="742DF8FC" w14:textId="77777777" w:rsidR="00DB4AC9" w:rsidRDefault="00DB4AC9" w:rsidP="00DB4AC9">
      <w:pPr>
        <w:widowControl w:val="0"/>
        <w:spacing w:after="40"/>
        <w:jc w:val="both"/>
      </w:pPr>
      <w:r w:rsidRPr="00E13A60">
        <w:rPr>
          <w:vertAlign w:val="superscript"/>
        </w:rPr>
        <w:footnoteRef/>
      </w:r>
      <w:r w:rsidRPr="00E13A60">
        <w:rPr>
          <w:sz w:val="20"/>
          <w:szCs w:val="20"/>
        </w:rPr>
        <w:t xml:space="preserve"> </w:t>
      </w:r>
      <w:hyperlink r:id="rId45">
        <w:r w:rsidRPr="00E13A60">
          <w:rPr>
            <w:color w:val="0000FF"/>
            <w:sz w:val="20"/>
            <w:szCs w:val="20"/>
            <w:u w:val="single"/>
          </w:rPr>
          <w:t>15 U.S.C. §648(j) (1)</w:t>
        </w:r>
      </w:hyperlink>
      <w:r w:rsidRPr="00E13A60">
        <w:rPr>
          <w:sz w:val="20"/>
          <w:szCs w:val="20"/>
        </w:rPr>
        <w:t xml:space="preserve">; </w:t>
      </w:r>
      <w:hyperlink r:id="rId46">
        <w:r w:rsidRPr="00E13A60">
          <w:rPr>
            <w:color w:val="0000FF"/>
            <w:sz w:val="20"/>
            <w:szCs w:val="20"/>
            <w:u w:val="single"/>
          </w:rPr>
          <w:t>13 C.F.R. §130.360</w:t>
        </w:r>
      </w:hyperlink>
      <w:r w:rsidRPr="00E13A60">
        <w:rPr>
          <w:sz w:val="20"/>
          <w:szCs w:val="20"/>
        </w:rPr>
        <w:t>.</w:t>
      </w:r>
    </w:p>
  </w:footnote>
  <w:footnote w:id="40">
    <w:p w14:paraId="22B5D24F" w14:textId="77777777" w:rsidR="00DB4AC9" w:rsidRDefault="00DB4AC9" w:rsidP="00DB4AC9">
      <w:pPr>
        <w:widowControl w:val="0"/>
        <w:spacing w:after="40"/>
        <w:jc w:val="both"/>
      </w:pPr>
      <w:r>
        <w:rPr>
          <w:vertAlign w:val="superscript"/>
        </w:rPr>
        <w:footnoteRef/>
      </w:r>
      <w:hyperlink r:id="rId47">
        <w:r>
          <w:rPr>
            <w:color w:val="0000FF"/>
            <w:sz w:val="20"/>
            <w:szCs w:val="20"/>
            <w:u w:val="single"/>
          </w:rPr>
          <w:t>15 U.S.C. §648(c) (2).</w:t>
        </w:r>
      </w:hyperlink>
      <w:hyperlink r:id="rId48">
        <w:r>
          <w:rPr>
            <w:rStyle w:val="Hyperlink"/>
          </w:rPr>
          <w:t>http://bit.ly/bTG3ee</w:t>
        </w:r>
      </w:hyperlink>
    </w:p>
  </w:footnote>
  <w:footnote w:id="41">
    <w:p w14:paraId="3451F6CB" w14:textId="77777777" w:rsidR="00DB4AC9" w:rsidRDefault="00DB4AC9" w:rsidP="00DB4AC9">
      <w:pPr>
        <w:widowControl w:val="0"/>
        <w:spacing w:after="40"/>
        <w:jc w:val="both"/>
      </w:pPr>
      <w:r>
        <w:rPr>
          <w:vertAlign w:val="superscript"/>
        </w:rPr>
        <w:footnoteRef/>
      </w:r>
      <w:r>
        <w:rPr>
          <w:sz w:val="20"/>
          <w:szCs w:val="20"/>
        </w:rPr>
        <w:t xml:space="preserve"> </w:t>
      </w:r>
      <w:hyperlink r:id="rId49">
        <w:r>
          <w:rPr>
            <w:color w:val="0000FF"/>
            <w:sz w:val="20"/>
            <w:szCs w:val="20"/>
            <w:u w:val="single"/>
          </w:rPr>
          <w:t>15 U.S.C §648(a) (3) (A).</w:t>
        </w:r>
      </w:hyperlink>
      <w:hyperlink r:id="rId50">
        <w:r>
          <w:rPr>
            <w:rStyle w:val="Hyperlink"/>
          </w:rPr>
          <w:t>http://bit.ly/bTG3ee</w:t>
        </w:r>
      </w:hyperlink>
    </w:p>
  </w:footnote>
  <w:footnote w:id="42">
    <w:p w14:paraId="47759845" w14:textId="77777777" w:rsidR="00DB4AC9" w:rsidRDefault="00DB4AC9" w:rsidP="00DB4AC9">
      <w:pPr>
        <w:widowControl w:val="0"/>
        <w:spacing w:after="40"/>
        <w:jc w:val="both"/>
      </w:pPr>
      <w:r>
        <w:rPr>
          <w:vertAlign w:val="superscript"/>
        </w:rPr>
        <w:footnoteRef/>
      </w:r>
      <w:r>
        <w:rPr>
          <w:sz w:val="20"/>
          <w:szCs w:val="20"/>
        </w:rPr>
        <w:t xml:space="preserve"> </w:t>
      </w:r>
      <w:hyperlink r:id="rId51">
        <w:r>
          <w:rPr>
            <w:color w:val="0000FF"/>
            <w:sz w:val="20"/>
            <w:szCs w:val="20"/>
            <w:u w:val="single"/>
          </w:rPr>
          <w:t>15 U.S.C. §648(k) (2)</w:t>
        </w:r>
      </w:hyperlink>
      <w:r>
        <w:rPr>
          <w:sz w:val="20"/>
          <w:szCs w:val="20"/>
        </w:rPr>
        <w:t>.</w:t>
      </w:r>
    </w:p>
  </w:footnote>
  <w:footnote w:id="43">
    <w:p w14:paraId="055F76B2" w14:textId="69B9F29A" w:rsidR="00DB4AC9" w:rsidRDefault="00DB4AC9" w:rsidP="00DB4AC9">
      <w:pPr>
        <w:widowControl w:val="0"/>
        <w:spacing w:after="40"/>
        <w:jc w:val="both"/>
      </w:pPr>
      <w:r>
        <w:rPr>
          <w:vertAlign w:val="superscript"/>
        </w:rPr>
        <w:footnoteRef/>
      </w:r>
      <w:r>
        <w:rPr>
          <w:sz w:val="20"/>
          <w:szCs w:val="20"/>
        </w:rPr>
        <w:t xml:space="preserve"> Program Terms and Conditions, point 17-Marketing. A copy of the Program Terms and Conditions is posted on the MnSBDC Intranet.</w:t>
      </w:r>
    </w:p>
  </w:footnote>
  <w:footnote w:id="44">
    <w:p w14:paraId="3A594628" w14:textId="1D9CF622" w:rsidR="00DB4AC9" w:rsidRDefault="00DB4AC9" w:rsidP="00DB4AC9">
      <w:pPr>
        <w:widowControl w:val="0"/>
        <w:spacing w:after="40"/>
        <w:jc w:val="both"/>
      </w:pPr>
      <w:r>
        <w:rPr>
          <w:vertAlign w:val="superscript"/>
        </w:rPr>
        <w:footnoteRef/>
      </w:r>
      <w:r>
        <w:rPr>
          <w:sz w:val="20"/>
          <w:szCs w:val="20"/>
        </w:rPr>
        <w:t xml:space="preserve"> Program Terms and Conditions, point 17-Marketing. A copy of the Program Terms and Conditions is posted on the MnSBDC Intranet.</w:t>
      </w:r>
    </w:p>
  </w:footnote>
  <w:footnote w:id="45">
    <w:p w14:paraId="0DE54EEA" w14:textId="0599D11A" w:rsidR="00DB4AC9" w:rsidRDefault="00DB4AC9" w:rsidP="00DB4AC9">
      <w:pPr>
        <w:widowControl w:val="0"/>
        <w:spacing w:after="40"/>
        <w:jc w:val="both"/>
      </w:pPr>
      <w:r>
        <w:rPr>
          <w:vertAlign w:val="superscript"/>
        </w:rPr>
        <w:footnoteRef/>
      </w:r>
      <w:r>
        <w:rPr>
          <w:sz w:val="20"/>
          <w:szCs w:val="20"/>
        </w:rPr>
        <w:t xml:space="preserve"> Program Terms and Conditions, point 17-Marketing. A copy of the Program Terms and Conditions is posted on the MnSBDC Intranet.</w:t>
      </w:r>
    </w:p>
  </w:footnote>
  <w:footnote w:id="46">
    <w:p w14:paraId="31112D71" w14:textId="77777777" w:rsidR="00DB4AC9" w:rsidRDefault="00DB4AC9" w:rsidP="00DB4AC9">
      <w:pPr>
        <w:widowControl w:val="0"/>
        <w:spacing w:after="40"/>
        <w:jc w:val="both"/>
      </w:pPr>
      <w:r>
        <w:rPr>
          <w:vertAlign w:val="superscript"/>
        </w:rPr>
        <w:footnoteRef/>
      </w:r>
      <w:r>
        <w:rPr>
          <w:sz w:val="20"/>
          <w:szCs w:val="20"/>
        </w:rPr>
        <w:t xml:space="preserve"> MnSBDC Graphic Standards Manual, page 12. A copy of the Graphic Standards Manual is posted on the MnSBDC Intranet.</w:t>
      </w:r>
    </w:p>
  </w:footnote>
  <w:footnote w:id="47">
    <w:p w14:paraId="7B0917FF" w14:textId="3217A893" w:rsidR="00DB4AC9" w:rsidRDefault="00DB4AC9" w:rsidP="00DB4AC9">
      <w:pPr>
        <w:widowControl w:val="0"/>
        <w:spacing w:after="40"/>
        <w:jc w:val="both"/>
      </w:pPr>
      <w:r>
        <w:rPr>
          <w:vertAlign w:val="superscript"/>
        </w:rPr>
        <w:footnoteRef/>
      </w:r>
      <w:r>
        <w:rPr>
          <w:sz w:val="20"/>
          <w:szCs w:val="20"/>
        </w:rPr>
        <w:t xml:space="preserve"> Program Terms and Conditions, point 17-Marketing. A copy of the Program Terms and Conditions is posted on the MnSBDC Intranet.</w:t>
      </w:r>
    </w:p>
  </w:footnote>
  <w:footnote w:id="48">
    <w:p w14:paraId="26EA8A93" w14:textId="1D58F7FF" w:rsidR="00DB4AC9" w:rsidRDefault="00DB4AC9" w:rsidP="00DB4AC9">
      <w:pPr>
        <w:widowControl w:val="0"/>
        <w:spacing w:after="40"/>
        <w:jc w:val="both"/>
      </w:pPr>
      <w:r>
        <w:rPr>
          <w:vertAlign w:val="superscript"/>
        </w:rPr>
        <w:footnoteRef/>
      </w:r>
      <w:r>
        <w:rPr>
          <w:sz w:val="20"/>
          <w:szCs w:val="20"/>
        </w:rPr>
        <w:t xml:space="preserve"> Grant Contract, point 31 SBDC Brand. An example grant contract is posted on the MnSBDC Intranet</w:t>
      </w:r>
    </w:p>
  </w:footnote>
  <w:footnote w:id="49">
    <w:p w14:paraId="0ED2E37A" w14:textId="77777777" w:rsidR="00DB4AC9" w:rsidRDefault="00DB4AC9" w:rsidP="00DB4AC9">
      <w:pPr>
        <w:widowControl w:val="0"/>
        <w:spacing w:after="40"/>
        <w:jc w:val="both"/>
      </w:pPr>
      <w:r>
        <w:rPr>
          <w:vertAlign w:val="superscript"/>
        </w:rPr>
        <w:footnoteRef/>
      </w:r>
      <w:r>
        <w:rPr>
          <w:sz w:val="20"/>
          <w:szCs w:val="20"/>
        </w:rPr>
        <w:t xml:space="preserve"> Grant Contract, point 31 SBDC Brand. An example grant contract is posted on the MnSBDC Intranet; MnSBDC Graphic Standards Manual. A copy of the Graphic Standards Manual is posted on the MnSBDC Intranet.</w:t>
      </w:r>
    </w:p>
    <w:p w14:paraId="4B6D6A07" w14:textId="77777777" w:rsidR="00DB4AC9" w:rsidRDefault="00DB4AC9" w:rsidP="00DB4AC9">
      <w:pPr>
        <w:widowControl w:val="0"/>
        <w:spacing w:after="40"/>
        <w:jc w:val="both"/>
      </w:pPr>
    </w:p>
  </w:footnote>
  <w:footnote w:id="50">
    <w:p w14:paraId="3F897CEA" w14:textId="77777777" w:rsidR="00DB4AC9" w:rsidRDefault="00DB4AC9" w:rsidP="00DB4AC9">
      <w:pPr>
        <w:widowControl w:val="0"/>
        <w:spacing w:after="40"/>
        <w:jc w:val="both"/>
      </w:pPr>
      <w:r>
        <w:rPr>
          <w:vertAlign w:val="superscript"/>
        </w:rPr>
        <w:footnoteRef/>
      </w:r>
      <w:r>
        <w:rPr>
          <w:sz w:val="20"/>
          <w:szCs w:val="20"/>
        </w:rPr>
        <w:t xml:space="preserve"> </w:t>
      </w:r>
      <w:hyperlink r:id="rId52">
        <w:r>
          <w:rPr>
            <w:color w:val="0000FF"/>
            <w:sz w:val="20"/>
            <w:szCs w:val="20"/>
            <w:u w:val="single"/>
          </w:rPr>
          <w:t>15 U.S.C. §648(c) (2);</w:t>
        </w:r>
      </w:hyperlink>
      <w:r>
        <w:rPr>
          <w:sz w:val="20"/>
          <w:szCs w:val="20"/>
        </w:rPr>
        <w:t xml:space="preserve"> </w:t>
      </w:r>
      <w:hyperlink r:id="rId53">
        <w:r>
          <w:rPr>
            <w:color w:val="0000FF"/>
            <w:sz w:val="20"/>
            <w:szCs w:val="20"/>
            <w:u w:val="single"/>
          </w:rPr>
          <w:t>13 C.F.R. §130.320(a).</w:t>
        </w:r>
      </w:hyperlink>
      <w:hyperlink r:id="rId54">
        <w:r>
          <w:rPr>
            <w:rStyle w:val="Hyperlink"/>
          </w:rPr>
          <w:t>http://bit.ly/</w:t>
        </w:r>
        <w:proofErr w:type="spellStart"/>
        <w:r>
          <w:rPr>
            <w:rStyle w:val="Hyperlink"/>
          </w:rPr>
          <w:t>aAdkZM</w:t>
        </w:r>
        <w:proofErr w:type="spellEnd"/>
      </w:hyperlink>
    </w:p>
  </w:footnote>
  <w:footnote w:id="51">
    <w:p w14:paraId="1889E5D7" w14:textId="77777777" w:rsidR="00DB4AC9" w:rsidRDefault="00DB4AC9" w:rsidP="00DB4AC9">
      <w:pPr>
        <w:widowControl w:val="0"/>
        <w:spacing w:after="40"/>
        <w:jc w:val="both"/>
      </w:pPr>
      <w:r>
        <w:rPr>
          <w:vertAlign w:val="superscript"/>
        </w:rPr>
        <w:footnoteRef/>
      </w:r>
      <w:r>
        <w:rPr>
          <w:sz w:val="20"/>
          <w:szCs w:val="20"/>
        </w:rPr>
        <w:t xml:space="preserve"> </w:t>
      </w:r>
      <w:hyperlink r:id="rId55">
        <w:r>
          <w:rPr>
            <w:color w:val="0000FF"/>
            <w:sz w:val="20"/>
            <w:szCs w:val="20"/>
            <w:u w:val="single"/>
          </w:rPr>
          <w:t>130 C.F.R. §130.320(b).</w:t>
        </w:r>
      </w:hyperlink>
      <w:hyperlink r:id="rId56">
        <w:r>
          <w:rPr>
            <w:rStyle w:val="Hyperlink"/>
          </w:rPr>
          <w:t>http://bit.ly/</w:t>
        </w:r>
        <w:proofErr w:type="spellStart"/>
        <w:r>
          <w:rPr>
            <w:rStyle w:val="Hyperlink"/>
          </w:rPr>
          <w:t>aAdkZM</w:t>
        </w:r>
        <w:proofErr w:type="spellEnd"/>
      </w:hyperlink>
    </w:p>
  </w:footnote>
  <w:footnote w:id="52">
    <w:p w14:paraId="7D4331DC" w14:textId="6B0BEDCD" w:rsidR="00DB4AC9" w:rsidRDefault="00DB4AC9" w:rsidP="00DB4AC9">
      <w:pPr>
        <w:widowControl w:val="0"/>
        <w:spacing w:after="40"/>
        <w:jc w:val="both"/>
      </w:pPr>
      <w:r>
        <w:rPr>
          <w:vertAlign w:val="superscript"/>
        </w:rPr>
        <w:footnoteRef/>
      </w:r>
      <w:r>
        <w:rPr>
          <w:sz w:val="20"/>
          <w:szCs w:val="20"/>
        </w:rPr>
        <w:t xml:space="preserve">Operating standards for the lead center are found in the legislation establishing the SBDC program (15 U.S.C §648), regulations governing the SBDC program (see especially, </w:t>
      </w:r>
      <w:hyperlink r:id="rId57">
        <w:r>
          <w:rPr>
            <w:color w:val="0000FF"/>
            <w:sz w:val="20"/>
            <w:szCs w:val="20"/>
            <w:u w:val="single"/>
          </w:rPr>
          <w:t>13 C.F.R. §130.330</w:t>
        </w:r>
      </w:hyperlink>
      <w:r>
        <w:rPr>
          <w:sz w:val="20"/>
          <w:szCs w:val="20"/>
        </w:rPr>
        <w:t xml:space="preserve">), in the current Notice of Funding Opportunity, the Cooperative Agreement and Terms and Conditions.  </w:t>
      </w:r>
      <w:r w:rsidR="001A3DC2">
        <w:rPr>
          <w:sz w:val="20"/>
          <w:szCs w:val="20"/>
        </w:rPr>
        <w:t>All</w:t>
      </w:r>
      <w:r>
        <w:rPr>
          <w:sz w:val="20"/>
          <w:szCs w:val="20"/>
        </w:rPr>
        <w:t xml:space="preserve"> these documents are posted on the MnSBDC Intranet and many of them are hyperlinked in this document.  The regulations, Notice of Funding Opportunity and Cooperative Agreement contain most of the specific requirements for service centers.</w:t>
      </w:r>
    </w:p>
  </w:footnote>
  <w:footnote w:id="53">
    <w:p w14:paraId="15DCAD13" w14:textId="77777777" w:rsidR="00DB4AC9" w:rsidRDefault="00DB4AC9" w:rsidP="00DB4AC9">
      <w:pPr>
        <w:widowControl w:val="0"/>
        <w:spacing w:after="40"/>
        <w:jc w:val="both"/>
      </w:pPr>
      <w:r>
        <w:rPr>
          <w:vertAlign w:val="superscript"/>
        </w:rPr>
        <w:footnoteRef/>
      </w:r>
      <w:r>
        <w:rPr>
          <w:sz w:val="20"/>
          <w:szCs w:val="20"/>
        </w:rPr>
        <w:t xml:space="preserve"> </w:t>
      </w:r>
      <w:hyperlink r:id="rId58">
        <w:r>
          <w:rPr>
            <w:color w:val="0000FF"/>
            <w:sz w:val="20"/>
            <w:szCs w:val="20"/>
            <w:u w:val="single"/>
          </w:rPr>
          <w:t>13 C.F.R. §130.110</w:t>
        </w:r>
      </w:hyperlink>
      <w:r>
        <w:rPr>
          <w:sz w:val="20"/>
          <w:szCs w:val="20"/>
        </w:rPr>
        <w:t>.</w:t>
      </w:r>
    </w:p>
  </w:footnote>
  <w:footnote w:id="54">
    <w:p w14:paraId="4DE877F6" w14:textId="77777777" w:rsidR="00DB4AC9" w:rsidRDefault="00DB4AC9" w:rsidP="00DB4AC9">
      <w:pPr>
        <w:widowControl w:val="0"/>
        <w:spacing w:after="40"/>
        <w:jc w:val="both"/>
      </w:pPr>
      <w:r>
        <w:rPr>
          <w:vertAlign w:val="superscript"/>
        </w:rPr>
        <w:footnoteRef/>
      </w:r>
      <w:r>
        <w:rPr>
          <w:sz w:val="20"/>
          <w:szCs w:val="20"/>
        </w:rPr>
        <w:t xml:space="preserve"> Cooperative Agreement, 13.m The current Cooperative Agreement is posted on the MnSBDC Intranet.; </w:t>
      </w:r>
      <w:hyperlink r:id="rId59">
        <w:r>
          <w:rPr>
            <w:color w:val="0000FF"/>
            <w:sz w:val="20"/>
            <w:szCs w:val="20"/>
            <w:u w:val="single"/>
          </w:rPr>
          <w:t xml:space="preserve">Notice of Funding Opportunity, </w:t>
        </w:r>
        <w:proofErr w:type="spellStart"/>
        <w:r>
          <w:rPr>
            <w:color w:val="0000FF"/>
            <w:sz w:val="20"/>
            <w:szCs w:val="20"/>
            <w:u w:val="single"/>
          </w:rPr>
          <w:t>VIII.A.III</w:t>
        </w:r>
      </w:hyperlink>
      <w:hyperlink r:id="rId60">
        <w:r>
          <w:rPr>
            <w:rStyle w:val="Hyperlink"/>
          </w:rPr>
          <w:t>http</w:t>
        </w:r>
        <w:proofErr w:type="spellEnd"/>
        <w:r>
          <w:rPr>
            <w:rStyle w:val="Hyperlink"/>
          </w:rPr>
          <w:t>://bit.ly/</w:t>
        </w:r>
        <w:proofErr w:type="spellStart"/>
        <w:r>
          <w:rPr>
            <w:rStyle w:val="Hyperlink"/>
          </w:rPr>
          <w:t>bcPpSl</w:t>
        </w:r>
        <w:proofErr w:type="spellEnd"/>
      </w:hyperlink>
    </w:p>
  </w:footnote>
  <w:footnote w:id="55">
    <w:p w14:paraId="6A4EEBD6" w14:textId="77777777" w:rsidR="00DB4AC9" w:rsidRDefault="00DB4AC9" w:rsidP="00DB4AC9">
      <w:pPr>
        <w:widowControl w:val="0"/>
        <w:spacing w:after="40"/>
        <w:jc w:val="both"/>
      </w:pPr>
      <w:r w:rsidRPr="00B350AE">
        <w:rPr>
          <w:vertAlign w:val="superscript"/>
        </w:rPr>
        <w:footnoteRef/>
      </w:r>
      <w:r w:rsidRPr="00B350AE">
        <w:rPr>
          <w:sz w:val="20"/>
          <w:szCs w:val="20"/>
        </w:rPr>
        <w:t xml:space="preserve"> Grant Contract, Clause I.I. An example grant contract is posted on the MnSBDC Intranet</w:t>
      </w:r>
    </w:p>
  </w:footnote>
  <w:footnote w:id="56">
    <w:p w14:paraId="70BA57EA" w14:textId="77777777" w:rsidR="00DB4AC9" w:rsidRDefault="00DB4AC9" w:rsidP="00DB4AC9">
      <w:pPr>
        <w:widowControl w:val="0"/>
        <w:spacing w:after="40"/>
        <w:jc w:val="both"/>
      </w:pPr>
      <w:r>
        <w:rPr>
          <w:vertAlign w:val="superscript"/>
        </w:rPr>
        <w:footnoteRef/>
      </w:r>
      <w:r>
        <w:rPr>
          <w:sz w:val="20"/>
          <w:szCs w:val="20"/>
        </w:rPr>
        <w:t xml:space="preserve"> </w:t>
      </w:r>
      <w:hyperlink r:id="rId61">
        <w:r>
          <w:rPr>
            <w:color w:val="0000FF"/>
            <w:sz w:val="20"/>
            <w:szCs w:val="20"/>
            <w:u w:val="single"/>
          </w:rPr>
          <w:t>13 C.F.R. §130.460(f).</w:t>
        </w:r>
      </w:hyperlink>
      <w:hyperlink r:id="rId62">
        <w:r>
          <w:rPr>
            <w:rStyle w:val="Hyperlink"/>
          </w:rPr>
          <w:t>http://bit.ly/</w:t>
        </w:r>
        <w:proofErr w:type="spellStart"/>
        <w:r>
          <w:rPr>
            <w:rStyle w:val="Hyperlink"/>
          </w:rPr>
          <w:t>aAdkZM</w:t>
        </w:r>
        <w:proofErr w:type="spellEnd"/>
      </w:hyperlink>
    </w:p>
  </w:footnote>
  <w:footnote w:id="57">
    <w:p w14:paraId="37CBB0C8" w14:textId="77777777" w:rsidR="00DB4AC9" w:rsidRDefault="00DB4AC9" w:rsidP="00DB4AC9">
      <w:pPr>
        <w:widowControl w:val="0"/>
        <w:spacing w:after="40"/>
        <w:jc w:val="both"/>
      </w:pPr>
      <w:r>
        <w:rPr>
          <w:vertAlign w:val="superscript"/>
        </w:rPr>
        <w:footnoteRef/>
      </w:r>
      <w:r>
        <w:rPr>
          <w:sz w:val="20"/>
          <w:szCs w:val="20"/>
        </w:rPr>
        <w:t xml:space="preserve"> </w:t>
      </w:r>
      <w:hyperlink r:id="rId63">
        <w:r>
          <w:rPr>
            <w:color w:val="0000FF"/>
            <w:sz w:val="20"/>
            <w:szCs w:val="20"/>
            <w:u w:val="single"/>
          </w:rPr>
          <w:t>15 U.S.C. §648(c) (5).</w:t>
        </w:r>
      </w:hyperlink>
      <w:hyperlink r:id="rId64">
        <w:r>
          <w:rPr>
            <w:rStyle w:val="Hyperlink"/>
          </w:rPr>
          <w:t>http://bit.ly/bTG3ee</w:t>
        </w:r>
      </w:hyperlink>
    </w:p>
  </w:footnote>
  <w:footnote w:id="58">
    <w:p w14:paraId="1C49BD67" w14:textId="77777777" w:rsidR="00DB4AC9" w:rsidRDefault="00DB4AC9" w:rsidP="00DB4AC9">
      <w:pPr>
        <w:widowControl w:val="0"/>
        <w:spacing w:after="40"/>
        <w:jc w:val="both"/>
      </w:pPr>
      <w:r>
        <w:rPr>
          <w:vertAlign w:val="superscript"/>
        </w:rPr>
        <w:footnoteRef/>
      </w:r>
      <w:r>
        <w:rPr>
          <w:sz w:val="20"/>
          <w:szCs w:val="20"/>
        </w:rPr>
        <w:t xml:space="preserve"> </w:t>
      </w:r>
      <w:hyperlink r:id="rId65">
        <w:r>
          <w:rPr>
            <w:color w:val="0000FF"/>
            <w:sz w:val="20"/>
            <w:szCs w:val="20"/>
            <w:u w:val="single"/>
          </w:rPr>
          <w:t>15 U.S.C. §648(c) (2);</w:t>
        </w:r>
      </w:hyperlink>
      <w:r>
        <w:rPr>
          <w:sz w:val="20"/>
          <w:szCs w:val="20"/>
        </w:rPr>
        <w:t xml:space="preserve"> </w:t>
      </w:r>
      <w:hyperlink r:id="rId66">
        <w:r>
          <w:rPr>
            <w:color w:val="0000FF"/>
            <w:sz w:val="20"/>
            <w:szCs w:val="20"/>
            <w:u w:val="single"/>
          </w:rPr>
          <w:t>15 U.S.C. §648(c) (3);</w:t>
        </w:r>
      </w:hyperlink>
      <w:r>
        <w:rPr>
          <w:sz w:val="20"/>
          <w:szCs w:val="20"/>
        </w:rPr>
        <w:t xml:space="preserve"> 13 C.F.R. §130.340.</w:t>
      </w:r>
    </w:p>
  </w:footnote>
  <w:footnote w:id="59">
    <w:p w14:paraId="53F3DC9A" w14:textId="77777777" w:rsidR="00DB4AC9" w:rsidRDefault="00DB4AC9" w:rsidP="00DB4AC9">
      <w:pPr>
        <w:widowControl w:val="0"/>
        <w:spacing w:after="40"/>
        <w:jc w:val="both"/>
      </w:pPr>
      <w:r>
        <w:rPr>
          <w:vertAlign w:val="superscript"/>
        </w:rPr>
        <w:footnoteRef/>
      </w:r>
      <w:r>
        <w:rPr>
          <w:sz w:val="20"/>
          <w:szCs w:val="20"/>
        </w:rPr>
        <w:t xml:space="preserve"> </w:t>
      </w:r>
      <w:hyperlink r:id="rId67">
        <w:r>
          <w:rPr>
            <w:color w:val="0000FF"/>
            <w:sz w:val="20"/>
            <w:szCs w:val="20"/>
            <w:u w:val="single"/>
          </w:rPr>
          <w:t>15 U.S.C. §648(m).</w:t>
        </w:r>
      </w:hyperlink>
      <w:hyperlink r:id="rId68">
        <w:r>
          <w:rPr>
            <w:rStyle w:val="Hyperlink"/>
          </w:rPr>
          <w:t>http://bit.ly/bTG3ee</w:t>
        </w:r>
      </w:hyperlink>
    </w:p>
  </w:footnote>
  <w:footnote w:id="60">
    <w:p w14:paraId="4D62E506" w14:textId="77777777" w:rsidR="00DB4AC9" w:rsidRDefault="00DB4AC9" w:rsidP="00DB4AC9">
      <w:pPr>
        <w:widowControl w:val="0"/>
        <w:spacing w:after="40"/>
        <w:jc w:val="both"/>
      </w:pPr>
      <w:r>
        <w:rPr>
          <w:vertAlign w:val="superscript"/>
        </w:rPr>
        <w:footnoteRef/>
      </w:r>
      <w:r>
        <w:rPr>
          <w:sz w:val="20"/>
          <w:szCs w:val="20"/>
        </w:rPr>
        <w:t xml:space="preserve"> </w:t>
      </w:r>
      <w:hyperlink r:id="rId69">
        <w:r>
          <w:rPr>
            <w:color w:val="0000FF"/>
            <w:sz w:val="20"/>
            <w:szCs w:val="20"/>
            <w:u w:val="single"/>
          </w:rPr>
          <w:t>13 C.F.R. §130.450</w:t>
        </w:r>
      </w:hyperlink>
      <w:r>
        <w:rPr>
          <w:sz w:val="20"/>
          <w:szCs w:val="20"/>
        </w:rPr>
        <w:t>.</w:t>
      </w:r>
    </w:p>
  </w:footnote>
  <w:footnote w:id="61">
    <w:p w14:paraId="65F8F24A" w14:textId="77777777" w:rsidR="00DB4AC9" w:rsidRDefault="00DB4AC9" w:rsidP="00DB4AC9">
      <w:pPr>
        <w:widowControl w:val="0"/>
        <w:spacing w:after="40"/>
        <w:jc w:val="both"/>
      </w:pPr>
      <w:r w:rsidRPr="00996022">
        <w:rPr>
          <w:vertAlign w:val="superscript"/>
        </w:rPr>
        <w:footnoteRef/>
      </w:r>
      <w:r w:rsidRPr="00996022">
        <w:rPr>
          <w:sz w:val="20"/>
          <w:szCs w:val="20"/>
        </w:rPr>
        <w:t xml:space="preserve"> Grant Contract, Clause II.B.2. An example grant contract is posted on the MnSBDC Intranet</w:t>
      </w:r>
      <w:r>
        <w:rPr>
          <w:sz w:val="20"/>
          <w:szCs w:val="20"/>
        </w:rPr>
        <w:t>.</w:t>
      </w:r>
    </w:p>
  </w:footnote>
  <w:footnote w:id="62">
    <w:p w14:paraId="1A73FC4B" w14:textId="77777777" w:rsidR="00DB4AC9" w:rsidRDefault="00DB4AC9" w:rsidP="00DB4AC9">
      <w:pPr>
        <w:widowControl w:val="0"/>
        <w:spacing w:after="40"/>
        <w:jc w:val="both"/>
      </w:pPr>
      <w:r>
        <w:rPr>
          <w:vertAlign w:val="superscript"/>
        </w:rPr>
        <w:footnoteRef/>
      </w:r>
      <w:r>
        <w:rPr>
          <w:sz w:val="20"/>
          <w:szCs w:val="20"/>
        </w:rPr>
        <w:t xml:space="preserve"> Grant Contract, Clause I. An example grant contract is posted on the MnSBDC Intranet.</w:t>
      </w:r>
    </w:p>
  </w:footnote>
  <w:footnote w:id="63">
    <w:p w14:paraId="6EA282F0" w14:textId="77777777" w:rsidR="00DB4AC9" w:rsidRDefault="00DB4AC9" w:rsidP="00DB4AC9">
      <w:pPr>
        <w:widowControl w:val="0"/>
        <w:spacing w:after="40"/>
        <w:jc w:val="both"/>
      </w:pPr>
      <w:r>
        <w:rPr>
          <w:vertAlign w:val="superscript"/>
        </w:rPr>
        <w:footnoteRef/>
      </w:r>
      <w:r>
        <w:rPr>
          <w:sz w:val="20"/>
          <w:szCs w:val="20"/>
        </w:rPr>
        <w:t xml:space="preserve"> </w:t>
      </w:r>
      <w:hyperlink r:id="rId70">
        <w:r>
          <w:rPr>
            <w:color w:val="0000FF"/>
            <w:sz w:val="20"/>
            <w:szCs w:val="20"/>
            <w:u w:val="single"/>
          </w:rPr>
          <w:t>Notice of Funding Opportunity, VIII.A.VI</w:t>
        </w:r>
      </w:hyperlink>
      <w:r>
        <w:rPr>
          <w:sz w:val="20"/>
          <w:szCs w:val="20"/>
        </w:rPr>
        <w:t>.  The SBDC network has developed a statewide disaster plan to supplement local plans.  The statewide plan and local plans are to be kept on file at regional and sub-regional SBDC offices.  A copy of the statewide disaster plan can be found in the Statewide Policies section of this manual.</w:t>
      </w:r>
    </w:p>
  </w:footnote>
  <w:footnote w:id="64">
    <w:p w14:paraId="6B862C24" w14:textId="769F43EA" w:rsidR="00DB4AC9" w:rsidRDefault="00DB4AC9" w:rsidP="00DB4AC9">
      <w:pPr>
        <w:widowControl w:val="0"/>
        <w:spacing w:after="40"/>
        <w:jc w:val="both"/>
      </w:pPr>
      <w:r>
        <w:rPr>
          <w:vertAlign w:val="superscript"/>
        </w:rPr>
        <w:footnoteRef/>
      </w:r>
      <w:r>
        <w:rPr>
          <w:sz w:val="20"/>
          <w:szCs w:val="20"/>
        </w:rPr>
        <w:t xml:space="preserve"> This approach is dependent on budget funds available and in line with an agreement made with the SBA Program Coordinator in 2017.</w:t>
      </w:r>
      <w:r w:rsidR="0044544B">
        <w:rPr>
          <w:sz w:val="20"/>
          <w:szCs w:val="20"/>
        </w:rPr>
        <w:t xml:space="preserve">Only </w:t>
      </w:r>
    </w:p>
  </w:footnote>
  <w:footnote w:id="65">
    <w:p w14:paraId="15586421" w14:textId="77777777" w:rsidR="00DB4AC9" w:rsidRDefault="00DB4AC9" w:rsidP="00DB4AC9">
      <w:pPr>
        <w:widowControl w:val="0"/>
        <w:spacing w:after="40"/>
        <w:jc w:val="both"/>
      </w:pPr>
      <w:r>
        <w:rPr>
          <w:vertAlign w:val="superscript"/>
        </w:rPr>
        <w:footnoteRef/>
      </w:r>
      <w:r>
        <w:rPr>
          <w:sz w:val="20"/>
          <w:szCs w:val="20"/>
        </w:rPr>
        <w:t xml:space="preserve"> Grant Contract, Clause I. An example grant contract is posted on the MnSBDC Intranet.</w:t>
      </w:r>
    </w:p>
  </w:footnote>
  <w:footnote w:id="66">
    <w:p w14:paraId="7B0613FC" w14:textId="77777777" w:rsidR="00DB4AC9" w:rsidRDefault="00DB4AC9" w:rsidP="00DB4AC9">
      <w:pPr>
        <w:widowControl w:val="0"/>
        <w:spacing w:after="40"/>
        <w:jc w:val="both"/>
      </w:pPr>
      <w:r>
        <w:rPr>
          <w:vertAlign w:val="superscript"/>
        </w:rPr>
        <w:footnoteRef/>
      </w:r>
      <w:r>
        <w:rPr>
          <w:sz w:val="20"/>
          <w:szCs w:val="20"/>
        </w:rPr>
        <w:t xml:space="preserve"> Grant Contract, Clause XVIII.K An example grant contract is posted on the MnSBDC Intranet; Program </w:t>
      </w:r>
      <w:hyperlink r:id="rId71">
        <w:r>
          <w:rPr>
            <w:color w:val="0000FF"/>
            <w:sz w:val="20"/>
            <w:szCs w:val="20"/>
            <w:u w:val="single"/>
          </w:rPr>
          <w:t>Announcement, VIII.A.IV,</w:t>
        </w:r>
      </w:hyperlink>
      <w:r>
        <w:rPr>
          <w:sz w:val="20"/>
          <w:szCs w:val="20"/>
        </w:rPr>
        <w:t xml:space="preserve"> MnSBDC Graphic Standards Manual. A copy of the Graphic Standards Manual is posted on the MnSBDC Intranet.</w:t>
      </w:r>
    </w:p>
  </w:footnote>
  <w:footnote w:id="67">
    <w:p w14:paraId="3339AE1F" w14:textId="77777777" w:rsidR="00DB4AC9" w:rsidRDefault="00DB4AC9" w:rsidP="00DB4AC9">
      <w:pPr>
        <w:widowControl w:val="0"/>
        <w:spacing w:after="40"/>
        <w:jc w:val="both"/>
      </w:pPr>
      <w:r>
        <w:rPr>
          <w:vertAlign w:val="superscript"/>
        </w:rPr>
        <w:footnoteRef/>
      </w:r>
      <w:r>
        <w:rPr>
          <w:sz w:val="20"/>
          <w:szCs w:val="20"/>
        </w:rPr>
        <w:t xml:space="preserve"> </w:t>
      </w:r>
      <w:hyperlink r:id="rId72">
        <w:r>
          <w:rPr>
            <w:color w:val="0000FF"/>
            <w:sz w:val="20"/>
            <w:szCs w:val="20"/>
            <w:u w:val="single"/>
          </w:rPr>
          <w:t>15 U.S.C. §648(c) (2)</w:t>
        </w:r>
      </w:hyperlink>
      <w:r>
        <w:rPr>
          <w:sz w:val="20"/>
          <w:szCs w:val="20"/>
        </w:rPr>
        <w:t xml:space="preserve">; </w:t>
      </w:r>
      <w:hyperlink r:id="rId73">
        <w:r>
          <w:rPr>
            <w:color w:val="0000FF"/>
            <w:sz w:val="20"/>
            <w:szCs w:val="20"/>
            <w:u w:val="single"/>
          </w:rPr>
          <w:t>13 C.F.R. 130.320(a).</w:t>
        </w:r>
      </w:hyperlink>
      <w:hyperlink r:id="rId74">
        <w:r>
          <w:rPr>
            <w:rStyle w:val="Hyperlink"/>
          </w:rPr>
          <w:t>http://bit.ly/</w:t>
        </w:r>
        <w:proofErr w:type="spellStart"/>
        <w:r>
          <w:rPr>
            <w:rStyle w:val="Hyperlink"/>
          </w:rPr>
          <w:t>aAdkZM</w:t>
        </w:r>
        <w:proofErr w:type="spellEnd"/>
      </w:hyperlink>
    </w:p>
  </w:footnote>
  <w:footnote w:id="68">
    <w:p w14:paraId="46D9B39A" w14:textId="77777777" w:rsidR="00DB4AC9" w:rsidRDefault="00DB4AC9" w:rsidP="00DB4AC9">
      <w:pPr>
        <w:widowControl w:val="0"/>
        <w:spacing w:after="40"/>
        <w:jc w:val="both"/>
      </w:pPr>
      <w:r>
        <w:rPr>
          <w:vertAlign w:val="superscript"/>
        </w:rPr>
        <w:footnoteRef/>
      </w:r>
      <w:r>
        <w:rPr>
          <w:sz w:val="20"/>
          <w:szCs w:val="20"/>
        </w:rPr>
        <w:t xml:space="preserve"> Federal laws include but are not limited to Title VI of the Civil Rights Act of 1974 (P.L. 88-352) which prohibits discrimination on the basis of race, color or national origin; Title IX of the Education Amendments of 1972 (20 U.S.C. §§1681-1683 and 1685-1686) which prohibits discrimination on the basis of sex; Section 504 of the Rehabilitation Act of 1973 (29 U.S.C. §794) which prohibits discrimination on the basis of disability, and the Age Discrimination Act of 1975 (42 U.S.C. §§6101-6107) which prohibits discrimination on the basis of age.  State laws include the Minnesota Human Rights Act, Minnesota Statutes Chapter 363.  Minnesota law generally prohibits discrimination </w:t>
      </w:r>
      <w:proofErr w:type="gramStart"/>
      <w:r>
        <w:rPr>
          <w:sz w:val="20"/>
          <w:szCs w:val="20"/>
        </w:rPr>
        <w:t>on the basis of</w:t>
      </w:r>
      <w:proofErr w:type="gramEnd"/>
      <w:r>
        <w:rPr>
          <w:sz w:val="20"/>
          <w:szCs w:val="20"/>
        </w:rPr>
        <w:t xml:space="preserve"> age, race, color, creed, religion, disability, national origin, marital status, sexual orientation, or gender.</w:t>
      </w:r>
    </w:p>
  </w:footnote>
  <w:footnote w:id="69">
    <w:p w14:paraId="28CBFAB5" w14:textId="77777777" w:rsidR="00DB4AC9" w:rsidRDefault="00DB4AC9" w:rsidP="00DB4AC9">
      <w:pPr>
        <w:widowControl w:val="0"/>
        <w:spacing w:after="40"/>
        <w:jc w:val="both"/>
      </w:pPr>
      <w:r>
        <w:rPr>
          <w:vertAlign w:val="superscript"/>
        </w:rPr>
        <w:footnoteRef/>
      </w:r>
      <w:r>
        <w:rPr>
          <w:sz w:val="20"/>
          <w:szCs w:val="20"/>
        </w:rPr>
        <w:t xml:space="preserve"> </w:t>
      </w:r>
      <w:hyperlink r:id="rId75">
        <w:r>
          <w:rPr>
            <w:color w:val="0000FF"/>
            <w:sz w:val="20"/>
            <w:szCs w:val="20"/>
            <w:u w:val="single"/>
          </w:rPr>
          <w:t>13 C.F.R. §130.330(e);</w:t>
        </w:r>
      </w:hyperlink>
      <w:r>
        <w:rPr>
          <w:sz w:val="20"/>
          <w:szCs w:val="20"/>
        </w:rPr>
        <w:t xml:space="preserve"> </w:t>
      </w:r>
      <w:hyperlink r:id="rId76">
        <w:r>
          <w:rPr>
            <w:color w:val="0000FF"/>
            <w:sz w:val="20"/>
            <w:szCs w:val="20"/>
            <w:u w:val="single"/>
          </w:rPr>
          <w:t>Notice of Funding Opportunity VIII.A.VI</w:t>
        </w:r>
      </w:hyperlink>
      <w:r>
        <w:rPr>
          <w:sz w:val="20"/>
          <w:szCs w:val="20"/>
        </w:rPr>
        <w:t>.</w:t>
      </w:r>
    </w:p>
  </w:footnote>
  <w:footnote w:id="70">
    <w:p w14:paraId="345DAA7A" w14:textId="77777777" w:rsidR="00DB4AC9" w:rsidRDefault="00DB4AC9" w:rsidP="00DB4AC9">
      <w:pPr>
        <w:widowControl w:val="0"/>
        <w:spacing w:after="40"/>
        <w:jc w:val="both"/>
      </w:pPr>
      <w:r>
        <w:rPr>
          <w:vertAlign w:val="superscript"/>
        </w:rPr>
        <w:footnoteRef/>
      </w:r>
      <w:r>
        <w:rPr>
          <w:sz w:val="20"/>
          <w:szCs w:val="20"/>
        </w:rPr>
        <w:t xml:space="preserve"> </w:t>
      </w:r>
      <w:hyperlink r:id="rId77">
        <w:r>
          <w:rPr>
            <w:color w:val="0000FF"/>
            <w:sz w:val="20"/>
            <w:szCs w:val="20"/>
            <w:u w:val="single"/>
          </w:rPr>
          <w:t>13 C.F.R. § 130.330(c);</w:t>
        </w:r>
      </w:hyperlink>
      <w:r>
        <w:rPr>
          <w:sz w:val="20"/>
          <w:szCs w:val="20"/>
        </w:rPr>
        <w:t xml:space="preserve"> </w:t>
      </w:r>
      <w:hyperlink r:id="rId78">
        <w:r>
          <w:rPr>
            <w:color w:val="0000FF"/>
            <w:sz w:val="20"/>
            <w:szCs w:val="20"/>
            <w:u w:val="single"/>
          </w:rPr>
          <w:t xml:space="preserve">Notice of Funding Opportunity </w:t>
        </w:r>
        <w:proofErr w:type="spellStart"/>
        <w:r>
          <w:rPr>
            <w:color w:val="0000FF"/>
            <w:sz w:val="20"/>
            <w:szCs w:val="20"/>
            <w:u w:val="single"/>
          </w:rPr>
          <w:t>VIII.B.I.</w:t>
        </w:r>
      </w:hyperlink>
      <w:hyperlink r:id="rId79">
        <w:r>
          <w:rPr>
            <w:rStyle w:val="Hyperlink"/>
          </w:rPr>
          <w:t>http</w:t>
        </w:r>
        <w:proofErr w:type="spellEnd"/>
        <w:r>
          <w:rPr>
            <w:rStyle w:val="Hyperlink"/>
          </w:rPr>
          <w:t>://bit.ly/</w:t>
        </w:r>
        <w:proofErr w:type="spellStart"/>
        <w:r>
          <w:rPr>
            <w:rStyle w:val="Hyperlink"/>
          </w:rPr>
          <w:t>bcPpSl</w:t>
        </w:r>
        <w:proofErr w:type="spellEnd"/>
      </w:hyperlink>
    </w:p>
  </w:footnote>
  <w:footnote w:id="71">
    <w:p w14:paraId="0861D10E" w14:textId="66E9AD1F" w:rsidR="00DB4AC9" w:rsidRDefault="00DB4AC9" w:rsidP="00DB4AC9">
      <w:pPr>
        <w:widowControl w:val="0"/>
        <w:spacing w:after="40"/>
        <w:jc w:val="both"/>
      </w:pPr>
      <w:r>
        <w:rPr>
          <w:vertAlign w:val="superscript"/>
        </w:rPr>
        <w:footnoteRef/>
      </w:r>
      <w:r>
        <w:rPr>
          <w:sz w:val="20"/>
          <w:szCs w:val="20"/>
        </w:rPr>
        <w:t xml:space="preserve"> The Code of Ethics is posted on the MnSBDC Intranet. The Code of Ethics is posted on the MnSBDC Intranet.</w:t>
      </w:r>
    </w:p>
  </w:footnote>
  <w:footnote w:id="72">
    <w:p w14:paraId="2B9DCB8C" w14:textId="77777777" w:rsidR="00DB4AC9" w:rsidRDefault="00DB4AC9" w:rsidP="00DB4AC9">
      <w:pPr>
        <w:widowControl w:val="0"/>
        <w:spacing w:after="40"/>
        <w:jc w:val="both"/>
      </w:pPr>
      <w:r>
        <w:rPr>
          <w:vertAlign w:val="superscript"/>
        </w:rPr>
        <w:footnoteRef/>
      </w:r>
      <w:r>
        <w:rPr>
          <w:sz w:val="20"/>
          <w:szCs w:val="20"/>
        </w:rPr>
        <w:t xml:space="preserve"> 13 C.F.R. §145. The Debarment Certification is posted on the MnSBDC Intranet. </w:t>
      </w:r>
    </w:p>
  </w:footnote>
  <w:footnote w:id="73">
    <w:p w14:paraId="5F967BF2" w14:textId="77777777" w:rsidR="00DB4AC9" w:rsidRDefault="00DB4AC9" w:rsidP="00DB4AC9">
      <w:pPr>
        <w:widowControl w:val="0"/>
        <w:spacing w:after="40"/>
        <w:jc w:val="both"/>
      </w:pPr>
      <w:r>
        <w:rPr>
          <w:vertAlign w:val="superscript"/>
        </w:rPr>
        <w:footnoteRef/>
      </w:r>
      <w:r>
        <w:rPr>
          <w:sz w:val="20"/>
          <w:szCs w:val="20"/>
        </w:rPr>
        <w:t xml:space="preserve"> Grant Contract, Clause XI. An example grant contract is posted on the MnSBDC Intranet.</w:t>
      </w:r>
    </w:p>
  </w:footnote>
  <w:footnote w:id="74">
    <w:p w14:paraId="2B1DD4B2" w14:textId="77777777" w:rsidR="00DB4AC9" w:rsidRDefault="00DB4AC9" w:rsidP="00DB4AC9">
      <w:pPr>
        <w:widowControl w:val="0"/>
        <w:spacing w:after="40"/>
        <w:jc w:val="both"/>
      </w:pPr>
      <w:r>
        <w:rPr>
          <w:vertAlign w:val="superscript"/>
        </w:rPr>
        <w:footnoteRef/>
      </w:r>
      <w:r>
        <w:rPr>
          <w:sz w:val="20"/>
          <w:szCs w:val="20"/>
        </w:rPr>
        <w:t xml:space="preserve">  </w:t>
      </w:r>
      <w:hyperlink r:id="rId80">
        <w:r>
          <w:rPr>
            <w:color w:val="0000FF"/>
            <w:sz w:val="20"/>
            <w:szCs w:val="20"/>
            <w:u w:val="single"/>
          </w:rPr>
          <w:t>15 U.S.C. §648(a) (7) (a)</w:t>
        </w:r>
      </w:hyperlink>
      <w:r>
        <w:rPr>
          <w:sz w:val="20"/>
          <w:szCs w:val="20"/>
        </w:rPr>
        <w:t>.</w:t>
      </w:r>
    </w:p>
  </w:footnote>
  <w:footnote w:id="75">
    <w:p w14:paraId="32758C14" w14:textId="77777777" w:rsidR="00DB4AC9" w:rsidRDefault="00DB4AC9" w:rsidP="00DB4AC9">
      <w:pPr>
        <w:widowControl w:val="0"/>
        <w:spacing w:after="40"/>
        <w:jc w:val="both"/>
      </w:pPr>
      <w:r>
        <w:rPr>
          <w:vertAlign w:val="superscript"/>
        </w:rPr>
        <w:footnoteRef/>
      </w:r>
      <w:r>
        <w:rPr>
          <w:sz w:val="20"/>
          <w:szCs w:val="20"/>
        </w:rPr>
        <w:t xml:space="preserve"> </w:t>
      </w:r>
      <w:hyperlink r:id="rId81">
        <w:r>
          <w:rPr>
            <w:color w:val="0000FF"/>
            <w:sz w:val="20"/>
            <w:szCs w:val="20"/>
            <w:u w:val="single"/>
          </w:rPr>
          <w:t>15 U.S.C. §648(c) (3) (J).</w:t>
        </w:r>
      </w:hyperlink>
      <w:hyperlink r:id="rId82">
        <w:r>
          <w:rPr>
            <w:rStyle w:val="Hyperlink"/>
          </w:rPr>
          <w:t>http://bit.ly/bTG3ee</w:t>
        </w:r>
      </w:hyperlink>
    </w:p>
  </w:footnote>
  <w:footnote w:id="76">
    <w:p w14:paraId="628BA5D1" w14:textId="77777777" w:rsidR="00DB4AC9" w:rsidRDefault="00DB4AC9" w:rsidP="00DB4AC9">
      <w:pPr>
        <w:widowControl w:val="0"/>
        <w:spacing w:after="40"/>
        <w:jc w:val="both"/>
      </w:pPr>
      <w:r>
        <w:rPr>
          <w:vertAlign w:val="superscript"/>
        </w:rPr>
        <w:footnoteRef/>
      </w:r>
      <w:r>
        <w:rPr>
          <w:sz w:val="20"/>
          <w:szCs w:val="20"/>
        </w:rPr>
        <w:t xml:space="preserve"> </w:t>
      </w:r>
      <w:hyperlink r:id="rId83">
        <w:r>
          <w:rPr>
            <w:color w:val="0000FF"/>
            <w:sz w:val="20"/>
            <w:szCs w:val="20"/>
            <w:u w:val="single"/>
          </w:rPr>
          <w:t>15 U.S.C. §648(c) (3) (H).</w:t>
        </w:r>
      </w:hyperlink>
      <w:hyperlink r:id="rId84">
        <w:r>
          <w:rPr>
            <w:rStyle w:val="Hyperlink"/>
          </w:rPr>
          <w:t>http://bit.ly/bTG3ee</w:t>
        </w:r>
      </w:hyperlink>
    </w:p>
  </w:footnote>
  <w:footnote w:id="77">
    <w:p w14:paraId="226538DD" w14:textId="77777777" w:rsidR="00DB4AC9" w:rsidRDefault="00DB4AC9" w:rsidP="00DB4AC9">
      <w:pPr>
        <w:widowControl w:val="0"/>
        <w:spacing w:after="40"/>
        <w:jc w:val="both"/>
      </w:pPr>
      <w:r>
        <w:rPr>
          <w:vertAlign w:val="superscript"/>
        </w:rPr>
        <w:footnoteRef/>
      </w:r>
      <w:r>
        <w:rPr>
          <w:sz w:val="20"/>
          <w:szCs w:val="20"/>
        </w:rPr>
        <w:t xml:space="preserve"> </w:t>
      </w:r>
      <w:hyperlink r:id="rId85">
        <w:r>
          <w:rPr>
            <w:color w:val="0000FF"/>
            <w:sz w:val="20"/>
            <w:szCs w:val="20"/>
            <w:u w:val="single"/>
          </w:rPr>
          <w:t>15 U.S.C. §648(a) (5) (b).</w:t>
        </w:r>
      </w:hyperlink>
      <w:hyperlink r:id="rId86">
        <w:r>
          <w:rPr>
            <w:rStyle w:val="Hyperlink"/>
          </w:rPr>
          <w:t>http://bit.ly/bTG3ee</w:t>
        </w:r>
      </w:hyperlink>
    </w:p>
  </w:footnote>
  <w:footnote w:id="78">
    <w:p w14:paraId="20434C61" w14:textId="77777777" w:rsidR="00DB4AC9" w:rsidRDefault="00DB4AC9" w:rsidP="00DB4AC9">
      <w:pPr>
        <w:widowControl w:val="0"/>
        <w:spacing w:after="40"/>
        <w:jc w:val="both"/>
      </w:pPr>
      <w:r>
        <w:rPr>
          <w:vertAlign w:val="superscript"/>
        </w:rPr>
        <w:footnoteRef/>
      </w:r>
      <w:r>
        <w:rPr>
          <w:sz w:val="20"/>
          <w:szCs w:val="20"/>
        </w:rPr>
        <w:t xml:space="preserve"> Cooperative Agreement, 2.d. The current Cooperative Agreement is posted on the MnSBDC Intranet.</w:t>
      </w:r>
    </w:p>
  </w:footnote>
  <w:footnote w:id="79">
    <w:p w14:paraId="50D5F3C3" w14:textId="77777777" w:rsidR="00DB4AC9" w:rsidRDefault="00DB4AC9" w:rsidP="00DB4AC9">
      <w:pPr>
        <w:widowControl w:val="0"/>
        <w:spacing w:after="40"/>
        <w:jc w:val="both"/>
      </w:pPr>
      <w:r>
        <w:rPr>
          <w:vertAlign w:val="superscript"/>
        </w:rPr>
        <w:footnoteRef/>
      </w:r>
      <w:r>
        <w:rPr>
          <w:sz w:val="20"/>
          <w:szCs w:val="20"/>
        </w:rPr>
        <w:t xml:space="preserve"> 31 U.S.C §</w:t>
      </w:r>
      <w:proofErr w:type="gramStart"/>
      <w:r>
        <w:rPr>
          <w:sz w:val="20"/>
          <w:szCs w:val="20"/>
        </w:rPr>
        <w:t>1352;</w:t>
      </w:r>
      <w:proofErr w:type="gramEnd"/>
      <w:r>
        <w:rPr>
          <w:sz w:val="20"/>
          <w:szCs w:val="20"/>
        </w:rPr>
        <w:t xml:space="preserve"> </w:t>
      </w:r>
    </w:p>
  </w:footnote>
  <w:footnote w:id="80">
    <w:p w14:paraId="3AF56777" w14:textId="77777777" w:rsidR="00DB4AC9" w:rsidRDefault="00DB4AC9" w:rsidP="00DB4AC9">
      <w:pPr>
        <w:widowControl w:val="0"/>
        <w:spacing w:after="40"/>
        <w:jc w:val="both"/>
      </w:pPr>
      <w:r>
        <w:rPr>
          <w:vertAlign w:val="superscript"/>
        </w:rPr>
        <w:footnoteRef/>
      </w:r>
      <w:r>
        <w:rPr>
          <w:sz w:val="20"/>
          <w:szCs w:val="20"/>
        </w:rPr>
        <w:t xml:space="preserve"> Grant Contract, point 28 Restriction on Lobbying. An example grant contract is posted on the MnSBDC Intranet.</w:t>
      </w:r>
    </w:p>
  </w:footnote>
  <w:footnote w:id="81">
    <w:p w14:paraId="738F2216" w14:textId="77777777" w:rsidR="00DB4AC9" w:rsidRDefault="00DB4AC9" w:rsidP="00DB4AC9">
      <w:pPr>
        <w:widowControl w:val="0"/>
        <w:spacing w:after="40"/>
        <w:jc w:val="both"/>
      </w:pPr>
      <w:r>
        <w:rPr>
          <w:vertAlign w:val="superscript"/>
        </w:rPr>
        <w:footnoteRef/>
      </w:r>
      <w:r>
        <w:rPr>
          <w:sz w:val="20"/>
          <w:szCs w:val="20"/>
        </w:rPr>
        <w:t xml:space="preserve"> </w:t>
      </w:r>
      <w:hyperlink r:id="rId87">
        <w:r>
          <w:rPr>
            <w:color w:val="0000FF"/>
            <w:sz w:val="20"/>
            <w:szCs w:val="20"/>
            <w:u w:val="single"/>
          </w:rPr>
          <w:t>13 C.F.R. §130.820</w:t>
        </w:r>
      </w:hyperlink>
      <w:r>
        <w:rPr>
          <w:sz w:val="20"/>
          <w:szCs w:val="20"/>
        </w:rPr>
        <w:t>; Cooperative Agreement, 5 the current Cooperative Agreement is posted on the MnSBDC Intranet.; Grant Contract, Clause I.L. An example grant contract is posted on the MnSBDC Intranet.</w:t>
      </w:r>
    </w:p>
  </w:footnote>
  <w:footnote w:id="82">
    <w:p w14:paraId="551B885F" w14:textId="77777777" w:rsidR="00DB4AC9" w:rsidRDefault="00DB4AC9" w:rsidP="00DB4AC9">
      <w:pPr>
        <w:widowControl w:val="0"/>
        <w:spacing w:after="40"/>
        <w:jc w:val="both"/>
      </w:pPr>
      <w:r>
        <w:rPr>
          <w:vertAlign w:val="superscript"/>
        </w:rPr>
        <w:footnoteRef/>
      </w:r>
      <w:r>
        <w:rPr>
          <w:sz w:val="20"/>
          <w:szCs w:val="20"/>
        </w:rPr>
        <w:t xml:space="preserve"> 13 C.F.R. §143.42(b); Cooperative Agreement, 5.h The current Cooperative Agreement is posted on the MnSBDC Intranet.</w:t>
      </w:r>
    </w:p>
  </w:footnote>
  <w:footnote w:id="83">
    <w:p w14:paraId="1C4B9163" w14:textId="77777777" w:rsidR="00DB4AC9" w:rsidRDefault="00DB4AC9" w:rsidP="00DB4AC9">
      <w:pPr>
        <w:widowControl w:val="0"/>
        <w:spacing w:after="40"/>
        <w:jc w:val="both"/>
      </w:pPr>
      <w:r>
        <w:rPr>
          <w:vertAlign w:val="superscript"/>
        </w:rPr>
        <w:footnoteRef/>
      </w:r>
      <w:r>
        <w:rPr>
          <w:sz w:val="20"/>
          <w:szCs w:val="20"/>
        </w:rPr>
        <w:t xml:space="preserve"> </w:t>
      </w:r>
      <w:hyperlink r:id="rId88">
        <w:r>
          <w:rPr>
            <w:color w:val="0000FF"/>
            <w:sz w:val="20"/>
            <w:szCs w:val="20"/>
            <w:u w:val="single"/>
          </w:rPr>
          <w:t>13 C.F.R. §130.810</w:t>
        </w:r>
      </w:hyperlink>
      <w:r>
        <w:rPr>
          <w:sz w:val="20"/>
          <w:szCs w:val="20"/>
        </w:rPr>
        <w:t>.</w:t>
      </w:r>
    </w:p>
  </w:footnote>
  <w:footnote w:id="84">
    <w:p w14:paraId="1A153385" w14:textId="77777777" w:rsidR="00DB4AC9" w:rsidRDefault="00DB4AC9" w:rsidP="00DB4AC9">
      <w:pPr>
        <w:widowControl w:val="0"/>
        <w:spacing w:after="40"/>
        <w:jc w:val="both"/>
      </w:pPr>
      <w:r>
        <w:rPr>
          <w:vertAlign w:val="superscript"/>
        </w:rPr>
        <w:footnoteRef/>
      </w:r>
      <w:r>
        <w:rPr>
          <w:sz w:val="20"/>
          <w:szCs w:val="20"/>
        </w:rPr>
        <w:t xml:space="preserve"> </w:t>
      </w:r>
      <w:hyperlink r:id="rId89">
        <w:r>
          <w:rPr>
            <w:color w:val="0000FF"/>
            <w:sz w:val="20"/>
            <w:szCs w:val="20"/>
            <w:u w:val="single"/>
          </w:rPr>
          <w:t>15 U.S.C. §648(k) (1),</w:t>
        </w:r>
      </w:hyperlink>
      <w:r>
        <w:rPr>
          <w:sz w:val="20"/>
          <w:szCs w:val="20"/>
        </w:rPr>
        <w:t xml:space="preserve"> </w:t>
      </w:r>
      <w:hyperlink r:id="rId90">
        <w:r>
          <w:rPr>
            <w:color w:val="0000FF"/>
            <w:sz w:val="20"/>
            <w:szCs w:val="20"/>
            <w:u w:val="single"/>
          </w:rPr>
          <w:t>13 C.F.R. §130.810(b).</w:t>
        </w:r>
      </w:hyperlink>
      <w:hyperlink r:id="rId91">
        <w:r>
          <w:rPr>
            <w:rStyle w:val="Hyperlink"/>
          </w:rPr>
          <w:t>http://bit.ly/</w:t>
        </w:r>
        <w:proofErr w:type="spellStart"/>
        <w:r>
          <w:rPr>
            <w:rStyle w:val="Hyperlink"/>
          </w:rPr>
          <w:t>aAdkZM</w:t>
        </w:r>
        <w:proofErr w:type="spellEnd"/>
      </w:hyperlink>
    </w:p>
  </w:footnote>
  <w:footnote w:id="85">
    <w:p w14:paraId="3A6643C4" w14:textId="77777777" w:rsidR="00DB4AC9" w:rsidRDefault="00DB4AC9" w:rsidP="00DB4AC9">
      <w:pPr>
        <w:widowControl w:val="0"/>
        <w:spacing w:after="40"/>
        <w:jc w:val="both"/>
      </w:pPr>
      <w:r>
        <w:rPr>
          <w:vertAlign w:val="superscript"/>
        </w:rPr>
        <w:footnoteRef/>
      </w:r>
      <w:r>
        <w:rPr>
          <w:sz w:val="20"/>
          <w:szCs w:val="20"/>
        </w:rPr>
        <w:t xml:space="preserve"> Cooperative Agreement, Paragraph 13.j. The current Cooperative Agreement is posted on the MnSBDC Intranet.</w:t>
      </w:r>
    </w:p>
  </w:footnote>
  <w:footnote w:id="86">
    <w:p w14:paraId="004296DD" w14:textId="77777777" w:rsidR="00DB4AC9" w:rsidRDefault="00DB4AC9" w:rsidP="00DB4AC9">
      <w:pPr>
        <w:widowControl w:val="0"/>
        <w:spacing w:after="40"/>
        <w:jc w:val="both"/>
      </w:pPr>
      <w:r>
        <w:rPr>
          <w:vertAlign w:val="superscript"/>
        </w:rPr>
        <w:footnoteRef/>
      </w:r>
      <w:r>
        <w:rPr>
          <w:sz w:val="20"/>
          <w:szCs w:val="20"/>
        </w:rPr>
        <w:t xml:space="preserve"> Grant Contract, Clause X. An example grant contract is posted on the MnSBDC Intranet.</w:t>
      </w:r>
    </w:p>
  </w:footnote>
  <w:footnote w:id="87">
    <w:p w14:paraId="15A25BE7" w14:textId="77777777" w:rsidR="00DB4AC9" w:rsidRDefault="00DB4AC9" w:rsidP="00DB4AC9">
      <w:pPr>
        <w:widowControl w:val="0"/>
        <w:spacing w:after="40"/>
        <w:jc w:val="both"/>
      </w:pPr>
      <w:r>
        <w:rPr>
          <w:vertAlign w:val="superscript"/>
        </w:rPr>
        <w:footnoteRef/>
      </w:r>
      <w:r>
        <w:rPr>
          <w:sz w:val="20"/>
          <w:szCs w:val="20"/>
        </w:rPr>
        <w:t xml:space="preserve"> </w:t>
      </w:r>
      <w:hyperlink r:id="rId92">
        <w:r>
          <w:rPr>
            <w:color w:val="0000FF"/>
            <w:sz w:val="20"/>
            <w:szCs w:val="20"/>
            <w:u w:val="single"/>
          </w:rPr>
          <w:t>13 C.F.R. §130.810(c).</w:t>
        </w:r>
      </w:hyperlink>
      <w:hyperlink r:id="rId93">
        <w:r>
          <w:rPr>
            <w:rStyle w:val="Hyperlink"/>
          </w:rPr>
          <w:t>http://bit.ly/</w:t>
        </w:r>
        <w:proofErr w:type="spellStart"/>
        <w:r>
          <w:rPr>
            <w:rStyle w:val="Hyperlink"/>
          </w:rPr>
          <w:t>aAdkZM</w:t>
        </w:r>
        <w:proofErr w:type="spellEnd"/>
      </w:hyperlink>
    </w:p>
  </w:footnote>
  <w:footnote w:id="88">
    <w:p w14:paraId="10AC6891" w14:textId="77777777" w:rsidR="00DB4AC9" w:rsidRDefault="00DB4AC9" w:rsidP="00DB4AC9">
      <w:pPr>
        <w:widowControl w:val="0"/>
        <w:spacing w:after="40"/>
      </w:pPr>
      <w:r>
        <w:rPr>
          <w:vertAlign w:val="superscript"/>
        </w:rPr>
        <w:footnoteRef/>
      </w:r>
      <w:r>
        <w:rPr>
          <w:sz w:val="20"/>
          <w:szCs w:val="20"/>
        </w:rPr>
        <w:t xml:space="preserve"> Resources include SBDCNet available at </w:t>
      </w:r>
      <w:hyperlink r:id="rId94">
        <w:r>
          <w:rPr>
            <w:color w:val="0000FF"/>
            <w:sz w:val="20"/>
            <w:szCs w:val="20"/>
            <w:u w:val="single"/>
          </w:rPr>
          <w:t>http://sbdcnet.org</w:t>
        </w:r>
      </w:hyperlink>
      <w:r>
        <w:rPr>
          <w:sz w:val="20"/>
          <w:szCs w:val="20"/>
        </w:rPr>
        <w:t xml:space="preserve">; </w:t>
      </w:r>
    </w:p>
  </w:footnote>
  <w:footnote w:id="89">
    <w:p w14:paraId="413434A2" w14:textId="2C740E37" w:rsidR="00DB4AC9" w:rsidRDefault="00DB4AC9" w:rsidP="00DB4AC9">
      <w:pPr>
        <w:widowControl w:val="0"/>
        <w:spacing w:after="40"/>
        <w:jc w:val="both"/>
      </w:pPr>
      <w:r>
        <w:rPr>
          <w:vertAlign w:val="superscript"/>
        </w:rPr>
        <w:footnoteRef/>
      </w:r>
      <w:r>
        <w:rPr>
          <w:sz w:val="20"/>
          <w:szCs w:val="20"/>
        </w:rPr>
        <w:t xml:space="preserve"> SBA district office, SCORE, Women’s Business Centers, Association of Small Business Development Centers (ASBDC), Minnesota Small Business Assistance Office</w:t>
      </w:r>
      <w:r w:rsidR="007816FD">
        <w:rPr>
          <w:sz w:val="20"/>
          <w:szCs w:val="20"/>
        </w:rPr>
        <w:t xml:space="preserve"> </w:t>
      </w:r>
      <w:r w:rsidR="005D5AD4">
        <w:rPr>
          <w:sz w:val="20"/>
          <w:szCs w:val="20"/>
        </w:rPr>
        <w:t>(SBAO)</w:t>
      </w:r>
      <w:r>
        <w:rPr>
          <w:sz w:val="20"/>
          <w:szCs w:val="20"/>
        </w:rPr>
        <w:t>, Business Service Specialist and local resources.</w:t>
      </w:r>
    </w:p>
  </w:footnote>
  <w:footnote w:id="90">
    <w:p w14:paraId="0AD41276" w14:textId="3F20B60D" w:rsidR="00DB4AC9" w:rsidRDefault="00DB4AC9" w:rsidP="00DB4AC9">
      <w:pPr>
        <w:widowControl w:val="0"/>
        <w:spacing w:after="40"/>
        <w:jc w:val="both"/>
      </w:pPr>
      <w:r>
        <w:rPr>
          <w:vertAlign w:val="superscript"/>
        </w:rPr>
        <w:footnoteRef/>
      </w:r>
      <w:r>
        <w:rPr>
          <w:sz w:val="20"/>
          <w:szCs w:val="20"/>
        </w:rPr>
        <w:t xml:space="preserve"> MnSBDC Knowledge Exchange Program; ASBDC Fall meeting. Meeting information can be found online at  </w:t>
      </w:r>
      <w:hyperlink r:id="rId95" w:history="1">
        <w:r w:rsidRPr="00686518">
          <w:rPr>
            <w:rStyle w:val="Hyperlink"/>
            <w:sz w:val="20"/>
            <w:szCs w:val="20"/>
          </w:rPr>
          <w:t>https://americassbdc.org/</w:t>
        </w:r>
      </w:hyperlink>
      <w:r>
        <w:rPr>
          <w:sz w:val="20"/>
          <w:szCs w:val="20"/>
        </w:rPr>
        <w:t xml:space="preserve"> .</w:t>
      </w:r>
    </w:p>
  </w:footnote>
  <w:footnote w:id="91">
    <w:p w14:paraId="04D4FC3B" w14:textId="77777777" w:rsidR="00DB4AC9" w:rsidRDefault="00DB4AC9" w:rsidP="00DB4AC9">
      <w:pPr>
        <w:widowControl w:val="0"/>
        <w:spacing w:after="40"/>
        <w:jc w:val="both"/>
      </w:pPr>
      <w:r w:rsidRPr="009B2328">
        <w:rPr>
          <w:vertAlign w:val="superscript"/>
        </w:rPr>
        <w:footnoteRef/>
      </w:r>
      <w:r w:rsidRPr="009B2328">
        <w:rPr>
          <w:sz w:val="20"/>
          <w:szCs w:val="20"/>
        </w:rPr>
        <w:t xml:space="preserve"> MnSBDC Strategic Plan, revised </w:t>
      </w:r>
      <w:r>
        <w:rPr>
          <w:sz w:val="20"/>
          <w:szCs w:val="20"/>
        </w:rPr>
        <w:t>in</w:t>
      </w:r>
      <w:r w:rsidRPr="009B2328">
        <w:rPr>
          <w:sz w:val="20"/>
          <w:szCs w:val="20"/>
        </w:rPr>
        <w:t xml:space="preserve"> 20</w:t>
      </w:r>
      <w:r w:rsidRPr="00AD6AC8">
        <w:rPr>
          <w:sz w:val="20"/>
          <w:szCs w:val="20"/>
        </w:rPr>
        <w:t>23</w:t>
      </w:r>
      <w:r w:rsidRPr="009B2328">
        <w:rPr>
          <w:sz w:val="20"/>
          <w:szCs w:val="20"/>
        </w:rPr>
        <w:t>; an electronic copy of the current Strategic Plan is posted on the MnSBDC intranet.</w:t>
      </w:r>
    </w:p>
  </w:footnote>
  <w:footnote w:id="92">
    <w:p w14:paraId="79DD2238" w14:textId="77777777" w:rsidR="00DB4AC9" w:rsidRDefault="00DB4AC9" w:rsidP="00DB4AC9">
      <w:pPr>
        <w:widowControl w:val="0"/>
        <w:spacing w:after="40"/>
        <w:jc w:val="both"/>
      </w:pPr>
      <w:r>
        <w:rPr>
          <w:vertAlign w:val="superscript"/>
        </w:rPr>
        <w:footnoteRef/>
      </w:r>
      <w:r>
        <w:rPr>
          <w:sz w:val="20"/>
          <w:szCs w:val="20"/>
        </w:rPr>
        <w:t xml:space="preserve"> </w:t>
      </w:r>
      <w:hyperlink r:id="rId96">
        <w:r>
          <w:rPr>
            <w:color w:val="0000FF"/>
            <w:sz w:val="20"/>
            <w:szCs w:val="20"/>
            <w:u w:val="single"/>
          </w:rPr>
          <w:t>15 U.S.C. §648(c) (5).</w:t>
        </w:r>
      </w:hyperlink>
      <w:hyperlink r:id="rId97">
        <w:r>
          <w:rPr>
            <w:rStyle w:val="Hyperlink"/>
          </w:rPr>
          <w:t>http://bit.ly/bTG3ee</w:t>
        </w:r>
      </w:hyperlink>
    </w:p>
  </w:footnote>
  <w:footnote w:id="93">
    <w:p w14:paraId="3376C6CA" w14:textId="77777777" w:rsidR="00DB4AC9" w:rsidRDefault="00DB4AC9" w:rsidP="00DB4AC9">
      <w:pPr>
        <w:widowControl w:val="0"/>
        <w:spacing w:after="40"/>
        <w:jc w:val="both"/>
      </w:pPr>
      <w:r>
        <w:rPr>
          <w:vertAlign w:val="superscript"/>
        </w:rPr>
        <w:footnoteRef/>
      </w:r>
      <w:r>
        <w:rPr>
          <w:sz w:val="20"/>
          <w:szCs w:val="20"/>
        </w:rPr>
        <w:t xml:space="preserve"> MnSBDC Strategic Plan, revised 2023; an electronic copy of the current Strategic Plan is posted on the MnSBDC intranet, Quality Control.</w:t>
      </w:r>
    </w:p>
  </w:footnote>
  <w:footnote w:id="94">
    <w:p w14:paraId="6EB50461" w14:textId="531445F9" w:rsidR="00DB4AC9" w:rsidRDefault="00DB4AC9" w:rsidP="00DB4AC9">
      <w:pPr>
        <w:widowControl w:val="0"/>
        <w:spacing w:after="40"/>
        <w:jc w:val="both"/>
      </w:pPr>
      <w:r>
        <w:rPr>
          <w:vertAlign w:val="superscript"/>
        </w:rPr>
        <w:footnoteRef/>
      </w:r>
      <w:r>
        <w:rPr>
          <w:sz w:val="20"/>
          <w:szCs w:val="20"/>
        </w:rPr>
        <w:t xml:space="preserve"> Grant Contract. An example grant contract is posted on the MnSBDC Intranet.</w:t>
      </w:r>
    </w:p>
  </w:footnote>
  <w:footnote w:id="95">
    <w:p w14:paraId="3175E4A4" w14:textId="246E32A8" w:rsidR="00DB4AC9" w:rsidRDefault="00DB4AC9" w:rsidP="00DB4AC9">
      <w:pPr>
        <w:widowControl w:val="0"/>
        <w:spacing w:after="40"/>
        <w:jc w:val="both"/>
      </w:pPr>
      <w:r>
        <w:rPr>
          <w:vertAlign w:val="superscript"/>
        </w:rPr>
        <w:footnoteRef/>
      </w:r>
      <w:r w:rsidR="00353D37">
        <w:rPr>
          <w:sz w:val="20"/>
          <w:szCs w:val="20"/>
        </w:rPr>
        <w:t xml:space="preserve"> </w:t>
      </w:r>
      <w:r>
        <w:rPr>
          <w:sz w:val="20"/>
          <w:szCs w:val="20"/>
        </w:rPr>
        <w:t>Prior SBA approval generally is required for all sole source procurements over $25,000.</w:t>
      </w:r>
    </w:p>
  </w:footnote>
  <w:footnote w:id="96">
    <w:p w14:paraId="12D13488" w14:textId="77777777" w:rsidR="00DB4AC9" w:rsidRDefault="00DB4AC9" w:rsidP="00DB4AC9">
      <w:pPr>
        <w:widowControl w:val="0"/>
        <w:spacing w:after="40"/>
        <w:jc w:val="both"/>
      </w:pPr>
      <w:r>
        <w:rPr>
          <w:vertAlign w:val="superscript"/>
        </w:rPr>
        <w:footnoteRef/>
      </w:r>
      <w:r>
        <w:rPr>
          <w:sz w:val="20"/>
          <w:szCs w:val="20"/>
        </w:rPr>
        <w:t xml:space="preserve"> Grant </w:t>
      </w:r>
      <w:proofErr w:type="gramStart"/>
      <w:r>
        <w:rPr>
          <w:sz w:val="20"/>
          <w:szCs w:val="20"/>
        </w:rPr>
        <w:t>Contract,.</w:t>
      </w:r>
      <w:proofErr w:type="gramEnd"/>
      <w:r>
        <w:rPr>
          <w:sz w:val="20"/>
          <w:szCs w:val="20"/>
        </w:rPr>
        <w:t xml:space="preserve"> An example grant contract is posted on the MnSBDC Intranet.</w:t>
      </w:r>
    </w:p>
  </w:footnote>
  <w:footnote w:id="97">
    <w:p w14:paraId="4F338E81" w14:textId="33EECD1E" w:rsidR="00EC2116" w:rsidRDefault="00EC2116">
      <w:pPr>
        <w:pStyle w:val="FootnoteText"/>
      </w:pPr>
      <w:r w:rsidRPr="00532678">
        <w:rPr>
          <w:rStyle w:val="FootnoteReference"/>
          <w:highlight w:val="green"/>
        </w:rPr>
        <w:footnoteRef/>
      </w:r>
      <w:r w:rsidRPr="00532678">
        <w:rPr>
          <w:highlight w:val="green"/>
        </w:rPr>
        <w:t xml:space="preserve"> </w:t>
      </w:r>
      <w:r w:rsidR="00532678" w:rsidRPr="00532678">
        <w:rPr>
          <w:highlight w:val="green"/>
        </w:rPr>
        <w:t>Federal Register - https://www.federalregister.gov/d/2024-27851</w:t>
      </w:r>
    </w:p>
  </w:footnote>
  <w:footnote w:id="98">
    <w:p w14:paraId="7ED90DC9" w14:textId="77777777" w:rsidR="00DB4AC9" w:rsidRDefault="00DB4AC9" w:rsidP="00DB4AC9">
      <w:pPr>
        <w:widowControl w:val="0"/>
        <w:spacing w:after="40"/>
        <w:jc w:val="both"/>
      </w:pPr>
      <w:r>
        <w:rPr>
          <w:vertAlign w:val="superscript"/>
        </w:rPr>
        <w:footnoteRef/>
      </w:r>
      <w:r>
        <w:rPr>
          <w:sz w:val="20"/>
          <w:szCs w:val="20"/>
        </w:rPr>
        <w:t xml:space="preserve">Grant </w:t>
      </w:r>
      <w:proofErr w:type="gramStart"/>
      <w:r>
        <w:rPr>
          <w:sz w:val="20"/>
          <w:szCs w:val="20"/>
        </w:rPr>
        <w:t>Contract,.</w:t>
      </w:r>
      <w:proofErr w:type="gramEnd"/>
      <w:r>
        <w:rPr>
          <w:sz w:val="20"/>
          <w:szCs w:val="20"/>
        </w:rPr>
        <w:t xml:space="preserve"> An example grant contract is posted on the MnSBDC Intranet.</w:t>
      </w:r>
    </w:p>
  </w:footnote>
  <w:footnote w:id="99">
    <w:p w14:paraId="67F2C3B0" w14:textId="711D1527" w:rsidR="00DB4AC9" w:rsidRDefault="00DB4AC9" w:rsidP="00DB4AC9">
      <w:pPr>
        <w:widowControl w:val="0"/>
        <w:spacing w:after="40"/>
        <w:jc w:val="both"/>
      </w:pPr>
      <w:r>
        <w:rPr>
          <w:vertAlign w:val="superscript"/>
        </w:rPr>
        <w:footnoteRef/>
      </w:r>
      <w:r>
        <w:rPr>
          <w:sz w:val="20"/>
          <w:szCs w:val="20"/>
        </w:rPr>
        <w:t xml:space="preserve"> MnSBDC Strategic Plan, revised</w:t>
      </w:r>
      <w:r w:rsidR="00012C9E">
        <w:rPr>
          <w:sz w:val="20"/>
          <w:szCs w:val="20"/>
        </w:rPr>
        <w:t xml:space="preserve"> </w:t>
      </w:r>
      <w:r>
        <w:rPr>
          <w:sz w:val="20"/>
          <w:szCs w:val="20"/>
        </w:rPr>
        <w:t>2023; an electronic copy of the current Strategic Plan is posted on the MnSBDC intranet.</w:t>
      </w:r>
    </w:p>
  </w:footnote>
  <w:footnote w:id="100">
    <w:p w14:paraId="674A37E3" w14:textId="77777777" w:rsidR="00DB4AC9" w:rsidRDefault="00DB4AC9" w:rsidP="00DB4AC9">
      <w:pPr>
        <w:widowControl w:val="0"/>
        <w:spacing w:after="40"/>
        <w:jc w:val="both"/>
      </w:pPr>
      <w:r>
        <w:rPr>
          <w:vertAlign w:val="superscript"/>
        </w:rPr>
        <w:footnoteRef/>
      </w:r>
      <w:r>
        <w:rPr>
          <w:sz w:val="20"/>
          <w:szCs w:val="20"/>
        </w:rPr>
        <w:t xml:space="preserve"> </w:t>
      </w:r>
      <w:hyperlink r:id="rId98">
        <w:r>
          <w:rPr>
            <w:color w:val="0000FF"/>
            <w:sz w:val="20"/>
            <w:szCs w:val="20"/>
            <w:u w:val="single"/>
          </w:rPr>
          <w:t>13 CFR §130.330(d).</w:t>
        </w:r>
      </w:hyperlink>
      <w:hyperlink r:id="rId99">
        <w:r>
          <w:rPr>
            <w:rStyle w:val="Hyperlink"/>
          </w:rPr>
          <w:t>http://bit.ly/</w:t>
        </w:r>
        <w:proofErr w:type="spellStart"/>
        <w:r>
          <w:rPr>
            <w:rStyle w:val="Hyperlink"/>
          </w:rPr>
          <w:t>aAdkZM</w:t>
        </w:r>
        <w:proofErr w:type="spellEnd"/>
      </w:hyperlink>
    </w:p>
  </w:footnote>
  <w:footnote w:id="101">
    <w:p w14:paraId="254EF075" w14:textId="77777777" w:rsidR="00DB4AC9" w:rsidRDefault="00DB4AC9" w:rsidP="00DB4AC9">
      <w:pPr>
        <w:widowControl w:val="0"/>
        <w:spacing w:after="40"/>
        <w:jc w:val="both"/>
      </w:pPr>
      <w:r>
        <w:rPr>
          <w:vertAlign w:val="superscript"/>
        </w:rPr>
        <w:footnoteRef/>
      </w:r>
      <w:r>
        <w:rPr>
          <w:sz w:val="20"/>
          <w:szCs w:val="20"/>
        </w:rPr>
        <w:t xml:space="preserve"> Minnesota Statutes Chapter 13.</w:t>
      </w:r>
    </w:p>
  </w:footnote>
  <w:footnote w:id="102">
    <w:p w14:paraId="606B8F0B" w14:textId="77777777" w:rsidR="00DB4AC9" w:rsidRDefault="00DB4AC9" w:rsidP="00DB4AC9">
      <w:pPr>
        <w:widowControl w:val="0"/>
        <w:spacing w:after="40"/>
        <w:jc w:val="both"/>
      </w:pPr>
      <w:r>
        <w:rPr>
          <w:vertAlign w:val="superscript"/>
        </w:rPr>
        <w:footnoteRef/>
      </w:r>
      <w:r>
        <w:rPr>
          <w:sz w:val="20"/>
          <w:szCs w:val="20"/>
        </w:rPr>
        <w:t xml:space="preserve"> </w:t>
      </w:r>
      <w:hyperlink r:id="rId100">
        <w:r>
          <w:rPr>
            <w:color w:val="0000FF"/>
            <w:sz w:val="20"/>
            <w:szCs w:val="20"/>
            <w:u w:val="single"/>
          </w:rPr>
          <w:t>13 C.F.R. §130.460(f) (3).</w:t>
        </w:r>
      </w:hyperlink>
      <w:hyperlink r:id="rId101">
        <w:r>
          <w:rPr>
            <w:rStyle w:val="Hyperlink"/>
          </w:rPr>
          <w:t>http://bit.ly/</w:t>
        </w:r>
        <w:proofErr w:type="spellStart"/>
        <w:r>
          <w:rPr>
            <w:rStyle w:val="Hyperlink"/>
          </w:rPr>
          <w:t>aAdkZM</w:t>
        </w:r>
        <w:proofErr w:type="spellEnd"/>
      </w:hyperlink>
    </w:p>
  </w:footnote>
  <w:footnote w:id="103">
    <w:p w14:paraId="195B9155" w14:textId="77777777" w:rsidR="00DB4AC9" w:rsidRDefault="00DB4AC9" w:rsidP="00DB4AC9">
      <w:pPr>
        <w:widowControl w:val="0"/>
        <w:spacing w:after="40"/>
        <w:jc w:val="both"/>
      </w:pPr>
      <w:r>
        <w:rPr>
          <w:vertAlign w:val="superscript"/>
        </w:rPr>
        <w:footnoteRef/>
      </w:r>
      <w:r>
        <w:rPr>
          <w:sz w:val="20"/>
          <w:szCs w:val="20"/>
        </w:rPr>
        <w:t xml:space="preserve"> See, e.g., </w:t>
      </w:r>
      <w:hyperlink r:id="rId102">
        <w:r>
          <w:rPr>
            <w:color w:val="0000FF"/>
            <w:sz w:val="20"/>
            <w:szCs w:val="20"/>
            <w:u w:val="single"/>
          </w:rPr>
          <w:t>13 C.F.R. §130.460(f).</w:t>
        </w:r>
      </w:hyperlink>
      <w:hyperlink r:id="rId103">
        <w:r>
          <w:rPr>
            <w:rStyle w:val="Hyperlink"/>
          </w:rPr>
          <w:t>http://bit.ly/</w:t>
        </w:r>
        <w:proofErr w:type="spellStart"/>
        <w:r>
          <w:rPr>
            <w:rStyle w:val="Hyperlink"/>
          </w:rPr>
          <w:t>aAdkZM</w:t>
        </w:r>
        <w:proofErr w:type="spellEnd"/>
      </w:hyperlink>
    </w:p>
  </w:footnote>
  <w:footnote w:id="104">
    <w:p w14:paraId="68E338C7" w14:textId="77777777" w:rsidR="00DB4AC9" w:rsidRDefault="00DB4AC9" w:rsidP="00DB4AC9">
      <w:pPr>
        <w:widowControl w:val="0"/>
        <w:spacing w:after="40"/>
        <w:jc w:val="both"/>
      </w:pPr>
      <w:r>
        <w:rPr>
          <w:vertAlign w:val="superscript"/>
        </w:rPr>
        <w:footnoteRef/>
      </w:r>
      <w:r>
        <w:rPr>
          <w:sz w:val="20"/>
          <w:szCs w:val="20"/>
        </w:rPr>
        <w:t xml:space="preserve"> SBA district office, SCORE, Women’s Business Centers, Association of Small Business Development Centers (ASBDC), Minnesota Small Business Assistance Office, Business Service Specialist and local resources.</w:t>
      </w:r>
    </w:p>
  </w:footnote>
  <w:footnote w:id="105">
    <w:p w14:paraId="70060E65" w14:textId="0B3BE718" w:rsidR="00DB4AC9" w:rsidRDefault="00DB4AC9" w:rsidP="00DB4AC9">
      <w:pPr>
        <w:widowControl w:val="0"/>
        <w:spacing w:after="40"/>
        <w:jc w:val="both"/>
      </w:pPr>
      <w:r>
        <w:rPr>
          <w:vertAlign w:val="superscript"/>
        </w:rPr>
        <w:footnoteRef/>
      </w:r>
      <w:r>
        <w:rPr>
          <w:sz w:val="20"/>
          <w:szCs w:val="20"/>
        </w:rPr>
        <w:t xml:space="preserve"> MnSBDC Knowledge Exchange Program (KEP); ASBDC Fall meeting.  Past available KEP presentations can be found on the MnSBDC intranet website.  ASBDC Meeting information can be found online at </w:t>
      </w:r>
      <w:hyperlink r:id="rId104" w:history="1">
        <w:r w:rsidRPr="001F2861">
          <w:rPr>
            <w:rStyle w:val="Hyperlink"/>
            <w:sz w:val="20"/>
            <w:szCs w:val="20"/>
          </w:rPr>
          <w:t>https://americassbdc.org/</w:t>
        </w:r>
      </w:hyperlink>
    </w:p>
    <w:bookmarkStart w:id="54" w:name="_3g6yksp" w:colFirst="0" w:colLast="0"/>
    <w:bookmarkEnd w:id="54"/>
  </w:footnote>
  <w:footnote w:id="106">
    <w:p w14:paraId="33632C4F" w14:textId="77777777" w:rsidR="00DB4AC9" w:rsidRDefault="00DB4AC9" w:rsidP="00DB4AC9">
      <w:pPr>
        <w:widowControl w:val="0"/>
        <w:spacing w:after="40"/>
        <w:jc w:val="both"/>
      </w:pPr>
      <w:bookmarkStart w:id="60" w:name="_3g6yksp" w:colFirst="0" w:colLast="0"/>
      <w:bookmarkEnd w:id="60"/>
      <w:r>
        <w:rPr>
          <w:vertAlign w:val="superscript"/>
        </w:rPr>
        <w:footnoteRef/>
      </w:r>
      <w:r>
        <w:rPr>
          <w:sz w:val="20"/>
          <w:szCs w:val="20"/>
        </w:rPr>
        <w:t xml:space="preserve"> </w:t>
      </w:r>
      <w:hyperlink r:id="rId105">
        <w:r>
          <w:rPr>
            <w:color w:val="0000FF"/>
            <w:sz w:val="20"/>
            <w:szCs w:val="20"/>
            <w:u w:val="single"/>
          </w:rPr>
          <w:t>15 U.S.C. §648(c) (8).</w:t>
        </w:r>
      </w:hyperlink>
      <w:hyperlink r:id="rId106">
        <w:r>
          <w:rPr>
            <w:rStyle w:val="Hyperlink"/>
          </w:rPr>
          <w:t>http://bit.ly/bTG3ee</w:t>
        </w:r>
      </w:hyperlink>
    </w:p>
  </w:footnote>
  <w:footnote w:id="107">
    <w:p w14:paraId="7EA790A9" w14:textId="77777777" w:rsidR="00DB4AC9" w:rsidRDefault="00DB4AC9" w:rsidP="00DB4AC9">
      <w:pPr>
        <w:widowControl w:val="0"/>
        <w:spacing w:after="40"/>
        <w:jc w:val="both"/>
      </w:pPr>
      <w:r>
        <w:rPr>
          <w:vertAlign w:val="superscript"/>
        </w:rPr>
        <w:footnoteRef/>
      </w:r>
      <w:r>
        <w:rPr>
          <w:sz w:val="20"/>
          <w:szCs w:val="20"/>
        </w:rPr>
        <w:t xml:space="preserve"> The SBAO was created by Minnesota Statutes §116J.66</w:t>
      </w:r>
    </w:p>
  </w:footnote>
  <w:footnote w:id="108">
    <w:p w14:paraId="7D65ABE9" w14:textId="77777777" w:rsidR="00DB4AC9" w:rsidRPr="00AB3EF3" w:rsidRDefault="00DB4AC9" w:rsidP="00DB4AC9">
      <w:pPr>
        <w:widowControl w:val="0"/>
        <w:spacing w:after="40"/>
        <w:jc w:val="both"/>
        <w:rPr>
          <w:color w:val="000000" w:themeColor="text1"/>
        </w:rPr>
      </w:pPr>
      <w:r>
        <w:rPr>
          <w:vertAlign w:val="superscript"/>
        </w:rPr>
        <w:footnoteRef/>
      </w:r>
      <w:r>
        <w:rPr>
          <w:sz w:val="20"/>
          <w:szCs w:val="20"/>
        </w:rPr>
        <w:t xml:space="preserve"> Minnesota SBDC Strategic Plan.  An electronic copy of the current Strategic Plan is posted on the MnSBDC </w:t>
      </w:r>
      <w:r w:rsidRPr="00AB3EF3">
        <w:rPr>
          <w:color w:val="000000" w:themeColor="text1"/>
          <w:sz w:val="20"/>
          <w:szCs w:val="20"/>
        </w:rPr>
        <w:t>shared drive.</w:t>
      </w:r>
    </w:p>
  </w:footnote>
  <w:footnote w:id="109">
    <w:p w14:paraId="4081080D" w14:textId="77777777" w:rsidR="00DB4AC9" w:rsidRDefault="00DB4AC9" w:rsidP="00DB4AC9">
      <w:pPr>
        <w:widowControl w:val="0"/>
        <w:spacing w:after="40"/>
        <w:jc w:val="both"/>
      </w:pPr>
      <w:r>
        <w:rPr>
          <w:vertAlign w:val="superscript"/>
        </w:rPr>
        <w:footnoteRef/>
      </w:r>
      <w:r>
        <w:rPr>
          <w:sz w:val="20"/>
          <w:szCs w:val="20"/>
        </w:rPr>
        <w:t xml:space="preserve"> </w:t>
      </w:r>
      <w:hyperlink r:id="rId107">
        <w:r>
          <w:rPr>
            <w:color w:val="0000FF"/>
            <w:sz w:val="20"/>
            <w:szCs w:val="20"/>
            <w:u w:val="single"/>
          </w:rPr>
          <w:t>13 C.F.R. §130.110</w:t>
        </w:r>
      </w:hyperlink>
      <w:r>
        <w:rPr>
          <w:sz w:val="20"/>
          <w:szCs w:val="20"/>
        </w:rPr>
        <w:t>.</w:t>
      </w:r>
    </w:p>
  </w:footnote>
  <w:footnote w:id="110">
    <w:p w14:paraId="311E9EAF" w14:textId="77777777" w:rsidR="00DB4AC9" w:rsidRDefault="00DB4AC9" w:rsidP="00DB4AC9">
      <w:pPr>
        <w:widowControl w:val="0"/>
        <w:spacing w:after="40"/>
        <w:jc w:val="both"/>
      </w:pPr>
      <w:r>
        <w:rPr>
          <w:vertAlign w:val="superscript"/>
        </w:rPr>
        <w:footnoteRef/>
      </w:r>
      <w:r>
        <w:rPr>
          <w:sz w:val="20"/>
          <w:szCs w:val="20"/>
        </w:rPr>
        <w:t xml:space="preserve"> </w:t>
      </w:r>
      <w:hyperlink r:id="rId108">
        <w:r>
          <w:rPr>
            <w:color w:val="0000FF"/>
            <w:sz w:val="20"/>
            <w:szCs w:val="20"/>
            <w:u w:val="single"/>
          </w:rPr>
          <w:t xml:space="preserve">Notice of Funding Opportunity, </w:t>
        </w:r>
        <w:proofErr w:type="spellStart"/>
        <w:r>
          <w:rPr>
            <w:color w:val="0000FF"/>
            <w:sz w:val="20"/>
            <w:szCs w:val="20"/>
            <w:u w:val="single"/>
          </w:rPr>
          <w:t>C.V.</w:t>
        </w:r>
      </w:hyperlink>
      <w:hyperlink r:id="rId109">
        <w:r>
          <w:rPr>
            <w:rStyle w:val="Hyperlink"/>
          </w:rPr>
          <w:t>http</w:t>
        </w:r>
        <w:proofErr w:type="spellEnd"/>
        <w:r>
          <w:rPr>
            <w:rStyle w:val="Hyperlink"/>
          </w:rPr>
          <w:t>://bit.ly/</w:t>
        </w:r>
        <w:proofErr w:type="spellStart"/>
        <w:r>
          <w:rPr>
            <w:rStyle w:val="Hyperlink"/>
          </w:rPr>
          <w:t>bcPpSl</w:t>
        </w:r>
        <w:proofErr w:type="spellEnd"/>
      </w:hyperlink>
    </w:p>
  </w:footnote>
  <w:footnote w:id="111">
    <w:p w14:paraId="7EBA6FBE" w14:textId="77777777" w:rsidR="00DB4AC9" w:rsidRDefault="00DB4AC9" w:rsidP="00DB4AC9">
      <w:pPr>
        <w:widowControl w:val="0"/>
        <w:spacing w:after="40"/>
        <w:jc w:val="both"/>
      </w:pPr>
      <w:r>
        <w:rPr>
          <w:vertAlign w:val="superscript"/>
        </w:rPr>
        <w:footnoteRef/>
      </w:r>
      <w:hyperlink r:id="rId110">
        <w:r>
          <w:rPr>
            <w:color w:val="0000FF"/>
            <w:sz w:val="20"/>
            <w:szCs w:val="20"/>
            <w:u w:val="single"/>
          </w:rPr>
          <w:t xml:space="preserve">Notice of Funding Opportunity, </w:t>
        </w:r>
        <w:proofErr w:type="spellStart"/>
        <w:r>
          <w:rPr>
            <w:color w:val="0000FF"/>
            <w:sz w:val="20"/>
            <w:szCs w:val="20"/>
            <w:u w:val="single"/>
          </w:rPr>
          <w:t>C.II.</w:t>
        </w:r>
      </w:hyperlink>
      <w:hyperlink r:id="rId111">
        <w:r>
          <w:rPr>
            <w:rStyle w:val="Hyperlink"/>
          </w:rPr>
          <w:t>http</w:t>
        </w:r>
        <w:proofErr w:type="spellEnd"/>
        <w:r>
          <w:rPr>
            <w:rStyle w:val="Hyperlink"/>
          </w:rPr>
          <w:t>://bit.ly/</w:t>
        </w:r>
        <w:proofErr w:type="spellStart"/>
        <w:r>
          <w:rPr>
            <w:rStyle w:val="Hyperlink"/>
          </w:rPr>
          <w:t>bcPpSl</w:t>
        </w:r>
        <w:proofErr w:type="spellEnd"/>
      </w:hyperlink>
    </w:p>
  </w:footnote>
  <w:footnote w:id="112">
    <w:p w14:paraId="515DD9DD" w14:textId="77777777" w:rsidR="00DB4AC9" w:rsidRDefault="00DB4AC9" w:rsidP="00DB4AC9">
      <w:pPr>
        <w:widowControl w:val="0"/>
        <w:spacing w:after="40"/>
        <w:jc w:val="both"/>
      </w:pPr>
      <w:r>
        <w:rPr>
          <w:vertAlign w:val="superscript"/>
        </w:rPr>
        <w:footnoteRef/>
      </w:r>
      <w:r>
        <w:rPr>
          <w:sz w:val="20"/>
          <w:szCs w:val="20"/>
        </w:rPr>
        <w:t xml:space="preserve"> Notice of Funding Opportunity</w:t>
      </w:r>
    </w:p>
  </w:footnote>
  <w:footnote w:id="113">
    <w:p w14:paraId="187BC748" w14:textId="77777777" w:rsidR="00DB4AC9" w:rsidRDefault="00DB4AC9" w:rsidP="00DB4AC9">
      <w:pPr>
        <w:widowControl w:val="0"/>
        <w:spacing w:after="40"/>
        <w:jc w:val="both"/>
      </w:pPr>
      <w:r>
        <w:rPr>
          <w:vertAlign w:val="superscript"/>
        </w:rPr>
        <w:footnoteRef/>
      </w:r>
      <w:r>
        <w:rPr>
          <w:sz w:val="20"/>
          <w:szCs w:val="20"/>
        </w:rPr>
        <w:t xml:space="preserve">  Notice of Funding Opportunity.</w:t>
      </w:r>
    </w:p>
  </w:footnote>
  <w:footnote w:id="114">
    <w:p w14:paraId="1F440697" w14:textId="77777777" w:rsidR="008D2DC6" w:rsidRPr="008D2DC6" w:rsidRDefault="00646828" w:rsidP="008D2DC6">
      <w:pPr>
        <w:pStyle w:val="FootnoteText"/>
      </w:pPr>
      <w:r>
        <w:rPr>
          <w:rStyle w:val="FootnoteReference"/>
        </w:rPr>
        <w:footnoteRef/>
      </w:r>
      <w:r>
        <w:t xml:space="preserve"> </w:t>
      </w:r>
      <w:r w:rsidR="008D2DC6" w:rsidRPr="00FA604B">
        <w:rPr>
          <w:highlight w:val="green"/>
        </w:rPr>
        <w:t>2025 NOFO - https://www.ecfr.gov/current/title-13/part-121</w:t>
      </w:r>
    </w:p>
    <w:p w14:paraId="1F197B2A" w14:textId="0FBD89AD" w:rsidR="00646828" w:rsidRDefault="00646828">
      <w:pPr>
        <w:pStyle w:val="FootnoteText"/>
      </w:pPr>
    </w:p>
  </w:footnote>
  <w:footnote w:id="115">
    <w:p w14:paraId="06E4F788" w14:textId="34D7EB09" w:rsidR="00DB4AC9" w:rsidRDefault="00DB4AC9" w:rsidP="00DB4AC9">
      <w:pPr>
        <w:widowControl w:val="0"/>
        <w:spacing w:after="40"/>
        <w:jc w:val="both"/>
      </w:pPr>
      <w:r>
        <w:rPr>
          <w:vertAlign w:val="superscript"/>
        </w:rPr>
        <w:footnoteRef/>
      </w:r>
      <w:r>
        <w:rPr>
          <w:sz w:val="20"/>
          <w:szCs w:val="20"/>
        </w:rPr>
        <w:t xml:space="preserve"> </w:t>
      </w:r>
      <w:hyperlink r:id="rId112">
        <w:r>
          <w:rPr>
            <w:color w:val="0000FF"/>
            <w:sz w:val="20"/>
            <w:szCs w:val="20"/>
            <w:u w:val="single"/>
          </w:rPr>
          <w:t>15 U.S.C. §648(m);</w:t>
        </w:r>
      </w:hyperlink>
      <w:r>
        <w:rPr>
          <w:sz w:val="20"/>
          <w:szCs w:val="20"/>
        </w:rPr>
        <w:t xml:space="preserve"> </w:t>
      </w:r>
      <w:hyperlink r:id="rId113">
        <w:r>
          <w:rPr>
            <w:color w:val="0000FF"/>
            <w:sz w:val="20"/>
            <w:szCs w:val="20"/>
            <w:u w:val="single"/>
          </w:rPr>
          <w:t>13 C.F.R. §130.470</w:t>
        </w:r>
      </w:hyperlink>
      <w:r>
        <w:rPr>
          <w:sz w:val="20"/>
          <w:szCs w:val="20"/>
        </w:rPr>
        <w:t>; Cooperative Agreement, 1 the current Cooperative Agreement is posted on the MnSBDC shared drive.; Grant Contract, Clause XVII.J. An example grant contract is posted on the MnSBDC shared drive.</w:t>
      </w:r>
    </w:p>
  </w:footnote>
  <w:footnote w:id="116">
    <w:p w14:paraId="18F8CD69" w14:textId="77777777" w:rsidR="00DB4AC9" w:rsidRDefault="00DB4AC9" w:rsidP="00DB4AC9">
      <w:pPr>
        <w:widowControl w:val="0"/>
        <w:spacing w:after="40"/>
        <w:jc w:val="both"/>
      </w:pPr>
      <w:r>
        <w:rPr>
          <w:vertAlign w:val="superscript"/>
        </w:rPr>
        <w:footnoteRef/>
      </w:r>
      <w:r>
        <w:rPr>
          <w:sz w:val="20"/>
          <w:szCs w:val="20"/>
        </w:rPr>
        <w:t xml:space="preserve"> </w:t>
      </w:r>
      <w:r>
        <w:rPr>
          <w:color w:val="0000FF"/>
        </w:rPr>
        <w:t>Public Law 108-447</w:t>
      </w:r>
      <w:r>
        <w:t xml:space="preserve">, </w:t>
      </w:r>
      <w:r>
        <w:rPr>
          <w:sz w:val="20"/>
          <w:szCs w:val="20"/>
        </w:rPr>
        <w:t xml:space="preserve">Title 1, Subtitle D, Chapter 1, Sec 142, </w:t>
      </w:r>
      <w:r>
        <w:t>approved December 8, 2004</w:t>
      </w:r>
    </w:p>
  </w:footnote>
  <w:footnote w:id="117">
    <w:p w14:paraId="1BED070B" w14:textId="77777777" w:rsidR="00DB4AC9" w:rsidRDefault="00DB4AC9" w:rsidP="00DB4AC9">
      <w:pPr>
        <w:widowControl w:val="0"/>
        <w:spacing w:after="40"/>
        <w:jc w:val="both"/>
      </w:pPr>
      <w:r w:rsidRPr="00AD6AC8">
        <w:rPr>
          <w:highlight w:val="yellow"/>
          <w:vertAlign w:val="superscript"/>
        </w:rPr>
        <w:footnoteRef/>
      </w:r>
      <w:r w:rsidRPr="00AD6AC8">
        <w:rPr>
          <w:sz w:val="20"/>
          <w:szCs w:val="20"/>
          <w:highlight w:val="yellow"/>
        </w:rPr>
        <w:t xml:space="preserve"> Minnesota Statues 13.555 (2023).</w:t>
      </w:r>
      <w:r>
        <w:rPr>
          <w:sz w:val="20"/>
          <w:szCs w:val="20"/>
        </w:rPr>
        <w:t xml:space="preserve"> </w:t>
      </w:r>
    </w:p>
  </w:footnote>
  <w:footnote w:id="118">
    <w:p w14:paraId="6F33F8ED" w14:textId="195A360A" w:rsidR="00DB4AC9" w:rsidRDefault="00DB4AC9" w:rsidP="00DB4AC9">
      <w:pPr>
        <w:widowControl w:val="0"/>
        <w:spacing w:after="40"/>
        <w:jc w:val="both"/>
      </w:pPr>
      <w:r>
        <w:rPr>
          <w:vertAlign w:val="superscript"/>
        </w:rPr>
        <w:footnoteRef/>
      </w:r>
      <w:r>
        <w:rPr>
          <w:sz w:val="20"/>
          <w:szCs w:val="20"/>
        </w:rPr>
        <w:t xml:space="preserve"> </w:t>
      </w:r>
      <w:r>
        <w:t xml:space="preserve">MnSBDC Strategic Plan, </w:t>
      </w:r>
      <w:r w:rsidR="00E263A8">
        <w:t>an</w:t>
      </w:r>
      <w:r>
        <w:t xml:space="preserve"> electronic copy of the current Strategic Plan is posted on the MnSBDC shared drive</w:t>
      </w:r>
    </w:p>
  </w:footnote>
  <w:footnote w:id="119">
    <w:p w14:paraId="37E18453" w14:textId="77777777" w:rsidR="00DB4AC9" w:rsidRDefault="00DB4AC9" w:rsidP="00DB4AC9">
      <w:pPr>
        <w:widowControl w:val="0"/>
        <w:spacing w:after="40"/>
        <w:jc w:val="both"/>
      </w:pPr>
      <w:r>
        <w:rPr>
          <w:vertAlign w:val="superscript"/>
        </w:rPr>
        <w:footnoteRef/>
      </w:r>
      <w:r>
        <w:rPr>
          <w:sz w:val="20"/>
          <w:szCs w:val="20"/>
        </w:rPr>
        <w:t xml:space="preserve"> Cooperative Agreement, 5. The current Cooperative Agreement is posted on the MnSBDC Intranet.</w:t>
      </w:r>
    </w:p>
  </w:footnote>
  <w:footnote w:id="120">
    <w:p w14:paraId="619E311A" w14:textId="77777777" w:rsidR="00DB4AC9" w:rsidRDefault="00DB4AC9" w:rsidP="00DB4AC9">
      <w:pPr>
        <w:widowControl w:val="0"/>
        <w:spacing w:after="40"/>
        <w:jc w:val="both"/>
      </w:pPr>
      <w:r>
        <w:rPr>
          <w:vertAlign w:val="superscript"/>
        </w:rPr>
        <w:footnoteRef/>
      </w:r>
      <w:r>
        <w:rPr>
          <w:sz w:val="20"/>
          <w:szCs w:val="20"/>
        </w:rPr>
        <w:t xml:space="preserve"> Documents may be uploaded and attached to client records in Client Detail section of Neoserra.  See MnSBDC Counselor Training Manual for instructions.</w:t>
      </w:r>
    </w:p>
  </w:footnote>
  <w:footnote w:id="121">
    <w:p w14:paraId="0CCEA131" w14:textId="77777777" w:rsidR="00DB4AC9" w:rsidRDefault="00DB4AC9" w:rsidP="00DB4AC9">
      <w:pPr>
        <w:spacing w:after="0"/>
      </w:pPr>
      <w:r>
        <w:rPr>
          <w:vertAlign w:val="superscript"/>
        </w:rPr>
        <w:footnoteRef/>
      </w:r>
      <w:r>
        <w:rPr>
          <w:sz w:val="20"/>
          <w:szCs w:val="20"/>
        </w:rPr>
        <w:t xml:space="preserve"> Notice of Funding Opportunity</w:t>
      </w:r>
    </w:p>
  </w:footnote>
  <w:footnote w:id="122">
    <w:p w14:paraId="6E0A9A1B" w14:textId="77777777" w:rsidR="00DB4AC9" w:rsidRDefault="00DB4AC9" w:rsidP="00DB4AC9">
      <w:pPr>
        <w:widowControl w:val="0"/>
        <w:spacing w:after="40"/>
        <w:jc w:val="both"/>
      </w:pPr>
      <w:r>
        <w:rPr>
          <w:vertAlign w:val="superscript"/>
        </w:rPr>
        <w:footnoteRef/>
      </w:r>
      <w:r>
        <w:rPr>
          <w:sz w:val="20"/>
          <w:szCs w:val="20"/>
        </w:rPr>
        <w:t xml:space="preserve"> Documents may be uploaded and attached to client records in Client Detail section of Neoserra.  See MnSBDC Neoserra Counselor Training Manual for instructions.</w:t>
      </w:r>
    </w:p>
  </w:footnote>
  <w:footnote w:id="123">
    <w:p w14:paraId="27C6FEB0" w14:textId="77777777" w:rsidR="00DB4AC9" w:rsidRDefault="00DB4AC9" w:rsidP="00DB4AC9">
      <w:pPr>
        <w:widowControl w:val="0"/>
        <w:spacing w:after="40"/>
        <w:jc w:val="both"/>
      </w:pPr>
      <w:r>
        <w:rPr>
          <w:vertAlign w:val="superscript"/>
        </w:rPr>
        <w:footnoteRef/>
      </w:r>
      <w:r>
        <w:rPr>
          <w:sz w:val="20"/>
          <w:szCs w:val="20"/>
        </w:rPr>
        <w:t xml:space="preserve"> </w:t>
      </w:r>
      <w:hyperlink r:id="rId114">
        <w:r>
          <w:rPr>
            <w:color w:val="0000FF"/>
            <w:sz w:val="20"/>
            <w:szCs w:val="20"/>
            <w:u w:val="single"/>
          </w:rPr>
          <w:t>15 U.S.C. §648(b) (3).</w:t>
        </w:r>
      </w:hyperlink>
      <w:hyperlink r:id="rId115">
        <w:r>
          <w:rPr>
            <w:rStyle w:val="Hyperlink"/>
          </w:rPr>
          <w:t>http://bit.ly/bTG3ee</w:t>
        </w:r>
      </w:hyperlink>
    </w:p>
  </w:footnote>
  <w:footnote w:id="124">
    <w:p w14:paraId="1825699A" w14:textId="77777777" w:rsidR="00DB4AC9" w:rsidRDefault="00DB4AC9" w:rsidP="00DB4AC9">
      <w:pPr>
        <w:widowControl w:val="0"/>
        <w:spacing w:after="40"/>
        <w:jc w:val="both"/>
      </w:pPr>
      <w:r>
        <w:rPr>
          <w:vertAlign w:val="superscript"/>
        </w:rPr>
        <w:footnoteRef/>
      </w:r>
      <w:r>
        <w:rPr>
          <w:sz w:val="20"/>
          <w:szCs w:val="20"/>
        </w:rPr>
        <w:t xml:space="preserve"> </w:t>
      </w:r>
      <w:hyperlink r:id="rId116">
        <w:r>
          <w:rPr>
            <w:color w:val="0000FF"/>
            <w:sz w:val="20"/>
            <w:szCs w:val="20"/>
            <w:u w:val="single"/>
          </w:rPr>
          <w:t>13 C.F.R §130.340</w:t>
        </w:r>
      </w:hyperlink>
      <w:r>
        <w:rPr>
          <w:sz w:val="20"/>
          <w:szCs w:val="20"/>
        </w:rPr>
        <w:t>.</w:t>
      </w:r>
    </w:p>
  </w:footnote>
  <w:footnote w:id="125">
    <w:p w14:paraId="6E50ED3E" w14:textId="77777777" w:rsidR="00DB4AC9" w:rsidRDefault="00DB4AC9" w:rsidP="00DB4AC9">
      <w:pPr>
        <w:widowControl w:val="0"/>
        <w:spacing w:after="40"/>
        <w:jc w:val="both"/>
      </w:pPr>
      <w:r>
        <w:rPr>
          <w:vertAlign w:val="superscript"/>
        </w:rPr>
        <w:footnoteRef/>
      </w:r>
      <w:r>
        <w:rPr>
          <w:sz w:val="20"/>
          <w:szCs w:val="20"/>
        </w:rPr>
        <w:t xml:space="preserve"> </w:t>
      </w:r>
      <w:hyperlink r:id="rId117">
        <w:r>
          <w:rPr>
            <w:color w:val="0000FF"/>
            <w:sz w:val="20"/>
            <w:szCs w:val="20"/>
            <w:u w:val="single"/>
          </w:rPr>
          <w:t>13 C.F.R. §130.340(b) (2).</w:t>
        </w:r>
      </w:hyperlink>
      <w:hyperlink r:id="rId118">
        <w:r>
          <w:rPr>
            <w:rStyle w:val="Hyperlink"/>
          </w:rPr>
          <w:t>http://bit.ly/</w:t>
        </w:r>
        <w:proofErr w:type="spellStart"/>
        <w:r>
          <w:rPr>
            <w:rStyle w:val="Hyperlink"/>
          </w:rPr>
          <w:t>aAdkZM</w:t>
        </w:r>
        <w:proofErr w:type="spellEnd"/>
      </w:hyperlink>
    </w:p>
  </w:footnote>
  <w:footnote w:id="126">
    <w:p w14:paraId="31AA5B7C" w14:textId="77777777" w:rsidR="00DB4AC9" w:rsidRDefault="00DB4AC9" w:rsidP="00DB4AC9">
      <w:pPr>
        <w:widowControl w:val="0"/>
        <w:spacing w:after="40"/>
        <w:jc w:val="both"/>
      </w:pPr>
      <w:r>
        <w:rPr>
          <w:vertAlign w:val="superscript"/>
        </w:rPr>
        <w:footnoteRef/>
      </w:r>
      <w:r>
        <w:rPr>
          <w:sz w:val="20"/>
          <w:szCs w:val="20"/>
        </w:rPr>
        <w:t xml:space="preserve"> </w:t>
      </w:r>
      <w:hyperlink r:id="rId119">
        <w:r>
          <w:rPr>
            <w:color w:val="0000FF"/>
            <w:sz w:val="20"/>
            <w:szCs w:val="20"/>
            <w:u w:val="single"/>
          </w:rPr>
          <w:t>13 C.F.R. §130.340(b) (3).</w:t>
        </w:r>
      </w:hyperlink>
      <w:hyperlink r:id="rId120">
        <w:r>
          <w:rPr>
            <w:rStyle w:val="Hyperlink"/>
          </w:rPr>
          <w:t>http://bit.ly/</w:t>
        </w:r>
        <w:proofErr w:type="spellStart"/>
        <w:r>
          <w:rPr>
            <w:rStyle w:val="Hyperlink"/>
          </w:rPr>
          <w:t>aAdkZM</w:t>
        </w:r>
        <w:proofErr w:type="spellEnd"/>
      </w:hyperlink>
    </w:p>
  </w:footnote>
  <w:footnote w:id="127">
    <w:p w14:paraId="6F84768A" w14:textId="77777777" w:rsidR="00DB4AC9" w:rsidRDefault="00DB4AC9" w:rsidP="00DB4AC9">
      <w:pPr>
        <w:widowControl w:val="0"/>
        <w:spacing w:after="40"/>
        <w:jc w:val="both"/>
      </w:pPr>
      <w:r>
        <w:rPr>
          <w:vertAlign w:val="superscript"/>
        </w:rPr>
        <w:footnoteRef/>
      </w:r>
      <w:r>
        <w:rPr>
          <w:sz w:val="20"/>
          <w:szCs w:val="20"/>
        </w:rPr>
        <w:t xml:space="preserve"> </w:t>
      </w:r>
      <w:hyperlink r:id="rId121">
        <w:r>
          <w:rPr>
            <w:color w:val="0000FF"/>
            <w:sz w:val="20"/>
            <w:szCs w:val="20"/>
            <w:u w:val="single"/>
          </w:rPr>
          <w:t>13 C.F.R. §130.340(b) (4).</w:t>
        </w:r>
      </w:hyperlink>
      <w:hyperlink r:id="rId122">
        <w:r>
          <w:rPr>
            <w:rStyle w:val="Hyperlink"/>
          </w:rPr>
          <w:t>http://bit.ly/</w:t>
        </w:r>
        <w:proofErr w:type="spellStart"/>
        <w:r>
          <w:rPr>
            <w:rStyle w:val="Hyperlink"/>
          </w:rPr>
          <w:t>aAdkZM</w:t>
        </w:r>
        <w:proofErr w:type="spellEnd"/>
      </w:hyperlink>
    </w:p>
  </w:footnote>
  <w:footnote w:id="128">
    <w:p w14:paraId="47C48BCF" w14:textId="77777777" w:rsidR="00DB4AC9" w:rsidRDefault="00DB4AC9" w:rsidP="00DB4AC9">
      <w:pPr>
        <w:widowControl w:val="0"/>
        <w:spacing w:after="40"/>
        <w:jc w:val="both"/>
      </w:pPr>
      <w:r>
        <w:rPr>
          <w:vertAlign w:val="superscript"/>
        </w:rPr>
        <w:footnoteRef/>
      </w:r>
      <w:r>
        <w:rPr>
          <w:sz w:val="20"/>
          <w:szCs w:val="20"/>
        </w:rPr>
        <w:t xml:space="preserve"> Grant Contract, Clause XVIII.G. An example grant contract is posted on the MnSBDC Intranet.</w:t>
      </w:r>
    </w:p>
  </w:footnote>
  <w:footnote w:id="129">
    <w:p w14:paraId="5A3471D1" w14:textId="77777777" w:rsidR="00DB4AC9" w:rsidRDefault="00DB4AC9" w:rsidP="00DB4AC9">
      <w:pPr>
        <w:widowControl w:val="0"/>
        <w:spacing w:after="40"/>
        <w:jc w:val="both"/>
      </w:pPr>
      <w:r>
        <w:rPr>
          <w:vertAlign w:val="superscript"/>
        </w:rPr>
        <w:footnoteRef/>
      </w:r>
      <w:r>
        <w:rPr>
          <w:sz w:val="20"/>
          <w:szCs w:val="20"/>
        </w:rPr>
        <w:t xml:space="preserve"> </w:t>
      </w:r>
      <w:hyperlink r:id="rId123">
        <w:r>
          <w:rPr>
            <w:color w:val="0000FF"/>
            <w:sz w:val="20"/>
            <w:szCs w:val="20"/>
            <w:u w:val="single"/>
          </w:rPr>
          <w:t>13 C.F.R. §130.340(b) (5).</w:t>
        </w:r>
      </w:hyperlink>
      <w:hyperlink r:id="rId124">
        <w:r>
          <w:rPr>
            <w:rStyle w:val="Hyperlink"/>
          </w:rPr>
          <w:t>http://bit.ly/</w:t>
        </w:r>
        <w:proofErr w:type="spellStart"/>
        <w:r>
          <w:rPr>
            <w:rStyle w:val="Hyperlink"/>
          </w:rPr>
          <w:t>aAdkZM</w:t>
        </w:r>
        <w:proofErr w:type="spellEnd"/>
      </w:hyperlink>
    </w:p>
  </w:footnote>
  <w:footnote w:id="130">
    <w:p w14:paraId="28FF552A" w14:textId="77777777" w:rsidR="00DB4AC9" w:rsidRDefault="00DB4AC9" w:rsidP="00DB4AC9">
      <w:pPr>
        <w:widowControl w:val="0"/>
        <w:spacing w:after="40"/>
        <w:jc w:val="both"/>
      </w:pPr>
      <w:r>
        <w:rPr>
          <w:vertAlign w:val="superscript"/>
        </w:rPr>
        <w:footnoteRef/>
      </w:r>
      <w:r>
        <w:rPr>
          <w:sz w:val="20"/>
          <w:szCs w:val="20"/>
        </w:rPr>
        <w:t xml:space="preserve"> </w:t>
      </w:r>
      <w:hyperlink r:id="rId125">
        <w:r>
          <w:rPr>
            <w:color w:val="0000FF"/>
            <w:sz w:val="20"/>
            <w:szCs w:val="20"/>
            <w:u w:val="single"/>
          </w:rPr>
          <w:t>13 C.F.R. §130.340(b) (5).</w:t>
        </w:r>
      </w:hyperlink>
      <w:hyperlink r:id="rId126">
        <w:r>
          <w:rPr>
            <w:rStyle w:val="Hyperlink"/>
          </w:rPr>
          <w:t>http://bit.ly/</w:t>
        </w:r>
        <w:proofErr w:type="spellStart"/>
        <w:r>
          <w:rPr>
            <w:rStyle w:val="Hyperlink"/>
          </w:rPr>
          <w:t>aAdkZM</w:t>
        </w:r>
        <w:proofErr w:type="spellEnd"/>
      </w:hyperlink>
    </w:p>
  </w:footnote>
  <w:footnote w:id="131">
    <w:p w14:paraId="6672F7DC" w14:textId="77777777" w:rsidR="00DB4AC9" w:rsidRDefault="00DB4AC9" w:rsidP="00DB4AC9">
      <w:pPr>
        <w:widowControl w:val="0"/>
        <w:spacing w:after="40"/>
        <w:jc w:val="both"/>
      </w:pPr>
      <w:r>
        <w:rPr>
          <w:vertAlign w:val="superscript"/>
        </w:rPr>
        <w:footnoteRef/>
      </w:r>
      <w:r>
        <w:rPr>
          <w:sz w:val="20"/>
          <w:szCs w:val="20"/>
        </w:rPr>
        <w:t xml:space="preserve"> MnSBDC Graphic Standards Manual. A copy of the Graphic Standards Manual is posted on the MnSBDC Intranet.</w:t>
      </w:r>
    </w:p>
  </w:footnote>
  <w:footnote w:id="132">
    <w:p w14:paraId="639B9753" w14:textId="77777777" w:rsidR="00DB4AC9" w:rsidRDefault="00DB4AC9" w:rsidP="00DB4AC9">
      <w:pPr>
        <w:widowControl w:val="0"/>
        <w:spacing w:after="40"/>
        <w:jc w:val="both"/>
      </w:pPr>
      <w:r>
        <w:rPr>
          <w:vertAlign w:val="superscript"/>
        </w:rPr>
        <w:footnoteRef/>
      </w:r>
      <w:r>
        <w:rPr>
          <w:sz w:val="20"/>
          <w:szCs w:val="20"/>
        </w:rPr>
        <w:t xml:space="preserve"> </w:t>
      </w:r>
      <w:hyperlink r:id="rId127">
        <w:r>
          <w:rPr>
            <w:color w:val="0000FF"/>
            <w:sz w:val="20"/>
            <w:szCs w:val="20"/>
            <w:u w:val="single"/>
          </w:rPr>
          <w:t xml:space="preserve">Notice of Funding Opportunity, </w:t>
        </w:r>
        <w:proofErr w:type="gramStart"/>
        <w:r>
          <w:rPr>
            <w:color w:val="0000FF"/>
            <w:sz w:val="20"/>
            <w:szCs w:val="20"/>
            <w:u w:val="single"/>
          </w:rPr>
          <w:t>VIII.A.V</w:t>
        </w:r>
        <w:proofErr w:type="gramEnd"/>
      </w:hyperlink>
      <w:r>
        <w:rPr>
          <w:sz w:val="20"/>
          <w:szCs w:val="20"/>
        </w:rPr>
        <w:t>.</w:t>
      </w:r>
    </w:p>
  </w:footnote>
  <w:footnote w:id="133">
    <w:p w14:paraId="63093446" w14:textId="77777777" w:rsidR="00DB4AC9" w:rsidRDefault="00DB4AC9" w:rsidP="00DB4AC9">
      <w:pPr>
        <w:widowControl w:val="0"/>
        <w:spacing w:after="40"/>
        <w:jc w:val="both"/>
      </w:pPr>
      <w:r>
        <w:rPr>
          <w:vertAlign w:val="superscript"/>
        </w:rPr>
        <w:footnoteRef/>
      </w:r>
      <w:r>
        <w:rPr>
          <w:sz w:val="20"/>
          <w:szCs w:val="20"/>
        </w:rPr>
        <w:t xml:space="preserve"> </w:t>
      </w:r>
      <w:hyperlink r:id="rId128">
        <w:r>
          <w:rPr>
            <w:color w:val="0000FF"/>
            <w:sz w:val="20"/>
            <w:szCs w:val="20"/>
            <w:u w:val="single"/>
          </w:rPr>
          <w:t xml:space="preserve">Notice of Funding Opportunity, </w:t>
        </w:r>
        <w:proofErr w:type="gramStart"/>
        <w:r>
          <w:rPr>
            <w:color w:val="0000FF"/>
            <w:sz w:val="20"/>
            <w:szCs w:val="20"/>
            <w:u w:val="single"/>
          </w:rPr>
          <w:t>VIII.D.XXIII</w:t>
        </w:r>
        <w:proofErr w:type="gramEnd"/>
      </w:hyperlink>
      <w:r>
        <w:rPr>
          <w:sz w:val="20"/>
          <w:szCs w:val="20"/>
        </w:rPr>
        <w:t>.</w:t>
      </w:r>
    </w:p>
  </w:footnote>
  <w:footnote w:id="134">
    <w:p w14:paraId="73275B8F" w14:textId="77777777" w:rsidR="00DB4AC9" w:rsidRDefault="00DB4AC9" w:rsidP="00DB4AC9">
      <w:pPr>
        <w:widowControl w:val="0"/>
        <w:spacing w:after="40"/>
        <w:jc w:val="both"/>
      </w:pPr>
      <w:r>
        <w:rPr>
          <w:vertAlign w:val="superscript"/>
        </w:rPr>
        <w:footnoteRef/>
      </w:r>
      <w:r>
        <w:rPr>
          <w:sz w:val="20"/>
          <w:szCs w:val="20"/>
        </w:rPr>
        <w:t>MnSBDC Strategic Plan, revised June 2010; An electronic copy of the current Strategic Plan is posted on the MnSBDC intranet</w:t>
      </w:r>
    </w:p>
  </w:footnote>
  <w:footnote w:id="135">
    <w:p w14:paraId="47F08000" w14:textId="77777777" w:rsidR="00DB4AC9" w:rsidRDefault="00DB4AC9" w:rsidP="00DB4AC9">
      <w:pPr>
        <w:widowControl w:val="0"/>
        <w:spacing w:after="40"/>
        <w:jc w:val="both"/>
      </w:pPr>
      <w:r>
        <w:rPr>
          <w:vertAlign w:val="superscript"/>
        </w:rPr>
        <w:footnoteRef/>
      </w:r>
      <w:r>
        <w:rPr>
          <w:sz w:val="20"/>
          <w:szCs w:val="20"/>
        </w:rPr>
        <w:t xml:space="preserve"> </w:t>
      </w:r>
      <w:hyperlink r:id="rId129">
        <w:r>
          <w:rPr>
            <w:color w:val="0000FF"/>
            <w:sz w:val="20"/>
            <w:szCs w:val="20"/>
            <w:u w:val="single"/>
          </w:rPr>
          <w:t>13 C.F.R. §130.110</w:t>
        </w:r>
      </w:hyperlink>
      <w:hyperlink r:id="rId130">
        <w:r>
          <w:rPr>
            <w:rStyle w:val="Hyperlink"/>
          </w:rPr>
          <w:t>http://bit.ly/</w:t>
        </w:r>
        <w:proofErr w:type="spellStart"/>
        <w:r>
          <w:rPr>
            <w:rStyle w:val="Hyperlink"/>
          </w:rPr>
          <w:t>aAdkZM</w:t>
        </w:r>
        <w:proofErr w:type="spellEnd"/>
      </w:hyperlink>
    </w:p>
  </w:footnote>
  <w:footnote w:id="136">
    <w:p w14:paraId="706B4DFF" w14:textId="77777777" w:rsidR="00DB4AC9" w:rsidRDefault="00DB4AC9" w:rsidP="00DB4AC9">
      <w:pPr>
        <w:widowControl w:val="0"/>
        <w:spacing w:after="40"/>
        <w:jc w:val="both"/>
      </w:pPr>
      <w:r>
        <w:rPr>
          <w:vertAlign w:val="superscript"/>
        </w:rPr>
        <w:footnoteRef/>
      </w:r>
      <w:r>
        <w:rPr>
          <w:sz w:val="20"/>
          <w:szCs w:val="20"/>
        </w:rPr>
        <w:t xml:space="preserve"> SBA Form 888.</w:t>
      </w:r>
    </w:p>
  </w:footnote>
  <w:footnote w:id="137">
    <w:p w14:paraId="5F9C3336" w14:textId="77777777" w:rsidR="00DB4AC9" w:rsidRDefault="00DB4AC9" w:rsidP="00DB4AC9">
      <w:pPr>
        <w:widowControl w:val="0"/>
        <w:spacing w:after="40"/>
        <w:jc w:val="both"/>
      </w:pPr>
      <w:r>
        <w:rPr>
          <w:vertAlign w:val="superscript"/>
        </w:rPr>
        <w:footnoteRef/>
      </w:r>
      <w:r>
        <w:rPr>
          <w:sz w:val="20"/>
          <w:szCs w:val="20"/>
        </w:rPr>
        <w:t xml:space="preserve"> Grant Contract, Clause XVIII.J. An example grant contract is posted on the MnSBDC Intranet.</w:t>
      </w:r>
    </w:p>
  </w:footnote>
  <w:footnote w:id="138">
    <w:p w14:paraId="39C2963E" w14:textId="03EEEA7F" w:rsidR="005D28AD" w:rsidRDefault="005D28AD">
      <w:pPr>
        <w:pStyle w:val="FootnoteText"/>
      </w:pPr>
      <w:r w:rsidRPr="00062BEA">
        <w:rPr>
          <w:rStyle w:val="FootnoteReference"/>
          <w:highlight w:val="green"/>
        </w:rPr>
        <w:footnoteRef/>
      </w:r>
      <w:r w:rsidRPr="00062BEA">
        <w:rPr>
          <w:highlight w:val="green"/>
        </w:rPr>
        <w:t xml:space="preserve"> </w:t>
      </w:r>
      <w:r w:rsidR="006F341D" w:rsidRPr="00062BEA">
        <w:rPr>
          <w:highlight w:val="green"/>
        </w:rPr>
        <w:t xml:space="preserve">SBA Award Standard Terms - </w:t>
      </w:r>
      <w:r w:rsidR="00FF1DA4" w:rsidRPr="00062BEA">
        <w:rPr>
          <w:highlight w:val="green"/>
        </w:rPr>
        <w:t>#18 Acknowledgement of SBA Support/Use of SBA’s Logo/Publication Requirements</w:t>
      </w:r>
    </w:p>
  </w:footnote>
  <w:footnote w:id="139">
    <w:p w14:paraId="50393BEC" w14:textId="1ABEBD72" w:rsidR="00DB4AC9" w:rsidRDefault="00DB4AC9" w:rsidP="00DB4AC9">
      <w:pPr>
        <w:widowControl w:val="0"/>
        <w:spacing w:after="40"/>
        <w:jc w:val="both"/>
      </w:pPr>
      <w:r>
        <w:rPr>
          <w:vertAlign w:val="superscript"/>
        </w:rPr>
        <w:footnoteRef/>
      </w:r>
      <w:r>
        <w:rPr>
          <w:sz w:val="20"/>
          <w:szCs w:val="20"/>
        </w:rPr>
        <w:t xml:space="preserve"> SBDCNet accessible online at </w:t>
      </w:r>
      <w:hyperlink r:id="rId131" w:history="1">
        <w:r w:rsidRPr="00F72411">
          <w:rPr>
            <w:rStyle w:val="Hyperlink"/>
            <w:sz w:val="20"/>
            <w:szCs w:val="20"/>
          </w:rPr>
          <w:t>http</w:t>
        </w:r>
        <w:r w:rsidR="00F72411" w:rsidRPr="00F72411">
          <w:rPr>
            <w:rStyle w:val="Hyperlink"/>
            <w:sz w:val="20"/>
            <w:szCs w:val="20"/>
          </w:rPr>
          <w:t>s</w:t>
        </w:r>
        <w:r w:rsidRPr="00F72411">
          <w:rPr>
            <w:rStyle w:val="Hyperlink"/>
            <w:sz w:val="20"/>
            <w:szCs w:val="20"/>
          </w:rPr>
          <w:t>://sbdcnet.org</w:t>
        </w:r>
      </w:hyperlink>
      <w:r>
        <w:rPr>
          <w:sz w:val="20"/>
          <w:szCs w:val="20"/>
        </w:rPr>
        <w:t>.</w:t>
      </w:r>
    </w:p>
  </w:footnote>
  <w:footnote w:id="140">
    <w:p w14:paraId="3EBCB9E8" w14:textId="77777777" w:rsidR="00DB4AC9" w:rsidRDefault="00DB4AC9" w:rsidP="00DB4AC9">
      <w:pPr>
        <w:widowControl w:val="0"/>
        <w:spacing w:after="40"/>
        <w:jc w:val="both"/>
      </w:pPr>
      <w:r>
        <w:rPr>
          <w:vertAlign w:val="superscript"/>
        </w:rPr>
        <w:footnoteRef/>
      </w:r>
      <w:r>
        <w:rPr>
          <w:sz w:val="20"/>
          <w:szCs w:val="20"/>
        </w:rPr>
        <w:t xml:space="preserve"> </w:t>
      </w:r>
      <w:hyperlink r:id="rId132">
        <w:r>
          <w:rPr>
            <w:color w:val="0000FF"/>
            <w:sz w:val="20"/>
            <w:szCs w:val="20"/>
            <w:u w:val="single"/>
          </w:rPr>
          <w:t xml:space="preserve">Notice of Funding Opportunity, </w:t>
        </w:r>
        <w:proofErr w:type="gramStart"/>
        <w:r>
          <w:rPr>
            <w:color w:val="0000FF"/>
            <w:sz w:val="20"/>
            <w:szCs w:val="20"/>
            <w:u w:val="single"/>
          </w:rPr>
          <w:t>VIII.B.IV</w:t>
        </w:r>
        <w:proofErr w:type="gramEnd"/>
      </w:hyperlink>
      <w:r>
        <w:rPr>
          <w:sz w:val="20"/>
          <w:szCs w:val="20"/>
        </w:rPr>
        <w:t>; Cooperative Agreement 12.a. The current Cooperative Agreement is posted on the MnSBDC Intranet.</w:t>
      </w:r>
    </w:p>
  </w:footnote>
  <w:footnote w:id="141">
    <w:p w14:paraId="6934C5B5" w14:textId="77777777" w:rsidR="00DB4AC9" w:rsidRDefault="00DB4AC9" w:rsidP="00DB4AC9">
      <w:pPr>
        <w:widowControl w:val="0"/>
        <w:spacing w:after="40"/>
        <w:jc w:val="both"/>
      </w:pPr>
      <w:r>
        <w:rPr>
          <w:vertAlign w:val="superscript"/>
        </w:rPr>
        <w:footnoteRef/>
      </w:r>
      <w:r>
        <w:rPr>
          <w:sz w:val="20"/>
          <w:szCs w:val="20"/>
        </w:rPr>
        <w:t xml:space="preserve"> </w:t>
      </w:r>
      <w:hyperlink r:id="rId133">
        <w:r>
          <w:rPr>
            <w:color w:val="0000FF"/>
            <w:sz w:val="20"/>
            <w:szCs w:val="20"/>
            <w:u w:val="single"/>
          </w:rPr>
          <w:t xml:space="preserve">Notice of Funding Opportunity, </w:t>
        </w:r>
        <w:proofErr w:type="gramStart"/>
        <w:r>
          <w:rPr>
            <w:color w:val="0000FF"/>
            <w:sz w:val="20"/>
            <w:szCs w:val="20"/>
            <w:u w:val="single"/>
          </w:rPr>
          <w:t>VIII.C.XXXII</w:t>
        </w:r>
        <w:proofErr w:type="gramEnd"/>
      </w:hyperlink>
      <w:r>
        <w:rPr>
          <w:sz w:val="20"/>
          <w:szCs w:val="20"/>
        </w:rPr>
        <w:t>.</w:t>
      </w:r>
    </w:p>
  </w:footnote>
  <w:footnote w:id="142">
    <w:p w14:paraId="28919516" w14:textId="77777777" w:rsidR="00DB4AC9" w:rsidRDefault="00DB4AC9" w:rsidP="00DB4AC9">
      <w:pPr>
        <w:widowControl w:val="0"/>
        <w:spacing w:after="40"/>
        <w:jc w:val="both"/>
      </w:pPr>
      <w:r>
        <w:rPr>
          <w:vertAlign w:val="superscript"/>
        </w:rPr>
        <w:footnoteRef/>
      </w:r>
      <w:r>
        <w:rPr>
          <w:sz w:val="20"/>
          <w:szCs w:val="20"/>
        </w:rPr>
        <w:t xml:space="preserve"> </w:t>
      </w:r>
      <w:hyperlink r:id="rId134">
        <w:r>
          <w:rPr>
            <w:color w:val="0000FF"/>
            <w:sz w:val="20"/>
            <w:szCs w:val="20"/>
            <w:u w:val="single"/>
          </w:rPr>
          <w:t xml:space="preserve">Notice of Funding Opportunity, </w:t>
        </w:r>
        <w:proofErr w:type="gramStart"/>
        <w:r>
          <w:rPr>
            <w:color w:val="0000FF"/>
            <w:sz w:val="20"/>
            <w:szCs w:val="20"/>
            <w:u w:val="single"/>
          </w:rPr>
          <w:t>VIII.D.V</w:t>
        </w:r>
        <w:proofErr w:type="gramEnd"/>
      </w:hyperlink>
      <w:r>
        <w:rPr>
          <w:sz w:val="20"/>
          <w:szCs w:val="20"/>
        </w:rPr>
        <w:t>.</w:t>
      </w:r>
    </w:p>
  </w:footnote>
  <w:footnote w:id="143">
    <w:p w14:paraId="741128C8" w14:textId="77777777" w:rsidR="00DB4AC9" w:rsidRDefault="00DB4AC9" w:rsidP="00DB4AC9">
      <w:pPr>
        <w:widowControl w:val="0"/>
        <w:spacing w:after="40"/>
        <w:jc w:val="both"/>
      </w:pPr>
      <w:r>
        <w:rPr>
          <w:vertAlign w:val="superscript"/>
        </w:rPr>
        <w:footnoteRef/>
      </w:r>
      <w:r>
        <w:rPr>
          <w:sz w:val="20"/>
          <w:szCs w:val="20"/>
        </w:rPr>
        <w:t xml:space="preserve"> </w:t>
      </w:r>
      <w:hyperlink r:id="rId135">
        <w:r>
          <w:rPr>
            <w:color w:val="0000FF"/>
            <w:sz w:val="20"/>
            <w:szCs w:val="20"/>
            <w:u w:val="single"/>
          </w:rPr>
          <w:t xml:space="preserve">Notice of Funding Opportunity, </w:t>
        </w:r>
        <w:proofErr w:type="gramStart"/>
        <w:r>
          <w:rPr>
            <w:color w:val="0000FF"/>
            <w:sz w:val="20"/>
            <w:szCs w:val="20"/>
            <w:u w:val="single"/>
          </w:rPr>
          <w:t>VIII.D.XXIV</w:t>
        </w:r>
        <w:proofErr w:type="gramEnd"/>
      </w:hyperlink>
      <w:r>
        <w:rPr>
          <w:sz w:val="20"/>
          <w:szCs w:val="20"/>
        </w:rPr>
        <w:t>.</w:t>
      </w:r>
    </w:p>
  </w:footnote>
  <w:footnote w:id="144">
    <w:p w14:paraId="51567EE9" w14:textId="77777777" w:rsidR="00DB4AC9" w:rsidRDefault="00DB4AC9" w:rsidP="00DB4AC9">
      <w:pPr>
        <w:widowControl w:val="0"/>
        <w:spacing w:after="40"/>
        <w:jc w:val="both"/>
      </w:pPr>
      <w:r>
        <w:rPr>
          <w:vertAlign w:val="superscript"/>
        </w:rPr>
        <w:footnoteRef/>
      </w:r>
      <w:r>
        <w:rPr>
          <w:sz w:val="20"/>
          <w:szCs w:val="20"/>
        </w:rPr>
        <w:t xml:space="preserve"> </w:t>
      </w:r>
      <w:hyperlink r:id="rId136">
        <w:r>
          <w:rPr>
            <w:color w:val="0000FF"/>
            <w:sz w:val="20"/>
            <w:szCs w:val="20"/>
            <w:u w:val="single"/>
          </w:rPr>
          <w:t xml:space="preserve">Notice of Funding Opportunity, </w:t>
        </w:r>
        <w:proofErr w:type="gramStart"/>
        <w:r>
          <w:rPr>
            <w:color w:val="0000FF"/>
            <w:sz w:val="20"/>
            <w:szCs w:val="20"/>
            <w:u w:val="single"/>
          </w:rPr>
          <w:t>VIII.D.XXIV</w:t>
        </w:r>
        <w:proofErr w:type="gramEnd"/>
      </w:hyperlink>
      <w:r>
        <w:rPr>
          <w:sz w:val="20"/>
          <w:szCs w:val="20"/>
        </w:rPr>
        <w:t>.</w:t>
      </w:r>
    </w:p>
  </w:footnote>
  <w:footnote w:id="145">
    <w:p w14:paraId="7E4F8D07" w14:textId="77777777" w:rsidR="00DB4AC9" w:rsidRDefault="00DB4AC9" w:rsidP="00DB4AC9">
      <w:pPr>
        <w:widowControl w:val="0"/>
        <w:spacing w:after="40"/>
        <w:jc w:val="both"/>
      </w:pPr>
      <w:r>
        <w:rPr>
          <w:vertAlign w:val="superscript"/>
        </w:rPr>
        <w:footnoteRef/>
      </w:r>
      <w:r>
        <w:rPr>
          <w:sz w:val="20"/>
          <w:szCs w:val="20"/>
        </w:rPr>
        <w:t xml:space="preserve"> </w:t>
      </w:r>
      <w:hyperlink r:id="rId137">
        <w:r>
          <w:rPr>
            <w:color w:val="0000FF"/>
            <w:sz w:val="20"/>
            <w:szCs w:val="20"/>
            <w:u w:val="single"/>
          </w:rPr>
          <w:t>15 U.S.C. §648(a) (4).</w:t>
        </w:r>
      </w:hyperlink>
      <w:hyperlink r:id="rId138">
        <w:r>
          <w:rPr>
            <w:rStyle w:val="Hyperlink"/>
          </w:rPr>
          <w:t>http://bit.ly/bTG3ee</w:t>
        </w:r>
      </w:hyperlink>
    </w:p>
  </w:footnote>
  <w:footnote w:id="146">
    <w:p w14:paraId="4CE24452" w14:textId="77777777" w:rsidR="00DB4AC9" w:rsidRDefault="00DB4AC9" w:rsidP="00DB4AC9">
      <w:pPr>
        <w:widowControl w:val="0"/>
        <w:spacing w:after="40"/>
        <w:jc w:val="both"/>
      </w:pPr>
      <w:r>
        <w:rPr>
          <w:vertAlign w:val="superscript"/>
        </w:rPr>
        <w:footnoteRef/>
      </w:r>
      <w:r>
        <w:rPr>
          <w:sz w:val="20"/>
          <w:szCs w:val="20"/>
        </w:rPr>
        <w:t xml:space="preserve"> </w:t>
      </w:r>
      <w:hyperlink r:id="rId139">
        <w:r>
          <w:rPr>
            <w:color w:val="0000FF"/>
            <w:sz w:val="20"/>
            <w:szCs w:val="20"/>
            <w:u w:val="single"/>
          </w:rPr>
          <w:t>Notice of Funding Opportunity, III.3</w:t>
        </w:r>
      </w:hyperlink>
      <w:r>
        <w:rPr>
          <w:sz w:val="20"/>
          <w:szCs w:val="20"/>
        </w:rPr>
        <w:t>.</w:t>
      </w:r>
    </w:p>
  </w:footnote>
  <w:footnote w:id="147">
    <w:p w14:paraId="1F63E485" w14:textId="77777777" w:rsidR="00DB4AC9" w:rsidRDefault="00DB4AC9" w:rsidP="00DB4AC9">
      <w:pPr>
        <w:widowControl w:val="0"/>
        <w:spacing w:after="40"/>
        <w:jc w:val="both"/>
      </w:pPr>
      <w:r>
        <w:rPr>
          <w:vertAlign w:val="superscript"/>
        </w:rPr>
        <w:footnoteRef/>
      </w:r>
      <w:r>
        <w:rPr>
          <w:sz w:val="20"/>
          <w:szCs w:val="20"/>
        </w:rPr>
        <w:t xml:space="preserve"> </w:t>
      </w:r>
      <w:hyperlink r:id="rId140">
        <w:r>
          <w:rPr>
            <w:color w:val="0000FF"/>
            <w:sz w:val="20"/>
            <w:szCs w:val="20"/>
            <w:u w:val="single"/>
          </w:rPr>
          <w:t xml:space="preserve">Notice of Funding Opportunity, </w:t>
        </w:r>
        <w:proofErr w:type="gramStart"/>
        <w:r>
          <w:rPr>
            <w:color w:val="0000FF"/>
            <w:sz w:val="20"/>
            <w:szCs w:val="20"/>
            <w:u w:val="single"/>
          </w:rPr>
          <w:t>VIII.D.XXIV</w:t>
        </w:r>
        <w:proofErr w:type="gramEnd"/>
      </w:hyperlink>
      <w:r>
        <w:rPr>
          <w:sz w:val="20"/>
          <w:szCs w:val="20"/>
        </w:rPr>
        <w:t>.</w:t>
      </w:r>
    </w:p>
  </w:footnote>
  <w:footnote w:id="148">
    <w:p w14:paraId="564276EA" w14:textId="77777777" w:rsidR="00DB4AC9" w:rsidRDefault="00DB4AC9" w:rsidP="00DB4AC9">
      <w:pPr>
        <w:widowControl w:val="0"/>
        <w:spacing w:after="40"/>
        <w:jc w:val="both"/>
      </w:pPr>
      <w:r>
        <w:rPr>
          <w:vertAlign w:val="superscript"/>
        </w:rPr>
        <w:footnoteRef/>
      </w:r>
      <w:r>
        <w:rPr>
          <w:sz w:val="20"/>
          <w:szCs w:val="20"/>
        </w:rPr>
        <w:t xml:space="preserve">By federal law, SBA may fund SBDCs on a calendar year (January 1 through December 31) or federal fiscal year (October 1 through September 30) basis.  </w:t>
      </w:r>
      <w:hyperlink r:id="rId141">
        <w:r>
          <w:rPr>
            <w:color w:val="0000FF"/>
            <w:sz w:val="20"/>
            <w:szCs w:val="20"/>
            <w:u w:val="single"/>
          </w:rPr>
          <w:t>15 U.S.C. §648(a) (1).</w:t>
        </w:r>
      </w:hyperlink>
      <w:hyperlink r:id="rId142">
        <w:r>
          <w:rPr>
            <w:rStyle w:val="Hyperlink"/>
          </w:rPr>
          <w:t>http://bit.ly/bTG3ee</w:t>
        </w:r>
      </w:hyperlink>
    </w:p>
  </w:footnote>
  <w:footnote w:id="149">
    <w:p w14:paraId="4ED8DC7A" w14:textId="77777777" w:rsidR="00DB4AC9" w:rsidRDefault="00DB4AC9" w:rsidP="00DB4AC9">
      <w:pPr>
        <w:widowControl w:val="0"/>
        <w:spacing w:after="40"/>
        <w:jc w:val="both"/>
      </w:pPr>
      <w:r>
        <w:rPr>
          <w:vertAlign w:val="superscript"/>
        </w:rPr>
        <w:footnoteRef/>
      </w:r>
      <w:r>
        <w:rPr>
          <w:sz w:val="20"/>
          <w:szCs w:val="20"/>
        </w:rPr>
        <w:t xml:space="preserve"> </w:t>
      </w:r>
      <w:hyperlink r:id="rId143">
        <w:r>
          <w:rPr>
            <w:color w:val="0000FF"/>
            <w:sz w:val="20"/>
            <w:szCs w:val="20"/>
            <w:u w:val="single"/>
          </w:rPr>
          <w:t>15 U.S.C. §648(a) (4) (C);</w:t>
        </w:r>
      </w:hyperlink>
      <w:r>
        <w:rPr>
          <w:sz w:val="20"/>
          <w:szCs w:val="20"/>
        </w:rPr>
        <w:t xml:space="preserve"> </w:t>
      </w:r>
      <w:hyperlink r:id="rId144">
        <w:r>
          <w:rPr>
            <w:color w:val="0000FF"/>
            <w:sz w:val="20"/>
            <w:szCs w:val="20"/>
            <w:u w:val="single"/>
          </w:rPr>
          <w:t>13 C.F.R. §130.450</w:t>
        </w:r>
      </w:hyperlink>
      <w:r>
        <w:rPr>
          <w:sz w:val="20"/>
          <w:szCs w:val="20"/>
        </w:rPr>
        <w:t>.</w:t>
      </w:r>
    </w:p>
  </w:footnote>
  <w:footnote w:id="150">
    <w:p w14:paraId="708F1C9E" w14:textId="77777777" w:rsidR="00DB4AC9" w:rsidRDefault="00DB4AC9" w:rsidP="00DB4AC9">
      <w:pPr>
        <w:widowControl w:val="0"/>
        <w:spacing w:after="40"/>
        <w:jc w:val="both"/>
      </w:pPr>
      <w:r>
        <w:rPr>
          <w:vertAlign w:val="superscript"/>
        </w:rPr>
        <w:footnoteRef/>
      </w:r>
      <w:r>
        <w:rPr>
          <w:sz w:val="20"/>
          <w:szCs w:val="20"/>
        </w:rPr>
        <w:t xml:space="preserve"> </w:t>
      </w:r>
      <w:hyperlink r:id="rId145">
        <w:r>
          <w:rPr>
            <w:color w:val="0000FF"/>
            <w:sz w:val="20"/>
            <w:szCs w:val="20"/>
            <w:u w:val="single"/>
          </w:rPr>
          <w:t>15 U.S.C. §648(a)(4)(A);</w:t>
        </w:r>
      </w:hyperlink>
      <w:r>
        <w:rPr>
          <w:sz w:val="20"/>
          <w:szCs w:val="20"/>
        </w:rPr>
        <w:t xml:space="preserve"> </w:t>
      </w:r>
      <w:hyperlink r:id="rId146">
        <w:r>
          <w:rPr>
            <w:color w:val="0000FF"/>
            <w:sz w:val="20"/>
            <w:szCs w:val="20"/>
            <w:u w:val="single"/>
          </w:rPr>
          <w:t>13 C.F.R. §130.450</w:t>
        </w:r>
      </w:hyperlink>
      <w:hyperlink r:id="rId147">
        <w:r>
          <w:rPr>
            <w:rStyle w:val="Hyperlink"/>
          </w:rPr>
          <w:t>http://bit.ly/</w:t>
        </w:r>
        <w:proofErr w:type="spellStart"/>
        <w:r>
          <w:rPr>
            <w:rStyle w:val="Hyperlink"/>
          </w:rPr>
          <w:t>aAdkZM</w:t>
        </w:r>
        <w:proofErr w:type="spellEnd"/>
      </w:hyperlink>
    </w:p>
  </w:footnote>
  <w:footnote w:id="151">
    <w:p w14:paraId="3D49D39B" w14:textId="77777777" w:rsidR="00DB4AC9" w:rsidRDefault="00DB4AC9" w:rsidP="00DB4AC9">
      <w:pPr>
        <w:widowControl w:val="0"/>
        <w:spacing w:after="40"/>
        <w:jc w:val="both"/>
      </w:pPr>
      <w:r>
        <w:rPr>
          <w:vertAlign w:val="superscript"/>
        </w:rPr>
        <w:footnoteRef/>
      </w:r>
      <w:r>
        <w:rPr>
          <w:sz w:val="20"/>
          <w:szCs w:val="20"/>
        </w:rPr>
        <w:t xml:space="preserve"> </w:t>
      </w:r>
      <w:hyperlink r:id="rId148">
        <w:r>
          <w:rPr>
            <w:color w:val="0000FF"/>
            <w:sz w:val="20"/>
            <w:szCs w:val="20"/>
            <w:u w:val="single"/>
          </w:rPr>
          <w:t>15 U.S.C. §648(4) (B).</w:t>
        </w:r>
      </w:hyperlink>
      <w:hyperlink r:id="rId149">
        <w:r>
          <w:rPr>
            <w:rStyle w:val="Hyperlink"/>
          </w:rPr>
          <w:t>http://bit.ly/bTG3ee</w:t>
        </w:r>
      </w:hyperlink>
    </w:p>
  </w:footnote>
  <w:footnote w:id="152">
    <w:p w14:paraId="5447C50A" w14:textId="77777777" w:rsidR="00DB4AC9" w:rsidRDefault="00DB4AC9" w:rsidP="00DB4AC9">
      <w:pPr>
        <w:widowControl w:val="0"/>
        <w:spacing w:after="40"/>
        <w:jc w:val="both"/>
      </w:pPr>
      <w:r>
        <w:rPr>
          <w:vertAlign w:val="superscript"/>
        </w:rPr>
        <w:footnoteRef/>
      </w:r>
      <w:r>
        <w:rPr>
          <w:sz w:val="20"/>
          <w:szCs w:val="20"/>
        </w:rPr>
        <w:t xml:space="preserve"> </w:t>
      </w:r>
      <w:hyperlink r:id="rId150">
        <w:r>
          <w:rPr>
            <w:color w:val="0000FF"/>
            <w:sz w:val="20"/>
            <w:szCs w:val="20"/>
            <w:u w:val="single"/>
          </w:rPr>
          <w:t>13 C.F.R. §130.450(e)</w:t>
        </w:r>
      </w:hyperlink>
      <w:r>
        <w:rPr>
          <w:sz w:val="20"/>
          <w:szCs w:val="20"/>
        </w:rPr>
        <w:t>.</w:t>
      </w:r>
    </w:p>
  </w:footnote>
  <w:footnote w:id="153">
    <w:p w14:paraId="605EE167" w14:textId="77777777" w:rsidR="00DB4AC9" w:rsidRDefault="00DB4AC9" w:rsidP="00DB4AC9">
      <w:pPr>
        <w:widowControl w:val="0"/>
        <w:spacing w:after="40"/>
        <w:jc w:val="both"/>
      </w:pPr>
      <w:r>
        <w:rPr>
          <w:vertAlign w:val="superscript"/>
        </w:rPr>
        <w:footnoteRef/>
      </w:r>
      <w:r>
        <w:rPr>
          <w:sz w:val="20"/>
          <w:szCs w:val="20"/>
        </w:rPr>
        <w:t xml:space="preserve"> Cooperative Agreement, 13.i. The current Cooperative Agreement is posted on the MnSBDC Intranet.</w:t>
      </w:r>
    </w:p>
  </w:footnote>
  <w:footnote w:id="154">
    <w:p w14:paraId="32FA2547" w14:textId="77777777" w:rsidR="00DB4AC9" w:rsidRDefault="00DB4AC9" w:rsidP="00DB4AC9">
      <w:pPr>
        <w:widowControl w:val="0"/>
        <w:spacing w:after="40"/>
        <w:jc w:val="both"/>
      </w:pPr>
      <w:r>
        <w:rPr>
          <w:vertAlign w:val="superscript"/>
        </w:rPr>
        <w:footnoteRef/>
      </w:r>
      <w:r>
        <w:rPr>
          <w:sz w:val="20"/>
          <w:szCs w:val="20"/>
        </w:rPr>
        <w:t xml:space="preserve"> </w:t>
      </w:r>
      <w:hyperlink r:id="rId151">
        <w:r>
          <w:rPr>
            <w:color w:val="0000FF"/>
            <w:sz w:val="20"/>
            <w:szCs w:val="20"/>
            <w:u w:val="single"/>
          </w:rPr>
          <w:t>13 C.F.R. §130.110</w:t>
        </w:r>
      </w:hyperlink>
      <w:r>
        <w:rPr>
          <w:sz w:val="20"/>
          <w:szCs w:val="20"/>
        </w:rPr>
        <w:t>.</w:t>
      </w:r>
    </w:p>
  </w:footnote>
  <w:footnote w:id="155">
    <w:p w14:paraId="4174EE1C" w14:textId="77777777" w:rsidR="00DB4AC9" w:rsidRDefault="00DB4AC9" w:rsidP="00DB4AC9">
      <w:pPr>
        <w:widowControl w:val="0"/>
        <w:spacing w:after="40"/>
        <w:jc w:val="both"/>
      </w:pPr>
      <w:r>
        <w:rPr>
          <w:vertAlign w:val="superscript"/>
        </w:rPr>
        <w:footnoteRef/>
      </w:r>
      <w:r>
        <w:rPr>
          <w:sz w:val="20"/>
          <w:szCs w:val="20"/>
        </w:rPr>
        <w:t xml:space="preserve"> </w:t>
      </w:r>
      <w:hyperlink r:id="rId152">
        <w:r>
          <w:rPr>
            <w:color w:val="0000FF"/>
            <w:sz w:val="20"/>
            <w:szCs w:val="20"/>
            <w:u w:val="single"/>
          </w:rPr>
          <w:t>13 C.F.R. §130.480(b).</w:t>
        </w:r>
      </w:hyperlink>
      <w:hyperlink r:id="rId153">
        <w:r>
          <w:rPr>
            <w:rStyle w:val="Hyperlink"/>
          </w:rPr>
          <w:t>http://bit.ly/</w:t>
        </w:r>
        <w:proofErr w:type="spellStart"/>
        <w:r>
          <w:rPr>
            <w:rStyle w:val="Hyperlink"/>
          </w:rPr>
          <w:t>aAdkZM</w:t>
        </w:r>
        <w:proofErr w:type="spellEnd"/>
      </w:hyperlink>
    </w:p>
  </w:footnote>
  <w:footnote w:id="156">
    <w:p w14:paraId="3DDF6F6E" w14:textId="77777777" w:rsidR="00DB4AC9" w:rsidRDefault="00DB4AC9" w:rsidP="00DB4AC9">
      <w:pPr>
        <w:widowControl w:val="0"/>
        <w:spacing w:after="40"/>
        <w:jc w:val="both"/>
      </w:pPr>
      <w:r>
        <w:rPr>
          <w:vertAlign w:val="superscript"/>
        </w:rPr>
        <w:footnoteRef/>
      </w:r>
      <w:r>
        <w:rPr>
          <w:sz w:val="20"/>
          <w:szCs w:val="20"/>
        </w:rPr>
        <w:t xml:space="preserve"> </w:t>
      </w:r>
      <w:hyperlink r:id="rId154">
        <w:r>
          <w:rPr>
            <w:color w:val="0000FF"/>
            <w:sz w:val="20"/>
            <w:szCs w:val="20"/>
            <w:u w:val="single"/>
          </w:rPr>
          <w:t>13 C.F.R. §130.480(b)</w:t>
        </w:r>
      </w:hyperlink>
      <w:r>
        <w:rPr>
          <w:sz w:val="20"/>
          <w:szCs w:val="20"/>
        </w:rPr>
        <w:t>; Cooperative Agreement, 9. The current Cooperative Agreement is posted on the MnSBDC Intranet.</w:t>
      </w:r>
    </w:p>
  </w:footnote>
  <w:footnote w:id="157">
    <w:p w14:paraId="3FC29ED6" w14:textId="77777777" w:rsidR="00DB4AC9" w:rsidRDefault="00DB4AC9" w:rsidP="00DB4AC9">
      <w:pPr>
        <w:widowControl w:val="0"/>
        <w:spacing w:after="40"/>
        <w:jc w:val="both"/>
      </w:pPr>
      <w:r>
        <w:rPr>
          <w:vertAlign w:val="superscript"/>
        </w:rPr>
        <w:footnoteRef/>
      </w:r>
      <w:r>
        <w:rPr>
          <w:sz w:val="20"/>
          <w:szCs w:val="20"/>
        </w:rPr>
        <w:t xml:space="preserve"> Cooperative Agreement, 9. The current Cooperative Agreement is posted on the MnSBDC Intranet.</w:t>
      </w:r>
    </w:p>
  </w:footnote>
  <w:footnote w:id="158">
    <w:p w14:paraId="28544359" w14:textId="77777777" w:rsidR="00DB4AC9" w:rsidRDefault="00DB4AC9" w:rsidP="00DB4AC9">
      <w:pPr>
        <w:widowControl w:val="0"/>
        <w:spacing w:after="40"/>
        <w:jc w:val="both"/>
      </w:pPr>
      <w:r>
        <w:rPr>
          <w:vertAlign w:val="superscript"/>
        </w:rPr>
        <w:footnoteRef/>
      </w:r>
      <w:r>
        <w:rPr>
          <w:sz w:val="20"/>
          <w:szCs w:val="20"/>
        </w:rPr>
        <w:t xml:space="preserve"> </w:t>
      </w:r>
      <w:hyperlink r:id="rId155">
        <w:r>
          <w:rPr>
            <w:color w:val="0000FF"/>
            <w:sz w:val="20"/>
            <w:szCs w:val="20"/>
            <w:u w:val="single"/>
          </w:rPr>
          <w:t>13 C.F.R. §130.480(c)</w:t>
        </w:r>
      </w:hyperlink>
      <w:r>
        <w:rPr>
          <w:sz w:val="20"/>
          <w:szCs w:val="20"/>
        </w:rPr>
        <w:t>.</w:t>
      </w:r>
    </w:p>
  </w:footnote>
  <w:footnote w:id="159">
    <w:p w14:paraId="43A86B5F" w14:textId="77777777" w:rsidR="00DB4AC9" w:rsidRDefault="00DB4AC9" w:rsidP="00DB4AC9">
      <w:pPr>
        <w:widowControl w:val="0"/>
        <w:spacing w:after="40"/>
        <w:jc w:val="both"/>
      </w:pPr>
      <w:r>
        <w:rPr>
          <w:vertAlign w:val="superscript"/>
        </w:rPr>
        <w:footnoteRef/>
      </w:r>
      <w:r>
        <w:rPr>
          <w:sz w:val="20"/>
          <w:szCs w:val="20"/>
        </w:rPr>
        <w:t xml:space="preserve"> Budget requirements are found at </w:t>
      </w:r>
      <w:hyperlink r:id="rId156">
        <w:r>
          <w:rPr>
            <w:color w:val="0000FF"/>
            <w:sz w:val="20"/>
            <w:szCs w:val="20"/>
            <w:u w:val="single"/>
          </w:rPr>
          <w:t>13 C.F.R. §130.460</w:t>
        </w:r>
      </w:hyperlink>
      <w:r>
        <w:rPr>
          <w:sz w:val="20"/>
          <w:szCs w:val="20"/>
        </w:rPr>
        <w:t xml:space="preserve"> and in the </w:t>
      </w:r>
      <w:hyperlink r:id="rId157">
        <w:r>
          <w:rPr>
            <w:color w:val="0000FF"/>
            <w:sz w:val="20"/>
            <w:szCs w:val="20"/>
            <w:u w:val="single"/>
          </w:rPr>
          <w:t>Notice of Funding Opportunity</w:t>
        </w:r>
      </w:hyperlink>
      <w:r>
        <w:rPr>
          <w:sz w:val="20"/>
          <w:szCs w:val="20"/>
        </w:rPr>
        <w:t>.</w:t>
      </w:r>
    </w:p>
  </w:footnote>
  <w:footnote w:id="160">
    <w:p w14:paraId="2F2C04A3" w14:textId="5EE07F5A" w:rsidR="00DB4AC9" w:rsidRDefault="00DB4AC9" w:rsidP="00DB4AC9">
      <w:pPr>
        <w:widowControl w:val="0"/>
        <w:spacing w:after="40"/>
        <w:jc w:val="both"/>
      </w:pPr>
      <w:r>
        <w:rPr>
          <w:vertAlign w:val="superscript"/>
        </w:rPr>
        <w:footnoteRef/>
      </w:r>
      <w:r>
        <w:rPr>
          <w:sz w:val="20"/>
          <w:szCs w:val="20"/>
        </w:rPr>
        <w:t xml:space="preserve"> </w:t>
      </w:r>
      <w:r w:rsidR="00361600">
        <w:rPr>
          <w:sz w:val="20"/>
          <w:szCs w:val="20"/>
        </w:rPr>
        <w:t>This MnSBDC Policy was developed to address a finding in our 2024 SBA Financial Review.</w:t>
      </w:r>
      <w:r>
        <w:rPr>
          <w:sz w:val="20"/>
          <w:szCs w:val="20"/>
        </w:rPr>
        <w:t xml:space="preserve"> </w:t>
      </w:r>
      <w:r w:rsidR="00361600">
        <w:rPr>
          <w:sz w:val="20"/>
          <w:szCs w:val="20"/>
        </w:rPr>
        <w:t>It was initially transmitted via email to all regional centers on May 2, 2024.</w:t>
      </w:r>
    </w:p>
  </w:footnote>
  <w:footnote w:id="161">
    <w:p w14:paraId="46BAB4FC" w14:textId="77777777" w:rsidR="00DB4AC9" w:rsidRDefault="00DB4AC9" w:rsidP="00DB4AC9">
      <w:pPr>
        <w:widowControl w:val="0"/>
        <w:spacing w:after="40"/>
        <w:jc w:val="both"/>
      </w:pPr>
      <w:r>
        <w:rPr>
          <w:vertAlign w:val="superscript"/>
        </w:rPr>
        <w:footnoteRef/>
      </w:r>
      <w:r>
        <w:rPr>
          <w:sz w:val="20"/>
          <w:szCs w:val="20"/>
        </w:rPr>
        <w:t xml:space="preserve"> Budget changes requiring prior approval from SBA’s Washington office are listed at 13 C.F.R. §130.620 and in the Cooperative Agreement, Paragraph 4. The current Cooperative Agreement is posted on the MnSBDC Intranet. Also see the Cooperative Agreement, Paragraph 13 and the Grant Contract, Clause I.M. An example grant contract is posted on the MnSBDC Intranet.</w:t>
      </w:r>
    </w:p>
  </w:footnote>
  <w:footnote w:id="162">
    <w:p w14:paraId="03BE043D" w14:textId="77777777" w:rsidR="00DB4AC9" w:rsidRDefault="00DB4AC9" w:rsidP="00DB4AC9">
      <w:pPr>
        <w:widowControl w:val="0"/>
        <w:spacing w:after="40"/>
        <w:jc w:val="both"/>
      </w:pPr>
      <w:r>
        <w:rPr>
          <w:vertAlign w:val="superscript"/>
        </w:rPr>
        <w:footnoteRef/>
      </w:r>
      <w:r>
        <w:rPr>
          <w:sz w:val="20"/>
          <w:szCs w:val="20"/>
        </w:rPr>
        <w:t xml:space="preserve"> </w:t>
      </w:r>
      <w:hyperlink r:id="rId158">
        <w:r>
          <w:rPr>
            <w:color w:val="0000FF"/>
            <w:sz w:val="20"/>
            <w:szCs w:val="20"/>
            <w:u w:val="single"/>
          </w:rPr>
          <w:t>13 C.F.R. §130.460(g).</w:t>
        </w:r>
      </w:hyperlink>
      <w:hyperlink r:id="rId159">
        <w:r>
          <w:rPr>
            <w:rStyle w:val="Hyperlink"/>
          </w:rPr>
          <w:t>http://bit.ly/</w:t>
        </w:r>
        <w:proofErr w:type="spellStart"/>
        <w:r>
          <w:rPr>
            <w:rStyle w:val="Hyperlink"/>
          </w:rPr>
          <w:t>aAdkZM</w:t>
        </w:r>
        <w:proofErr w:type="spellEnd"/>
      </w:hyperlink>
    </w:p>
  </w:footnote>
  <w:footnote w:id="163">
    <w:p w14:paraId="2BB53FB9" w14:textId="77777777" w:rsidR="00DB4AC9" w:rsidRDefault="00DB4AC9" w:rsidP="00DB4AC9">
      <w:pPr>
        <w:widowControl w:val="0"/>
        <w:spacing w:after="40"/>
        <w:jc w:val="both"/>
      </w:pPr>
      <w:r>
        <w:rPr>
          <w:vertAlign w:val="superscript"/>
        </w:rPr>
        <w:footnoteRef/>
      </w:r>
      <w:r>
        <w:rPr>
          <w:sz w:val="20"/>
          <w:szCs w:val="20"/>
        </w:rPr>
        <w:t xml:space="preserve"> </w:t>
      </w:r>
      <w:hyperlink r:id="rId160">
        <w:r>
          <w:rPr>
            <w:color w:val="0000FF"/>
            <w:sz w:val="20"/>
            <w:szCs w:val="20"/>
            <w:u w:val="single"/>
          </w:rPr>
          <w:t>13 C.F.R. §130.460(g).</w:t>
        </w:r>
      </w:hyperlink>
      <w:hyperlink r:id="rId161">
        <w:r>
          <w:rPr>
            <w:rStyle w:val="Hyperlink"/>
          </w:rPr>
          <w:t>http://bit.ly/</w:t>
        </w:r>
        <w:proofErr w:type="spellStart"/>
        <w:r>
          <w:rPr>
            <w:rStyle w:val="Hyperlink"/>
          </w:rPr>
          <w:t>aAdkZM</w:t>
        </w:r>
        <w:proofErr w:type="spellEnd"/>
      </w:hyperlink>
    </w:p>
  </w:footnote>
  <w:footnote w:id="164">
    <w:p w14:paraId="635A7273" w14:textId="77777777" w:rsidR="00DB4AC9" w:rsidRDefault="00DB4AC9" w:rsidP="00DB4AC9">
      <w:pPr>
        <w:widowControl w:val="0"/>
        <w:spacing w:after="40"/>
        <w:jc w:val="both"/>
      </w:pPr>
      <w:r>
        <w:rPr>
          <w:vertAlign w:val="superscript"/>
        </w:rPr>
        <w:footnoteRef/>
      </w:r>
      <w:r>
        <w:rPr>
          <w:sz w:val="20"/>
          <w:szCs w:val="20"/>
        </w:rPr>
        <w:t xml:space="preserve"> Grant Contract, Clause XVIII.I. An example grant contract is posted on the MnSBDC Intranet.</w:t>
      </w:r>
    </w:p>
  </w:footnote>
  <w:footnote w:id="165">
    <w:p w14:paraId="1FE5823E" w14:textId="77777777" w:rsidR="00DB4AC9" w:rsidRDefault="00DB4AC9" w:rsidP="00DB4AC9">
      <w:pPr>
        <w:widowControl w:val="0"/>
        <w:spacing w:after="40"/>
        <w:jc w:val="both"/>
      </w:pPr>
      <w:r>
        <w:rPr>
          <w:vertAlign w:val="superscript"/>
        </w:rPr>
        <w:footnoteRef/>
      </w:r>
      <w:r>
        <w:rPr>
          <w:sz w:val="20"/>
          <w:szCs w:val="20"/>
        </w:rPr>
        <w:t xml:space="preserve"> Cooperative Agreement, 2.d. The current Cooperative Agreement is posted on the MnSBDC Intranet.</w:t>
      </w:r>
    </w:p>
  </w:footnote>
  <w:footnote w:id="166">
    <w:p w14:paraId="42C23D8B" w14:textId="77777777" w:rsidR="00DB4AC9" w:rsidRDefault="00DB4AC9" w:rsidP="00DB4AC9">
      <w:pPr>
        <w:widowControl w:val="0"/>
        <w:spacing w:after="40"/>
        <w:jc w:val="both"/>
      </w:pPr>
      <w:r>
        <w:rPr>
          <w:vertAlign w:val="superscript"/>
        </w:rPr>
        <w:footnoteRef/>
      </w:r>
      <w:r>
        <w:rPr>
          <w:sz w:val="20"/>
          <w:szCs w:val="20"/>
        </w:rPr>
        <w:t xml:space="preserve"> Cooperative Agreement, D. The current Cooperative Agreement is posted on the MnSBDC Intranet.</w:t>
      </w:r>
    </w:p>
  </w:footnote>
  <w:footnote w:id="167">
    <w:p w14:paraId="30BFE01A" w14:textId="77777777" w:rsidR="00DB4AC9" w:rsidRDefault="00DB4AC9" w:rsidP="00DB4AC9">
      <w:pPr>
        <w:widowControl w:val="0"/>
        <w:spacing w:after="40"/>
        <w:jc w:val="both"/>
      </w:pPr>
      <w:r>
        <w:rPr>
          <w:vertAlign w:val="superscript"/>
        </w:rPr>
        <w:footnoteRef/>
      </w:r>
      <w:r>
        <w:rPr>
          <w:sz w:val="20"/>
          <w:szCs w:val="20"/>
        </w:rPr>
        <w:t xml:space="preserve"> Cooperative Agreement, Paragraph 15.n. The current Cooperative Agreement is posted on the MnSBDC Intranet.</w:t>
      </w:r>
    </w:p>
  </w:footnote>
  <w:footnote w:id="168">
    <w:p w14:paraId="4C0520C8" w14:textId="77777777" w:rsidR="00DB4AC9" w:rsidRDefault="00DB4AC9" w:rsidP="00DB4AC9">
      <w:pPr>
        <w:widowControl w:val="0"/>
        <w:spacing w:after="40"/>
        <w:jc w:val="both"/>
      </w:pPr>
      <w:r>
        <w:rPr>
          <w:vertAlign w:val="superscript"/>
        </w:rPr>
        <w:footnoteRef/>
      </w:r>
      <w:r>
        <w:rPr>
          <w:sz w:val="20"/>
          <w:szCs w:val="20"/>
        </w:rPr>
        <w:t xml:space="preserve"> Cooperative Agreement, 13.g. The current Cooperative Agreement is posted on the MnSBDC Intranet.</w:t>
      </w:r>
    </w:p>
  </w:footnote>
  <w:footnote w:id="169">
    <w:p w14:paraId="7BC7829A" w14:textId="77777777" w:rsidR="00DB4AC9" w:rsidRDefault="00DB4AC9" w:rsidP="00DB4AC9">
      <w:pPr>
        <w:widowControl w:val="0"/>
        <w:spacing w:after="40"/>
        <w:jc w:val="both"/>
      </w:pPr>
      <w:r>
        <w:rPr>
          <w:vertAlign w:val="superscript"/>
        </w:rPr>
        <w:footnoteRef/>
      </w:r>
      <w:r>
        <w:rPr>
          <w:sz w:val="20"/>
          <w:szCs w:val="20"/>
        </w:rPr>
        <w:t xml:space="preserve"> Grant Contract, II.B.1. An example grant contract is posted on the MnSBDC Intranet</w:t>
      </w:r>
    </w:p>
  </w:footnote>
  <w:footnote w:id="170">
    <w:p w14:paraId="2FEA4801" w14:textId="77777777" w:rsidR="00DB4AC9" w:rsidRDefault="00DB4AC9" w:rsidP="00DB4AC9">
      <w:pPr>
        <w:widowControl w:val="0"/>
        <w:spacing w:after="40"/>
        <w:jc w:val="both"/>
      </w:pPr>
      <w:r>
        <w:rPr>
          <w:vertAlign w:val="superscript"/>
        </w:rPr>
        <w:footnoteRef/>
      </w:r>
      <w:r>
        <w:rPr>
          <w:sz w:val="20"/>
          <w:szCs w:val="20"/>
        </w:rPr>
        <w:t xml:space="preserve"> </w:t>
      </w:r>
    </w:p>
  </w:footnote>
  <w:footnote w:id="171">
    <w:p w14:paraId="49D92428" w14:textId="77777777" w:rsidR="00DB4AC9" w:rsidRDefault="00DB4AC9" w:rsidP="00DB4AC9">
      <w:pPr>
        <w:widowControl w:val="0"/>
        <w:spacing w:after="40"/>
        <w:jc w:val="both"/>
      </w:pPr>
      <w:r>
        <w:rPr>
          <w:vertAlign w:val="superscript"/>
        </w:rPr>
        <w:footnoteRef/>
      </w:r>
      <w:r>
        <w:rPr>
          <w:sz w:val="20"/>
          <w:szCs w:val="20"/>
        </w:rPr>
        <w:t xml:space="preserve"> </w:t>
      </w:r>
      <w:hyperlink r:id="rId162">
        <w:r>
          <w:rPr>
            <w:color w:val="0000FF"/>
            <w:sz w:val="20"/>
            <w:szCs w:val="20"/>
            <w:u w:val="single"/>
          </w:rPr>
          <w:t>13 C.F.R. §130.820(a);</w:t>
        </w:r>
      </w:hyperlink>
      <w:r>
        <w:rPr>
          <w:sz w:val="20"/>
          <w:szCs w:val="20"/>
        </w:rPr>
        <w:t xml:space="preserve"> Cooperative Agreement, 5 the current Cooperative Agreement is posted on the MnSBDC Intranet.; Grant Contract, Clause I.L. An example grant contract is posted on the MnSBDC Intranet</w:t>
      </w:r>
    </w:p>
  </w:footnote>
  <w:footnote w:id="172">
    <w:p w14:paraId="2A4CEB8C" w14:textId="77777777" w:rsidR="00DB4AC9" w:rsidRDefault="00DB4AC9" w:rsidP="00DB4AC9">
      <w:pPr>
        <w:widowControl w:val="0"/>
        <w:spacing w:after="40"/>
        <w:jc w:val="both"/>
      </w:pPr>
      <w:r>
        <w:rPr>
          <w:vertAlign w:val="superscript"/>
        </w:rPr>
        <w:footnoteRef/>
      </w:r>
      <w:r>
        <w:rPr>
          <w:sz w:val="20"/>
          <w:szCs w:val="20"/>
        </w:rPr>
        <w:t xml:space="preserve"> Grant Contract, Clause XVIII.A. An example grant contract is posted on the MnSBDC Intranet</w:t>
      </w:r>
    </w:p>
  </w:footnote>
  <w:footnote w:id="173">
    <w:p w14:paraId="63F52B9B" w14:textId="4B57F57C" w:rsidR="00DB4AC9" w:rsidRDefault="00DB4AC9" w:rsidP="00DB4AC9">
      <w:pPr>
        <w:widowControl w:val="0"/>
        <w:spacing w:after="40"/>
        <w:jc w:val="both"/>
      </w:pPr>
      <w:r>
        <w:rPr>
          <w:vertAlign w:val="superscript"/>
        </w:rPr>
        <w:footnoteRef/>
      </w:r>
      <w:r>
        <w:rPr>
          <w:sz w:val="20"/>
          <w:szCs w:val="20"/>
        </w:rPr>
        <w:t xml:space="preserve"> 13 C.F.R. §143.</w:t>
      </w:r>
      <w:proofErr w:type="gramStart"/>
      <w:r>
        <w:rPr>
          <w:sz w:val="20"/>
          <w:szCs w:val="20"/>
        </w:rPr>
        <w:t>42.</w:t>
      </w:r>
      <w:r w:rsidR="001E11CC">
        <w:rPr>
          <w:sz w:val="20"/>
          <w:szCs w:val="20"/>
        </w:rPr>
        <w:t>=</w:t>
      </w:r>
      <w:proofErr w:type="gramEnd"/>
      <w:r w:rsidR="001E11CC">
        <w:rPr>
          <w:sz w:val="20"/>
          <w:szCs w:val="20"/>
        </w:rPr>
        <w:t xml:space="preserve">This is not correct </w:t>
      </w:r>
      <w:r w:rsidR="009A71E0">
        <w:rPr>
          <w:sz w:val="20"/>
          <w:szCs w:val="20"/>
        </w:rPr>
        <w:t>– refer to T&amp;C instead – Lyle 3-19-2025</w:t>
      </w:r>
    </w:p>
  </w:footnote>
  <w:footnote w:id="174">
    <w:p w14:paraId="4F96B9AA" w14:textId="77777777" w:rsidR="00DB4AC9" w:rsidRDefault="00DB4AC9" w:rsidP="00DB4AC9">
      <w:pPr>
        <w:widowControl w:val="0"/>
        <w:spacing w:after="40"/>
        <w:jc w:val="both"/>
      </w:pPr>
      <w:r>
        <w:rPr>
          <w:vertAlign w:val="superscript"/>
        </w:rPr>
        <w:footnoteRef/>
      </w:r>
      <w:r>
        <w:rPr>
          <w:sz w:val="20"/>
          <w:szCs w:val="20"/>
        </w:rPr>
        <w:t xml:space="preserve"> </w:t>
      </w:r>
      <w:hyperlink r:id="rId163">
        <w:r>
          <w:rPr>
            <w:color w:val="0000FF"/>
            <w:sz w:val="20"/>
            <w:szCs w:val="20"/>
            <w:u w:val="single"/>
          </w:rPr>
          <w:t>13 C.F. R. §130.830(2).</w:t>
        </w:r>
      </w:hyperlink>
      <w:hyperlink r:id="rId164">
        <w:r>
          <w:rPr>
            <w:rStyle w:val="Hyperlink"/>
          </w:rPr>
          <w:t>http://bit.ly/</w:t>
        </w:r>
        <w:proofErr w:type="spellStart"/>
        <w:r>
          <w:rPr>
            <w:rStyle w:val="Hyperlink"/>
          </w:rPr>
          <w:t>aAdkZM</w:t>
        </w:r>
        <w:proofErr w:type="spellEnd"/>
      </w:hyperlink>
    </w:p>
  </w:footnote>
  <w:footnote w:id="175">
    <w:p w14:paraId="645D9F39" w14:textId="77777777" w:rsidR="00DB4AC9" w:rsidRDefault="00DB4AC9" w:rsidP="00DB4AC9">
      <w:pPr>
        <w:widowControl w:val="0"/>
        <w:spacing w:after="40"/>
        <w:jc w:val="both"/>
      </w:pPr>
      <w:r>
        <w:rPr>
          <w:vertAlign w:val="superscript"/>
        </w:rPr>
        <w:footnoteRef/>
      </w:r>
      <w:r>
        <w:rPr>
          <w:sz w:val="20"/>
          <w:szCs w:val="20"/>
        </w:rPr>
        <w:t xml:space="preserve"> </w:t>
      </w:r>
      <w:hyperlink r:id="rId165">
        <w:r>
          <w:rPr>
            <w:color w:val="0000FF"/>
            <w:sz w:val="20"/>
            <w:szCs w:val="20"/>
            <w:u w:val="single"/>
          </w:rPr>
          <w:t>13 C.F.R. §130.830(2).</w:t>
        </w:r>
      </w:hyperlink>
      <w:r>
        <w:rPr>
          <w:sz w:val="20"/>
          <w:szCs w:val="20"/>
        </w:rPr>
        <w:t xml:space="preserve"> </w:t>
      </w:r>
    </w:p>
  </w:footnote>
  <w:footnote w:id="176">
    <w:p w14:paraId="76B24032" w14:textId="77777777" w:rsidR="00DB4AC9" w:rsidRDefault="00DB4AC9" w:rsidP="00DB4AC9">
      <w:pPr>
        <w:widowControl w:val="0"/>
        <w:spacing w:after="40"/>
        <w:jc w:val="both"/>
      </w:pPr>
      <w:r>
        <w:rPr>
          <w:vertAlign w:val="superscript"/>
        </w:rPr>
        <w:footnoteRef/>
      </w:r>
      <w:r>
        <w:rPr>
          <w:sz w:val="20"/>
          <w:szCs w:val="20"/>
        </w:rPr>
        <w:t xml:space="preserve"> </w:t>
      </w:r>
      <w:hyperlink r:id="rId166">
        <w:r>
          <w:rPr>
            <w:color w:val="0000FF"/>
            <w:sz w:val="20"/>
            <w:szCs w:val="20"/>
            <w:u w:val="single"/>
          </w:rPr>
          <w:t>15 U.S.C. §648(k) (1);</w:t>
        </w:r>
      </w:hyperlink>
      <w:r>
        <w:rPr>
          <w:sz w:val="20"/>
          <w:szCs w:val="20"/>
        </w:rPr>
        <w:t xml:space="preserve"> </w:t>
      </w:r>
      <w:hyperlink r:id="rId167">
        <w:r>
          <w:rPr>
            <w:color w:val="0000FF"/>
            <w:sz w:val="20"/>
            <w:szCs w:val="20"/>
            <w:u w:val="single"/>
          </w:rPr>
          <w:t>13 C.F.R. §130.810(a).</w:t>
        </w:r>
      </w:hyperlink>
      <w:hyperlink r:id="rId168">
        <w:r>
          <w:rPr>
            <w:rStyle w:val="Hyperlink"/>
          </w:rPr>
          <w:t>http://bit.ly/</w:t>
        </w:r>
        <w:proofErr w:type="spellStart"/>
        <w:r>
          <w:rPr>
            <w:rStyle w:val="Hyperlink"/>
          </w:rPr>
          <w:t>aAdkZM</w:t>
        </w:r>
        <w:proofErr w:type="spellEnd"/>
      </w:hyperlink>
    </w:p>
  </w:footnote>
  <w:footnote w:id="177">
    <w:p w14:paraId="2F55ACFC" w14:textId="77777777" w:rsidR="00DB4AC9" w:rsidRDefault="00DB4AC9" w:rsidP="00DB4AC9">
      <w:pPr>
        <w:widowControl w:val="0"/>
        <w:spacing w:after="40"/>
        <w:jc w:val="both"/>
      </w:pPr>
      <w:r>
        <w:rPr>
          <w:vertAlign w:val="superscript"/>
        </w:rPr>
        <w:footnoteRef/>
      </w:r>
      <w:r>
        <w:rPr>
          <w:sz w:val="20"/>
          <w:szCs w:val="20"/>
        </w:rPr>
        <w:t xml:space="preserve"> </w:t>
      </w:r>
      <w:hyperlink r:id="rId169">
        <w:r>
          <w:rPr>
            <w:color w:val="0000FF"/>
            <w:sz w:val="20"/>
            <w:szCs w:val="20"/>
            <w:u w:val="single"/>
          </w:rPr>
          <w:t>13 C.F.R. §130.810(d).</w:t>
        </w:r>
      </w:hyperlink>
      <w:hyperlink r:id="rId170">
        <w:r>
          <w:rPr>
            <w:rStyle w:val="Hyperlink"/>
          </w:rPr>
          <w:t>http://bit.ly/</w:t>
        </w:r>
        <w:proofErr w:type="spellStart"/>
        <w:r>
          <w:rPr>
            <w:rStyle w:val="Hyperlink"/>
          </w:rPr>
          <w:t>aAdkZM</w:t>
        </w:r>
        <w:proofErr w:type="spellEnd"/>
      </w:hyperlink>
    </w:p>
  </w:footnote>
  <w:footnote w:id="178">
    <w:p w14:paraId="04DA0BE7" w14:textId="77777777" w:rsidR="00DB4AC9" w:rsidRDefault="00DB4AC9" w:rsidP="00DB4AC9">
      <w:pPr>
        <w:widowControl w:val="0"/>
        <w:spacing w:after="40"/>
        <w:jc w:val="both"/>
      </w:pPr>
      <w:r>
        <w:rPr>
          <w:vertAlign w:val="superscript"/>
        </w:rPr>
        <w:footnoteRef/>
      </w:r>
      <w:r>
        <w:rPr>
          <w:sz w:val="20"/>
          <w:szCs w:val="20"/>
        </w:rPr>
        <w:t xml:space="preserve"> Cooperative Agreement, Paragraph 2.c. The current Cooperative Agreement is posted on the MnSBDC Intranet.</w:t>
      </w:r>
    </w:p>
  </w:footnote>
  <w:footnote w:id="179">
    <w:p w14:paraId="3C0753EA" w14:textId="77777777" w:rsidR="00DB4AC9" w:rsidRDefault="00DB4AC9" w:rsidP="00DB4AC9">
      <w:pPr>
        <w:widowControl w:val="0"/>
        <w:spacing w:after="40"/>
        <w:jc w:val="both"/>
      </w:pPr>
      <w:r>
        <w:rPr>
          <w:vertAlign w:val="superscript"/>
        </w:rPr>
        <w:footnoteRef/>
      </w:r>
      <w:r>
        <w:rPr>
          <w:sz w:val="20"/>
          <w:szCs w:val="20"/>
        </w:rPr>
        <w:t xml:space="preserve"> </w:t>
      </w:r>
      <w:hyperlink r:id="rId171">
        <w:r>
          <w:rPr>
            <w:color w:val="0000FF"/>
            <w:sz w:val="20"/>
            <w:szCs w:val="20"/>
            <w:u w:val="single"/>
          </w:rPr>
          <w:t>15 U.S.C. §648(k) (2);</w:t>
        </w:r>
      </w:hyperlink>
      <w:r>
        <w:rPr>
          <w:sz w:val="20"/>
          <w:szCs w:val="20"/>
        </w:rPr>
        <w:t xml:space="preserve"> </w:t>
      </w:r>
      <w:hyperlink r:id="rId172">
        <w:r>
          <w:rPr>
            <w:color w:val="0000FF"/>
            <w:sz w:val="20"/>
            <w:szCs w:val="20"/>
            <w:u w:val="single"/>
          </w:rPr>
          <w:t>13 C.F.R. §130.810(c).</w:t>
        </w:r>
      </w:hyperlink>
      <w:hyperlink r:id="rId173">
        <w:r>
          <w:rPr>
            <w:rStyle w:val="Hyperlink"/>
          </w:rPr>
          <w:t>http://bit.ly/</w:t>
        </w:r>
        <w:proofErr w:type="spellStart"/>
        <w:r>
          <w:rPr>
            <w:rStyle w:val="Hyperlink"/>
          </w:rPr>
          <w:t>aAdkZM</w:t>
        </w:r>
        <w:proofErr w:type="spellEnd"/>
      </w:hyperlink>
    </w:p>
  </w:footnote>
  <w:footnote w:id="180">
    <w:p w14:paraId="002B1E4A" w14:textId="77777777" w:rsidR="00DB4AC9" w:rsidRDefault="00DB4AC9" w:rsidP="00DB4AC9">
      <w:pPr>
        <w:widowControl w:val="0"/>
        <w:spacing w:after="40"/>
        <w:jc w:val="both"/>
      </w:pPr>
      <w:r>
        <w:rPr>
          <w:vertAlign w:val="superscript"/>
        </w:rPr>
        <w:footnoteRef/>
      </w:r>
      <w:r>
        <w:rPr>
          <w:sz w:val="20"/>
          <w:szCs w:val="20"/>
        </w:rPr>
        <w:t xml:space="preserve"> </w:t>
      </w:r>
      <w:hyperlink r:id="rId174">
        <w:r>
          <w:rPr>
            <w:color w:val="0000FF"/>
            <w:sz w:val="20"/>
            <w:szCs w:val="20"/>
            <w:u w:val="single"/>
          </w:rPr>
          <w:t>15 U.S.C. §648(a) (3) (B);</w:t>
        </w:r>
      </w:hyperlink>
      <w:r>
        <w:rPr>
          <w:sz w:val="20"/>
          <w:szCs w:val="20"/>
        </w:rPr>
        <w:t xml:space="preserve"> </w:t>
      </w:r>
      <w:hyperlink r:id="rId175">
        <w:r>
          <w:rPr>
            <w:color w:val="0000FF"/>
            <w:sz w:val="20"/>
            <w:szCs w:val="20"/>
            <w:u w:val="single"/>
          </w:rPr>
          <w:t>13 C.F.R. §130.460(d);</w:t>
        </w:r>
      </w:hyperlink>
      <w:r>
        <w:rPr>
          <w:sz w:val="20"/>
          <w:szCs w:val="20"/>
        </w:rPr>
        <w:t xml:space="preserve"> Cooperative Agreement, Paragraph 8. The current Cooperative Agreement is posted on the MnSBDC Intranet.</w:t>
      </w:r>
    </w:p>
  </w:footnote>
  <w:footnote w:id="181">
    <w:p w14:paraId="1135AE0A" w14:textId="77777777" w:rsidR="00DB4AC9" w:rsidRDefault="00DB4AC9" w:rsidP="00DB4AC9">
      <w:pPr>
        <w:widowControl w:val="0"/>
        <w:spacing w:after="40"/>
        <w:jc w:val="both"/>
      </w:pPr>
      <w:r>
        <w:rPr>
          <w:vertAlign w:val="superscript"/>
        </w:rPr>
        <w:footnoteRef/>
      </w:r>
      <w:r>
        <w:rPr>
          <w:sz w:val="20"/>
          <w:szCs w:val="20"/>
        </w:rPr>
        <w:t xml:space="preserve"> Cooperative Agreement, 8. The current Cooperative Agreement is posted on the MnSBDC Intranet.</w:t>
      </w:r>
    </w:p>
  </w:footnote>
  <w:footnote w:id="182">
    <w:p w14:paraId="53626F1A" w14:textId="77777777" w:rsidR="00DB4AC9" w:rsidRDefault="00DB4AC9" w:rsidP="00DB4AC9">
      <w:pPr>
        <w:widowControl w:val="0"/>
        <w:spacing w:after="40"/>
        <w:jc w:val="both"/>
      </w:pPr>
      <w:r>
        <w:rPr>
          <w:vertAlign w:val="superscript"/>
        </w:rPr>
        <w:footnoteRef/>
      </w:r>
      <w:r>
        <w:rPr>
          <w:sz w:val="20"/>
          <w:szCs w:val="20"/>
        </w:rPr>
        <w:t xml:space="preserve"> </w:t>
      </w:r>
      <w:hyperlink r:id="rId176">
        <w:r>
          <w:rPr>
            <w:color w:val="0000FF"/>
            <w:sz w:val="20"/>
            <w:szCs w:val="20"/>
            <w:u w:val="single"/>
          </w:rPr>
          <w:t>13 C.F.R. §130.500</w:t>
        </w:r>
      </w:hyperlink>
      <w:r>
        <w:rPr>
          <w:sz w:val="20"/>
          <w:szCs w:val="20"/>
        </w:rPr>
        <w:t>; Cooperative Agreement, 3.a. The current Cooperative Agreement is posted on the MnSBDC Intranet.</w:t>
      </w:r>
    </w:p>
  </w:footnote>
  <w:footnote w:id="183">
    <w:p w14:paraId="024D2CDF" w14:textId="77777777" w:rsidR="00DB4AC9" w:rsidRDefault="00DB4AC9" w:rsidP="00DB4AC9">
      <w:pPr>
        <w:widowControl w:val="0"/>
        <w:spacing w:after="40"/>
        <w:jc w:val="both"/>
      </w:pPr>
      <w:r>
        <w:rPr>
          <w:vertAlign w:val="superscript"/>
        </w:rPr>
        <w:footnoteRef/>
      </w:r>
      <w:r>
        <w:rPr>
          <w:sz w:val="20"/>
          <w:szCs w:val="20"/>
        </w:rPr>
        <w:t xml:space="preserve"> </w:t>
      </w:r>
      <w:hyperlink r:id="rId177">
        <w:r>
          <w:rPr>
            <w:color w:val="0000FF"/>
            <w:sz w:val="20"/>
            <w:szCs w:val="20"/>
            <w:u w:val="single"/>
          </w:rPr>
          <w:t>13 C.F.R. §130.500</w:t>
        </w:r>
      </w:hyperlink>
      <w:r>
        <w:rPr>
          <w:sz w:val="20"/>
          <w:szCs w:val="20"/>
        </w:rPr>
        <w:t xml:space="preserve">; </w:t>
      </w:r>
      <w:hyperlink r:id="rId178">
        <w:r>
          <w:rPr>
            <w:color w:val="0000FF"/>
            <w:sz w:val="20"/>
            <w:szCs w:val="20"/>
            <w:u w:val="single"/>
          </w:rPr>
          <w:t xml:space="preserve">Notice of Funding Opportunity, </w:t>
        </w:r>
        <w:proofErr w:type="gramStart"/>
        <w:r>
          <w:rPr>
            <w:color w:val="0000FF"/>
            <w:sz w:val="20"/>
            <w:szCs w:val="20"/>
            <w:u w:val="single"/>
          </w:rPr>
          <w:t>VI.B</w:t>
        </w:r>
        <w:proofErr w:type="gramEnd"/>
      </w:hyperlink>
      <w:r>
        <w:rPr>
          <w:sz w:val="20"/>
          <w:szCs w:val="20"/>
        </w:rPr>
        <w:t>.</w:t>
      </w:r>
    </w:p>
  </w:footnote>
  <w:footnote w:id="184">
    <w:p w14:paraId="65BF0654" w14:textId="77777777" w:rsidR="00DB4AC9" w:rsidRDefault="00DB4AC9" w:rsidP="00DB4AC9">
      <w:pPr>
        <w:widowControl w:val="0"/>
        <w:spacing w:after="40"/>
        <w:jc w:val="both"/>
      </w:pPr>
      <w:r>
        <w:rPr>
          <w:vertAlign w:val="superscript"/>
        </w:rPr>
        <w:footnoteRef/>
      </w:r>
      <w:r>
        <w:rPr>
          <w:sz w:val="20"/>
          <w:szCs w:val="20"/>
        </w:rPr>
        <w:t xml:space="preserve"> See OMB Circular; Lodging and subsistence; “Costs incurred by employees and officers for travel, including costs of lodging, other subsistence, and incidental expenses, shall be considered reasonable and allowable only to the extent such costs do not exceed charges normally allowed by the institution in its regular operations as the result of the institution’s written travel policy.”</w:t>
      </w:r>
    </w:p>
  </w:footnote>
  <w:footnote w:id="185">
    <w:p w14:paraId="6C62C1DF" w14:textId="77777777" w:rsidR="00DB4AC9" w:rsidRDefault="00DB4AC9" w:rsidP="00DB4AC9">
      <w:pPr>
        <w:widowControl w:val="0"/>
        <w:spacing w:after="40"/>
        <w:jc w:val="both"/>
      </w:pPr>
      <w:r>
        <w:rPr>
          <w:vertAlign w:val="superscript"/>
        </w:rPr>
        <w:footnoteRef/>
      </w:r>
      <w:r>
        <w:rPr>
          <w:sz w:val="20"/>
          <w:szCs w:val="20"/>
        </w:rPr>
        <w:t xml:space="preserve"> </w:t>
      </w:r>
      <w:hyperlink r:id="rId179">
        <w:r>
          <w:rPr>
            <w:color w:val="0000FF"/>
            <w:sz w:val="20"/>
            <w:szCs w:val="20"/>
            <w:u w:val="single"/>
          </w:rPr>
          <w:t>http://www.mmd.admin.state.mn.us/mn05002.htm</w:t>
        </w:r>
      </w:hyperlink>
      <w:r>
        <w:rPr>
          <w:sz w:val="20"/>
          <w:szCs w:val="20"/>
        </w:rPr>
        <w:t xml:space="preserve"> </w:t>
      </w:r>
    </w:p>
  </w:footnote>
  <w:footnote w:id="186">
    <w:p w14:paraId="23B4746F" w14:textId="77777777" w:rsidR="00DB4AC9" w:rsidRDefault="00DB4AC9" w:rsidP="00DB4AC9">
      <w:pPr>
        <w:widowControl w:val="0"/>
        <w:spacing w:after="40"/>
        <w:jc w:val="both"/>
      </w:pPr>
      <w:r>
        <w:rPr>
          <w:vertAlign w:val="superscript"/>
        </w:rPr>
        <w:footnoteRef/>
      </w:r>
      <w:r>
        <w:rPr>
          <w:sz w:val="20"/>
          <w:szCs w:val="20"/>
        </w:rPr>
        <w:t xml:space="preserve"> Cooperative Agreement, 5.d. The current Cooperative Agreement is posted on the MnSBDC Intranet.</w:t>
      </w:r>
    </w:p>
  </w:footnote>
  <w:footnote w:id="187">
    <w:p w14:paraId="5CE399DE" w14:textId="77777777" w:rsidR="00DB4AC9" w:rsidRDefault="00DB4AC9" w:rsidP="00DB4AC9">
      <w:pPr>
        <w:widowControl w:val="0"/>
        <w:spacing w:after="40"/>
        <w:jc w:val="both"/>
      </w:pPr>
      <w:r>
        <w:rPr>
          <w:vertAlign w:val="superscript"/>
        </w:rPr>
        <w:footnoteRef/>
      </w:r>
      <w:r>
        <w:rPr>
          <w:sz w:val="20"/>
          <w:szCs w:val="20"/>
        </w:rPr>
        <w:t xml:space="preserve"> Cooperative Agreement, 5.f. The current Cooperative Agreement is posted on the MnSBDC shared drive.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6CC"/>
    <w:multiLevelType w:val="multilevel"/>
    <w:tmpl w:val="9CA62C6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4F600CB"/>
    <w:multiLevelType w:val="multilevel"/>
    <w:tmpl w:val="3B00EC0A"/>
    <w:lvl w:ilvl="0">
      <w:start w:val="1"/>
      <w:numFmt w:val="bullet"/>
      <w:lvlText w:val="●"/>
      <w:lvlJc w:val="left"/>
      <w:pPr>
        <w:ind w:left="360" w:firstLine="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A242B68"/>
    <w:multiLevelType w:val="multilevel"/>
    <w:tmpl w:val="CCEC217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0B974EBA"/>
    <w:multiLevelType w:val="multilevel"/>
    <w:tmpl w:val="DA14EE4E"/>
    <w:lvl w:ilvl="0">
      <w:start w:val="1"/>
      <w:numFmt w:val="bullet"/>
      <w:lvlText w:val="●"/>
      <w:lvlJc w:val="left"/>
      <w:pPr>
        <w:ind w:left="1350" w:firstLine="990"/>
      </w:pPr>
      <w:rPr>
        <w:rFonts w:ascii="Arial" w:eastAsia="Arial" w:hAnsi="Arial" w:cs="Arial"/>
      </w:rPr>
    </w:lvl>
    <w:lvl w:ilvl="1">
      <w:start w:val="1"/>
      <w:numFmt w:val="bullet"/>
      <w:lvlText w:val="o"/>
      <w:lvlJc w:val="left"/>
      <w:pPr>
        <w:ind w:left="2070" w:firstLine="1710"/>
      </w:pPr>
      <w:rPr>
        <w:rFonts w:ascii="Arial" w:eastAsia="Arial" w:hAnsi="Arial" w:cs="Arial"/>
      </w:rPr>
    </w:lvl>
    <w:lvl w:ilvl="2">
      <w:start w:val="1"/>
      <w:numFmt w:val="bullet"/>
      <w:lvlText w:val="▪"/>
      <w:lvlJc w:val="left"/>
      <w:pPr>
        <w:ind w:left="2790" w:firstLine="2430"/>
      </w:pPr>
      <w:rPr>
        <w:rFonts w:ascii="Arial" w:eastAsia="Arial" w:hAnsi="Arial" w:cs="Arial"/>
      </w:rPr>
    </w:lvl>
    <w:lvl w:ilvl="3">
      <w:start w:val="1"/>
      <w:numFmt w:val="bullet"/>
      <w:lvlText w:val="●"/>
      <w:lvlJc w:val="left"/>
      <w:pPr>
        <w:ind w:left="3510" w:firstLine="3150"/>
      </w:pPr>
      <w:rPr>
        <w:rFonts w:ascii="Arial" w:eastAsia="Arial" w:hAnsi="Arial" w:cs="Arial"/>
      </w:rPr>
    </w:lvl>
    <w:lvl w:ilvl="4">
      <w:start w:val="1"/>
      <w:numFmt w:val="bullet"/>
      <w:lvlText w:val="o"/>
      <w:lvlJc w:val="left"/>
      <w:pPr>
        <w:ind w:left="4230" w:firstLine="3870"/>
      </w:pPr>
      <w:rPr>
        <w:rFonts w:ascii="Arial" w:eastAsia="Arial" w:hAnsi="Arial" w:cs="Arial"/>
      </w:rPr>
    </w:lvl>
    <w:lvl w:ilvl="5">
      <w:start w:val="1"/>
      <w:numFmt w:val="bullet"/>
      <w:lvlText w:val="▪"/>
      <w:lvlJc w:val="left"/>
      <w:pPr>
        <w:ind w:left="4950" w:firstLine="4590"/>
      </w:pPr>
      <w:rPr>
        <w:rFonts w:ascii="Arial" w:eastAsia="Arial" w:hAnsi="Arial" w:cs="Arial"/>
      </w:rPr>
    </w:lvl>
    <w:lvl w:ilvl="6">
      <w:start w:val="1"/>
      <w:numFmt w:val="bullet"/>
      <w:lvlText w:val="●"/>
      <w:lvlJc w:val="left"/>
      <w:pPr>
        <w:ind w:left="5670" w:firstLine="5310"/>
      </w:pPr>
      <w:rPr>
        <w:rFonts w:ascii="Arial" w:eastAsia="Arial" w:hAnsi="Arial" w:cs="Arial"/>
      </w:rPr>
    </w:lvl>
    <w:lvl w:ilvl="7">
      <w:start w:val="1"/>
      <w:numFmt w:val="bullet"/>
      <w:lvlText w:val="o"/>
      <w:lvlJc w:val="left"/>
      <w:pPr>
        <w:ind w:left="6390" w:firstLine="6030"/>
      </w:pPr>
      <w:rPr>
        <w:rFonts w:ascii="Arial" w:eastAsia="Arial" w:hAnsi="Arial" w:cs="Arial"/>
      </w:rPr>
    </w:lvl>
    <w:lvl w:ilvl="8">
      <w:start w:val="1"/>
      <w:numFmt w:val="bullet"/>
      <w:lvlText w:val="▪"/>
      <w:lvlJc w:val="left"/>
      <w:pPr>
        <w:ind w:left="7110" w:firstLine="6750"/>
      </w:pPr>
      <w:rPr>
        <w:rFonts w:ascii="Arial" w:eastAsia="Arial" w:hAnsi="Arial" w:cs="Arial"/>
      </w:rPr>
    </w:lvl>
  </w:abstractNum>
  <w:abstractNum w:abstractNumId="4" w15:restartNumberingAfterBreak="0">
    <w:nsid w:val="158A0609"/>
    <w:multiLevelType w:val="multilevel"/>
    <w:tmpl w:val="8A741F90"/>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1BF66384"/>
    <w:multiLevelType w:val="multilevel"/>
    <w:tmpl w:val="0E2E3A6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1C174E5C"/>
    <w:multiLevelType w:val="multilevel"/>
    <w:tmpl w:val="DBB06CFA"/>
    <w:lvl w:ilvl="0">
      <w:start w:val="1"/>
      <w:numFmt w:val="lowerLetter"/>
      <w:lvlText w:val="%1."/>
      <w:lvlJc w:val="left"/>
      <w:pPr>
        <w:ind w:left="720" w:firstLine="360"/>
      </w:pPr>
    </w:lvl>
    <w:lvl w:ilvl="1">
      <w:start w:val="1"/>
      <w:numFmt w:val="upp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1D515C16"/>
    <w:multiLevelType w:val="multilevel"/>
    <w:tmpl w:val="FC5CFA6E"/>
    <w:lvl w:ilvl="0">
      <w:start w:val="1"/>
      <w:numFmt w:val="lowerLetter"/>
      <w:lvlText w:val="%1."/>
      <w:lvlJc w:val="left"/>
      <w:pPr>
        <w:ind w:left="720" w:firstLine="360"/>
      </w:pPr>
    </w:lvl>
    <w:lvl w:ilvl="1">
      <w:start w:val="1"/>
      <w:numFmt w:val="upp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15:restartNumberingAfterBreak="0">
    <w:nsid w:val="262C3112"/>
    <w:multiLevelType w:val="hybridMultilevel"/>
    <w:tmpl w:val="294CC63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0D5E4B"/>
    <w:multiLevelType w:val="multilevel"/>
    <w:tmpl w:val="5ED805C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0" w15:restartNumberingAfterBreak="0">
    <w:nsid w:val="39BE7F71"/>
    <w:multiLevelType w:val="multilevel"/>
    <w:tmpl w:val="E9E69DA4"/>
    <w:lvl w:ilvl="0">
      <w:start w:val="1"/>
      <w:numFmt w:val="upperRoman"/>
      <w:lvlText w:val="%1."/>
      <w:lvlJc w:val="right"/>
      <w:pPr>
        <w:ind w:left="1440" w:firstLine="1080"/>
      </w:pPr>
    </w:lvl>
    <w:lvl w:ilvl="1">
      <w:start w:val="1"/>
      <w:numFmt w:val="upperRoman"/>
      <w:lvlText w:val="%2."/>
      <w:lvlJc w:val="right"/>
      <w:pPr>
        <w:ind w:left="2160" w:firstLine="1800"/>
      </w:pPr>
    </w:lvl>
    <w:lvl w:ilvl="2">
      <w:start w:val="1"/>
      <w:numFmt w:val="lowerLetter"/>
      <w:lvlText w:val="%3."/>
      <w:lvlJc w:val="left"/>
      <w:pPr>
        <w:ind w:left="306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11" w15:restartNumberingAfterBreak="0">
    <w:nsid w:val="3B4179CD"/>
    <w:multiLevelType w:val="multilevel"/>
    <w:tmpl w:val="FBE4FDF6"/>
    <w:lvl w:ilvl="0">
      <w:start w:val="1"/>
      <w:numFmt w:val="lowerLetter"/>
      <w:lvlText w:val="%1."/>
      <w:lvlJc w:val="left"/>
      <w:pPr>
        <w:ind w:left="720" w:firstLine="360"/>
      </w:pPr>
    </w:lvl>
    <w:lvl w:ilvl="1">
      <w:start w:val="1"/>
      <w:numFmt w:val="upp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3F665ECF"/>
    <w:multiLevelType w:val="multilevel"/>
    <w:tmpl w:val="ECA037DC"/>
    <w:lvl w:ilvl="0">
      <w:start w:val="1"/>
      <w:numFmt w:val="lowerRoman"/>
      <w:lvlText w:val="%1)"/>
      <w:lvlJc w:val="left"/>
      <w:pPr>
        <w:ind w:left="600" w:hanging="361"/>
      </w:pPr>
      <w:rPr>
        <w:rFonts w:ascii="Calibri" w:eastAsia="Calibri" w:hAnsi="Calibri" w:cs="Calibri"/>
        <w:sz w:val="22"/>
        <w:szCs w:val="22"/>
      </w:rPr>
    </w:lvl>
    <w:lvl w:ilvl="1">
      <w:numFmt w:val="bullet"/>
      <w:lvlText w:val="•"/>
      <w:lvlJc w:val="left"/>
      <w:pPr>
        <w:ind w:left="1140" w:hanging="361"/>
      </w:pPr>
      <w:rPr>
        <w:rFonts w:ascii="Arial" w:eastAsia="Arial" w:hAnsi="Arial" w:cs="Arial"/>
        <w:sz w:val="22"/>
        <w:szCs w:val="22"/>
      </w:rPr>
    </w:lvl>
    <w:lvl w:ilvl="2">
      <w:numFmt w:val="bullet"/>
      <w:lvlText w:val="•"/>
      <w:lvlJc w:val="left"/>
      <w:pPr>
        <w:ind w:left="2126" w:hanging="361"/>
      </w:pPr>
    </w:lvl>
    <w:lvl w:ilvl="3">
      <w:numFmt w:val="bullet"/>
      <w:lvlText w:val="•"/>
      <w:lvlJc w:val="left"/>
      <w:pPr>
        <w:ind w:left="3113" w:hanging="361"/>
      </w:pPr>
    </w:lvl>
    <w:lvl w:ilvl="4">
      <w:numFmt w:val="bullet"/>
      <w:lvlText w:val="•"/>
      <w:lvlJc w:val="left"/>
      <w:pPr>
        <w:ind w:left="4100" w:hanging="361"/>
      </w:pPr>
    </w:lvl>
    <w:lvl w:ilvl="5">
      <w:numFmt w:val="bullet"/>
      <w:lvlText w:val="•"/>
      <w:lvlJc w:val="left"/>
      <w:pPr>
        <w:ind w:left="5086" w:hanging="361"/>
      </w:pPr>
    </w:lvl>
    <w:lvl w:ilvl="6">
      <w:numFmt w:val="bullet"/>
      <w:lvlText w:val="•"/>
      <w:lvlJc w:val="left"/>
      <w:pPr>
        <w:ind w:left="6073" w:hanging="361"/>
      </w:pPr>
    </w:lvl>
    <w:lvl w:ilvl="7">
      <w:numFmt w:val="bullet"/>
      <w:lvlText w:val="•"/>
      <w:lvlJc w:val="left"/>
      <w:pPr>
        <w:ind w:left="7060" w:hanging="361"/>
      </w:pPr>
    </w:lvl>
    <w:lvl w:ilvl="8">
      <w:numFmt w:val="bullet"/>
      <w:lvlText w:val="•"/>
      <w:lvlJc w:val="left"/>
      <w:pPr>
        <w:ind w:left="8046" w:hanging="361"/>
      </w:pPr>
    </w:lvl>
  </w:abstractNum>
  <w:abstractNum w:abstractNumId="13" w15:restartNumberingAfterBreak="0">
    <w:nsid w:val="481B0378"/>
    <w:multiLevelType w:val="multilevel"/>
    <w:tmpl w:val="7DB63C2E"/>
    <w:lvl w:ilvl="0">
      <w:start w:val="1"/>
      <w:numFmt w:val="lowerLetter"/>
      <w:lvlText w:val="%1."/>
      <w:lvlJc w:val="left"/>
      <w:pPr>
        <w:ind w:left="720" w:firstLine="360"/>
      </w:pPr>
    </w:lvl>
    <w:lvl w:ilvl="1">
      <w:start w:val="1"/>
      <w:numFmt w:val="upp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15:restartNumberingAfterBreak="0">
    <w:nsid w:val="48A23443"/>
    <w:multiLevelType w:val="multilevel"/>
    <w:tmpl w:val="4886C610"/>
    <w:lvl w:ilvl="0">
      <w:start w:val="1"/>
      <w:numFmt w:val="decimal"/>
      <w:lvlText w:val="%1."/>
      <w:lvlJc w:val="left"/>
      <w:pPr>
        <w:ind w:left="720" w:firstLine="360"/>
      </w:pPr>
    </w:lvl>
    <w:lvl w:ilvl="1">
      <w:start w:val="12"/>
      <w:numFmt w:val="decimal"/>
      <w:lvlText w:val="%1.%2"/>
      <w:lvlJc w:val="left"/>
      <w:pPr>
        <w:ind w:left="930" w:firstLine="360"/>
      </w:pPr>
    </w:lvl>
    <w:lvl w:ilvl="2">
      <w:start w:val="1"/>
      <w:numFmt w:val="decimal"/>
      <w:lvlText w:val="%1.%2.%3"/>
      <w:lvlJc w:val="left"/>
      <w:pPr>
        <w:ind w:left="1080" w:firstLine="360"/>
      </w:pPr>
    </w:lvl>
    <w:lvl w:ilvl="3">
      <w:start w:val="1"/>
      <w:numFmt w:val="decimal"/>
      <w:lvlText w:val="%1.%2.%3.%4"/>
      <w:lvlJc w:val="left"/>
      <w:pPr>
        <w:ind w:left="1080" w:firstLine="360"/>
      </w:pPr>
    </w:lvl>
    <w:lvl w:ilvl="4">
      <w:start w:val="1"/>
      <w:numFmt w:val="decimal"/>
      <w:lvlText w:val="%1.%2.%3.%4.%5"/>
      <w:lvlJc w:val="left"/>
      <w:pPr>
        <w:ind w:left="1440" w:firstLine="360"/>
      </w:pPr>
    </w:lvl>
    <w:lvl w:ilvl="5">
      <w:start w:val="1"/>
      <w:numFmt w:val="decimal"/>
      <w:lvlText w:val="%1.%2.%3.%4.%5.%6"/>
      <w:lvlJc w:val="left"/>
      <w:pPr>
        <w:ind w:left="1440" w:firstLine="360"/>
      </w:pPr>
    </w:lvl>
    <w:lvl w:ilvl="6">
      <w:start w:val="1"/>
      <w:numFmt w:val="decimal"/>
      <w:lvlText w:val="%1.%2.%3.%4.%5.%6.%7"/>
      <w:lvlJc w:val="left"/>
      <w:pPr>
        <w:ind w:left="1800" w:firstLine="360"/>
      </w:pPr>
    </w:lvl>
    <w:lvl w:ilvl="7">
      <w:start w:val="1"/>
      <w:numFmt w:val="decimal"/>
      <w:lvlText w:val="%1.%2.%3.%4.%5.%6.%7.%8"/>
      <w:lvlJc w:val="left"/>
      <w:pPr>
        <w:ind w:left="1800" w:firstLine="360"/>
      </w:pPr>
    </w:lvl>
    <w:lvl w:ilvl="8">
      <w:start w:val="1"/>
      <w:numFmt w:val="decimal"/>
      <w:lvlText w:val="%1.%2.%3.%4.%5.%6.%7.%8.%9"/>
      <w:lvlJc w:val="left"/>
      <w:pPr>
        <w:ind w:left="1800" w:firstLine="360"/>
      </w:pPr>
    </w:lvl>
  </w:abstractNum>
  <w:abstractNum w:abstractNumId="15" w15:restartNumberingAfterBreak="0">
    <w:nsid w:val="51FF6A9D"/>
    <w:multiLevelType w:val="multilevel"/>
    <w:tmpl w:val="8F54F238"/>
    <w:lvl w:ilvl="0">
      <w:start w:val="1"/>
      <w:numFmt w:val="bullet"/>
      <w:lvlText w:val="●"/>
      <w:lvlJc w:val="left"/>
      <w:pPr>
        <w:ind w:left="360" w:firstLine="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CAF6738"/>
    <w:multiLevelType w:val="multilevel"/>
    <w:tmpl w:val="2DF8CE2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7" w15:restartNumberingAfterBreak="0">
    <w:nsid w:val="63C65FBE"/>
    <w:multiLevelType w:val="hybridMultilevel"/>
    <w:tmpl w:val="880E0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2E535E"/>
    <w:multiLevelType w:val="multilevel"/>
    <w:tmpl w:val="19567D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6FD22785"/>
    <w:multiLevelType w:val="multilevel"/>
    <w:tmpl w:val="95824726"/>
    <w:lvl w:ilvl="0">
      <w:start w:val="1"/>
      <w:numFmt w:val="bullet"/>
      <w:lvlText w:val="●"/>
      <w:lvlJc w:val="left"/>
      <w:pPr>
        <w:ind w:left="360" w:firstLine="0"/>
      </w:pPr>
      <w:rPr>
        <w:rFonts w:ascii="Arial" w:eastAsia="Arial" w:hAnsi="Arial" w:cs="Arial"/>
      </w:rPr>
    </w:lvl>
    <w:lvl w:ilvl="1">
      <w:start w:val="1"/>
      <w:numFmt w:val="lowerLetter"/>
      <w:lvlText w:val="%2."/>
      <w:lvlJc w:val="left"/>
      <w:pPr>
        <w:ind w:left="3240" w:firstLine="2880"/>
      </w:pPr>
    </w:lvl>
    <w:lvl w:ilvl="2">
      <w:start w:val="1"/>
      <w:numFmt w:val="lowerRoman"/>
      <w:lvlText w:val="%3."/>
      <w:lvlJc w:val="right"/>
      <w:pPr>
        <w:ind w:left="3960" w:firstLine="3780"/>
      </w:pPr>
    </w:lvl>
    <w:lvl w:ilvl="3">
      <w:start w:val="1"/>
      <w:numFmt w:val="decimal"/>
      <w:lvlText w:val="%4."/>
      <w:lvlJc w:val="left"/>
      <w:pPr>
        <w:ind w:left="4680" w:firstLine="4320"/>
      </w:pPr>
    </w:lvl>
    <w:lvl w:ilvl="4">
      <w:start w:val="1"/>
      <w:numFmt w:val="lowerLetter"/>
      <w:lvlText w:val="%5."/>
      <w:lvlJc w:val="left"/>
      <w:pPr>
        <w:ind w:left="5400" w:firstLine="5040"/>
      </w:pPr>
    </w:lvl>
    <w:lvl w:ilvl="5">
      <w:start w:val="1"/>
      <w:numFmt w:val="lowerRoman"/>
      <w:lvlText w:val="%6."/>
      <w:lvlJc w:val="right"/>
      <w:pPr>
        <w:ind w:left="6120" w:firstLine="5940"/>
      </w:pPr>
    </w:lvl>
    <w:lvl w:ilvl="6">
      <w:start w:val="1"/>
      <w:numFmt w:val="decimal"/>
      <w:lvlText w:val="%7."/>
      <w:lvlJc w:val="left"/>
      <w:pPr>
        <w:ind w:left="6840" w:firstLine="6480"/>
      </w:pPr>
    </w:lvl>
    <w:lvl w:ilvl="7">
      <w:start w:val="1"/>
      <w:numFmt w:val="lowerLetter"/>
      <w:lvlText w:val="%8."/>
      <w:lvlJc w:val="left"/>
      <w:pPr>
        <w:ind w:left="7560" w:firstLine="7200"/>
      </w:pPr>
    </w:lvl>
    <w:lvl w:ilvl="8">
      <w:start w:val="1"/>
      <w:numFmt w:val="lowerRoman"/>
      <w:lvlText w:val="%9."/>
      <w:lvlJc w:val="right"/>
      <w:pPr>
        <w:ind w:left="8280" w:firstLine="8100"/>
      </w:pPr>
    </w:lvl>
  </w:abstractNum>
  <w:abstractNum w:abstractNumId="20" w15:restartNumberingAfterBreak="0">
    <w:nsid w:val="701F1DC1"/>
    <w:multiLevelType w:val="multilevel"/>
    <w:tmpl w:val="4A8412BC"/>
    <w:lvl w:ilvl="0">
      <w:start w:val="1"/>
      <w:numFmt w:val="lowerLetter"/>
      <w:lvlText w:val="%1."/>
      <w:lvlJc w:val="left"/>
      <w:pPr>
        <w:ind w:left="720" w:firstLine="360"/>
      </w:pPr>
    </w:lvl>
    <w:lvl w:ilvl="1">
      <w:start w:val="1"/>
      <w:numFmt w:val="upp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1" w15:restartNumberingAfterBreak="0">
    <w:nsid w:val="718F4E0E"/>
    <w:multiLevelType w:val="multilevel"/>
    <w:tmpl w:val="7C30D2D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2" w15:restartNumberingAfterBreak="0">
    <w:nsid w:val="77C10BB2"/>
    <w:multiLevelType w:val="multilevel"/>
    <w:tmpl w:val="9B56D4D8"/>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3" w15:restartNumberingAfterBreak="0">
    <w:nsid w:val="79F50204"/>
    <w:multiLevelType w:val="multilevel"/>
    <w:tmpl w:val="F438A196"/>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7D3A6B93"/>
    <w:multiLevelType w:val="multilevel"/>
    <w:tmpl w:val="7A6A94C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16cid:durableId="1704940256">
    <w:abstractNumId w:val="14"/>
  </w:num>
  <w:num w:numId="2" w16cid:durableId="789518522">
    <w:abstractNumId w:val="19"/>
  </w:num>
  <w:num w:numId="3" w16cid:durableId="1357004475">
    <w:abstractNumId w:val="18"/>
  </w:num>
  <w:num w:numId="4" w16cid:durableId="1728525135">
    <w:abstractNumId w:val="9"/>
  </w:num>
  <w:num w:numId="5" w16cid:durableId="1849563589">
    <w:abstractNumId w:val="15"/>
  </w:num>
  <w:num w:numId="6" w16cid:durableId="814219520">
    <w:abstractNumId w:val="21"/>
  </w:num>
  <w:num w:numId="7" w16cid:durableId="119231080">
    <w:abstractNumId w:val="6"/>
  </w:num>
  <w:num w:numId="8" w16cid:durableId="1325087373">
    <w:abstractNumId w:val="1"/>
  </w:num>
  <w:num w:numId="9" w16cid:durableId="782506180">
    <w:abstractNumId w:val="24"/>
  </w:num>
  <w:num w:numId="10" w16cid:durableId="2032224400">
    <w:abstractNumId w:val="0"/>
  </w:num>
  <w:num w:numId="11" w16cid:durableId="945229325">
    <w:abstractNumId w:val="22"/>
  </w:num>
  <w:num w:numId="12" w16cid:durableId="1133720482">
    <w:abstractNumId w:val="3"/>
  </w:num>
  <w:num w:numId="13" w16cid:durableId="1047755167">
    <w:abstractNumId w:val="16"/>
  </w:num>
  <w:num w:numId="14" w16cid:durableId="2106031823">
    <w:abstractNumId w:val="10"/>
  </w:num>
  <w:num w:numId="15" w16cid:durableId="1489714011">
    <w:abstractNumId w:val="5"/>
  </w:num>
  <w:num w:numId="16" w16cid:durableId="701177452">
    <w:abstractNumId w:val="2"/>
  </w:num>
  <w:num w:numId="17" w16cid:durableId="1284387401">
    <w:abstractNumId w:val="4"/>
  </w:num>
  <w:num w:numId="18" w16cid:durableId="1876454948">
    <w:abstractNumId w:val="7"/>
  </w:num>
  <w:num w:numId="19" w16cid:durableId="534273626">
    <w:abstractNumId w:val="20"/>
  </w:num>
  <w:num w:numId="20" w16cid:durableId="707992504">
    <w:abstractNumId w:val="23"/>
  </w:num>
  <w:num w:numId="21" w16cid:durableId="1578130386">
    <w:abstractNumId w:val="11"/>
  </w:num>
  <w:num w:numId="22" w16cid:durableId="2005670400">
    <w:abstractNumId w:val="13"/>
  </w:num>
  <w:num w:numId="23" w16cid:durableId="1619333921">
    <w:abstractNumId w:val="12"/>
  </w:num>
  <w:num w:numId="24" w16cid:durableId="1249005125">
    <w:abstractNumId w:val="17"/>
  </w:num>
  <w:num w:numId="25" w16cid:durableId="932543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C9"/>
    <w:rsid w:val="00005070"/>
    <w:rsid w:val="00010A0E"/>
    <w:rsid w:val="00012C9E"/>
    <w:rsid w:val="00021F20"/>
    <w:rsid w:val="0002767E"/>
    <w:rsid w:val="000410BE"/>
    <w:rsid w:val="00044A3A"/>
    <w:rsid w:val="00051804"/>
    <w:rsid w:val="000547D3"/>
    <w:rsid w:val="00054ECB"/>
    <w:rsid w:val="00056F2D"/>
    <w:rsid w:val="00062BEA"/>
    <w:rsid w:val="0006707E"/>
    <w:rsid w:val="0007232C"/>
    <w:rsid w:val="000727F5"/>
    <w:rsid w:val="00085B74"/>
    <w:rsid w:val="00090036"/>
    <w:rsid w:val="000D066E"/>
    <w:rsid w:val="000D565A"/>
    <w:rsid w:val="000E1667"/>
    <w:rsid w:val="000F341D"/>
    <w:rsid w:val="0010075E"/>
    <w:rsid w:val="00100C07"/>
    <w:rsid w:val="00103FAF"/>
    <w:rsid w:val="00107D44"/>
    <w:rsid w:val="00114391"/>
    <w:rsid w:val="00121787"/>
    <w:rsid w:val="001240D5"/>
    <w:rsid w:val="00125F15"/>
    <w:rsid w:val="001322D4"/>
    <w:rsid w:val="001343B1"/>
    <w:rsid w:val="00144F8D"/>
    <w:rsid w:val="0014675A"/>
    <w:rsid w:val="00146F28"/>
    <w:rsid w:val="0016501E"/>
    <w:rsid w:val="00165834"/>
    <w:rsid w:val="00167AE6"/>
    <w:rsid w:val="001771A8"/>
    <w:rsid w:val="0018228D"/>
    <w:rsid w:val="00187CD8"/>
    <w:rsid w:val="001A0132"/>
    <w:rsid w:val="001A3DC2"/>
    <w:rsid w:val="001D0E67"/>
    <w:rsid w:val="001D169E"/>
    <w:rsid w:val="001D2434"/>
    <w:rsid w:val="001D50D0"/>
    <w:rsid w:val="001D54BA"/>
    <w:rsid w:val="001D7D9A"/>
    <w:rsid w:val="001E11CC"/>
    <w:rsid w:val="001E68F5"/>
    <w:rsid w:val="001F2499"/>
    <w:rsid w:val="001F2861"/>
    <w:rsid w:val="00211EB8"/>
    <w:rsid w:val="00214E0D"/>
    <w:rsid w:val="002209DB"/>
    <w:rsid w:val="00233100"/>
    <w:rsid w:val="00235F39"/>
    <w:rsid w:val="002436C9"/>
    <w:rsid w:val="00243B38"/>
    <w:rsid w:val="00260346"/>
    <w:rsid w:val="0027080C"/>
    <w:rsid w:val="002902FF"/>
    <w:rsid w:val="00297471"/>
    <w:rsid w:val="002A4B0C"/>
    <w:rsid w:val="002A77E9"/>
    <w:rsid w:val="002B0854"/>
    <w:rsid w:val="002C0728"/>
    <w:rsid w:val="002D2325"/>
    <w:rsid w:val="002E5130"/>
    <w:rsid w:val="002F1D5A"/>
    <w:rsid w:val="002F709C"/>
    <w:rsid w:val="003015F9"/>
    <w:rsid w:val="00302240"/>
    <w:rsid w:val="003174D3"/>
    <w:rsid w:val="00322784"/>
    <w:rsid w:val="00327E8E"/>
    <w:rsid w:val="00331407"/>
    <w:rsid w:val="00353D37"/>
    <w:rsid w:val="00361600"/>
    <w:rsid w:val="003679FF"/>
    <w:rsid w:val="00386671"/>
    <w:rsid w:val="0039047C"/>
    <w:rsid w:val="00392534"/>
    <w:rsid w:val="003A5836"/>
    <w:rsid w:val="003D0F58"/>
    <w:rsid w:val="003D2CCE"/>
    <w:rsid w:val="003D7204"/>
    <w:rsid w:val="003E61D6"/>
    <w:rsid w:val="00402934"/>
    <w:rsid w:val="0040701B"/>
    <w:rsid w:val="00414D6E"/>
    <w:rsid w:val="004177A7"/>
    <w:rsid w:val="00437A15"/>
    <w:rsid w:val="0044544B"/>
    <w:rsid w:val="0045109E"/>
    <w:rsid w:val="00453CCB"/>
    <w:rsid w:val="00464E1C"/>
    <w:rsid w:val="00472E95"/>
    <w:rsid w:val="004806DE"/>
    <w:rsid w:val="004829E5"/>
    <w:rsid w:val="0048463A"/>
    <w:rsid w:val="0049486C"/>
    <w:rsid w:val="00496EE0"/>
    <w:rsid w:val="0049710C"/>
    <w:rsid w:val="004A4C36"/>
    <w:rsid w:val="004A5C34"/>
    <w:rsid w:val="004B2997"/>
    <w:rsid w:val="004C12BA"/>
    <w:rsid w:val="004C75C5"/>
    <w:rsid w:val="004E43F1"/>
    <w:rsid w:val="004F0C9C"/>
    <w:rsid w:val="0050075E"/>
    <w:rsid w:val="005204AB"/>
    <w:rsid w:val="00522768"/>
    <w:rsid w:val="00522AD7"/>
    <w:rsid w:val="00532271"/>
    <w:rsid w:val="00532678"/>
    <w:rsid w:val="005367DB"/>
    <w:rsid w:val="00546DCA"/>
    <w:rsid w:val="00547B5C"/>
    <w:rsid w:val="005612AD"/>
    <w:rsid w:val="0057066A"/>
    <w:rsid w:val="00580A43"/>
    <w:rsid w:val="00580F24"/>
    <w:rsid w:val="005973F0"/>
    <w:rsid w:val="005B3C1E"/>
    <w:rsid w:val="005C1661"/>
    <w:rsid w:val="005C1AA0"/>
    <w:rsid w:val="005C5A49"/>
    <w:rsid w:val="005D28AD"/>
    <w:rsid w:val="005D5AD4"/>
    <w:rsid w:val="005E13BB"/>
    <w:rsid w:val="005E4137"/>
    <w:rsid w:val="00603268"/>
    <w:rsid w:val="006130A9"/>
    <w:rsid w:val="006212E7"/>
    <w:rsid w:val="0063363E"/>
    <w:rsid w:val="006362E2"/>
    <w:rsid w:val="00646828"/>
    <w:rsid w:val="00666A96"/>
    <w:rsid w:val="006A0983"/>
    <w:rsid w:val="006A1A12"/>
    <w:rsid w:val="006A26A2"/>
    <w:rsid w:val="006B04E1"/>
    <w:rsid w:val="006C23C8"/>
    <w:rsid w:val="006D0FED"/>
    <w:rsid w:val="006D302E"/>
    <w:rsid w:val="006D4857"/>
    <w:rsid w:val="006F15CB"/>
    <w:rsid w:val="006F23E2"/>
    <w:rsid w:val="006F341D"/>
    <w:rsid w:val="006F7A2B"/>
    <w:rsid w:val="0070249A"/>
    <w:rsid w:val="00711A5A"/>
    <w:rsid w:val="0071507A"/>
    <w:rsid w:val="0072277B"/>
    <w:rsid w:val="00735BD2"/>
    <w:rsid w:val="00742B43"/>
    <w:rsid w:val="00751C7F"/>
    <w:rsid w:val="00753F3E"/>
    <w:rsid w:val="00757FE1"/>
    <w:rsid w:val="00764CF8"/>
    <w:rsid w:val="00770E33"/>
    <w:rsid w:val="007733D0"/>
    <w:rsid w:val="0077441B"/>
    <w:rsid w:val="007752EF"/>
    <w:rsid w:val="007816FD"/>
    <w:rsid w:val="007843FE"/>
    <w:rsid w:val="007B2FBC"/>
    <w:rsid w:val="007C47CB"/>
    <w:rsid w:val="007F52AB"/>
    <w:rsid w:val="00802680"/>
    <w:rsid w:val="00807AE5"/>
    <w:rsid w:val="00816593"/>
    <w:rsid w:val="008365A9"/>
    <w:rsid w:val="0085148C"/>
    <w:rsid w:val="00855422"/>
    <w:rsid w:val="00864BD4"/>
    <w:rsid w:val="00866708"/>
    <w:rsid w:val="00877731"/>
    <w:rsid w:val="00881444"/>
    <w:rsid w:val="00891FE9"/>
    <w:rsid w:val="008B04A8"/>
    <w:rsid w:val="008B666D"/>
    <w:rsid w:val="008B6674"/>
    <w:rsid w:val="008C2217"/>
    <w:rsid w:val="008C6B84"/>
    <w:rsid w:val="008D2DC6"/>
    <w:rsid w:val="008F5874"/>
    <w:rsid w:val="00912CFC"/>
    <w:rsid w:val="00914A61"/>
    <w:rsid w:val="009209E7"/>
    <w:rsid w:val="00921451"/>
    <w:rsid w:val="00934DB0"/>
    <w:rsid w:val="00953CD9"/>
    <w:rsid w:val="00980517"/>
    <w:rsid w:val="00996022"/>
    <w:rsid w:val="009A71E0"/>
    <w:rsid w:val="009B3390"/>
    <w:rsid w:val="009B7F86"/>
    <w:rsid w:val="009C6A67"/>
    <w:rsid w:val="009C7B2D"/>
    <w:rsid w:val="009F03A9"/>
    <w:rsid w:val="00A06454"/>
    <w:rsid w:val="00A21089"/>
    <w:rsid w:val="00A26555"/>
    <w:rsid w:val="00A30D3A"/>
    <w:rsid w:val="00A46AD3"/>
    <w:rsid w:val="00A46DFD"/>
    <w:rsid w:val="00A5265B"/>
    <w:rsid w:val="00A6138A"/>
    <w:rsid w:val="00A61F67"/>
    <w:rsid w:val="00A918C1"/>
    <w:rsid w:val="00A93C9C"/>
    <w:rsid w:val="00AA627D"/>
    <w:rsid w:val="00AB630F"/>
    <w:rsid w:val="00AE32E3"/>
    <w:rsid w:val="00B142FB"/>
    <w:rsid w:val="00B350AE"/>
    <w:rsid w:val="00B402E5"/>
    <w:rsid w:val="00B43428"/>
    <w:rsid w:val="00B73663"/>
    <w:rsid w:val="00B8686B"/>
    <w:rsid w:val="00BA1830"/>
    <w:rsid w:val="00BA3B66"/>
    <w:rsid w:val="00BB6023"/>
    <w:rsid w:val="00BC7438"/>
    <w:rsid w:val="00BD2389"/>
    <w:rsid w:val="00BD356E"/>
    <w:rsid w:val="00BD5AEC"/>
    <w:rsid w:val="00BD72C1"/>
    <w:rsid w:val="00C0084A"/>
    <w:rsid w:val="00C2461F"/>
    <w:rsid w:val="00C31513"/>
    <w:rsid w:val="00C43E64"/>
    <w:rsid w:val="00C7325D"/>
    <w:rsid w:val="00C969D2"/>
    <w:rsid w:val="00CB0598"/>
    <w:rsid w:val="00CB1B23"/>
    <w:rsid w:val="00CB596E"/>
    <w:rsid w:val="00CC68D9"/>
    <w:rsid w:val="00CD13BE"/>
    <w:rsid w:val="00CD1AB0"/>
    <w:rsid w:val="00CD2DB3"/>
    <w:rsid w:val="00CD755B"/>
    <w:rsid w:val="00D15C78"/>
    <w:rsid w:val="00D24014"/>
    <w:rsid w:val="00D254F9"/>
    <w:rsid w:val="00D3086D"/>
    <w:rsid w:val="00D33D02"/>
    <w:rsid w:val="00D46895"/>
    <w:rsid w:val="00D51CC4"/>
    <w:rsid w:val="00D53F1C"/>
    <w:rsid w:val="00D804E8"/>
    <w:rsid w:val="00DB12CB"/>
    <w:rsid w:val="00DB4AC9"/>
    <w:rsid w:val="00DB7409"/>
    <w:rsid w:val="00DD3B6F"/>
    <w:rsid w:val="00DE6C48"/>
    <w:rsid w:val="00DE6C6D"/>
    <w:rsid w:val="00DF0669"/>
    <w:rsid w:val="00DF1A7B"/>
    <w:rsid w:val="00DF2F25"/>
    <w:rsid w:val="00E02EE0"/>
    <w:rsid w:val="00E1207A"/>
    <w:rsid w:val="00E2620E"/>
    <w:rsid w:val="00E263A8"/>
    <w:rsid w:val="00E42A66"/>
    <w:rsid w:val="00E86BD0"/>
    <w:rsid w:val="00E91842"/>
    <w:rsid w:val="00E94B51"/>
    <w:rsid w:val="00EC0399"/>
    <w:rsid w:val="00EC2116"/>
    <w:rsid w:val="00EC4D23"/>
    <w:rsid w:val="00EC721D"/>
    <w:rsid w:val="00EF11F2"/>
    <w:rsid w:val="00EF3E55"/>
    <w:rsid w:val="00EF415F"/>
    <w:rsid w:val="00F25535"/>
    <w:rsid w:val="00F2651B"/>
    <w:rsid w:val="00F72411"/>
    <w:rsid w:val="00FA604B"/>
    <w:rsid w:val="00FB4F30"/>
    <w:rsid w:val="00FE444F"/>
    <w:rsid w:val="00FF1028"/>
    <w:rsid w:val="00FF1DA4"/>
    <w:rsid w:val="36BB7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5411"/>
  <w15:chartTrackingRefBased/>
  <w15:docId w15:val="{485C60F2-3E6B-4B01-9D51-D50F29455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4AC9"/>
    <w:pPr>
      <w:spacing w:after="120" w:line="240" w:lineRule="auto"/>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qFormat/>
    <w:rsid w:val="00DB4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B4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B4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DB4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B4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B4A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A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A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A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AC9"/>
    <w:rPr>
      <w:rFonts w:eastAsiaTheme="majorEastAsia" w:cstheme="majorBidi"/>
      <w:color w:val="272727" w:themeColor="text1" w:themeTint="D8"/>
    </w:rPr>
  </w:style>
  <w:style w:type="paragraph" w:styleId="Title">
    <w:name w:val="Title"/>
    <w:basedOn w:val="Normal"/>
    <w:next w:val="Normal"/>
    <w:link w:val="TitleChar"/>
    <w:qFormat/>
    <w:rsid w:val="00DB4A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B4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AC9"/>
    <w:pPr>
      <w:spacing w:before="160"/>
      <w:jc w:val="center"/>
    </w:pPr>
    <w:rPr>
      <w:i/>
      <w:iCs/>
      <w:color w:val="404040" w:themeColor="text1" w:themeTint="BF"/>
    </w:rPr>
  </w:style>
  <w:style w:type="character" w:customStyle="1" w:styleId="QuoteChar">
    <w:name w:val="Quote Char"/>
    <w:basedOn w:val="DefaultParagraphFont"/>
    <w:link w:val="Quote"/>
    <w:uiPriority w:val="29"/>
    <w:rsid w:val="00DB4AC9"/>
    <w:rPr>
      <w:i/>
      <w:iCs/>
      <w:color w:val="404040" w:themeColor="text1" w:themeTint="BF"/>
    </w:rPr>
  </w:style>
  <w:style w:type="paragraph" w:styleId="ListParagraph">
    <w:name w:val="List Paragraph"/>
    <w:basedOn w:val="Normal"/>
    <w:uiPriority w:val="34"/>
    <w:qFormat/>
    <w:rsid w:val="00DB4AC9"/>
    <w:pPr>
      <w:ind w:left="720"/>
      <w:contextualSpacing/>
    </w:pPr>
  </w:style>
  <w:style w:type="character" w:styleId="IntenseEmphasis">
    <w:name w:val="Intense Emphasis"/>
    <w:basedOn w:val="DefaultParagraphFont"/>
    <w:uiPriority w:val="21"/>
    <w:qFormat/>
    <w:rsid w:val="00DB4AC9"/>
    <w:rPr>
      <w:i/>
      <w:iCs/>
      <w:color w:val="0F4761" w:themeColor="accent1" w:themeShade="BF"/>
    </w:rPr>
  </w:style>
  <w:style w:type="paragraph" w:styleId="IntenseQuote">
    <w:name w:val="Intense Quote"/>
    <w:basedOn w:val="Normal"/>
    <w:next w:val="Normal"/>
    <w:link w:val="IntenseQuoteChar"/>
    <w:uiPriority w:val="30"/>
    <w:qFormat/>
    <w:rsid w:val="00DB4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AC9"/>
    <w:rPr>
      <w:i/>
      <w:iCs/>
      <w:color w:val="0F4761" w:themeColor="accent1" w:themeShade="BF"/>
    </w:rPr>
  </w:style>
  <w:style w:type="character" w:styleId="IntenseReference">
    <w:name w:val="Intense Reference"/>
    <w:basedOn w:val="DefaultParagraphFont"/>
    <w:uiPriority w:val="32"/>
    <w:qFormat/>
    <w:rsid w:val="00DB4AC9"/>
    <w:rPr>
      <w:b/>
      <w:bCs/>
      <w:smallCaps/>
      <w:color w:val="0F4761" w:themeColor="accent1" w:themeShade="BF"/>
      <w:spacing w:val="5"/>
    </w:rPr>
  </w:style>
  <w:style w:type="paragraph" w:styleId="Header">
    <w:name w:val="header"/>
    <w:basedOn w:val="Normal"/>
    <w:link w:val="HeaderChar"/>
    <w:uiPriority w:val="99"/>
    <w:unhideWhenUsed/>
    <w:rsid w:val="00DB4AC9"/>
    <w:pPr>
      <w:tabs>
        <w:tab w:val="center" w:pos="4680"/>
        <w:tab w:val="right" w:pos="9360"/>
      </w:tabs>
      <w:spacing w:after="0"/>
    </w:pPr>
  </w:style>
  <w:style w:type="character" w:customStyle="1" w:styleId="HeaderChar">
    <w:name w:val="Header Char"/>
    <w:basedOn w:val="DefaultParagraphFont"/>
    <w:link w:val="Header"/>
    <w:uiPriority w:val="99"/>
    <w:rsid w:val="00DB4AC9"/>
    <w:rPr>
      <w:rFonts w:ascii="Calibri" w:eastAsia="Calibri" w:hAnsi="Calibri" w:cs="Calibri"/>
      <w:color w:val="000000"/>
      <w:kern w:val="0"/>
      <w:sz w:val="22"/>
      <w:szCs w:val="22"/>
      <w14:ligatures w14:val="none"/>
    </w:rPr>
  </w:style>
  <w:style w:type="paragraph" w:styleId="Footer">
    <w:name w:val="footer"/>
    <w:basedOn w:val="Normal"/>
    <w:link w:val="FooterChar"/>
    <w:uiPriority w:val="99"/>
    <w:unhideWhenUsed/>
    <w:rsid w:val="00DB4AC9"/>
    <w:pPr>
      <w:tabs>
        <w:tab w:val="center" w:pos="4680"/>
        <w:tab w:val="right" w:pos="9360"/>
      </w:tabs>
      <w:spacing w:after="0"/>
    </w:pPr>
  </w:style>
  <w:style w:type="character" w:customStyle="1" w:styleId="FooterChar">
    <w:name w:val="Footer Char"/>
    <w:basedOn w:val="DefaultParagraphFont"/>
    <w:link w:val="Footer"/>
    <w:uiPriority w:val="99"/>
    <w:rsid w:val="00DB4AC9"/>
    <w:rPr>
      <w:rFonts w:ascii="Calibri" w:eastAsia="Calibri" w:hAnsi="Calibri" w:cs="Calibri"/>
      <w:color w:val="000000"/>
      <w:kern w:val="0"/>
      <w:sz w:val="22"/>
      <w:szCs w:val="22"/>
      <w14:ligatures w14:val="none"/>
    </w:rPr>
  </w:style>
  <w:style w:type="paragraph" w:styleId="Revision">
    <w:name w:val="Revision"/>
    <w:hidden/>
    <w:uiPriority w:val="99"/>
    <w:semiHidden/>
    <w:rsid w:val="00DB4AC9"/>
    <w:pPr>
      <w:spacing w:after="0" w:line="240" w:lineRule="auto"/>
    </w:pPr>
    <w:rPr>
      <w:rFonts w:ascii="Calibri" w:eastAsia="Calibri" w:hAnsi="Calibri" w:cs="Calibri"/>
      <w:color w:val="000000"/>
      <w:kern w:val="0"/>
      <w:sz w:val="22"/>
      <w:szCs w:val="22"/>
      <w14:ligatures w14:val="none"/>
    </w:rPr>
  </w:style>
  <w:style w:type="character" w:styleId="CommentReference">
    <w:name w:val="annotation reference"/>
    <w:basedOn w:val="DefaultParagraphFont"/>
    <w:uiPriority w:val="99"/>
    <w:semiHidden/>
    <w:unhideWhenUsed/>
    <w:rsid w:val="00DB4AC9"/>
    <w:rPr>
      <w:sz w:val="16"/>
      <w:szCs w:val="16"/>
    </w:rPr>
  </w:style>
  <w:style w:type="paragraph" w:styleId="CommentText">
    <w:name w:val="annotation text"/>
    <w:basedOn w:val="Normal"/>
    <w:link w:val="CommentTextChar"/>
    <w:uiPriority w:val="99"/>
    <w:unhideWhenUsed/>
    <w:rsid w:val="00DB4AC9"/>
    <w:rPr>
      <w:sz w:val="20"/>
      <w:szCs w:val="20"/>
    </w:rPr>
  </w:style>
  <w:style w:type="character" w:customStyle="1" w:styleId="CommentTextChar">
    <w:name w:val="Comment Text Char"/>
    <w:basedOn w:val="DefaultParagraphFont"/>
    <w:link w:val="CommentText"/>
    <w:uiPriority w:val="99"/>
    <w:rsid w:val="00DB4AC9"/>
    <w:rPr>
      <w:rFonts w:ascii="Calibri" w:eastAsia="Calibri" w:hAnsi="Calibri" w:cs="Calibri"/>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B4AC9"/>
    <w:rPr>
      <w:b/>
      <w:bCs/>
    </w:rPr>
  </w:style>
  <w:style w:type="character" w:customStyle="1" w:styleId="CommentSubjectChar">
    <w:name w:val="Comment Subject Char"/>
    <w:basedOn w:val="CommentTextChar"/>
    <w:link w:val="CommentSubject"/>
    <w:uiPriority w:val="99"/>
    <w:semiHidden/>
    <w:rsid w:val="00DB4AC9"/>
    <w:rPr>
      <w:rFonts w:ascii="Calibri" w:eastAsia="Calibri" w:hAnsi="Calibri" w:cs="Calibri"/>
      <w:b/>
      <w:bCs/>
      <w:color w:val="000000"/>
      <w:kern w:val="0"/>
      <w:sz w:val="20"/>
      <w:szCs w:val="20"/>
      <w14:ligatures w14:val="none"/>
    </w:rPr>
  </w:style>
  <w:style w:type="paragraph" w:customStyle="1" w:styleId="pf0">
    <w:name w:val="pf0"/>
    <w:basedOn w:val="Normal"/>
    <w:rsid w:val="00DB4AC9"/>
    <w:pPr>
      <w:spacing w:before="100" w:beforeAutospacing="1" w:after="100" w:afterAutospacing="1"/>
    </w:pPr>
    <w:rPr>
      <w:rFonts w:ascii="Times New Roman" w:eastAsia="Times New Roman" w:hAnsi="Times New Roman" w:cs="Times New Roman"/>
      <w:color w:val="auto"/>
      <w:sz w:val="24"/>
      <w:szCs w:val="24"/>
    </w:rPr>
  </w:style>
  <w:style w:type="character" w:customStyle="1" w:styleId="cf01">
    <w:name w:val="cf01"/>
    <w:basedOn w:val="DefaultParagraphFont"/>
    <w:rsid w:val="00DB4AC9"/>
    <w:rPr>
      <w:rFonts w:ascii="Segoe UI" w:hAnsi="Segoe UI" w:cs="Segoe UI" w:hint="default"/>
      <w:color w:val="262626"/>
      <w:sz w:val="21"/>
      <w:szCs w:val="21"/>
    </w:rPr>
  </w:style>
  <w:style w:type="character" w:styleId="Hyperlink">
    <w:name w:val="Hyperlink"/>
    <w:basedOn w:val="DefaultParagraphFont"/>
    <w:uiPriority w:val="99"/>
    <w:unhideWhenUsed/>
    <w:rsid w:val="00DB4AC9"/>
    <w:rPr>
      <w:color w:val="467886" w:themeColor="hyperlink"/>
      <w:u w:val="single"/>
    </w:rPr>
  </w:style>
  <w:style w:type="character" w:styleId="UnresolvedMention">
    <w:name w:val="Unresolved Mention"/>
    <w:basedOn w:val="DefaultParagraphFont"/>
    <w:uiPriority w:val="99"/>
    <w:semiHidden/>
    <w:unhideWhenUsed/>
    <w:rsid w:val="00DB4AC9"/>
    <w:rPr>
      <w:color w:val="605E5C"/>
      <w:shd w:val="clear" w:color="auto" w:fill="E1DFDD"/>
    </w:rPr>
  </w:style>
  <w:style w:type="paragraph" w:styleId="FootnoteText">
    <w:name w:val="footnote text"/>
    <w:basedOn w:val="Normal"/>
    <w:link w:val="FootnoteTextChar"/>
    <w:uiPriority w:val="99"/>
    <w:semiHidden/>
    <w:unhideWhenUsed/>
    <w:rsid w:val="00EC2116"/>
    <w:pPr>
      <w:spacing w:after="0"/>
    </w:pPr>
    <w:rPr>
      <w:sz w:val="20"/>
      <w:szCs w:val="20"/>
    </w:rPr>
  </w:style>
  <w:style w:type="character" w:customStyle="1" w:styleId="FootnoteTextChar">
    <w:name w:val="Footnote Text Char"/>
    <w:basedOn w:val="DefaultParagraphFont"/>
    <w:link w:val="FootnoteText"/>
    <w:uiPriority w:val="99"/>
    <w:semiHidden/>
    <w:rsid w:val="00EC2116"/>
    <w:rPr>
      <w:rFonts w:ascii="Calibri" w:eastAsia="Calibri" w:hAnsi="Calibri" w:cs="Calibri"/>
      <w:color w:val="000000"/>
      <w:kern w:val="0"/>
      <w:sz w:val="20"/>
      <w:szCs w:val="20"/>
      <w14:ligatures w14:val="none"/>
    </w:rPr>
  </w:style>
  <w:style w:type="character" w:styleId="FootnoteReference">
    <w:name w:val="footnote reference"/>
    <w:basedOn w:val="DefaultParagraphFont"/>
    <w:uiPriority w:val="99"/>
    <w:semiHidden/>
    <w:unhideWhenUsed/>
    <w:rsid w:val="00EC21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766183">
      <w:bodyDiv w:val="1"/>
      <w:marLeft w:val="0"/>
      <w:marRight w:val="0"/>
      <w:marTop w:val="0"/>
      <w:marBottom w:val="0"/>
      <w:divBdr>
        <w:top w:val="none" w:sz="0" w:space="0" w:color="auto"/>
        <w:left w:val="none" w:sz="0" w:space="0" w:color="auto"/>
        <w:bottom w:val="none" w:sz="0" w:space="0" w:color="auto"/>
        <w:right w:val="none" w:sz="0" w:space="0" w:color="auto"/>
      </w:divBdr>
      <w:divsChild>
        <w:div w:id="496045374">
          <w:marLeft w:val="0"/>
          <w:marRight w:val="0"/>
          <w:marTop w:val="0"/>
          <w:marBottom w:val="0"/>
          <w:divBdr>
            <w:top w:val="none" w:sz="0" w:space="0" w:color="auto"/>
            <w:left w:val="none" w:sz="0" w:space="0" w:color="auto"/>
            <w:bottom w:val="none" w:sz="0" w:space="0" w:color="auto"/>
            <w:right w:val="none" w:sz="0" w:space="0" w:color="auto"/>
          </w:divBdr>
        </w:div>
      </w:divsChild>
    </w:div>
    <w:div w:id="547494733">
      <w:bodyDiv w:val="1"/>
      <w:marLeft w:val="0"/>
      <w:marRight w:val="0"/>
      <w:marTop w:val="0"/>
      <w:marBottom w:val="0"/>
      <w:divBdr>
        <w:top w:val="none" w:sz="0" w:space="0" w:color="auto"/>
        <w:left w:val="none" w:sz="0" w:space="0" w:color="auto"/>
        <w:bottom w:val="none" w:sz="0" w:space="0" w:color="auto"/>
        <w:right w:val="none" w:sz="0" w:space="0" w:color="auto"/>
      </w:divBdr>
      <w:divsChild>
        <w:div w:id="1404836333">
          <w:marLeft w:val="0"/>
          <w:marRight w:val="0"/>
          <w:marTop w:val="0"/>
          <w:marBottom w:val="0"/>
          <w:divBdr>
            <w:top w:val="none" w:sz="0" w:space="0" w:color="auto"/>
            <w:left w:val="none" w:sz="0" w:space="0" w:color="auto"/>
            <w:bottom w:val="none" w:sz="0" w:space="0" w:color="auto"/>
            <w:right w:val="none" w:sz="0" w:space="0" w:color="auto"/>
          </w:divBdr>
        </w:div>
      </w:divsChild>
    </w:div>
    <w:div w:id="1152215747">
      <w:bodyDiv w:val="1"/>
      <w:marLeft w:val="0"/>
      <w:marRight w:val="0"/>
      <w:marTop w:val="0"/>
      <w:marBottom w:val="0"/>
      <w:divBdr>
        <w:top w:val="none" w:sz="0" w:space="0" w:color="auto"/>
        <w:left w:val="none" w:sz="0" w:space="0" w:color="auto"/>
        <w:bottom w:val="none" w:sz="0" w:space="0" w:color="auto"/>
        <w:right w:val="none" w:sz="0" w:space="0" w:color="auto"/>
      </w:divBdr>
      <w:divsChild>
        <w:div w:id="636297674">
          <w:marLeft w:val="0"/>
          <w:marRight w:val="0"/>
          <w:marTop w:val="0"/>
          <w:marBottom w:val="0"/>
          <w:divBdr>
            <w:top w:val="none" w:sz="0" w:space="0" w:color="auto"/>
            <w:left w:val="none" w:sz="0" w:space="0" w:color="auto"/>
            <w:bottom w:val="none" w:sz="0" w:space="0" w:color="auto"/>
            <w:right w:val="none" w:sz="0" w:space="0" w:color="auto"/>
          </w:divBdr>
        </w:div>
      </w:divsChild>
    </w:div>
    <w:div w:id="1343900559">
      <w:bodyDiv w:val="1"/>
      <w:marLeft w:val="0"/>
      <w:marRight w:val="0"/>
      <w:marTop w:val="0"/>
      <w:marBottom w:val="0"/>
      <w:divBdr>
        <w:top w:val="none" w:sz="0" w:space="0" w:color="auto"/>
        <w:left w:val="none" w:sz="0" w:space="0" w:color="auto"/>
        <w:bottom w:val="none" w:sz="0" w:space="0" w:color="auto"/>
        <w:right w:val="none" w:sz="0" w:space="0" w:color="auto"/>
      </w:divBdr>
      <w:divsChild>
        <w:div w:id="622661849">
          <w:marLeft w:val="0"/>
          <w:marRight w:val="0"/>
          <w:marTop w:val="0"/>
          <w:marBottom w:val="0"/>
          <w:divBdr>
            <w:top w:val="none" w:sz="0" w:space="0" w:color="auto"/>
            <w:left w:val="none" w:sz="0" w:space="0" w:color="auto"/>
            <w:bottom w:val="none" w:sz="0" w:space="0" w:color="auto"/>
            <w:right w:val="none" w:sz="0" w:space="0" w:color="auto"/>
          </w:divBdr>
        </w:div>
      </w:divsChild>
    </w:div>
    <w:div w:id="1669823956">
      <w:bodyDiv w:val="1"/>
      <w:marLeft w:val="0"/>
      <w:marRight w:val="0"/>
      <w:marTop w:val="0"/>
      <w:marBottom w:val="0"/>
      <w:divBdr>
        <w:top w:val="none" w:sz="0" w:space="0" w:color="auto"/>
        <w:left w:val="none" w:sz="0" w:space="0" w:color="auto"/>
        <w:bottom w:val="none" w:sz="0" w:space="0" w:color="auto"/>
        <w:right w:val="none" w:sz="0" w:space="0" w:color="auto"/>
      </w:divBdr>
      <w:divsChild>
        <w:div w:id="76944111">
          <w:marLeft w:val="0"/>
          <w:marRight w:val="0"/>
          <w:marTop w:val="0"/>
          <w:marBottom w:val="0"/>
          <w:divBdr>
            <w:top w:val="none" w:sz="0" w:space="0" w:color="auto"/>
            <w:left w:val="none" w:sz="0" w:space="0" w:color="auto"/>
            <w:bottom w:val="none" w:sz="0" w:space="0" w:color="auto"/>
            <w:right w:val="none" w:sz="0" w:space="0" w:color="auto"/>
          </w:divBdr>
        </w:div>
      </w:divsChild>
    </w:div>
    <w:div w:id="1730033702">
      <w:bodyDiv w:val="1"/>
      <w:marLeft w:val="0"/>
      <w:marRight w:val="0"/>
      <w:marTop w:val="0"/>
      <w:marBottom w:val="0"/>
      <w:divBdr>
        <w:top w:val="none" w:sz="0" w:space="0" w:color="auto"/>
        <w:left w:val="none" w:sz="0" w:space="0" w:color="auto"/>
        <w:bottom w:val="none" w:sz="0" w:space="0" w:color="auto"/>
        <w:right w:val="none" w:sz="0" w:space="0" w:color="auto"/>
      </w:divBdr>
      <w:divsChild>
        <w:div w:id="847528500">
          <w:marLeft w:val="0"/>
          <w:marRight w:val="0"/>
          <w:marTop w:val="0"/>
          <w:marBottom w:val="0"/>
          <w:divBdr>
            <w:top w:val="none" w:sz="0" w:space="0" w:color="auto"/>
            <w:left w:val="none" w:sz="0" w:space="0" w:color="auto"/>
            <w:bottom w:val="none" w:sz="0" w:space="0" w:color="auto"/>
            <w:right w:val="none" w:sz="0" w:space="0" w:color="auto"/>
          </w:divBdr>
        </w:div>
      </w:divsChild>
    </w:div>
    <w:div w:id="1841852945">
      <w:bodyDiv w:val="1"/>
      <w:marLeft w:val="0"/>
      <w:marRight w:val="0"/>
      <w:marTop w:val="0"/>
      <w:marBottom w:val="0"/>
      <w:divBdr>
        <w:top w:val="none" w:sz="0" w:space="0" w:color="auto"/>
        <w:left w:val="none" w:sz="0" w:space="0" w:color="auto"/>
        <w:bottom w:val="none" w:sz="0" w:space="0" w:color="auto"/>
        <w:right w:val="none" w:sz="0" w:space="0" w:color="auto"/>
      </w:divBdr>
      <w:divsChild>
        <w:div w:id="425082340">
          <w:marLeft w:val="0"/>
          <w:marRight w:val="0"/>
          <w:marTop w:val="0"/>
          <w:marBottom w:val="0"/>
          <w:divBdr>
            <w:top w:val="none" w:sz="0" w:space="0" w:color="auto"/>
            <w:left w:val="none" w:sz="0" w:space="0" w:color="auto"/>
            <w:bottom w:val="none" w:sz="0" w:space="0" w:color="auto"/>
            <w:right w:val="none" w:sz="0" w:space="0" w:color="auto"/>
          </w:divBdr>
        </w:div>
      </w:divsChild>
    </w:div>
    <w:div w:id="2063480798">
      <w:bodyDiv w:val="1"/>
      <w:marLeft w:val="0"/>
      <w:marRight w:val="0"/>
      <w:marTop w:val="0"/>
      <w:marBottom w:val="0"/>
      <w:divBdr>
        <w:top w:val="none" w:sz="0" w:space="0" w:color="auto"/>
        <w:left w:val="none" w:sz="0" w:space="0" w:color="auto"/>
        <w:bottom w:val="none" w:sz="0" w:space="0" w:color="auto"/>
        <w:right w:val="none" w:sz="0" w:space="0" w:color="auto"/>
      </w:divBdr>
      <w:divsChild>
        <w:div w:id="1507204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n.gov/deed/business/help/sbao/" TargetMode="External"/><Relationship Id="rId18" Type="http://schemas.openxmlformats.org/officeDocument/2006/relationships/image" Target="media/image2.png"/><Relationship Id="rId26" Type="http://schemas.openxmlformats.org/officeDocument/2006/relationships/image" Target="media/image8.png"/><Relationship Id="rId39" Type="http://schemas.openxmlformats.org/officeDocument/2006/relationships/image" Target="media/image20.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bdcnet.org/" TargetMode="External"/><Relationship Id="rId17" Type="http://schemas.openxmlformats.org/officeDocument/2006/relationships/hyperlink" Target="https://www.google.com/search?q=prima+facie&amp;spell=1&amp;sa=X&amp;ved=0CBsQvwUoAGoVChMIh5v61Oj-xgIVRg2SCh3FhQjm"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hyperlink" Target="mailto:MnSBDC.Invoices@state.mn.us" TargetMode="External"/><Relationship Id="rId20" Type="http://schemas.openxmlformats.org/officeDocument/2006/relationships/image" Target="media/image3.png"/><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mericassbdc.org/" TargetMode="External"/><Relationship Id="rId23" Type="http://schemas.openxmlformats.org/officeDocument/2006/relationships/hyperlink" Target="http://mnsbdc.ecenterdirect.com" TargetMode="External"/><Relationship Id="rId28" Type="http://schemas.openxmlformats.org/officeDocument/2006/relationships/image" Target="media/image10.png"/><Relationship Id="rId36" Type="http://schemas.openxmlformats.org/officeDocument/2006/relationships/hyperlink" Target="http://www.outreachsystems.com/resources/help/webcats/faq.jsp?id=126" TargetMode="External"/><Relationship Id="rId10" Type="http://schemas.openxmlformats.org/officeDocument/2006/relationships/endnotes" Target="endnotes.xml"/><Relationship Id="rId19" Type="http://schemas.openxmlformats.org/officeDocument/2006/relationships/hyperlink" Target="https://mnsbdc.neoserra.com/" TargetMode="Externa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auffman.org"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s>
</file>

<file path=word/_rels/footnotes.xml.rels><?xml version="1.0" encoding="UTF-8" standalone="yes"?>
<Relationships xmlns="http://schemas.openxmlformats.org/package/2006/relationships"><Relationship Id="rId26" Type="http://schemas.openxmlformats.org/officeDocument/2006/relationships/hyperlink" Target="http://bit.ly/bu6EVp" TargetMode="External"/><Relationship Id="rId117" Type="http://schemas.openxmlformats.org/officeDocument/2006/relationships/hyperlink" Target="http://bit.ly/aAdkZM" TargetMode="External"/><Relationship Id="rId21" Type="http://schemas.openxmlformats.org/officeDocument/2006/relationships/hyperlink" Target="http://bit.ly/aAdkZM" TargetMode="External"/><Relationship Id="rId42" Type="http://schemas.openxmlformats.org/officeDocument/2006/relationships/hyperlink" Target="http://bit.ly/bcPpSl" TargetMode="External"/><Relationship Id="rId47" Type="http://schemas.openxmlformats.org/officeDocument/2006/relationships/hyperlink" Target="http://bit.ly/bTG3ee" TargetMode="External"/><Relationship Id="rId63" Type="http://schemas.openxmlformats.org/officeDocument/2006/relationships/hyperlink" Target="http://bit.ly/bTG3ee" TargetMode="External"/><Relationship Id="rId68" Type="http://schemas.openxmlformats.org/officeDocument/2006/relationships/hyperlink" Target="http://bit.ly/bTG3ee" TargetMode="External"/><Relationship Id="rId84" Type="http://schemas.openxmlformats.org/officeDocument/2006/relationships/hyperlink" Target="http://bit.ly/bTG3ee" TargetMode="External"/><Relationship Id="rId89" Type="http://schemas.openxmlformats.org/officeDocument/2006/relationships/hyperlink" Target="http://bit.ly/bTG3ee" TargetMode="External"/><Relationship Id="rId112" Type="http://schemas.openxmlformats.org/officeDocument/2006/relationships/hyperlink" Target="http://bit.ly/bTG3ee" TargetMode="External"/><Relationship Id="rId133" Type="http://schemas.openxmlformats.org/officeDocument/2006/relationships/hyperlink" Target="http://bit.ly/bcPpSl" TargetMode="External"/><Relationship Id="rId138" Type="http://schemas.openxmlformats.org/officeDocument/2006/relationships/hyperlink" Target="http://bit.ly/bTG3ee" TargetMode="External"/><Relationship Id="rId154" Type="http://schemas.openxmlformats.org/officeDocument/2006/relationships/hyperlink" Target="http://bit.ly/aAdkZM" TargetMode="External"/><Relationship Id="rId159" Type="http://schemas.openxmlformats.org/officeDocument/2006/relationships/hyperlink" Target="http://bit.ly/aAdkZM" TargetMode="External"/><Relationship Id="rId175" Type="http://schemas.openxmlformats.org/officeDocument/2006/relationships/hyperlink" Target="http://bit.ly/aAdkZM" TargetMode="External"/><Relationship Id="rId170" Type="http://schemas.openxmlformats.org/officeDocument/2006/relationships/hyperlink" Target="http://bit.ly/aAdkZM" TargetMode="External"/><Relationship Id="rId16" Type="http://schemas.openxmlformats.org/officeDocument/2006/relationships/hyperlink" Target="http://bit.ly/bcPpSl" TargetMode="External"/><Relationship Id="rId107" Type="http://schemas.openxmlformats.org/officeDocument/2006/relationships/hyperlink" Target="http://bit.ly/aAdkZM" TargetMode="External"/><Relationship Id="rId11" Type="http://schemas.openxmlformats.org/officeDocument/2006/relationships/hyperlink" Target="http://bit.ly/bTG3ee" TargetMode="External"/><Relationship Id="rId32" Type="http://schemas.openxmlformats.org/officeDocument/2006/relationships/hyperlink" Target="http://bit.ly/bcPpSl" TargetMode="External"/><Relationship Id="rId37" Type="http://schemas.openxmlformats.org/officeDocument/2006/relationships/hyperlink" Target="http://bit.ly/bTG3ee" TargetMode="External"/><Relationship Id="rId53" Type="http://schemas.openxmlformats.org/officeDocument/2006/relationships/hyperlink" Target="http://bit.ly/aAdkZM" TargetMode="External"/><Relationship Id="rId58" Type="http://schemas.openxmlformats.org/officeDocument/2006/relationships/hyperlink" Target="http://bit.ly/aAdkZM" TargetMode="External"/><Relationship Id="rId74" Type="http://schemas.openxmlformats.org/officeDocument/2006/relationships/hyperlink" Target="http://bit.ly/aAdkZM" TargetMode="External"/><Relationship Id="rId79" Type="http://schemas.openxmlformats.org/officeDocument/2006/relationships/hyperlink" Target="http://bit.ly/bcPpSl" TargetMode="External"/><Relationship Id="rId102" Type="http://schemas.openxmlformats.org/officeDocument/2006/relationships/hyperlink" Target="http://bit.ly/aAdkZM" TargetMode="External"/><Relationship Id="rId123" Type="http://schemas.openxmlformats.org/officeDocument/2006/relationships/hyperlink" Target="http://bit.ly/aAdkZM" TargetMode="External"/><Relationship Id="rId128" Type="http://schemas.openxmlformats.org/officeDocument/2006/relationships/hyperlink" Target="http://bit.ly/bcPpSl" TargetMode="External"/><Relationship Id="rId144" Type="http://schemas.openxmlformats.org/officeDocument/2006/relationships/hyperlink" Target="http://bit.ly/aAdkZM" TargetMode="External"/><Relationship Id="rId149" Type="http://schemas.openxmlformats.org/officeDocument/2006/relationships/hyperlink" Target="http://bit.ly/bTG3ee" TargetMode="External"/><Relationship Id="rId5" Type="http://schemas.openxmlformats.org/officeDocument/2006/relationships/hyperlink" Target="http://bit.ly/bu6EVp" TargetMode="External"/><Relationship Id="rId90" Type="http://schemas.openxmlformats.org/officeDocument/2006/relationships/hyperlink" Target="http://bit.ly/aAdkZM" TargetMode="External"/><Relationship Id="rId95" Type="http://schemas.openxmlformats.org/officeDocument/2006/relationships/hyperlink" Target="https://americassbdc.org/" TargetMode="External"/><Relationship Id="rId160" Type="http://schemas.openxmlformats.org/officeDocument/2006/relationships/hyperlink" Target="http://bit.ly/aAdkZM" TargetMode="External"/><Relationship Id="rId165" Type="http://schemas.openxmlformats.org/officeDocument/2006/relationships/hyperlink" Target="http://bit.ly/aAdkZM" TargetMode="External"/><Relationship Id="rId22" Type="http://schemas.openxmlformats.org/officeDocument/2006/relationships/hyperlink" Target="http://bit.ly/bTG3ee" TargetMode="External"/><Relationship Id="rId27" Type="http://schemas.openxmlformats.org/officeDocument/2006/relationships/hyperlink" Target="http://bit.ly/bTG3ee" TargetMode="External"/><Relationship Id="rId43" Type="http://schemas.openxmlformats.org/officeDocument/2006/relationships/hyperlink" Target="http://bit.ly/bcPpSl" TargetMode="External"/><Relationship Id="rId48" Type="http://schemas.openxmlformats.org/officeDocument/2006/relationships/hyperlink" Target="http://bit.ly/bTG3ee" TargetMode="External"/><Relationship Id="rId64" Type="http://schemas.openxmlformats.org/officeDocument/2006/relationships/hyperlink" Target="http://bit.ly/bTG3ee" TargetMode="External"/><Relationship Id="rId69" Type="http://schemas.openxmlformats.org/officeDocument/2006/relationships/hyperlink" Target="http://bit.ly/aAdkZM" TargetMode="External"/><Relationship Id="rId113" Type="http://schemas.openxmlformats.org/officeDocument/2006/relationships/hyperlink" Target="http://bit.ly/aAdkZM" TargetMode="External"/><Relationship Id="rId118" Type="http://schemas.openxmlformats.org/officeDocument/2006/relationships/hyperlink" Target="http://bit.ly/aAdkZM" TargetMode="External"/><Relationship Id="rId134" Type="http://schemas.openxmlformats.org/officeDocument/2006/relationships/hyperlink" Target="http://bit.ly/bcPpSl" TargetMode="External"/><Relationship Id="rId139" Type="http://schemas.openxmlformats.org/officeDocument/2006/relationships/hyperlink" Target="http://bit.ly/bcPpSl" TargetMode="External"/><Relationship Id="rId80" Type="http://schemas.openxmlformats.org/officeDocument/2006/relationships/hyperlink" Target="http://bit.ly/bTG3ee" TargetMode="External"/><Relationship Id="rId85" Type="http://schemas.openxmlformats.org/officeDocument/2006/relationships/hyperlink" Target="http://bit.ly/bTG3ee" TargetMode="External"/><Relationship Id="rId150" Type="http://schemas.openxmlformats.org/officeDocument/2006/relationships/hyperlink" Target="http://bit.ly/aAdkZM" TargetMode="External"/><Relationship Id="rId155" Type="http://schemas.openxmlformats.org/officeDocument/2006/relationships/hyperlink" Target="http://bit.ly/aAdkZM" TargetMode="External"/><Relationship Id="rId171" Type="http://schemas.openxmlformats.org/officeDocument/2006/relationships/hyperlink" Target="http://bit.ly/bTG3ee" TargetMode="External"/><Relationship Id="rId176" Type="http://schemas.openxmlformats.org/officeDocument/2006/relationships/hyperlink" Target="http://bit.ly/aAdkZM" TargetMode="External"/><Relationship Id="rId12" Type="http://schemas.openxmlformats.org/officeDocument/2006/relationships/hyperlink" Target="http://bit.ly/bTG3ee" TargetMode="External"/><Relationship Id="rId17" Type="http://schemas.openxmlformats.org/officeDocument/2006/relationships/hyperlink" Target="http://bit.ly/caTkla" TargetMode="External"/><Relationship Id="rId33" Type="http://schemas.openxmlformats.org/officeDocument/2006/relationships/hyperlink" Target="http://bit.ly/bu6EVp" TargetMode="External"/><Relationship Id="rId38" Type="http://schemas.openxmlformats.org/officeDocument/2006/relationships/hyperlink" Target="http://bit.ly/bTG3ee" TargetMode="External"/><Relationship Id="rId59" Type="http://schemas.openxmlformats.org/officeDocument/2006/relationships/hyperlink" Target="http://bit.ly/bcPpSl" TargetMode="External"/><Relationship Id="rId103" Type="http://schemas.openxmlformats.org/officeDocument/2006/relationships/hyperlink" Target="http://bit.ly/aAdkZM" TargetMode="External"/><Relationship Id="rId108" Type="http://schemas.openxmlformats.org/officeDocument/2006/relationships/hyperlink" Target="http://bit.ly/bcPpSl" TargetMode="External"/><Relationship Id="rId124" Type="http://schemas.openxmlformats.org/officeDocument/2006/relationships/hyperlink" Target="http://bit.ly/aAdkZM" TargetMode="External"/><Relationship Id="rId129" Type="http://schemas.openxmlformats.org/officeDocument/2006/relationships/hyperlink" Target="http://bit.ly/aAdkZM" TargetMode="External"/><Relationship Id="rId54" Type="http://schemas.openxmlformats.org/officeDocument/2006/relationships/hyperlink" Target="http://bit.ly/aAdkZM" TargetMode="External"/><Relationship Id="rId70" Type="http://schemas.openxmlformats.org/officeDocument/2006/relationships/hyperlink" Target="http://bit.ly/bcPpSl" TargetMode="External"/><Relationship Id="rId75" Type="http://schemas.openxmlformats.org/officeDocument/2006/relationships/hyperlink" Target="http://bit.ly/aAdkZM" TargetMode="External"/><Relationship Id="rId91" Type="http://schemas.openxmlformats.org/officeDocument/2006/relationships/hyperlink" Target="http://bit.ly/aAdkZM" TargetMode="External"/><Relationship Id="rId96" Type="http://schemas.openxmlformats.org/officeDocument/2006/relationships/hyperlink" Target="http://bit.ly/bTG3ee" TargetMode="External"/><Relationship Id="rId140" Type="http://schemas.openxmlformats.org/officeDocument/2006/relationships/hyperlink" Target="http://bit.ly/bcPpSl" TargetMode="External"/><Relationship Id="rId145" Type="http://schemas.openxmlformats.org/officeDocument/2006/relationships/hyperlink" Target="http://bit.ly/bTG3ee" TargetMode="External"/><Relationship Id="rId161" Type="http://schemas.openxmlformats.org/officeDocument/2006/relationships/hyperlink" Target="http://bit.ly/aAdkZM" TargetMode="External"/><Relationship Id="rId166" Type="http://schemas.openxmlformats.org/officeDocument/2006/relationships/hyperlink" Target="http://bit.ly/bTG3ee" TargetMode="External"/><Relationship Id="rId1" Type="http://schemas.openxmlformats.org/officeDocument/2006/relationships/hyperlink" Target="http://bit.ly/bTG3ee" TargetMode="External"/><Relationship Id="rId6" Type="http://schemas.openxmlformats.org/officeDocument/2006/relationships/hyperlink" Target="http://bit.ly/bTG3ee" TargetMode="External"/><Relationship Id="rId23" Type="http://schemas.openxmlformats.org/officeDocument/2006/relationships/hyperlink" Target="http://bit.ly/bTG3ee" TargetMode="External"/><Relationship Id="rId28" Type="http://schemas.openxmlformats.org/officeDocument/2006/relationships/hyperlink" Target="http://bit.ly/bu6EVp" TargetMode="External"/><Relationship Id="rId49" Type="http://schemas.openxmlformats.org/officeDocument/2006/relationships/hyperlink" Target="http://bit.ly/bTG3ee" TargetMode="External"/><Relationship Id="rId114" Type="http://schemas.openxmlformats.org/officeDocument/2006/relationships/hyperlink" Target="http://bit.ly/bTG3ee" TargetMode="External"/><Relationship Id="rId119" Type="http://schemas.openxmlformats.org/officeDocument/2006/relationships/hyperlink" Target="http://bit.ly/aAdkZM" TargetMode="External"/><Relationship Id="rId10" Type="http://schemas.openxmlformats.org/officeDocument/2006/relationships/hyperlink" Target="http://bit.ly/bTG3ee" TargetMode="External"/><Relationship Id="rId31" Type="http://schemas.openxmlformats.org/officeDocument/2006/relationships/hyperlink" Target="http://bit.ly/bu6EVp" TargetMode="External"/><Relationship Id="rId44" Type="http://schemas.openxmlformats.org/officeDocument/2006/relationships/hyperlink" Target="http://bit.ly/bcPpSl" TargetMode="External"/><Relationship Id="rId52" Type="http://schemas.openxmlformats.org/officeDocument/2006/relationships/hyperlink" Target="http://bit.ly/bTG3ee" TargetMode="External"/><Relationship Id="rId60" Type="http://schemas.openxmlformats.org/officeDocument/2006/relationships/hyperlink" Target="http://bit.ly/bcPpSl" TargetMode="External"/><Relationship Id="rId65" Type="http://schemas.openxmlformats.org/officeDocument/2006/relationships/hyperlink" Target="http://bit.ly/bTG3ee" TargetMode="External"/><Relationship Id="rId73" Type="http://schemas.openxmlformats.org/officeDocument/2006/relationships/hyperlink" Target="http://bit.ly/aAdkZM" TargetMode="External"/><Relationship Id="rId78" Type="http://schemas.openxmlformats.org/officeDocument/2006/relationships/hyperlink" Target="http://bit.ly/bcPpSl" TargetMode="External"/><Relationship Id="rId81" Type="http://schemas.openxmlformats.org/officeDocument/2006/relationships/hyperlink" Target="http://bit.ly/bTG3ee" TargetMode="External"/><Relationship Id="rId86" Type="http://schemas.openxmlformats.org/officeDocument/2006/relationships/hyperlink" Target="http://bit.ly/bTG3ee" TargetMode="External"/><Relationship Id="rId94" Type="http://schemas.openxmlformats.org/officeDocument/2006/relationships/hyperlink" Target="http://sbdcnet.org" TargetMode="External"/><Relationship Id="rId99" Type="http://schemas.openxmlformats.org/officeDocument/2006/relationships/hyperlink" Target="http://bit.ly/aAdkZM" TargetMode="External"/><Relationship Id="rId101" Type="http://schemas.openxmlformats.org/officeDocument/2006/relationships/hyperlink" Target="http://bit.ly/aAdkZM" TargetMode="External"/><Relationship Id="rId122" Type="http://schemas.openxmlformats.org/officeDocument/2006/relationships/hyperlink" Target="http://bit.ly/aAdkZM" TargetMode="External"/><Relationship Id="rId130" Type="http://schemas.openxmlformats.org/officeDocument/2006/relationships/hyperlink" Target="http://bit.ly/aAdkZM" TargetMode="External"/><Relationship Id="rId135" Type="http://schemas.openxmlformats.org/officeDocument/2006/relationships/hyperlink" Target="http://bit.ly/bcPpSl" TargetMode="External"/><Relationship Id="rId143" Type="http://schemas.openxmlformats.org/officeDocument/2006/relationships/hyperlink" Target="http://bit.ly/bTG3ee" TargetMode="External"/><Relationship Id="rId148" Type="http://schemas.openxmlformats.org/officeDocument/2006/relationships/hyperlink" Target="http://bit.ly/bTG3ee" TargetMode="External"/><Relationship Id="rId151" Type="http://schemas.openxmlformats.org/officeDocument/2006/relationships/hyperlink" Target="http://bit.ly/aAdkZM" TargetMode="External"/><Relationship Id="rId156" Type="http://schemas.openxmlformats.org/officeDocument/2006/relationships/hyperlink" Target="http://bit.ly/aAdkZM" TargetMode="External"/><Relationship Id="rId164" Type="http://schemas.openxmlformats.org/officeDocument/2006/relationships/hyperlink" Target="http://bit.ly/aAdkZM" TargetMode="External"/><Relationship Id="rId169" Type="http://schemas.openxmlformats.org/officeDocument/2006/relationships/hyperlink" Target="http://bit.ly/aAdkZM" TargetMode="External"/><Relationship Id="rId177" Type="http://schemas.openxmlformats.org/officeDocument/2006/relationships/hyperlink" Target="http://bit.ly/aAdkZM" TargetMode="External"/><Relationship Id="rId4" Type="http://schemas.openxmlformats.org/officeDocument/2006/relationships/hyperlink" Target="http://bit.ly/bTG3ee" TargetMode="External"/><Relationship Id="rId9" Type="http://schemas.openxmlformats.org/officeDocument/2006/relationships/hyperlink" Target="http://bit.ly/bTG3ee" TargetMode="External"/><Relationship Id="rId172" Type="http://schemas.openxmlformats.org/officeDocument/2006/relationships/hyperlink" Target="http://bit.ly/aAdkZM" TargetMode="External"/><Relationship Id="rId13" Type="http://schemas.openxmlformats.org/officeDocument/2006/relationships/hyperlink" Target="http://bit.ly/bTG3ee" TargetMode="External"/><Relationship Id="rId18" Type="http://schemas.openxmlformats.org/officeDocument/2006/relationships/hyperlink" Target="http://bit.ly/bu6EVp" TargetMode="External"/><Relationship Id="rId39" Type="http://schemas.openxmlformats.org/officeDocument/2006/relationships/hyperlink" Target="http://bit.ly/bu6EVp" TargetMode="External"/><Relationship Id="rId109" Type="http://schemas.openxmlformats.org/officeDocument/2006/relationships/hyperlink" Target="http://bit.ly/bcPpSl" TargetMode="External"/><Relationship Id="rId34" Type="http://schemas.openxmlformats.org/officeDocument/2006/relationships/hyperlink" Target="http://bit.ly/bu6EVp" TargetMode="External"/><Relationship Id="rId50" Type="http://schemas.openxmlformats.org/officeDocument/2006/relationships/hyperlink" Target="http://bit.ly/bTG3ee" TargetMode="External"/><Relationship Id="rId55" Type="http://schemas.openxmlformats.org/officeDocument/2006/relationships/hyperlink" Target="http://bit.ly/aAdkZM" TargetMode="External"/><Relationship Id="rId76" Type="http://schemas.openxmlformats.org/officeDocument/2006/relationships/hyperlink" Target="http://bit.ly/bcPpSl" TargetMode="External"/><Relationship Id="rId97" Type="http://schemas.openxmlformats.org/officeDocument/2006/relationships/hyperlink" Target="http://bit.ly/bTG3ee" TargetMode="External"/><Relationship Id="rId104" Type="http://schemas.openxmlformats.org/officeDocument/2006/relationships/hyperlink" Target="https://americassbdc.org/" TargetMode="External"/><Relationship Id="rId120" Type="http://schemas.openxmlformats.org/officeDocument/2006/relationships/hyperlink" Target="http://bit.ly/aAdkZM" TargetMode="External"/><Relationship Id="rId125" Type="http://schemas.openxmlformats.org/officeDocument/2006/relationships/hyperlink" Target="http://bit.ly/aAdkZM" TargetMode="External"/><Relationship Id="rId141" Type="http://schemas.openxmlformats.org/officeDocument/2006/relationships/hyperlink" Target="http://bit.ly/bTG3ee" TargetMode="External"/><Relationship Id="rId146" Type="http://schemas.openxmlformats.org/officeDocument/2006/relationships/hyperlink" Target="http://bit.ly/aAdkZM" TargetMode="External"/><Relationship Id="rId167" Type="http://schemas.openxmlformats.org/officeDocument/2006/relationships/hyperlink" Target="http://bit.ly/aAdkZM" TargetMode="External"/><Relationship Id="rId7" Type="http://schemas.openxmlformats.org/officeDocument/2006/relationships/hyperlink" Target="http://bit.ly/bTG3ee" TargetMode="External"/><Relationship Id="rId71" Type="http://schemas.openxmlformats.org/officeDocument/2006/relationships/hyperlink" Target="http://bit.ly/bcPpSl" TargetMode="External"/><Relationship Id="rId92" Type="http://schemas.openxmlformats.org/officeDocument/2006/relationships/hyperlink" Target="http://bit.ly/aAdkZM" TargetMode="External"/><Relationship Id="rId162" Type="http://schemas.openxmlformats.org/officeDocument/2006/relationships/hyperlink" Target="http://bit.ly/aAdkZM" TargetMode="External"/><Relationship Id="rId2" Type="http://schemas.openxmlformats.org/officeDocument/2006/relationships/hyperlink" Target="http://bit.ly/bTG3ee" TargetMode="External"/><Relationship Id="rId29" Type="http://schemas.openxmlformats.org/officeDocument/2006/relationships/hyperlink" Target="http://bit.ly/bTG3ee" TargetMode="External"/><Relationship Id="rId24" Type="http://schemas.openxmlformats.org/officeDocument/2006/relationships/hyperlink" Target="http://bit.ly/bu6EVp" TargetMode="External"/><Relationship Id="rId40" Type="http://schemas.openxmlformats.org/officeDocument/2006/relationships/hyperlink" Target="http://bit.ly/bcPpSl" TargetMode="External"/><Relationship Id="rId45" Type="http://schemas.openxmlformats.org/officeDocument/2006/relationships/hyperlink" Target="http://bit.ly/bTG3ee" TargetMode="External"/><Relationship Id="rId66" Type="http://schemas.openxmlformats.org/officeDocument/2006/relationships/hyperlink" Target="http://bit.ly/bTG3ee" TargetMode="External"/><Relationship Id="rId87" Type="http://schemas.openxmlformats.org/officeDocument/2006/relationships/hyperlink" Target="http://bit.ly/aAdkZM" TargetMode="External"/><Relationship Id="rId110" Type="http://schemas.openxmlformats.org/officeDocument/2006/relationships/hyperlink" Target="http://bit.ly/bcPpSl" TargetMode="External"/><Relationship Id="rId115" Type="http://schemas.openxmlformats.org/officeDocument/2006/relationships/hyperlink" Target="http://bit.ly/bTG3ee" TargetMode="External"/><Relationship Id="rId131" Type="http://schemas.openxmlformats.org/officeDocument/2006/relationships/hyperlink" Target="https://sbdcnet.org" TargetMode="External"/><Relationship Id="rId136" Type="http://schemas.openxmlformats.org/officeDocument/2006/relationships/hyperlink" Target="http://bit.ly/bcPpSl" TargetMode="External"/><Relationship Id="rId157" Type="http://schemas.openxmlformats.org/officeDocument/2006/relationships/hyperlink" Target="http://bit.ly/bcPpSl" TargetMode="External"/><Relationship Id="rId178" Type="http://schemas.openxmlformats.org/officeDocument/2006/relationships/hyperlink" Target="http://bit.ly/bcPpSl" TargetMode="External"/><Relationship Id="rId61" Type="http://schemas.openxmlformats.org/officeDocument/2006/relationships/hyperlink" Target="http://bit.ly/aAdkZM" TargetMode="External"/><Relationship Id="rId82" Type="http://schemas.openxmlformats.org/officeDocument/2006/relationships/hyperlink" Target="http://bit.ly/bTG3ee" TargetMode="External"/><Relationship Id="rId152" Type="http://schemas.openxmlformats.org/officeDocument/2006/relationships/hyperlink" Target="http://bit.ly/aAdkZM" TargetMode="External"/><Relationship Id="rId173" Type="http://schemas.openxmlformats.org/officeDocument/2006/relationships/hyperlink" Target="http://bit.ly/aAdkZM" TargetMode="External"/><Relationship Id="rId19" Type="http://schemas.openxmlformats.org/officeDocument/2006/relationships/hyperlink" Target="http://bit.ly/aAdkZM" TargetMode="External"/><Relationship Id="rId14" Type="http://schemas.openxmlformats.org/officeDocument/2006/relationships/hyperlink" Target="http://bit.ly/bTG3ee" TargetMode="External"/><Relationship Id="rId30" Type="http://schemas.openxmlformats.org/officeDocument/2006/relationships/hyperlink" Target="http://bit.ly/bTG3ee" TargetMode="External"/><Relationship Id="rId35" Type="http://schemas.openxmlformats.org/officeDocument/2006/relationships/hyperlink" Target="http://bit.ly/bu6EVp" TargetMode="External"/><Relationship Id="rId56" Type="http://schemas.openxmlformats.org/officeDocument/2006/relationships/hyperlink" Target="http://bit.ly/aAdkZM" TargetMode="External"/><Relationship Id="rId77" Type="http://schemas.openxmlformats.org/officeDocument/2006/relationships/hyperlink" Target="http://bit.ly/aAdkZM" TargetMode="External"/><Relationship Id="rId100" Type="http://schemas.openxmlformats.org/officeDocument/2006/relationships/hyperlink" Target="http://bit.ly/aAdkZM" TargetMode="External"/><Relationship Id="rId105" Type="http://schemas.openxmlformats.org/officeDocument/2006/relationships/hyperlink" Target="http://bit.ly/bTG3ee" TargetMode="External"/><Relationship Id="rId126" Type="http://schemas.openxmlformats.org/officeDocument/2006/relationships/hyperlink" Target="http://bit.ly/aAdkZM" TargetMode="External"/><Relationship Id="rId147" Type="http://schemas.openxmlformats.org/officeDocument/2006/relationships/hyperlink" Target="http://bit.ly/aAdkZM" TargetMode="External"/><Relationship Id="rId168" Type="http://schemas.openxmlformats.org/officeDocument/2006/relationships/hyperlink" Target="http://bit.ly/aAdkZM" TargetMode="External"/><Relationship Id="rId8" Type="http://schemas.openxmlformats.org/officeDocument/2006/relationships/hyperlink" Target="http://bit.ly/bTG3ee" TargetMode="External"/><Relationship Id="rId51" Type="http://schemas.openxmlformats.org/officeDocument/2006/relationships/hyperlink" Target="http://bit.ly/bTG3ee" TargetMode="External"/><Relationship Id="rId72" Type="http://schemas.openxmlformats.org/officeDocument/2006/relationships/hyperlink" Target="http://bit.ly/bTG3ee" TargetMode="External"/><Relationship Id="rId93" Type="http://schemas.openxmlformats.org/officeDocument/2006/relationships/hyperlink" Target="http://bit.ly/aAdkZM" TargetMode="External"/><Relationship Id="rId98" Type="http://schemas.openxmlformats.org/officeDocument/2006/relationships/hyperlink" Target="http://bit.ly/aAdkZM" TargetMode="External"/><Relationship Id="rId121" Type="http://schemas.openxmlformats.org/officeDocument/2006/relationships/hyperlink" Target="http://bit.ly/aAdkZM" TargetMode="External"/><Relationship Id="rId142" Type="http://schemas.openxmlformats.org/officeDocument/2006/relationships/hyperlink" Target="http://bit.ly/bTG3ee" TargetMode="External"/><Relationship Id="rId163" Type="http://schemas.openxmlformats.org/officeDocument/2006/relationships/hyperlink" Target="http://bit.ly/aAdkZM" TargetMode="External"/><Relationship Id="rId3" Type="http://schemas.openxmlformats.org/officeDocument/2006/relationships/hyperlink" Target="http://bit.ly/bTG3ee" TargetMode="External"/><Relationship Id="rId25" Type="http://schemas.openxmlformats.org/officeDocument/2006/relationships/hyperlink" Target="http://bit.ly/bu6EVp" TargetMode="External"/><Relationship Id="rId46" Type="http://schemas.openxmlformats.org/officeDocument/2006/relationships/hyperlink" Target="http://bit.ly/bu6EVp" TargetMode="External"/><Relationship Id="rId67" Type="http://schemas.openxmlformats.org/officeDocument/2006/relationships/hyperlink" Target="http://bit.ly/bTG3ee" TargetMode="External"/><Relationship Id="rId116" Type="http://schemas.openxmlformats.org/officeDocument/2006/relationships/hyperlink" Target="http://bit.ly/aAdkZM" TargetMode="External"/><Relationship Id="rId137" Type="http://schemas.openxmlformats.org/officeDocument/2006/relationships/hyperlink" Target="http://bit.ly/bTG3ee" TargetMode="External"/><Relationship Id="rId158" Type="http://schemas.openxmlformats.org/officeDocument/2006/relationships/hyperlink" Target="http://bit.ly/aAdkZM" TargetMode="External"/><Relationship Id="rId20" Type="http://schemas.openxmlformats.org/officeDocument/2006/relationships/hyperlink" Target="http://bit.ly/aAdkZM" TargetMode="External"/><Relationship Id="rId41" Type="http://schemas.openxmlformats.org/officeDocument/2006/relationships/hyperlink" Target="http://bit.ly/bcPpSl" TargetMode="External"/><Relationship Id="rId62" Type="http://schemas.openxmlformats.org/officeDocument/2006/relationships/hyperlink" Target="http://bit.ly/aAdkZM" TargetMode="External"/><Relationship Id="rId83" Type="http://schemas.openxmlformats.org/officeDocument/2006/relationships/hyperlink" Target="http://bit.ly/bTG3ee" TargetMode="External"/><Relationship Id="rId88" Type="http://schemas.openxmlformats.org/officeDocument/2006/relationships/hyperlink" Target="http://bit.ly/aAdkZM" TargetMode="External"/><Relationship Id="rId111" Type="http://schemas.openxmlformats.org/officeDocument/2006/relationships/hyperlink" Target="http://bit.ly/bcPpSl" TargetMode="External"/><Relationship Id="rId132" Type="http://schemas.openxmlformats.org/officeDocument/2006/relationships/hyperlink" Target="http://bit.ly/bcPpSl" TargetMode="External"/><Relationship Id="rId153" Type="http://schemas.openxmlformats.org/officeDocument/2006/relationships/hyperlink" Target="http://bit.ly/aAdkZM" TargetMode="External"/><Relationship Id="rId174" Type="http://schemas.openxmlformats.org/officeDocument/2006/relationships/hyperlink" Target="http://bit.ly/bTG3ee" TargetMode="External"/><Relationship Id="rId179" Type="http://schemas.openxmlformats.org/officeDocument/2006/relationships/hyperlink" Target="http://www.mmd.admin.state.mn.us/mn05002.htm" TargetMode="External"/><Relationship Id="rId15" Type="http://schemas.openxmlformats.org/officeDocument/2006/relationships/hyperlink" Target="http://bit.ly/bTG3ee" TargetMode="External"/><Relationship Id="rId36" Type="http://schemas.openxmlformats.org/officeDocument/2006/relationships/hyperlink" Target="http://bit.ly/bTG3ee" TargetMode="External"/><Relationship Id="rId57" Type="http://schemas.openxmlformats.org/officeDocument/2006/relationships/hyperlink" Target="http://bit.ly/aAdkZM" TargetMode="External"/><Relationship Id="rId106" Type="http://schemas.openxmlformats.org/officeDocument/2006/relationships/hyperlink" Target="http://bit.ly/bTG3ee" TargetMode="External"/><Relationship Id="rId127" Type="http://schemas.openxmlformats.org/officeDocument/2006/relationships/hyperlink" Target="http://bit.ly/bcPp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8EA18634E514E8FBD08767121C954" ma:contentTypeVersion="16" ma:contentTypeDescription="Create a new document." ma:contentTypeScope="" ma:versionID="09b617b8d04bd28f12a4380a8b84530e">
  <xsd:schema xmlns:xsd="http://www.w3.org/2001/XMLSchema" xmlns:xs="http://www.w3.org/2001/XMLSchema" xmlns:p="http://schemas.microsoft.com/office/2006/metadata/properties" xmlns:ns2="7fa003a6-9faa-4fff-a15b-8aa2f8a9216d" xmlns:ns3="f5a9873b-f9be-4d9d-a9be-5de471c21592" xmlns:ns4="ed8e2f4e-b66b-4470-a317-d20e2948713b" targetNamespace="http://schemas.microsoft.com/office/2006/metadata/properties" ma:root="true" ma:fieldsID="ab3e2ba00039ffa02c5dfe7201cd0bdf" ns2:_="" ns3:_="" ns4:_="">
    <xsd:import namespace="7fa003a6-9faa-4fff-a15b-8aa2f8a9216d"/>
    <xsd:import namespace="f5a9873b-f9be-4d9d-a9be-5de471c21592"/>
    <xsd:import namespace="ed8e2f4e-b66b-4470-a317-d20e294871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003a6-9faa-4fff-a15b-8aa2f8a92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9873b-f9be-4d9d-a9be-5de471c21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8e2f4e-b66b-4470-a317-d20e294871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9795ad7-8650-4dad-a97b-4117fed7b711}" ma:internalName="TaxCatchAll" ma:showField="CatchAllData" ma:web="ed8e2f4e-b66b-4470-a317-d20e294871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d8e2f4e-b66b-4470-a317-d20e2948713b" xsi:nil="true"/>
    <lcf76f155ced4ddcb4097134ff3c332f xmlns="7fa003a6-9faa-4fff-a15b-8aa2f8a921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E53133-EFAD-40EE-AB97-0AEF3B16C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003a6-9faa-4fff-a15b-8aa2f8a9216d"/>
    <ds:schemaRef ds:uri="f5a9873b-f9be-4d9d-a9be-5de471c21592"/>
    <ds:schemaRef ds:uri="ed8e2f4e-b66b-4470-a317-d20e2948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C236E-1EA2-4E95-B249-2195568ECF1B}">
  <ds:schemaRefs>
    <ds:schemaRef ds:uri="http://schemas.openxmlformats.org/officeDocument/2006/bibliography"/>
  </ds:schemaRefs>
</ds:datastoreItem>
</file>

<file path=customXml/itemProps3.xml><?xml version="1.0" encoding="utf-8"?>
<ds:datastoreItem xmlns:ds="http://schemas.openxmlformats.org/officeDocument/2006/customXml" ds:itemID="{C25D6E6C-8E29-46CD-8701-4C870DC6AE9D}">
  <ds:schemaRefs>
    <ds:schemaRef ds:uri="http://schemas.microsoft.com/sharepoint/v3/contenttype/forms"/>
  </ds:schemaRefs>
</ds:datastoreItem>
</file>

<file path=customXml/itemProps4.xml><?xml version="1.0" encoding="utf-8"?>
<ds:datastoreItem xmlns:ds="http://schemas.openxmlformats.org/officeDocument/2006/customXml" ds:itemID="{DB34A417-F828-449E-9FDB-D70E07AA564F}">
  <ds:schemaRefs>
    <ds:schemaRef ds:uri="http://schemas.microsoft.com/office/2006/metadata/properties"/>
    <ds:schemaRef ds:uri="http://schemas.microsoft.com/office/infopath/2007/PartnerControls"/>
    <ds:schemaRef ds:uri="ed8e2f4e-b66b-4470-a317-d20e2948713b"/>
    <ds:schemaRef ds:uri="7fa003a6-9faa-4fff-a15b-8aa2f8a9216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0</TotalTime>
  <Pages>138</Pages>
  <Words>41307</Words>
  <Characters>226366</Characters>
  <Application>Microsoft Office Word</Application>
  <DocSecurity>0</DocSecurity>
  <Lines>10779</Lines>
  <Paragraphs>9913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Lyle (He/Him/His) (DEED)</dc:creator>
  <cp:keywords/>
  <dc:description/>
  <cp:lastModifiedBy>Wright, Lyle (DEED)</cp:lastModifiedBy>
  <cp:revision>2</cp:revision>
  <dcterms:created xsi:type="dcterms:W3CDTF">2026-06-29T11:51:00Z</dcterms:created>
  <dcterms:modified xsi:type="dcterms:W3CDTF">2026-06-29T11:51:00Z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0x010100CE08EA18634E514E8FBD08767121C954</vt:lpwstr>
  </property>
  <property fmtid="{D5CDD505-2E9C-101B-9397-08002B2CF9AE}" pid="3" name="MediaServiceImageTags">
    <vt:lpwstr/>
  </property>
</Properties>
</file>