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F8C8" w14:textId="615745E4" w:rsidR="00357E5B" w:rsidRDefault="00451991" w:rsidP="00451991">
      <w:pPr>
        <w:jc w:val="center"/>
        <w:rPr>
          <w:b/>
          <w:bCs/>
          <w:color w:val="215E99" w:themeColor="text2" w:themeTint="BF"/>
          <w:u w:val="single"/>
        </w:rPr>
      </w:pPr>
      <w:r w:rsidRPr="00451991">
        <w:rPr>
          <w:b/>
          <w:bCs/>
          <w:color w:val="215E99" w:themeColor="text2" w:themeTint="BF"/>
          <w:u w:val="single"/>
        </w:rPr>
        <w:t>SBA 504 Loan Program</w:t>
      </w:r>
    </w:p>
    <w:p w14:paraId="50C861B7" w14:textId="77777777" w:rsidR="00451991" w:rsidRDefault="00451991" w:rsidP="00451991"/>
    <w:p w14:paraId="10787FDB" w14:textId="4E3463DD" w:rsidR="00451991" w:rsidRPr="00C7750C" w:rsidRDefault="00451991" w:rsidP="00451991">
      <w:pPr>
        <w:pStyle w:val="ListParagraph"/>
        <w:numPr>
          <w:ilvl w:val="0"/>
          <w:numId w:val="1"/>
        </w:numPr>
        <w:rPr>
          <w:b/>
          <w:bCs/>
          <w:color w:val="215E99" w:themeColor="text2" w:themeTint="BF"/>
          <w:u w:val="single"/>
        </w:rPr>
      </w:pPr>
      <w:r w:rsidRPr="00C7750C">
        <w:rPr>
          <w:b/>
          <w:bCs/>
          <w:color w:val="215E99" w:themeColor="text2" w:themeTint="BF"/>
          <w:u w:val="single"/>
        </w:rPr>
        <w:t>Land and Building Improvements</w:t>
      </w:r>
    </w:p>
    <w:p w14:paraId="3E74544E" w14:textId="35AD6FD1" w:rsidR="00451991" w:rsidRDefault="00451991" w:rsidP="00451991">
      <w:pPr>
        <w:pStyle w:val="ListParagraph"/>
        <w:numPr>
          <w:ilvl w:val="1"/>
          <w:numId w:val="1"/>
        </w:numPr>
      </w:pPr>
      <w:r>
        <w:t>If purchased within last two years, then value at purchase price less outstanding debt.</w:t>
      </w:r>
    </w:p>
    <w:p w14:paraId="3B787758" w14:textId="73C1A001" w:rsidR="00451991" w:rsidRDefault="00451991" w:rsidP="00451991">
      <w:pPr>
        <w:pStyle w:val="ListParagraph"/>
        <w:numPr>
          <w:ilvl w:val="1"/>
          <w:numId w:val="1"/>
        </w:numPr>
      </w:pPr>
      <w:r>
        <w:t>If purchased two years or longer, then appraised value less outstanding debt.</w:t>
      </w:r>
    </w:p>
    <w:p w14:paraId="168093C6" w14:textId="2838C7F5" w:rsidR="00451991" w:rsidRPr="00F25DF7" w:rsidRDefault="005A77BE" w:rsidP="00451991">
      <w:pPr>
        <w:pStyle w:val="ListParagraph"/>
        <w:numPr>
          <w:ilvl w:val="0"/>
          <w:numId w:val="1"/>
        </w:numPr>
        <w:rPr>
          <w:b/>
          <w:bCs/>
        </w:rPr>
      </w:pPr>
      <w:r w:rsidRPr="00F25DF7">
        <w:rPr>
          <w:b/>
          <w:bCs/>
          <w:color w:val="215E99" w:themeColor="text2" w:themeTint="BF"/>
          <w:u w:val="single"/>
        </w:rPr>
        <w:t>“Bridge Loan”</w:t>
      </w:r>
      <w:r w:rsidRPr="00F25DF7">
        <w:rPr>
          <w:color w:val="215E99" w:themeColor="text2" w:themeTint="BF"/>
        </w:rPr>
        <w:t xml:space="preserve"> </w:t>
      </w:r>
      <w:r w:rsidRPr="00F25DF7">
        <w:rPr>
          <w:b/>
          <w:bCs/>
        </w:rPr>
        <w:t>(term of 3 years or less) treated as if they were not made.  Assets are value</w:t>
      </w:r>
      <w:r w:rsidR="00074F1F">
        <w:rPr>
          <w:b/>
          <w:bCs/>
        </w:rPr>
        <w:t>d</w:t>
      </w:r>
      <w:r w:rsidRPr="00F25DF7">
        <w:rPr>
          <w:b/>
          <w:bCs/>
        </w:rPr>
        <w:t xml:space="preserve"> at their cost (if owned less than 2 years) or appraised value (if owned 2 years or longer).</w:t>
      </w:r>
    </w:p>
    <w:p w14:paraId="56734DCD" w14:textId="414344FE" w:rsidR="00FA0C1F" w:rsidRPr="00FC7561" w:rsidRDefault="00FA0C1F" w:rsidP="00451991">
      <w:pPr>
        <w:pStyle w:val="ListParagraph"/>
        <w:numPr>
          <w:ilvl w:val="0"/>
          <w:numId w:val="1"/>
        </w:numPr>
        <w:rPr>
          <w:b/>
          <w:bCs/>
          <w:color w:val="215E99" w:themeColor="text2" w:themeTint="BF"/>
          <w:u w:val="single"/>
        </w:rPr>
      </w:pPr>
      <w:r w:rsidRPr="00FC7561">
        <w:rPr>
          <w:b/>
          <w:bCs/>
          <w:color w:val="215E99" w:themeColor="text2" w:themeTint="BF"/>
          <w:u w:val="single"/>
        </w:rPr>
        <w:t>Building and Building Improvements</w:t>
      </w:r>
    </w:p>
    <w:p w14:paraId="2EB52BAF" w14:textId="58919140" w:rsidR="00FA0C1F" w:rsidRDefault="00FA0C1F" w:rsidP="00FA0C1F">
      <w:pPr>
        <w:pStyle w:val="ListParagraph"/>
        <w:numPr>
          <w:ilvl w:val="1"/>
          <w:numId w:val="1"/>
        </w:numPr>
      </w:pPr>
      <w:r>
        <w:t>Existing building</w:t>
      </w:r>
      <w:r w:rsidR="00134039">
        <w:t xml:space="preserve"> </w:t>
      </w:r>
      <w:r w:rsidR="00804EBD">
        <w:t>–</w:t>
      </w:r>
      <w:r>
        <w:t xml:space="preserve"> busi</w:t>
      </w:r>
      <w:r w:rsidR="00804EBD">
        <w:t>ness must occupy 51% or more of the building.</w:t>
      </w:r>
    </w:p>
    <w:p w14:paraId="7B16FE74" w14:textId="62F6171E" w:rsidR="00804EBD" w:rsidRDefault="00804EBD" w:rsidP="00FA0C1F">
      <w:pPr>
        <w:pStyle w:val="ListParagraph"/>
        <w:numPr>
          <w:ilvl w:val="1"/>
          <w:numId w:val="1"/>
        </w:numPr>
      </w:pPr>
      <w:r>
        <w:t xml:space="preserve">New </w:t>
      </w:r>
      <w:r w:rsidR="00134039">
        <w:t xml:space="preserve">and </w:t>
      </w:r>
      <w:r>
        <w:t>building</w:t>
      </w:r>
      <w:r w:rsidR="00134039">
        <w:t xml:space="preserve"> expansions</w:t>
      </w:r>
      <w:r>
        <w:t xml:space="preserve"> – must occupy 60% immediately and 80% within 10 years.</w:t>
      </w:r>
    </w:p>
    <w:p w14:paraId="53E1C8E3" w14:textId="3FA34B13" w:rsidR="00804EBD" w:rsidRDefault="00134039" w:rsidP="00FA0C1F">
      <w:pPr>
        <w:pStyle w:val="ListParagraph"/>
        <w:numPr>
          <w:ilvl w:val="1"/>
          <w:numId w:val="1"/>
        </w:numPr>
      </w:pPr>
      <w:r>
        <w:t>B</w:t>
      </w:r>
      <w:r w:rsidR="001A707F">
        <w:t>uild</w:t>
      </w:r>
      <w:r>
        <w:t xml:space="preserve"> </w:t>
      </w:r>
      <w:r w:rsidR="001A707F">
        <w:t xml:space="preserve">out costs for </w:t>
      </w:r>
      <w:r>
        <w:t>unrelated third party leases are ineligible project costs.</w:t>
      </w:r>
    </w:p>
    <w:p w14:paraId="52EEEBB6" w14:textId="75A93690" w:rsidR="001A707F" w:rsidRDefault="001A707F" w:rsidP="001A707F">
      <w:pPr>
        <w:pStyle w:val="ListParagraph"/>
        <w:numPr>
          <w:ilvl w:val="0"/>
          <w:numId w:val="1"/>
        </w:numPr>
      </w:pPr>
      <w:r w:rsidRPr="00FC7561">
        <w:rPr>
          <w:b/>
          <w:bCs/>
          <w:color w:val="215E99" w:themeColor="text2" w:themeTint="BF"/>
          <w:u w:val="single"/>
        </w:rPr>
        <w:t>Furniture, Fixtures, Machinery and Equipment at business’ site</w:t>
      </w:r>
      <w:r w:rsidRPr="00FC7561">
        <w:rPr>
          <w:color w:val="215E99" w:themeColor="text2" w:themeTint="BF"/>
        </w:rPr>
        <w:t xml:space="preserve"> </w:t>
      </w:r>
      <w:r>
        <w:t xml:space="preserve">– Generally, 10 year useful life with less than 10 year useful life assets not exceeding 15%.  </w:t>
      </w:r>
      <w:r w:rsidR="00134039">
        <w:t>Titled vehicles are ineligible, except for h</w:t>
      </w:r>
      <w:r>
        <w:t>eavy construction equipment.</w:t>
      </w:r>
    </w:p>
    <w:p w14:paraId="0FB9A56E" w14:textId="469706FE" w:rsidR="00BC5D2C" w:rsidRPr="00640CF1" w:rsidRDefault="0001513D" w:rsidP="001A707F">
      <w:pPr>
        <w:pStyle w:val="ListParagraph"/>
        <w:numPr>
          <w:ilvl w:val="0"/>
          <w:numId w:val="1"/>
        </w:numPr>
        <w:rPr>
          <w:b/>
          <w:bCs/>
        </w:rPr>
      </w:pPr>
      <w:r w:rsidRPr="00640CF1">
        <w:rPr>
          <w:b/>
          <w:bCs/>
          <w:color w:val="215E99" w:themeColor="text2" w:themeTint="BF"/>
          <w:u w:val="single"/>
        </w:rPr>
        <w:t>Previous Project Expenditures</w:t>
      </w:r>
      <w:r w:rsidRPr="00640CF1">
        <w:rPr>
          <w:color w:val="215E99" w:themeColor="text2" w:themeTint="BF"/>
        </w:rPr>
        <w:t xml:space="preserve"> </w:t>
      </w:r>
      <w:r>
        <w:t xml:space="preserve">are eligible if </w:t>
      </w:r>
      <w:r w:rsidRPr="00640CF1">
        <w:rPr>
          <w:b/>
          <w:bCs/>
        </w:rPr>
        <w:t>not financed for more than 3 years or paid for with cash.</w:t>
      </w:r>
    </w:p>
    <w:p w14:paraId="41B59741" w14:textId="369FAE1F" w:rsidR="002873E4" w:rsidRDefault="002873E4" w:rsidP="001A707F">
      <w:pPr>
        <w:pStyle w:val="ListParagraph"/>
        <w:numPr>
          <w:ilvl w:val="0"/>
          <w:numId w:val="1"/>
        </w:numPr>
      </w:pPr>
      <w:r w:rsidRPr="00640CF1">
        <w:rPr>
          <w:b/>
          <w:bCs/>
          <w:color w:val="215E99" w:themeColor="text2" w:themeTint="BF"/>
          <w:u w:val="single"/>
        </w:rPr>
        <w:t>Professional Fees</w:t>
      </w:r>
      <w:r w:rsidRPr="00640CF1">
        <w:rPr>
          <w:color w:val="215E99" w:themeColor="text2" w:themeTint="BF"/>
        </w:rPr>
        <w:t xml:space="preserve"> </w:t>
      </w:r>
      <w:r>
        <w:t>– appraisal, environmental, architect fees, survey and engineering.</w:t>
      </w:r>
    </w:p>
    <w:p w14:paraId="224F4CCB" w14:textId="75DB4A72" w:rsidR="002873E4" w:rsidRDefault="002873E4" w:rsidP="001A707F">
      <w:pPr>
        <w:pStyle w:val="ListParagraph"/>
        <w:numPr>
          <w:ilvl w:val="0"/>
          <w:numId w:val="1"/>
        </w:numPr>
      </w:pPr>
      <w:r w:rsidRPr="00640CF1">
        <w:rPr>
          <w:b/>
          <w:bCs/>
          <w:color w:val="215E99" w:themeColor="text2" w:themeTint="BF"/>
          <w:u w:val="single"/>
        </w:rPr>
        <w:t>I</w:t>
      </w:r>
      <w:r w:rsidR="00422236" w:rsidRPr="00640CF1">
        <w:rPr>
          <w:b/>
          <w:bCs/>
          <w:color w:val="215E99" w:themeColor="text2" w:themeTint="BF"/>
          <w:u w:val="single"/>
        </w:rPr>
        <w:t>nterim Loan’s Closing Costs</w:t>
      </w:r>
      <w:r w:rsidR="00134039">
        <w:rPr>
          <w:b/>
          <w:bCs/>
          <w:color w:val="215E99" w:themeColor="text2" w:themeTint="BF"/>
          <w:u w:val="single"/>
        </w:rPr>
        <w:t xml:space="preserve"> &amp; </w:t>
      </w:r>
      <w:r w:rsidR="00422236" w:rsidRPr="00640CF1">
        <w:rPr>
          <w:b/>
          <w:bCs/>
          <w:color w:val="215E99" w:themeColor="text2" w:themeTint="BF"/>
          <w:u w:val="single"/>
        </w:rPr>
        <w:t>Interest</w:t>
      </w:r>
      <w:r w:rsidR="00422236" w:rsidRPr="00640CF1">
        <w:rPr>
          <w:color w:val="215E99" w:themeColor="text2" w:themeTint="BF"/>
        </w:rPr>
        <w:t xml:space="preserve"> </w:t>
      </w:r>
      <w:r w:rsidR="00422236">
        <w:t>– cannot include permanent loan costs and interest.</w:t>
      </w:r>
    </w:p>
    <w:p w14:paraId="36DAB5D3" w14:textId="26DB8543" w:rsidR="00422236" w:rsidRPr="00640CF1" w:rsidRDefault="00AE6979" w:rsidP="001A707F">
      <w:pPr>
        <w:pStyle w:val="ListParagraph"/>
        <w:numPr>
          <w:ilvl w:val="0"/>
          <w:numId w:val="1"/>
        </w:numPr>
        <w:rPr>
          <w:b/>
          <w:bCs/>
          <w:color w:val="215E99" w:themeColor="text2" w:themeTint="BF"/>
          <w:u w:val="single"/>
        </w:rPr>
      </w:pPr>
      <w:r w:rsidRPr="00640CF1">
        <w:rPr>
          <w:b/>
          <w:bCs/>
          <w:color w:val="215E99" w:themeColor="text2" w:themeTint="BF"/>
          <w:u w:val="single"/>
        </w:rPr>
        <w:t>Contingencies of 10% of construction costs.</w:t>
      </w:r>
    </w:p>
    <w:p w14:paraId="26B1F86B" w14:textId="1FAA08A3" w:rsidR="00AE6979" w:rsidRDefault="00AE6979" w:rsidP="001A707F">
      <w:pPr>
        <w:pStyle w:val="ListParagraph"/>
        <w:numPr>
          <w:ilvl w:val="0"/>
          <w:numId w:val="1"/>
        </w:numPr>
      </w:pPr>
      <w:r w:rsidRPr="00C82458">
        <w:rPr>
          <w:b/>
          <w:bCs/>
          <w:color w:val="215E99" w:themeColor="text2" w:themeTint="BF"/>
          <w:u w:val="single"/>
        </w:rPr>
        <w:t>“Do-it-yourself” construction</w:t>
      </w:r>
      <w:r w:rsidRPr="00C82458">
        <w:rPr>
          <w:color w:val="215E99" w:themeColor="text2" w:themeTint="BF"/>
        </w:rPr>
        <w:t xml:space="preserve"> </w:t>
      </w:r>
      <w:r>
        <w:t>– business may be contractor, if:</w:t>
      </w:r>
    </w:p>
    <w:p w14:paraId="5886EC0E" w14:textId="14C0CF80" w:rsidR="00AE6979" w:rsidRDefault="002A0491" w:rsidP="002A0491">
      <w:pPr>
        <w:pStyle w:val="ListParagraph"/>
        <w:numPr>
          <w:ilvl w:val="1"/>
          <w:numId w:val="1"/>
        </w:numPr>
      </w:pPr>
      <w:r>
        <w:t>Business is experienced and licensed in this type of construction.</w:t>
      </w:r>
    </w:p>
    <w:p w14:paraId="4534BA12" w14:textId="4E4DF714" w:rsidR="002A0491" w:rsidRDefault="002A0491" w:rsidP="002A0491">
      <w:pPr>
        <w:pStyle w:val="ListParagraph"/>
        <w:numPr>
          <w:ilvl w:val="1"/>
          <w:numId w:val="1"/>
        </w:numPr>
      </w:pPr>
      <w:r>
        <w:t xml:space="preserve">Provide </w:t>
      </w:r>
      <w:r w:rsidRPr="00C82458">
        <w:rPr>
          <w:b/>
          <w:bCs/>
        </w:rPr>
        <w:t>2 Bids from unaffiliated contractor</w:t>
      </w:r>
      <w:r w:rsidR="00841FD5">
        <w:t xml:space="preserve"> at the same or lower cost.</w:t>
      </w:r>
    </w:p>
    <w:p w14:paraId="538B5C3D" w14:textId="47F132C3" w:rsidR="00841FD5" w:rsidRDefault="00841FD5" w:rsidP="002A0491">
      <w:pPr>
        <w:pStyle w:val="ListParagraph"/>
        <w:numPr>
          <w:ilvl w:val="1"/>
          <w:numId w:val="1"/>
        </w:numPr>
      </w:pPr>
      <w:r>
        <w:t>Business</w:t>
      </w:r>
      <w:r w:rsidR="000679B2">
        <w:t xml:space="preserve"> contractor</w:t>
      </w:r>
      <w:r>
        <w:t>’</w:t>
      </w:r>
      <w:r w:rsidR="000679B2">
        <w:t>s</w:t>
      </w:r>
      <w:r>
        <w:t xml:space="preserve"> bid does not include </w:t>
      </w:r>
      <w:r w:rsidR="00134039">
        <w:t>profit</w:t>
      </w:r>
      <w:r>
        <w:t>.</w:t>
      </w:r>
    </w:p>
    <w:p w14:paraId="4D68CACF" w14:textId="753E8659" w:rsidR="00841FD5" w:rsidRPr="00A95711" w:rsidRDefault="00841FD5" w:rsidP="00841FD5">
      <w:pPr>
        <w:pStyle w:val="ListParagraph"/>
        <w:numPr>
          <w:ilvl w:val="0"/>
          <w:numId w:val="1"/>
        </w:numPr>
        <w:rPr>
          <w:b/>
          <w:bCs/>
        </w:rPr>
      </w:pPr>
      <w:r w:rsidRPr="00A95711">
        <w:rPr>
          <w:b/>
          <w:bCs/>
          <w:color w:val="215E99" w:themeColor="text2" w:themeTint="BF"/>
          <w:u w:val="single"/>
        </w:rPr>
        <w:t>Permissible Debt Refinancing with Expansion</w:t>
      </w:r>
      <w:r w:rsidRPr="00A95711">
        <w:rPr>
          <w:color w:val="215E99" w:themeColor="text2" w:themeTint="BF"/>
        </w:rPr>
        <w:t xml:space="preserve"> </w:t>
      </w:r>
      <w:r>
        <w:t xml:space="preserve">– limited to 100% of the new investments, </w:t>
      </w:r>
      <w:r w:rsidRPr="00A95711">
        <w:rPr>
          <w:b/>
          <w:bCs/>
        </w:rPr>
        <w:t>AND:</w:t>
      </w:r>
    </w:p>
    <w:p w14:paraId="0E000792" w14:textId="7A28E5DE" w:rsidR="00841FD5" w:rsidRPr="00A95711" w:rsidRDefault="00B90859" w:rsidP="00B90859">
      <w:pPr>
        <w:pStyle w:val="ListParagraph"/>
        <w:numPr>
          <w:ilvl w:val="1"/>
          <w:numId w:val="1"/>
        </w:numPr>
        <w:rPr>
          <w:b/>
          <w:bCs/>
        </w:rPr>
      </w:pPr>
      <w:r w:rsidRPr="00A95711">
        <w:rPr>
          <w:b/>
          <w:bCs/>
        </w:rPr>
        <w:t>75% or more of original proceeds were used to acquire 504 costs.</w:t>
      </w:r>
    </w:p>
    <w:p w14:paraId="4CA05C34" w14:textId="6BD60058" w:rsidR="00B90859" w:rsidRDefault="00B90859" w:rsidP="00B90859">
      <w:pPr>
        <w:pStyle w:val="ListParagraph"/>
        <w:numPr>
          <w:ilvl w:val="1"/>
          <w:numId w:val="1"/>
        </w:numPr>
      </w:pPr>
      <w:r w:rsidRPr="00A95711">
        <w:rPr>
          <w:b/>
          <w:bCs/>
        </w:rPr>
        <w:t>Current for last 12 months</w:t>
      </w:r>
      <w:r>
        <w:t xml:space="preserve"> (not more than 30 days late) thr</w:t>
      </w:r>
      <w:r w:rsidR="00E2153D">
        <w:t>ough</w:t>
      </w:r>
      <w:r>
        <w:t xml:space="preserve"> the fund</w:t>
      </w:r>
      <w:r w:rsidR="00B11927">
        <w:t>ing date.</w:t>
      </w:r>
    </w:p>
    <w:p w14:paraId="75FAC290" w14:textId="0B801DA3" w:rsidR="00B11927" w:rsidRDefault="00B11927" w:rsidP="00B90859">
      <w:pPr>
        <w:pStyle w:val="ListParagraph"/>
        <w:numPr>
          <w:ilvl w:val="1"/>
          <w:numId w:val="1"/>
        </w:numPr>
      </w:pPr>
      <w:r w:rsidRPr="00A95711">
        <w:rPr>
          <w:b/>
          <w:bCs/>
        </w:rPr>
        <w:t>Refinancing an existing 504 loan</w:t>
      </w:r>
      <w:r>
        <w:t xml:space="preserve"> must refinance both the bank and the 504 loans.</w:t>
      </w:r>
    </w:p>
    <w:p w14:paraId="39108C3C" w14:textId="13D8B02B" w:rsidR="00B11927" w:rsidRDefault="00B11927" w:rsidP="00B90859">
      <w:pPr>
        <w:pStyle w:val="ListParagraph"/>
        <w:numPr>
          <w:ilvl w:val="1"/>
          <w:numId w:val="1"/>
        </w:numPr>
      </w:pPr>
      <w:r w:rsidRPr="00A95711">
        <w:rPr>
          <w:b/>
          <w:bCs/>
        </w:rPr>
        <w:t>Existing 7(a) loan may be refinanced</w:t>
      </w:r>
      <w:r>
        <w:t xml:space="preserve"> </w:t>
      </w:r>
    </w:p>
    <w:p w14:paraId="24E5C28B" w14:textId="16F9B431" w:rsidR="007102C2" w:rsidRDefault="007102C2" w:rsidP="00B90859">
      <w:pPr>
        <w:pStyle w:val="ListParagraph"/>
        <w:numPr>
          <w:ilvl w:val="1"/>
          <w:numId w:val="1"/>
        </w:numPr>
      </w:pPr>
      <w:r w:rsidRPr="00A95711">
        <w:rPr>
          <w:b/>
          <w:bCs/>
        </w:rPr>
        <w:t>Refinancing existing indebtedness relating to the Project financed</w:t>
      </w:r>
      <w:r>
        <w:t>, subject to:</w:t>
      </w:r>
    </w:p>
    <w:p w14:paraId="1E01A54A" w14:textId="68CB2B1F" w:rsidR="007102C2" w:rsidRDefault="005879B6" w:rsidP="005879B6">
      <w:pPr>
        <w:pStyle w:val="ListParagraph"/>
        <w:numPr>
          <w:ilvl w:val="0"/>
          <w:numId w:val="2"/>
        </w:numPr>
      </w:pPr>
      <w:r>
        <w:t xml:space="preserve">Debt on RE being improved or at </w:t>
      </w:r>
      <w:r w:rsidRPr="00A95711">
        <w:rPr>
          <w:b/>
          <w:bCs/>
        </w:rPr>
        <w:t>another location with the same NAICS code</w:t>
      </w:r>
      <w:r>
        <w:t>.</w:t>
      </w:r>
    </w:p>
    <w:p w14:paraId="689A2E4D" w14:textId="2BFF61BF" w:rsidR="005879B6" w:rsidRDefault="005879B6" w:rsidP="005879B6">
      <w:pPr>
        <w:pStyle w:val="ListParagraph"/>
        <w:numPr>
          <w:ilvl w:val="0"/>
          <w:numId w:val="2"/>
        </w:numPr>
      </w:pPr>
      <w:r>
        <w:t>Includes prepayment penalties, financing fees and</w:t>
      </w:r>
      <w:r w:rsidR="00270169">
        <w:t xml:space="preserve"> other refinancing costs.</w:t>
      </w:r>
    </w:p>
    <w:p w14:paraId="13206492" w14:textId="421A5C18" w:rsidR="00270169" w:rsidRDefault="00270169" w:rsidP="005879B6">
      <w:pPr>
        <w:pStyle w:val="ListParagraph"/>
        <w:numPr>
          <w:ilvl w:val="0"/>
          <w:numId w:val="2"/>
        </w:numPr>
      </w:pPr>
      <w:r>
        <w:t>May refinance one or more loans.</w:t>
      </w:r>
    </w:p>
    <w:p w14:paraId="6329F429" w14:textId="2650605F" w:rsidR="00270169" w:rsidRDefault="00270169" w:rsidP="005879B6">
      <w:pPr>
        <w:pStyle w:val="ListParagraph"/>
        <w:numPr>
          <w:ilvl w:val="0"/>
          <w:numId w:val="2"/>
        </w:numPr>
      </w:pPr>
      <w:r w:rsidRPr="00A95711">
        <w:rPr>
          <w:b/>
          <w:bCs/>
        </w:rPr>
        <w:t>Benefits the business</w:t>
      </w:r>
      <w:r>
        <w:t xml:space="preserve"> – balloon payment or reduction in payment.</w:t>
      </w:r>
    </w:p>
    <w:p w14:paraId="76EA1868" w14:textId="797ABAE2" w:rsidR="000D778F" w:rsidRPr="00451991" w:rsidRDefault="000D778F" w:rsidP="000D778F">
      <w:pPr>
        <w:pStyle w:val="ListParagraph"/>
        <w:numPr>
          <w:ilvl w:val="0"/>
          <w:numId w:val="1"/>
        </w:numPr>
      </w:pPr>
      <w:r w:rsidRPr="00A95711">
        <w:rPr>
          <w:b/>
          <w:bCs/>
          <w:color w:val="215E99" w:themeColor="text2" w:themeTint="BF"/>
          <w:u w:val="single"/>
        </w:rPr>
        <w:t>INELIGIBLE 504 USES OF FUNDS</w:t>
      </w:r>
      <w:r w:rsidRPr="00A95711">
        <w:rPr>
          <w:color w:val="215E99" w:themeColor="text2" w:themeTint="BF"/>
        </w:rPr>
        <w:t xml:space="preserve"> </w:t>
      </w:r>
      <w:r>
        <w:t>– working capital, operating expenses, blue sky, patents, franchise fees, other intangible assets and titled vehicles (unless heavy construction vehicles).</w:t>
      </w:r>
    </w:p>
    <w:sectPr w:rsidR="000D778F" w:rsidRPr="00451991" w:rsidSect="00384662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233D"/>
    <w:multiLevelType w:val="hybridMultilevel"/>
    <w:tmpl w:val="08086194"/>
    <w:lvl w:ilvl="0" w:tplc="7FBE1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34C558C"/>
    <w:multiLevelType w:val="hybridMultilevel"/>
    <w:tmpl w:val="DEA041CE"/>
    <w:lvl w:ilvl="0" w:tplc="84CAB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E2463C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63493">
    <w:abstractNumId w:val="1"/>
  </w:num>
  <w:num w:numId="2" w16cid:durableId="152528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1"/>
    <w:rsid w:val="0001513D"/>
    <w:rsid w:val="00060668"/>
    <w:rsid w:val="000679B2"/>
    <w:rsid w:val="00074F1F"/>
    <w:rsid w:val="000920E7"/>
    <w:rsid w:val="000D778F"/>
    <w:rsid w:val="00134039"/>
    <w:rsid w:val="001A707F"/>
    <w:rsid w:val="00270169"/>
    <w:rsid w:val="002873E4"/>
    <w:rsid w:val="002A0491"/>
    <w:rsid w:val="00357E5B"/>
    <w:rsid w:val="00374A62"/>
    <w:rsid w:val="00384662"/>
    <w:rsid w:val="00422236"/>
    <w:rsid w:val="00451991"/>
    <w:rsid w:val="00551D8A"/>
    <w:rsid w:val="005879B6"/>
    <w:rsid w:val="005A77BE"/>
    <w:rsid w:val="00611574"/>
    <w:rsid w:val="00640CF1"/>
    <w:rsid w:val="007102C2"/>
    <w:rsid w:val="0076755C"/>
    <w:rsid w:val="00804EBD"/>
    <w:rsid w:val="00841FD5"/>
    <w:rsid w:val="00881C2B"/>
    <w:rsid w:val="008A2475"/>
    <w:rsid w:val="00914975"/>
    <w:rsid w:val="00980D42"/>
    <w:rsid w:val="00A95711"/>
    <w:rsid w:val="00AE6979"/>
    <w:rsid w:val="00B11927"/>
    <w:rsid w:val="00B90859"/>
    <w:rsid w:val="00BC5D2C"/>
    <w:rsid w:val="00C7750C"/>
    <w:rsid w:val="00C82458"/>
    <w:rsid w:val="00E05413"/>
    <w:rsid w:val="00E2153D"/>
    <w:rsid w:val="00E52F4E"/>
    <w:rsid w:val="00E71724"/>
    <w:rsid w:val="00EA1B8B"/>
    <w:rsid w:val="00F25DF7"/>
    <w:rsid w:val="00FA0C1F"/>
    <w:rsid w:val="00FC7561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CF59"/>
  <w15:chartTrackingRefBased/>
  <w15:docId w15:val="{4E812990-1477-402B-8ED9-23BAD65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2392B51C0254CA01F0C85CCB2BF82" ma:contentTypeVersion="17" ma:contentTypeDescription="Create a new document." ma:contentTypeScope="" ma:versionID="2e1d912f5956023e18d691788f6d19d4">
  <xsd:schema xmlns:xsd="http://www.w3.org/2001/XMLSchema" xmlns:xs="http://www.w3.org/2001/XMLSchema" xmlns:p="http://schemas.microsoft.com/office/2006/metadata/properties" xmlns:ns2="74f1f991-e5aa-4143-8cec-9c02df0c0ddf" xmlns:ns3="af0f1074-1119-4d9b-a328-fb504603d1b0" targetNamespace="http://schemas.microsoft.com/office/2006/metadata/properties" ma:root="true" ma:fieldsID="8c90501224420d244da56ac3bba83446" ns2:_="" ns3:_="">
    <xsd:import namespace="74f1f991-e5aa-4143-8cec-9c02df0c0ddf"/>
    <xsd:import namespace="af0f1074-1119-4d9b-a328-fb504603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f991-e5aa-4143-8cec-9c02df0c0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f55375-37a1-4f81-ad96-69f8821e2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f1074-1119-4d9b-a328-fb504603d1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035d7b-1845-4240-bf12-58a76d340b22}" ma:internalName="TaxCatchAll" ma:showField="CatchAllData" ma:web="af0f1074-1119-4d9b-a328-fb504603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f1074-1119-4d9b-a328-fb504603d1b0" xsi:nil="true"/>
    <lcf76f155ced4ddcb4097134ff3c332f xmlns="74f1f991-e5aa-4143-8cec-9c02df0c0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B39CE0-9D62-4CC8-A008-18BF978F7C3A}"/>
</file>

<file path=customXml/itemProps2.xml><?xml version="1.0" encoding="utf-8"?>
<ds:datastoreItem xmlns:ds="http://schemas.openxmlformats.org/officeDocument/2006/customXml" ds:itemID="{16688EED-F8A7-427A-8E0E-B94861C35AE0}"/>
</file>

<file path=customXml/itemProps3.xml><?xml version="1.0" encoding="utf-8"?>
<ds:datastoreItem xmlns:ds="http://schemas.openxmlformats.org/officeDocument/2006/customXml" ds:itemID="{E75CF8B0-45C3-4C40-B12E-3C223B9D1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Oudekerk</dc:creator>
  <cp:keywords/>
  <dc:description/>
  <cp:lastModifiedBy>Laura Hart</cp:lastModifiedBy>
  <cp:revision>2</cp:revision>
  <dcterms:created xsi:type="dcterms:W3CDTF">2025-05-09T16:35:00Z</dcterms:created>
  <dcterms:modified xsi:type="dcterms:W3CDTF">2025-05-09T16:35:00Z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0x0101000BA2392B51C0254CA01F0C85CCB2BF82</vt:lpwstr>
  </property>
</Properties>
</file>