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Chelsea Wagner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11, 2023</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Paper</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Riot Grrrl Movement and its Contribution to Third-wave Feminism</w:t>
      </w:r>
    </w:p>
    <w:p w:rsidR="00000000" w:rsidDel="00000000" w:rsidP="00000000" w:rsidRDefault="00000000" w:rsidRPr="00000000" w14:paraId="0000000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Riot Grrrl Movement was a social movement of the 1990s that paved the way for the transformation of feminism. Beginning within the punk rock subculture, the Riot Grrrl Movement was generally characterized by its fierce and unapologetic views against patriarchy, sexism, and societal injustices. Young women pioneered the Riot Grrrl Movement through zines, music, and activism to highlight how they fought to challenge the status quo at its core. The Riot Grrrl Movement and its fundamental principles involved the shameless expression of women's voices and experiences. The Riot Grrrl Movement profoundly shaped Third-wave feminism. This movement jump-started the reimagining of feminist activism, feminist goals, and a broader understanding of the interconnectedness of identity. The Riot Grrrl Movement played a vital role in challenging and reshaping gender norms, feminist discourse, and societal expectations, leaving an ongoing legacy that continues to influence modern feminism.</w:t>
      </w:r>
    </w:p>
    <w:p w:rsidR="00000000" w:rsidDel="00000000" w:rsidP="00000000" w:rsidRDefault="00000000" w:rsidRPr="00000000" w14:paraId="0000000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 the Movement</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the Riot Grrrl Movement, it is essential to understand the context of Third-Wave Feminism and how it emerged from this wave. Third-wave feminism significantly shifted from the ideologies of feminism by embracing a more inclusive approach. The wave incorporated various voices and experiences from women, advocating for diversity. Third-wave feminism tackled issues related to gender, sexuality, race, and class with an evolving perspective.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1970s, musicians have used music to blur gender lines, and in the 1990s, that became even more prevalent. The Riot Grrrl Movement rose in the early 1990s, with its start in the vibrant and politically charged city of Washington, D.C. This movement represented a pivotal moment in the history of feminism, punk rock, and youth culture, fusing these elements into a robust and influential force for change (Rosenberg, 1998). The punk scene actively excluded women from the genre and was fueled by the negative narratives that American politics spewed. By the time the 80s rolled around, punk was inherently sexist, excluding women from the genre entirely because of the rise of sexism in punk music. Female-oriented bands then rose to combat these male-dominated viewpoints. In the 1980s and 1990s, violence toward women was nothing new; no one batted an eye if a woman was assaulted or harassed, so after George H.W. Bush vetoed a bill, the Civil Rights Act of 1990, meant to protect women from violence, girl groups came together to create a movement to fight against the discrimination placed on women (Siegfried, 2019).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Riot Grrrl was not just a musical genre but a bold and unapologetic cultural movement whose mission was to challenge the status quo, redefine gender roles, and empower women and marginalized communities. The movement claimed the name Riot Grrrl to evoke emotion by reminding women of the innocence of girlhood, and they decided to go with that spelling to mimic a growl of intimidation (Schilt, 2003). Kathleen Hanna, a charismatic and unapologetic figure who was pivotal in shaping its direction and purpose, was at the forefront of the Riot Grrrl Movement (Siegfired, 2019). Hanna was a musician and a fierce activist who used her platform to address issues such as sexual harassment, body image, and women's rights. As the lead vocalist of Bikini Kill, her powerful lyrics and stage presence made her an iconic figure, inspiring countless individuals to confront societal norms and expectations head-on. Their music and performances were marked by raw energy, a rejection of gender stereotypes, and an unflinching critique of the patriarchy. During a concert, Hanna shouted, "Look at me, I'm a SLUT. I'm a SLUT, I want you all, I want to take you all home. NOT!" (Darms, 2012, n.p). She did this as a way to claim the word “slut” that has been given a negative connotation around women. Alongside Bikini Kill, Bratmobile, another prominent Riot Grrrl band, delivered ferocious and provocative music that encapsulated the spirit of the movement (Darms, 2012). These bands created groundbreaking music and established a sense of community and sisterhood among their fans.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cornerstone of the Riot Grrrl Movement was its DIY (Do-It-Yourself) ethos and the deep zine culture that accompanied it. Riot Grrrls rejected corporate influence and created their own spaces, publications, and networks. Zines, self-published magazines that conveyed personal experiences, thoughts, and artistic expressions, played a pivotal role in spreading the ideas and messages of the movement. These zines were instrumental in fostering a sense of unity and providing a platform for unheard voices, allowing marginalized individuals to share their stories, opinions, and art (Radway, 2016).</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core ideologies of the Riot Grrrl movement was a relentless rejection of mainstream media and consumer culture. Riot Grrrls believed that these aspects of society perpetuated harmful gender stereotypes and restricted the voices of women and marginalized groups. The activist Alyssa Kai once said, "... men run the scene, men are the scene, and men always have been and probably always will be at the center of the scene" (Ambrosch, 2016, n.p.). In response, they aimed to create an alternative space for self-expression and activism, free from corporate influence. They sought to dismantle the power structures that upheld the status quo by scorning the mainstream and embracing DIY ethics. Riot Grrrl zines, music, and other self-produced media counterbalanced the forces of commercial culture. "In zines, [Riot Grrrls] are finally free to express themselves fully, to be heard, and also to realize they are not alone" (Schilt, 2010, p. 6). These outlets allowed individuals to communicate their experiences and ideas unfiltered and unapologetically.</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Rejecting the consumer-driven narrative, Riot Grrrls encouraged authenticity, self-empowerment, and the importance of crafting one's narrative. Riot Grrrl's commitment to intersectionality and inclusivity was a defining feature of the movement. They sought to amplify the voices of marginalized communities and dismantle hierarchies within the Riot Grrrl movement itself. The Riot Grrrl Movement was fundamentally rooted in empowerment through self-expression (Darms, 2012). Riot Grrrls believed that creative outlets, such as zines, music, visual art, and live performances, offered a means to assert their identities, share their experiences, and challenge societal norms. Through their art, they could confront issues like sexual assault, body image, and mental health, breaking the silence surrounding them (Darms, 2012). Self-expression was seen as a form of resistance against oppressive forces, a way to take control of one's narrative and challenge stereotypes. Riot Grrrl encouraged individuals to embrace their unique voices, fostering a culture celebrating personal growth and self-discovery.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Challenging patriarchal norms and structures was central to the Riot Grrrl Movement (Darms, 2012). Riot Grrrls were unapologetically critical of the male-dominated society that marginalized women and oppressed their voices. "... zines became a medium for discussing taboo subjects, such as rape, incest, and eating disorders. Zine making offered girls a way of forming connections with other girls who shared their experiences." (Schilt, 2010, p. 6). Through their music, writings, and activism, they aimed to dismantle these patriarchal structures, making it clear that they would no longer accept being silenced or sidelined.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Riot Grrrls sought to confront and subvert traditional gender roles and power dynamics by addressing sexism, objectification, and gender-based violence. By challenging these norms head-on, they worked to create a more equitable and just society that recognized all individuals' inherent worth and agency, regardless of their gender.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its core, Riot Grrrl was a feminist punk movement that redefined the genre by infusing it with feminist ideals and urgency. Bands like Bikini Kill and Bratmobile used unapologetic lyrics to protest the male-dominated punk scene and promote women's empowerment. This movement harnessed the aggressive sound of punk and combined it with feminist activism, inspiring many to create their own music. Riot Grrrl utilized live performances to challenge societal norms, creating spaces where women could express anger and empowerment (Dunn &amp; Farnsworth, 2012). The energy and ethos of their performances made a profound statement: that women's stories and frustrations deserved to be heard and that they would no longer be silenced (Darms, 2012). Zines, in particular, played a crucial role in spreading the movement's messages. Art and visual expression were also critical components of the movement. These artistic creations challenged the mainstream narratives and provided alternative avenues for activism. The movement's ability to blend artistic expression and activism left a lasting legacy that inspires social change and empowerment today.</w:t>
      </w:r>
    </w:p>
    <w:p w:rsidR="00000000" w:rsidDel="00000000" w:rsidP="00000000" w:rsidRDefault="00000000" w:rsidRPr="00000000" w14:paraId="0000001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paper, I have learned how influential music and art can be throughout a social movement. The Riot Grrrl movement took a traditionally male-dominated scene. It formed into a powerful activist movement that made women feel confident within their skin and share their stories. A takeaway from this movement that will stick with me is how we can take words that socially have a negative connotation and flip them into something positive and empowering. Women have been called sluts and whores and so many other derogatory terms for so long that it made women as a whole feel ashamed of being human, but this movement fought to change that mindset and take back these words. Now women today use the terms "slut” and "bitch” as a way to speak freely with their close friends.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research and speaking with my peers about this movement, I realized that most people have either not heard of the Riot Grrrl Movement or do not know what the movement stood for. My question is, what could this movement have done to become more well-known in today's day and age? That question then goes into my next question: Do we think the movement's prominent leaders purposely focused on a smaller demographic instead of the large mainstream? The Riot Grrrl movement focused on the punk genre, which consisted of the "weirdos" and "rejects," and those people found community in that, so I wonder how successful bands like Bikini Kill and Bratmobile would have been if they tried to branch out into different genres.</w:t>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Reflections</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researching this social movement, I can confidently say that I would have been an active participant. The movement's F you approach sexism was highly inspiring to read about and see how it has shaped feminism today. Without realizing it, I have always listened to Riot Grrrl's music; I just never knew these songs were used to protest against patriarchy. This movement is personal to me as a woman who has had to deal with the sexism that men spew daily. I have witnessed my close friends and family being called horrendous names by men for just being a confident woman who will not be told what to do. My mother raised my sister and me by herself and told us never to dampen ourselves to make a man feel comfortable. Lessons like these taught me to be headstrong and not hold back when seeing injustices around me. If I were alive in the 1990s, I would have been attending concerts and creating zines to help spread awareness. While I believe that I would be a massive supporter of this movement, I can also recognize that inherent flaws come along with it. At this time, the Riot Grrrl movement, like the only feminist movement, mainly focused on the struggle of white women and did not include women of color the way they should.</w:t>
      </w:r>
    </w:p>
    <w:p w:rsidR="00000000" w:rsidDel="00000000" w:rsidP="00000000" w:rsidRDefault="00000000" w:rsidRPr="00000000" w14:paraId="00000016">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Riot Grrrls pushed boundaries and boldly confronted gender inequality, sexism, and female empowerment, setting the stage for Third-wave feminism to follow suit. The Riot Grrrl Movement injected an unapologetic energy into feminist activism, emphasizing the power of self-expression and unity among women. The movement provided the momentum for Third-wave feminism to take a more intersectional and inclusive approach. By challenging gender norms, the Riot Grrrls forged a path that embraced women's complex, diverse experiences in their fight for equality. When reflecting on the enduring impact of Riot Grrrl on contemporary feminist discourse, it is evident that the movement's legacy still reverberates through the present day. The DIY spirit of Riot Grrrl empowered women to create their platforms and has influenced how feminism continues to evolve in the digital age. Social media, online activism, and grassroots organizing have taken cues from Riot Grrrl's ethos of direct action and self-expression. Combining different art forms, such as rearranging letters from magazines into activist slogans while combining images and hand-drawn art, is a clear example of continuing the DIY ethos of zines from the Riot Grrrl Movement.</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discussions about gender equality, inclusivity, and social justice, the Riot Grrrl Movement's influence remains recognizable, acting as a constant reminder of the importance of valuing diverse perspectives and boosting marginalized voices. While significant strides have been made in the past decades, the struggle for these vital causes continues. The Riot Grrrl Movement serves as a testament to the resilience of feminist activism. In the present day, the fight for gender equality and social justice remains an ongoing and evolving process as new challenges and opportunities continue to emerge. To achieve a fairer world, it is essential to build upon the foundations laid by movements like Riot Grrrl, adapting their principles to address the pressing issues and never lose sight of the ultimate goal: a more inclusive and just society where all individuals can thrive free from discrimination and oppression.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2A">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Ambrosch, G. (2016). ‘</w:t>
      </w:r>
      <w:r w:rsidDel="00000000" w:rsidR="00000000" w:rsidRPr="00000000">
        <w:rPr>
          <w:rFonts w:ascii="Times New Roman" w:cs="Times New Roman" w:eastAsia="Times New Roman" w:hAnsi="Times New Roman"/>
          <w:sz w:val="24"/>
          <w:szCs w:val="24"/>
          <w:rtl w:val="0"/>
        </w:rPr>
        <w:t xml:space="preserve">refusing</w:t>
      </w:r>
      <w:r w:rsidDel="00000000" w:rsidR="00000000" w:rsidRPr="00000000">
        <w:rPr>
          <w:rFonts w:ascii="Times New Roman" w:cs="Times New Roman" w:eastAsia="Times New Roman" w:hAnsi="Times New Roman"/>
          <w:sz w:val="24"/>
          <w:szCs w:val="24"/>
          <w:rtl w:val="0"/>
        </w:rPr>
        <w:t xml:space="preserve"> to be a man’: Gender, feminism and queer identity </w:t>
      </w:r>
      <w:r w:rsidDel="00000000" w:rsidR="00000000" w:rsidRPr="00000000">
        <w:rPr>
          <w:rFonts w:ascii="Times New Roman" w:cs="Times New Roman" w:eastAsia="Times New Roman" w:hAnsi="Times New Roman"/>
          <w:sz w:val="24"/>
          <w:szCs w:val="24"/>
          <w:rtl w:val="0"/>
        </w:rPr>
        <w:t xml:space="preserve">in the punk</w:t>
      </w:r>
      <w:r w:rsidDel="00000000" w:rsidR="00000000" w:rsidRPr="00000000">
        <w:rPr>
          <w:rFonts w:ascii="Times New Roman" w:cs="Times New Roman" w:eastAsia="Times New Roman" w:hAnsi="Times New Roman"/>
          <w:sz w:val="24"/>
          <w:szCs w:val="24"/>
          <w:rtl w:val="0"/>
        </w:rPr>
        <w:t xml:space="preserve"> culture. </w:t>
      </w:r>
      <w:r w:rsidDel="00000000" w:rsidR="00000000" w:rsidRPr="00000000">
        <w:rPr>
          <w:rFonts w:ascii="Times New Roman" w:cs="Times New Roman" w:eastAsia="Times New Roman" w:hAnsi="Times New Roman"/>
          <w:i w:val="1"/>
          <w:sz w:val="24"/>
          <w:szCs w:val="24"/>
          <w:rtl w:val="0"/>
        </w:rPr>
        <w:t xml:space="preserve">Punk &amp;amp; Post-Punk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247–264.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https://doi.org/10.1386/punk.5.3.247_1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Darms, L. (2012). Preserving contradiction: The Riot Grrrl Collection at the Fales Library. </w:t>
      </w:r>
      <w:r w:rsidDel="00000000" w:rsidR="00000000" w:rsidRPr="00000000">
        <w:rPr>
          <w:rFonts w:ascii="Times New Roman" w:cs="Times New Roman" w:eastAsia="Times New Roman" w:hAnsi="Times New Roman"/>
          <w:i w:val="1"/>
          <w:sz w:val="24"/>
          <w:szCs w:val="24"/>
          <w:rtl w:val="0"/>
        </w:rPr>
        <w:t xml:space="preserve">Women Performance: A Journal of Feminist Theory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(2–3), 335–341.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https://doi.org/10.1080/0740770x.2012.720823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 K., &amp; Farnsworth, M. S. (2012). “We ARE the revolution”: Riot Grrrl Press, girl empowerment, and DIY self-publishing. </w:t>
      </w:r>
      <w:r w:rsidDel="00000000" w:rsidR="00000000" w:rsidRPr="00000000">
        <w:rPr>
          <w:rFonts w:ascii="Times New Roman" w:cs="Times New Roman" w:eastAsia="Times New Roman" w:hAnsi="Times New Roman"/>
          <w:i w:val="1"/>
          <w:sz w:val="24"/>
          <w:szCs w:val="24"/>
          <w:rtl w:val="0"/>
        </w:rPr>
        <w:t xml:space="preserve">Women’s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(2), 136–157.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https://doi.org/10.1080/00497878.2012.636334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Radway, J. (2016). Girl Zine Networks, underground itineraries, and Riot Grrrl history: Making sense of the struggle for New Social Forms in the 1990s and beyond. </w:t>
      </w:r>
      <w:r w:rsidDel="00000000" w:rsidR="00000000" w:rsidRPr="00000000">
        <w:rPr>
          <w:rFonts w:ascii="Times New Roman" w:cs="Times New Roman" w:eastAsia="Times New Roman" w:hAnsi="Times New Roman"/>
          <w:i w:val="1"/>
          <w:sz w:val="24"/>
          <w:szCs w:val="24"/>
          <w:rtl w:val="0"/>
        </w:rPr>
        <w:t xml:space="preserve">Journal of American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(1), 1–31.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https://doi.org/10.1017/s0021875815002625</w:t>
        </w:r>
      </w:hyperlink>
      <w:r w:rsidDel="00000000" w:rsidR="00000000" w:rsidRPr="00000000">
        <w:rPr>
          <w:rtl w:val="0"/>
        </w:rPr>
      </w:r>
    </w:p>
    <w:p w:rsidR="00000000" w:rsidDel="00000000" w:rsidP="00000000" w:rsidRDefault="00000000" w:rsidRPr="00000000" w14:paraId="0000002E">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Rosenberg, J., &amp; Garofalo, G. (1998). Riot Grrrl: Revolutions from within. Signs: Journal of Women in Culture and Society, 23(3), 809–841.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https://doi.org/10.1086/495289</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Schilt, K. (2003). ‘A little too ironic’: The appropriation and packaging of riot grrrl politics by mainstream female musicians. </w:t>
      </w:r>
      <w:r w:rsidDel="00000000" w:rsidR="00000000" w:rsidRPr="00000000">
        <w:rPr>
          <w:rFonts w:ascii="Times New Roman" w:cs="Times New Roman" w:eastAsia="Times New Roman" w:hAnsi="Times New Roman"/>
          <w:i w:val="1"/>
          <w:sz w:val="24"/>
          <w:szCs w:val="24"/>
          <w:rtl w:val="0"/>
        </w:rPr>
        <w:t xml:space="preserve">Popular Music and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(1), 5–16.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https://doi.org/10.1080/0300776032000076351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after="240" w:before="24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Siegfried, K. (2019). Feeling Collective: The queer politics of affect in the riot grrrl movement. </w:t>
      </w:r>
      <w:r w:rsidDel="00000000" w:rsidR="00000000" w:rsidRPr="00000000">
        <w:rPr>
          <w:rFonts w:ascii="Times New Roman" w:cs="Times New Roman" w:eastAsia="Times New Roman" w:hAnsi="Times New Roman"/>
          <w:i w:val="1"/>
          <w:sz w:val="24"/>
          <w:szCs w:val="24"/>
          <w:rtl w:val="0"/>
        </w:rPr>
        <w:t xml:space="preserve">Women’s Studies in Communication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(1), 21–38.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https://doi.org/10.1080/07491409.2018.1563579</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Wagner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80/0300776032000076351" TargetMode="External"/><Relationship Id="rId10" Type="http://schemas.openxmlformats.org/officeDocument/2006/relationships/hyperlink" Target="https://doi.org/10.1086/495289" TargetMode="External"/><Relationship Id="rId13" Type="http://schemas.openxmlformats.org/officeDocument/2006/relationships/header" Target="header1.xml"/><Relationship Id="rId12" Type="http://schemas.openxmlformats.org/officeDocument/2006/relationships/hyperlink" Target="https://doi.org/10.1080/07491409.2018.15635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7/s0021875815002625" TargetMode="External"/><Relationship Id="rId5" Type="http://schemas.openxmlformats.org/officeDocument/2006/relationships/styles" Target="styles.xml"/><Relationship Id="rId6" Type="http://schemas.openxmlformats.org/officeDocument/2006/relationships/hyperlink" Target="https://doi.org/10.1386/punk.5.3.247_1" TargetMode="External"/><Relationship Id="rId7" Type="http://schemas.openxmlformats.org/officeDocument/2006/relationships/hyperlink" Target="https://doi.org/10.1080/0740770x.2012.720823" TargetMode="External"/><Relationship Id="rId8" Type="http://schemas.openxmlformats.org/officeDocument/2006/relationships/hyperlink" Target="https://doi.org/10.1080/00497878.2012.636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