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Fonts w:ascii="Calibri" w:cs="Calibri" w:hAnsi="Calibri" w:eastAsia="Calibri"/>
          <w:b w:val="1"/>
          <w:bCs w:val="1"/>
          <w:rtl w:val="0"/>
          <w:lang w:val="en-US"/>
        </w:rPr>
        <w:t>Job Definition</w:t>
      </w:r>
      <w:r>
        <w:rPr>
          <w:rtl w:val="0"/>
          <w:lang w:val="fr-FR"/>
        </w:rPr>
        <w:t>:</w:t>
      </w:r>
    </w:p>
    <w:p>
      <w:pPr>
        <w:pStyle w:val="Body A"/>
        <w:rPr>
          <w:lang w:val="en-US"/>
        </w:rPr>
      </w:pPr>
      <w:r>
        <w:rPr>
          <w:rtl w:val="0"/>
          <w:lang w:val="en-US"/>
        </w:rPr>
        <w:t>Outpatient Therapy is individual and group activities and services that are provided in an outpatient program designed to assist adult and adolescent consumers through  visits to begin recovery and learn skills for recovery maintenance.</w:t>
      </w:r>
    </w:p>
    <w:p>
      <w:pPr>
        <w:pStyle w:val="Body A"/>
      </w:pPr>
    </w:p>
    <w:p>
      <w:pPr>
        <w:pStyle w:val="Body A"/>
        <w:rPr>
          <w:lang w:val="en-US"/>
        </w:rPr>
      </w:pPr>
      <w:r>
        <w:rPr>
          <w:rtl w:val="0"/>
          <w:lang w:val="en-US"/>
        </w:rPr>
        <w:t>Services include, but are not limited to, the following services:</w:t>
      </w:r>
    </w:p>
    <w:p>
      <w:pPr>
        <w:pStyle w:val="List Paragraph"/>
        <w:numPr>
          <w:ilvl w:val="0"/>
          <w:numId w:val="2"/>
        </w:numPr>
        <w:bidi w:val="0"/>
        <w:ind w:right="0"/>
        <w:jc w:val="left"/>
        <w:rPr>
          <w:rtl w:val="0"/>
          <w:lang w:val="en-US"/>
        </w:rPr>
      </w:pPr>
      <w:r>
        <w:rPr>
          <w:rtl w:val="0"/>
          <w:lang w:val="en-US"/>
        </w:rPr>
        <w:t>Individual counseling and support</w:t>
      </w:r>
    </w:p>
    <w:p>
      <w:pPr>
        <w:pStyle w:val="List Paragraph"/>
        <w:numPr>
          <w:ilvl w:val="0"/>
          <w:numId w:val="2"/>
        </w:numPr>
        <w:bidi w:val="0"/>
        <w:ind w:right="0"/>
        <w:jc w:val="left"/>
        <w:rPr>
          <w:rtl w:val="0"/>
          <w:lang w:val="en-US"/>
        </w:rPr>
      </w:pPr>
      <w:r>
        <w:rPr>
          <w:rtl w:val="0"/>
          <w:lang w:val="en-US"/>
        </w:rPr>
        <w:t>Group counseling and support</w:t>
      </w:r>
    </w:p>
    <w:p>
      <w:pPr>
        <w:pStyle w:val="List Paragraph"/>
        <w:numPr>
          <w:ilvl w:val="0"/>
          <w:numId w:val="2"/>
        </w:numPr>
        <w:bidi w:val="0"/>
        <w:ind w:right="0"/>
        <w:jc w:val="left"/>
        <w:rPr>
          <w:rtl w:val="0"/>
          <w:lang w:val="en-US"/>
        </w:rPr>
      </w:pPr>
      <w:r>
        <w:rPr>
          <w:rtl w:val="0"/>
          <w:lang w:val="en-US"/>
        </w:rPr>
        <w:t>Family counseling, training or support</w:t>
      </w:r>
    </w:p>
    <w:p>
      <w:pPr>
        <w:pStyle w:val="List Paragraph"/>
        <w:numPr>
          <w:ilvl w:val="0"/>
          <w:numId w:val="2"/>
        </w:numPr>
        <w:bidi w:val="0"/>
        <w:ind w:right="0"/>
        <w:jc w:val="left"/>
        <w:rPr>
          <w:rtl w:val="0"/>
          <w:lang w:val="en-US"/>
        </w:rPr>
      </w:pPr>
      <w:r>
        <w:rPr>
          <w:rtl w:val="0"/>
          <w:lang w:val="en-US"/>
        </w:rPr>
        <w:t>Comprehensive Clinical Assessment</w:t>
      </w:r>
    </w:p>
    <w:p>
      <w:pPr>
        <w:pStyle w:val="List Paragraph"/>
        <w:numPr>
          <w:ilvl w:val="0"/>
          <w:numId w:val="2"/>
        </w:numPr>
        <w:bidi w:val="0"/>
        <w:ind w:right="0"/>
        <w:jc w:val="left"/>
        <w:rPr>
          <w:rtl w:val="0"/>
          <w:lang w:val="en-US"/>
        </w:rPr>
      </w:pPr>
      <w:r>
        <w:rPr>
          <w:rtl w:val="0"/>
          <w:lang w:val="en-US"/>
        </w:rPr>
        <w:t>Biochemical assays to identify recent drug use (e.g. urine drug screens)</w:t>
      </w:r>
    </w:p>
    <w:p>
      <w:pPr>
        <w:pStyle w:val="List Paragraph"/>
        <w:numPr>
          <w:ilvl w:val="0"/>
          <w:numId w:val="2"/>
        </w:numPr>
        <w:bidi w:val="0"/>
        <w:ind w:right="0"/>
        <w:jc w:val="left"/>
        <w:rPr>
          <w:rtl w:val="0"/>
          <w:lang w:val="en-US"/>
        </w:rPr>
      </w:pPr>
      <w:r>
        <w:rPr>
          <w:rtl w:val="0"/>
          <w:lang w:val="en-US"/>
        </w:rPr>
        <w:t>Strategies for relapse prevention to include community and social support systems in treatment</w:t>
      </w:r>
    </w:p>
    <w:p>
      <w:pPr>
        <w:pStyle w:val="List Paragraph"/>
        <w:numPr>
          <w:ilvl w:val="0"/>
          <w:numId w:val="2"/>
        </w:numPr>
        <w:bidi w:val="0"/>
        <w:ind w:right="0"/>
        <w:jc w:val="left"/>
        <w:rPr>
          <w:rtl w:val="0"/>
          <w:lang w:val="en-US"/>
        </w:rPr>
      </w:pPr>
      <w:r>
        <w:rPr>
          <w:rtl w:val="0"/>
          <w:lang w:val="en-US"/>
        </w:rPr>
        <w:t>Life skills</w:t>
      </w:r>
    </w:p>
    <w:p>
      <w:pPr>
        <w:pStyle w:val="List Paragraph"/>
        <w:numPr>
          <w:ilvl w:val="0"/>
          <w:numId w:val="2"/>
        </w:numPr>
        <w:bidi w:val="0"/>
        <w:ind w:right="0"/>
        <w:jc w:val="left"/>
        <w:rPr>
          <w:rtl w:val="0"/>
          <w:lang w:val="en-US"/>
        </w:rPr>
      </w:pPr>
      <w:r>
        <w:rPr>
          <w:rtl w:val="0"/>
          <w:lang w:val="en-US"/>
        </w:rPr>
        <w:t xml:space="preserve">Grievance </w:t>
      </w:r>
    </w:p>
    <w:p>
      <w:pPr>
        <w:pStyle w:val="List Paragraph"/>
        <w:numPr>
          <w:ilvl w:val="0"/>
          <w:numId w:val="2"/>
        </w:numPr>
        <w:bidi w:val="0"/>
        <w:ind w:right="0"/>
        <w:jc w:val="left"/>
        <w:rPr>
          <w:rtl w:val="0"/>
          <w:lang w:val="en-US"/>
        </w:rPr>
      </w:pPr>
      <w:r>
        <w:rPr>
          <w:rtl w:val="0"/>
          <w:lang w:val="en-US"/>
        </w:rPr>
        <w:t>Crisis contingency planning</w:t>
      </w:r>
    </w:p>
    <w:p>
      <w:pPr>
        <w:pStyle w:val="List Paragraph"/>
        <w:numPr>
          <w:ilvl w:val="0"/>
          <w:numId w:val="2"/>
        </w:numPr>
        <w:bidi w:val="0"/>
        <w:ind w:right="0"/>
        <w:jc w:val="left"/>
        <w:rPr>
          <w:rtl w:val="0"/>
          <w:lang w:val="en-US"/>
        </w:rPr>
      </w:pPr>
      <w:r>
        <w:rPr>
          <w:rtl w:val="0"/>
          <w:lang w:val="en-US"/>
        </w:rPr>
        <w:t>Disease management, and</w:t>
      </w:r>
    </w:p>
    <w:p>
      <w:pPr>
        <w:pStyle w:val="List Paragraph"/>
        <w:numPr>
          <w:ilvl w:val="0"/>
          <w:numId w:val="2"/>
        </w:numPr>
        <w:bidi w:val="0"/>
        <w:ind w:right="0"/>
        <w:jc w:val="left"/>
        <w:rPr>
          <w:rtl w:val="0"/>
          <w:lang w:val="en-US"/>
        </w:rPr>
      </w:pPr>
      <w:r>
        <w:rPr>
          <w:rtl w:val="0"/>
          <w:lang w:val="en-US"/>
        </w:rPr>
        <w:t>Treatment support activities that have been adapted or specifically designed for persons with physical disabilities, or persons with co-occurring disorders of mental illness and substance abuse/developmental disability and substance abuse/dependence.</w:t>
      </w:r>
    </w:p>
    <w:p>
      <w:pPr>
        <w:pStyle w:val="List Paragraph"/>
        <w:ind w:left="0" w:firstLine="0"/>
      </w:pPr>
    </w:p>
    <w:p>
      <w:pPr>
        <w:pStyle w:val="Body A"/>
        <w:rPr>
          <w:lang w:val="en-US"/>
        </w:rPr>
      </w:pPr>
      <w:r>
        <w:rPr>
          <w:rtl w:val="0"/>
          <w:lang w:val="en-US"/>
        </w:rPr>
        <w:t>Clinical Documentation is completed per PrePaid Healthcare Panels requirements.</w:t>
      </w:r>
    </w:p>
    <w:p>
      <w:pPr>
        <w:pStyle w:val="Body A"/>
      </w:pPr>
    </w:p>
    <w:p>
      <w:pPr>
        <w:pStyle w:val="Body A"/>
        <w:rPr>
          <w:lang w:val="en-US"/>
        </w:rPr>
      </w:pPr>
      <w:r>
        <w:rPr>
          <w:rFonts w:ascii="Calibri" w:cs="Calibri" w:hAnsi="Calibri" w:eastAsia="Calibri"/>
          <w:b w:val="1"/>
          <w:bCs w:val="1"/>
          <w:rtl w:val="0"/>
          <w:lang w:val="en-US"/>
        </w:rPr>
        <w:t>Staffing requirements:</w:t>
      </w:r>
    </w:p>
    <w:p>
      <w:pPr>
        <w:pStyle w:val="Body A"/>
        <w:rPr>
          <w:lang w:val="en-US"/>
        </w:rPr>
      </w:pPr>
      <w:r>
        <w:rPr>
          <w:rtl w:val="0"/>
          <w:lang w:val="en-US"/>
        </w:rPr>
        <w:t>Clinicians who provide outpatient therapy/services are appropriately licensed and enrolled with North Carolina Division of Health and Human Services and Prepaid Health Panels</w:t>
      </w:r>
      <w:r>
        <w:rPr>
          <w:rtl w:val="0"/>
          <w:lang w:val="en-US"/>
        </w:rPr>
        <w:t xml:space="preserve"> (Amerihealth, BCBSNC-Healthy Blue, Carolina Complete, United HealthCare, &amp; Wellcare)</w:t>
      </w:r>
    </w:p>
    <w:p>
      <w:pPr>
        <w:pStyle w:val="Body A"/>
      </w:pPr>
    </w:p>
    <w:p>
      <w:pPr>
        <w:pStyle w:val="Body A"/>
        <w:rPr>
          <w:rFonts w:ascii="Calibri" w:cs="Calibri" w:hAnsi="Calibri" w:eastAsia="Calibri"/>
          <w:b w:val="1"/>
          <w:bCs w:val="1"/>
          <w:lang w:val="en-US"/>
        </w:rPr>
      </w:pPr>
      <w:r>
        <w:rPr>
          <w:rFonts w:ascii="Calibri" w:cs="Calibri" w:hAnsi="Calibri" w:eastAsia="Calibri"/>
          <w:b w:val="1"/>
          <w:bCs w:val="1"/>
          <w:rtl w:val="0"/>
          <w:lang w:val="en-US"/>
        </w:rPr>
        <w:t>Required Experience &amp; Training:</w:t>
      </w:r>
    </w:p>
    <w:p>
      <w:pPr>
        <w:pStyle w:val="Body A"/>
        <w:rPr>
          <w:lang w:val="en-US"/>
        </w:rPr>
      </w:pPr>
      <w:r>
        <w:rPr>
          <w:rtl w:val="0"/>
          <w:lang w:val="en-US"/>
        </w:rPr>
        <w:t>Experience and training with the population served, as appropriate.</w:t>
      </w:r>
    </w:p>
    <w:p>
      <w:pPr>
        <w:pStyle w:val="Body A"/>
        <w:rPr>
          <w:lang w:val="en-US"/>
        </w:rPr>
      </w:pPr>
      <w:r>
        <w:rPr>
          <w:rtl w:val="0"/>
          <w:lang w:val="en-US"/>
        </w:rPr>
        <w:t>Substance abuse:</w:t>
      </w:r>
    </w:p>
    <w:p>
      <w:pPr>
        <w:pStyle w:val="List Paragraph"/>
        <w:numPr>
          <w:ilvl w:val="0"/>
          <w:numId w:val="4"/>
        </w:numPr>
        <w:bidi w:val="0"/>
        <w:ind w:right="0"/>
        <w:jc w:val="left"/>
        <w:rPr>
          <w:rtl w:val="0"/>
          <w:lang w:val="en-US"/>
        </w:rPr>
      </w:pPr>
      <w:r>
        <w:rPr>
          <w:rtl w:val="0"/>
          <w:lang w:val="en-US"/>
        </w:rPr>
        <w:t>Alcohol and other drug withdrawal symptoms</w:t>
      </w:r>
    </w:p>
    <w:p>
      <w:pPr>
        <w:pStyle w:val="List Paragraph"/>
        <w:numPr>
          <w:ilvl w:val="0"/>
          <w:numId w:val="4"/>
        </w:numPr>
        <w:bidi w:val="0"/>
        <w:ind w:right="0"/>
        <w:jc w:val="left"/>
        <w:rPr>
          <w:rtl w:val="0"/>
          <w:lang w:val="en-US"/>
        </w:rPr>
      </w:pPr>
      <w:r>
        <w:rPr>
          <w:rtl w:val="0"/>
          <w:lang w:val="en-US"/>
        </w:rPr>
        <w:t>Symptoms of secondary complications due to alcoholism and drug addiction</w:t>
      </w:r>
    </w:p>
    <w:p>
      <w:pPr>
        <w:pStyle w:val="List Paragraph"/>
        <w:numPr>
          <w:ilvl w:val="0"/>
          <w:numId w:val="4"/>
        </w:numPr>
        <w:bidi w:val="0"/>
        <w:ind w:right="0"/>
        <w:jc w:val="left"/>
        <w:rPr>
          <w:rtl w:val="0"/>
          <w:lang w:val="en-US"/>
        </w:rPr>
      </w:pPr>
      <w:r>
        <w:rPr>
          <w:rtl w:val="0"/>
          <w:lang w:val="en-US"/>
        </w:rPr>
        <w:t>Understanding of the nature of addiction</w:t>
      </w:r>
    </w:p>
    <w:p>
      <w:pPr>
        <w:pStyle w:val="List Paragraph"/>
        <w:numPr>
          <w:ilvl w:val="0"/>
          <w:numId w:val="4"/>
        </w:numPr>
        <w:bidi w:val="0"/>
        <w:ind w:right="0"/>
        <w:jc w:val="left"/>
        <w:rPr>
          <w:rtl w:val="0"/>
          <w:lang w:val="en-US"/>
        </w:rPr>
      </w:pPr>
      <w:r>
        <w:rPr>
          <w:rtl w:val="0"/>
          <w:lang w:val="en-US"/>
        </w:rPr>
        <w:t>The withdrawal syndrome</w:t>
      </w:r>
    </w:p>
    <w:p>
      <w:pPr>
        <w:pStyle w:val="List Paragraph"/>
        <w:numPr>
          <w:ilvl w:val="0"/>
          <w:numId w:val="4"/>
        </w:numPr>
        <w:bidi w:val="0"/>
        <w:ind w:right="0"/>
        <w:jc w:val="left"/>
        <w:rPr>
          <w:rtl w:val="0"/>
          <w:lang w:val="en-US"/>
        </w:rPr>
      </w:pPr>
      <w:r>
        <w:rPr>
          <w:rtl w:val="0"/>
          <w:lang w:val="en-US"/>
        </w:rPr>
        <w:t xml:space="preserve">Relapse prevention, and </w:t>
      </w:r>
    </w:p>
    <w:p>
      <w:pPr>
        <w:pStyle w:val="List Paragraph"/>
        <w:numPr>
          <w:ilvl w:val="0"/>
          <w:numId w:val="4"/>
        </w:numPr>
        <w:bidi w:val="0"/>
        <w:ind w:right="0"/>
        <w:jc w:val="left"/>
        <w:rPr>
          <w:rtl w:val="0"/>
          <w:lang w:val="en-US"/>
        </w:rPr>
      </w:pPr>
      <w:r>
        <w:rPr>
          <w:rtl w:val="0"/>
          <w:lang w:val="en-US"/>
        </w:rPr>
        <w:t>Other treatment methodologies.</w:t>
      </w:r>
    </w:p>
    <w:p>
      <w:pPr>
        <w:pStyle w:val="List Paragraph"/>
        <w:ind w:left="0" w:firstLine="0"/>
      </w:pPr>
    </w:p>
    <w:p>
      <w:pPr>
        <w:pStyle w:val="List Paragraph"/>
        <w:ind w:left="0" w:firstLine="0"/>
      </w:pPr>
    </w:p>
    <w:p>
      <w:pPr>
        <w:pStyle w:val="Body A"/>
        <w:rPr>
          <w:rFonts w:ascii="Calibri" w:cs="Calibri" w:hAnsi="Calibri" w:eastAsia="Calibri"/>
          <w:b w:val="1"/>
          <w:bCs w:val="1"/>
          <w:lang w:val="en-US"/>
        </w:rPr>
      </w:pPr>
      <w:r>
        <w:rPr>
          <w:rFonts w:ascii="Calibri" w:cs="Calibri" w:hAnsi="Calibri" w:eastAsia="Calibri"/>
          <w:b w:val="1"/>
          <w:bCs w:val="1"/>
          <w:rtl w:val="0"/>
          <w:lang w:val="en-US"/>
        </w:rPr>
        <w:t>Mental Health:</w:t>
      </w:r>
    </w:p>
    <w:p>
      <w:pPr>
        <w:pStyle w:val="List Paragraph"/>
        <w:numPr>
          <w:ilvl w:val="0"/>
          <w:numId w:val="6"/>
        </w:numPr>
        <w:bidi w:val="0"/>
        <w:ind w:right="0"/>
        <w:jc w:val="left"/>
        <w:rPr>
          <w:rtl w:val="0"/>
          <w:lang w:val="en-US"/>
        </w:rPr>
      </w:pPr>
      <w:r>
        <w:rPr>
          <w:rtl w:val="0"/>
          <w:lang w:val="en-US"/>
        </w:rPr>
        <w:t>Symptoms</w:t>
      </w:r>
    </w:p>
    <w:p>
      <w:pPr>
        <w:pStyle w:val="List Paragraph"/>
        <w:numPr>
          <w:ilvl w:val="0"/>
          <w:numId w:val="6"/>
        </w:numPr>
        <w:bidi w:val="0"/>
        <w:ind w:right="0"/>
        <w:jc w:val="left"/>
        <w:rPr>
          <w:rtl w:val="0"/>
          <w:lang w:val="en-US"/>
        </w:rPr>
      </w:pPr>
      <w:r>
        <w:rPr>
          <w:rtl w:val="0"/>
          <w:lang w:val="en-US"/>
        </w:rPr>
        <w:t>Diagnosis</w:t>
      </w:r>
    </w:p>
    <w:p>
      <w:pPr>
        <w:pStyle w:val="List Paragraph"/>
        <w:numPr>
          <w:ilvl w:val="0"/>
          <w:numId w:val="6"/>
        </w:numPr>
        <w:bidi w:val="0"/>
        <w:ind w:right="0"/>
        <w:jc w:val="left"/>
        <w:rPr>
          <w:rtl w:val="0"/>
          <w:lang w:val="en-US"/>
        </w:rPr>
      </w:pPr>
      <w:r>
        <w:rPr>
          <w:rtl w:val="0"/>
          <w:lang w:val="en-US"/>
        </w:rPr>
        <w:t>Understanding the nature of illness</w:t>
      </w:r>
    </w:p>
    <w:p>
      <w:pPr>
        <w:pStyle w:val="List Paragraph"/>
        <w:numPr>
          <w:ilvl w:val="0"/>
          <w:numId w:val="6"/>
        </w:numPr>
        <w:bidi w:val="0"/>
        <w:ind w:right="0"/>
        <w:jc w:val="left"/>
        <w:rPr>
          <w:rtl w:val="0"/>
          <w:lang w:val="en-US"/>
        </w:rPr>
      </w:pPr>
      <w:r>
        <w:rPr>
          <w:rtl w:val="0"/>
          <w:lang w:val="en-US"/>
        </w:rPr>
        <w:t>Relapse prevention</w:t>
      </w:r>
    </w:p>
    <w:p>
      <w:pPr>
        <w:pStyle w:val="Body A"/>
        <w:rPr>
          <w:rFonts w:ascii="Calibri" w:cs="Calibri" w:hAnsi="Calibri" w:eastAsia="Calibri"/>
          <w:b w:val="1"/>
          <w:bCs w:val="1"/>
        </w:rPr>
      </w:pPr>
      <w:r>
        <w:rPr>
          <w:rFonts w:ascii="Calibri" w:cs="Calibri" w:hAnsi="Calibri" w:eastAsia="Calibri"/>
          <w:b w:val="1"/>
          <w:bCs w:val="1"/>
          <w:rtl w:val="0"/>
          <w:lang w:val="fr-FR"/>
        </w:rPr>
        <w:t>General:</w:t>
      </w:r>
    </w:p>
    <w:p>
      <w:pPr>
        <w:pStyle w:val="List Paragraph"/>
        <w:numPr>
          <w:ilvl w:val="0"/>
          <w:numId w:val="8"/>
        </w:numPr>
        <w:bidi w:val="0"/>
        <w:ind w:right="0"/>
        <w:jc w:val="left"/>
        <w:rPr>
          <w:rtl w:val="0"/>
          <w:lang w:val="en-US"/>
        </w:rPr>
      </w:pPr>
      <w:r>
        <w:rPr>
          <w:rtl w:val="0"/>
          <w:lang w:val="en-US"/>
        </w:rPr>
        <w:t>Individual therapy</w:t>
      </w:r>
    </w:p>
    <w:p>
      <w:pPr>
        <w:pStyle w:val="List Paragraph"/>
        <w:numPr>
          <w:ilvl w:val="0"/>
          <w:numId w:val="8"/>
        </w:numPr>
        <w:bidi w:val="0"/>
        <w:ind w:right="0"/>
        <w:jc w:val="left"/>
        <w:rPr>
          <w:rtl w:val="0"/>
          <w:lang w:val="en-US"/>
        </w:rPr>
      </w:pPr>
      <w:r>
        <w:rPr>
          <w:rtl w:val="0"/>
          <w:lang w:val="en-US"/>
        </w:rPr>
        <w:t>Group therapy</w:t>
      </w:r>
    </w:p>
    <w:p>
      <w:pPr>
        <w:pStyle w:val="List Paragraph"/>
        <w:numPr>
          <w:ilvl w:val="0"/>
          <w:numId w:val="8"/>
        </w:numPr>
        <w:bidi w:val="0"/>
        <w:ind w:right="0"/>
        <w:jc w:val="left"/>
        <w:rPr>
          <w:rtl w:val="0"/>
          <w:lang w:val="en-US"/>
        </w:rPr>
      </w:pPr>
      <w:r>
        <w:rPr>
          <w:rtl w:val="0"/>
          <w:lang w:val="en-US"/>
        </w:rPr>
        <w:t>Family therapy</w:t>
      </w:r>
    </w:p>
    <w:p>
      <w:pPr>
        <w:pStyle w:val="Body A"/>
        <w:rPr>
          <w:rFonts w:ascii="Calibri" w:cs="Calibri" w:hAnsi="Calibri" w:eastAsia="Calibri"/>
          <w:b w:val="1"/>
          <w:bCs w:val="1"/>
          <w:lang w:val="en-US"/>
        </w:rPr>
      </w:pPr>
      <w:r>
        <w:rPr>
          <w:rFonts w:ascii="Calibri" w:cs="Calibri" w:hAnsi="Calibri" w:eastAsia="Calibri"/>
          <w:b w:val="1"/>
          <w:bCs w:val="1"/>
          <w:rtl w:val="0"/>
          <w:lang w:val="en-US"/>
        </w:rPr>
        <w:t>When services are to adolescents, staff is knowledgeable in the following:</w:t>
      </w:r>
    </w:p>
    <w:p>
      <w:pPr>
        <w:pStyle w:val="List Paragraph"/>
        <w:numPr>
          <w:ilvl w:val="0"/>
          <w:numId w:val="10"/>
        </w:numPr>
        <w:bidi w:val="0"/>
        <w:ind w:right="0"/>
        <w:jc w:val="left"/>
        <w:rPr>
          <w:rtl w:val="0"/>
          <w:lang w:val="en-US"/>
        </w:rPr>
      </w:pPr>
      <w:r>
        <w:rPr>
          <w:rtl w:val="0"/>
          <w:lang w:val="en-US"/>
        </w:rPr>
        <w:t xml:space="preserve">Adolescent development, and </w:t>
      </w:r>
    </w:p>
    <w:p>
      <w:pPr>
        <w:pStyle w:val="List Paragraph"/>
        <w:numPr>
          <w:ilvl w:val="0"/>
          <w:numId w:val="10"/>
        </w:numPr>
        <w:bidi w:val="0"/>
        <w:ind w:right="0"/>
        <w:jc w:val="left"/>
        <w:rPr>
          <w:rtl w:val="0"/>
          <w:lang w:val="en-US"/>
        </w:rPr>
      </w:pPr>
      <w:r>
        <w:rPr>
          <w:rtl w:val="0"/>
          <w:lang w:val="en-US"/>
        </w:rPr>
        <w:t>Therapeutic techniques for adolescents.</w:t>
      </w:r>
    </w:p>
    <w:p>
      <w:pPr>
        <w:pStyle w:val="List Paragraph"/>
        <w:ind w:left="0" w:firstLine="0"/>
      </w:pPr>
    </w:p>
    <w:p>
      <w:pPr>
        <w:pStyle w:val="Body A"/>
      </w:pPr>
      <w:r>
        <w:rPr>
          <w:rFonts w:ascii="Calibri" w:cs="Calibri" w:hAnsi="Calibri" w:eastAsia="Calibri"/>
          <w:b w:val="1"/>
          <w:bCs w:val="1"/>
          <w:rtl w:val="0"/>
          <w:lang w:val="en-US"/>
        </w:rPr>
        <w:t>Location:</w:t>
      </w:r>
      <w:r>
        <w:rPr>
          <w:rtl w:val="0"/>
          <w:lang w:val="en-US"/>
        </w:rPr>
        <w:t xml:space="preserve"> This service can be provided in a variety of locations, to include the agency</w:t>
      </w:r>
      <w:r>
        <w:rPr>
          <w:rtl w:val="0"/>
          <w:lang w:val="fr-FR"/>
        </w:rPr>
        <w:t>’</w:t>
      </w:r>
      <w:r>
        <w:rPr>
          <w:rtl w:val="0"/>
          <w:lang w:val="en-US"/>
        </w:rPr>
        <w:t xml:space="preserve">s office, school, home, </w:t>
      </w:r>
      <w:r>
        <w:rPr>
          <w:rtl w:val="0"/>
          <w:lang w:val="en-US"/>
        </w:rPr>
        <w:t>T</w:t>
      </w:r>
      <w:r>
        <w:rPr>
          <w:rtl w:val="0"/>
          <w:lang w:val="en-US"/>
        </w:rPr>
        <w:t xml:space="preserve">elehealth, </w:t>
      </w:r>
      <w:r>
        <w:rPr>
          <w:rtl w:val="0"/>
          <w:lang w:val="fr-FR"/>
        </w:rPr>
        <w:t>etc.</w:t>
      </w:r>
    </w:p>
    <w:p>
      <w:pPr>
        <w:pStyle w:val="Body A"/>
      </w:pPr>
    </w:p>
    <w:p>
      <w:pPr>
        <w:pStyle w:val="Body A"/>
        <w:rPr>
          <w:rFonts w:ascii="Calibri" w:cs="Calibri" w:hAnsi="Calibri" w:eastAsia="Calibri"/>
          <w:b w:val="1"/>
          <w:bCs w:val="1"/>
          <w:lang w:val="en-US"/>
        </w:rPr>
      </w:pPr>
      <w:r>
        <w:rPr>
          <w:rFonts w:ascii="Calibri" w:cs="Calibri" w:hAnsi="Calibri" w:eastAsia="Calibri"/>
          <w:b w:val="1"/>
          <w:bCs w:val="1"/>
          <w:rtl w:val="0"/>
          <w:lang w:val="en-US"/>
        </w:rPr>
        <w:t>Clinical requirements: Expected Outcomes</w:t>
      </w:r>
    </w:p>
    <w:p>
      <w:pPr>
        <w:pStyle w:val="Body A"/>
        <w:rPr>
          <w:lang w:val="en-US"/>
        </w:rPr>
      </w:pPr>
      <w:r>
        <w:rPr>
          <w:rtl w:val="0"/>
          <w:lang w:val="en-US"/>
        </w:rPr>
        <w:t>The expected outcome of therapy is sustained improvement in health and psychological functioning, reduction in any psychiatric symptoms (if present),  reduction in public health and/or safety concerns, and a reduction in the risk of relapse as evidenced by improvement in empirically supported modifiable relapse risk factors.</w:t>
      </w:r>
    </w:p>
    <w:p>
      <w:pPr>
        <w:pStyle w:val="Body A"/>
      </w:pPr>
    </w:p>
    <w:p>
      <w:pPr>
        <w:pStyle w:val="Body A"/>
        <w:rPr>
          <w:rFonts w:ascii="Calibri" w:cs="Calibri" w:hAnsi="Calibri" w:eastAsia="Calibri"/>
          <w:b w:val="1"/>
          <w:bCs w:val="1"/>
          <w:lang w:val="en-US"/>
        </w:rPr>
      </w:pPr>
      <w:r>
        <w:rPr>
          <w:rFonts w:ascii="Calibri" w:cs="Calibri" w:hAnsi="Calibri" w:eastAsia="Calibri"/>
          <w:b w:val="1"/>
          <w:bCs w:val="1"/>
          <w:rtl w:val="0"/>
          <w:lang w:val="en-US"/>
        </w:rPr>
        <w:t>Supervision:</w:t>
      </w:r>
    </w:p>
    <w:p>
      <w:pPr>
        <w:pStyle w:val="Body A"/>
      </w:pPr>
      <w:r>
        <w:rPr>
          <w:rtl w:val="0"/>
          <w:lang w:val="pt-PT"/>
        </w:rPr>
        <w:t xml:space="preserve">Supervisor </w:t>
      </w:r>
      <w:r>
        <w:rPr>
          <w:rtl w:val="0"/>
          <w:lang w:val="en-US"/>
        </w:rPr>
        <w:t xml:space="preserve">as </w:t>
      </w:r>
      <w:r>
        <w:rPr>
          <w:rtl w:val="0"/>
          <w:lang w:val="it-IT"/>
        </w:rPr>
        <w:t xml:space="preserve">per professional </w:t>
      </w:r>
      <w:r>
        <w:rPr>
          <w:rtl w:val="0"/>
          <w:lang w:val="en-US"/>
        </w:rPr>
        <w:t>l</w:t>
      </w:r>
      <w:r>
        <w:rPr>
          <w:rtl w:val="0"/>
          <w:lang w:val="en-US"/>
        </w:rPr>
        <w:t>icense (LPC, LCSW, &amp; LMFT</w:t>
      </w:r>
      <w:r>
        <w:rPr>
          <w:rtl w:val="0"/>
          <w:lang w:val="en-US"/>
        </w:rPr>
        <w:t>/Associate Level</w:t>
      </w:r>
      <w:r>
        <w:rPr>
          <w:rtl w:val="0"/>
          <w:lang w:val="en-US"/>
        </w:rPr>
        <w:t>) requirements and Clinical Director.</w:t>
      </w:r>
    </w:p>
    <w:p>
      <w:pPr>
        <w:pStyle w:val="Body A"/>
      </w:pPr>
    </w:p>
    <w:p>
      <w:pPr>
        <w:pStyle w:val="Body A"/>
        <w:rPr>
          <w:lang w:val="en-US"/>
        </w:rPr>
      </w:pPr>
    </w:p>
    <w:p>
      <w:pPr>
        <w:pStyle w:val="Body A"/>
        <w:rPr>
          <w:lang w:val="en-US"/>
        </w:rPr>
      </w:pPr>
    </w:p>
    <w:p>
      <w:pPr>
        <w:pStyle w:val="Body A"/>
        <w:rPr>
          <w:lang w:val="en-US"/>
        </w:rPr>
      </w:pPr>
    </w:p>
    <w:p>
      <w:pPr>
        <w:pStyle w:val="Body A"/>
        <w:rPr>
          <w:lang w:val="en-US"/>
        </w:rPr>
      </w:pPr>
    </w:p>
    <w:p>
      <w:pPr>
        <w:pStyle w:val="Body A"/>
        <w:rPr>
          <w:lang w:val="en-US"/>
        </w:rPr>
      </w:pPr>
    </w:p>
    <w:p>
      <w:pPr>
        <w:pStyle w:val="Body A"/>
        <w:rPr>
          <w:rFonts w:ascii="Calibri" w:cs="Calibri" w:hAnsi="Calibri" w:eastAsia="Calibri"/>
          <w:b w:val="1"/>
          <w:bCs w:val="1"/>
          <w:lang w:val="en-US"/>
        </w:rPr>
      </w:pPr>
      <w:r>
        <w:rPr>
          <w:rFonts w:ascii="Calibri" w:cs="Calibri" w:hAnsi="Calibri" w:eastAsia="Calibri"/>
          <w:b w:val="1"/>
          <w:bCs w:val="1"/>
          <w:rtl w:val="0"/>
          <w:lang w:val="en-US"/>
        </w:rPr>
        <w:t>Work Schedule:</w:t>
      </w:r>
    </w:p>
    <w:p>
      <w:pPr>
        <w:pStyle w:val="Body A"/>
        <w:rPr>
          <w:lang w:val="en-US"/>
        </w:rPr>
      </w:pPr>
      <w:r>
        <w:rPr>
          <w:rtl w:val="0"/>
          <w:lang w:val="en-US"/>
        </w:rPr>
        <w:t>The work schedule is flexible in order to meet the needs of the persons receiving services. This position does require employee to be available for crisis response 24 hours per day, 7 days per week, and 365 days per year. The crisis response may include telephonic response or face to face with a person in an emergency situation within 2 hours of receiving a call. The after-hours crisis response is assigned on a rotation basis with other employees.</w:t>
      </w:r>
    </w:p>
    <w:p>
      <w:pPr>
        <w:pStyle w:val="Body A"/>
      </w:pPr>
    </w:p>
    <w:p>
      <w:pPr>
        <w:pStyle w:val="Body A"/>
        <w:widowControl w:val="0"/>
        <w:spacing w:line="240" w:lineRule="auto"/>
        <w:ind w:left="324" w:hanging="324"/>
        <w:jc w:val="center"/>
      </w:pPr>
    </w:p>
    <w:p>
      <w:pPr>
        <w:pStyle w:val="Body A"/>
        <w:widowControl w:val="0"/>
        <w:spacing w:line="240" w:lineRule="auto"/>
        <w:ind w:left="324" w:hanging="324"/>
        <w:jc w:val="center"/>
      </w:pPr>
    </w:p>
    <w:tbl>
      <w:tblPr>
        <w:tblW w:w="9576" w:type="dxa"/>
        <w:jc w:val="center"/>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798"/>
        <w:gridCol w:w="2070"/>
        <w:gridCol w:w="3708"/>
      </w:tblGrid>
      <w:tr>
        <w:tblPrEx>
          <w:shd w:val="clear" w:color="auto" w:fill="ced7e7"/>
        </w:tblPrEx>
        <w:trPr>
          <w:trHeight w:val="310" w:hRule="atLeast"/>
        </w:trPr>
        <w:tc>
          <w:tcPr>
            <w:tcW w:type="dxa" w:w="379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070"/>
            <w:tcBorders>
              <w:top w:val="nil"/>
              <w:left w:val="nil"/>
              <w:bottom w:val="nil"/>
              <w:right w:val="nil"/>
            </w:tcBorders>
            <w:shd w:val="clear" w:color="auto" w:fill="auto"/>
            <w:tcMar>
              <w:top w:type="dxa" w:w="80"/>
              <w:left w:type="dxa" w:w="80"/>
              <w:bottom w:type="dxa" w:w="80"/>
              <w:right w:type="dxa" w:w="80"/>
            </w:tcMar>
            <w:vAlign w:val="top"/>
          </w:tcPr>
          <w:p/>
        </w:tc>
        <w:tc>
          <w:tcPr>
            <w:tcW w:type="dxa" w:w="370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379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jc w:val="center"/>
            </w:pPr>
            <w:r>
              <w:rPr>
                <w:rtl w:val="0"/>
                <w:lang w:val="en-US"/>
              </w:rPr>
              <w:t>Employee Signature &amp; Date</w:t>
            </w:r>
          </w:p>
        </w:tc>
        <w:tc>
          <w:tcPr>
            <w:tcW w:type="dxa" w:w="2070"/>
            <w:tcBorders>
              <w:top w:val="nil"/>
              <w:left w:val="nil"/>
              <w:bottom w:val="nil"/>
              <w:right w:val="nil"/>
            </w:tcBorders>
            <w:shd w:val="clear" w:color="auto" w:fill="auto"/>
            <w:tcMar>
              <w:top w:type="dxa" w:w="80"/>
              <w:left w:type="dxa" w:w="80"/>
              <w:bottom w:type="dxa" w:w="80"/>
              <w:right w:type="dxa" w:w="80"/>
            </w:tcMar>
            <w:vAlign w:val="top"/>
          </w:tcPr>
          <w:p/>
        </w:tc>
        <w:tc>
          <w:tcPr>
            <w:tcW w:type="dxa" w:w="370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jc w:val="center"/>
            </w:pPr>
            <w:r>
              <w:rPr>
                <w:rtl w:val="0"/>
                <w:lang w:val="en-US"/>
              </w:rPr>
              <w:t>Supervisor Signature &amp; Date</w:t>
            </w:r>
          </w:p>
        </w:tc>
      </w:tr>
    </w:tbl>
    <w:p>
      <w:pPr>
        <w:pStyle w:val="Body A"/>
        <w:widowControl w:val="0"/>
        <w:spacing w:line="240" w:lineRule="auto"/>
        <w:ind w:left="324" w:hanging="324"/>
        <w:jc w:val="center"/>
      </w:pPr>
      <w:r/>
    </w:p>
    <w:sectPr>
      <w:headerReference w:type="default" r:id="rId4"/>
      <w:footerReference w:type="default" r:id="rId5"/>
      <w:pgSz w:w="12240" w:h="15840" w:orient="portrait"/>
      <w:pgMar w:top="1440" w:right="1440" w:bottom="1440" w:left="1440" w:header="720" w:footer="43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rPr>
        <w:rtl w:val="0"/>
        <w:lang w:val="en-US"/>
      </w:rPr>
      <w:t>2530 Meridian Parkway Suite 3006 Durham, NC 27713</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jc w:val="center"/>
      <w:rPr>
        <w:rFonts w:ascii="Calibri" w:cs="Calibri" w:hAnsi="Calibri" w:eastAsia="Calibri"/>
        <w:b w:val="1"/>
        <w:bCs w:val="1"/>
        <w:sz w:val="32"/>
        <w:szCs w:val="32"/>
      </w:rPr>
    </w:pPr>
    <w:r>
      <w:rPr>
        <w:lang w:val="en-US"/>
      </w:rPr>
      <w:drawing>
        <wp:anchor distT="152400" distB="152400" distL="152400" distR="152400" simplePos="0" relativeHeight="251658240" behindDoc="1" locked="0" layoutInCell="1" allowOverlap="1">
          <wp:simplePos x="0" y="0"/>
          <wp:positionH relativeFrom="page">
            <wp:posOffset>5824220</wp:posOffset>
          </wp:positionH>
          <wp:positionV relativeFrom="page">
            <wp:posOffset>-480694</wp:posOffset>
          </wp:positionV>
          <wp:extent cx="1706880" cy="626745"/>
          <wp:effectExtent l="0" t="0" r="0" b="0"/>
          <wp:wrapNone/>
          <wp:docPr id="1073741826" name="officeArt object" descr="ccss logo.png"/>
          <wp:cNvGraphicFramePr/>
          <a:graphic xmlns:a="http://schemas.openxmlformats.org/drawingml/2006/main">
            <a:graphicData uri="http://schemas.openxmlformats.org/drawingml/2006/picture">
              <pic:pic xmlns:pic="http://schemas.openxmlformats.org/drawingml/2006/picture">
                <pic:nvPicPr>
                  <pic:cNvPr id="1073741826" name="ccss logo.png" descr="ccss logo.png"/>
                  <pic:cNvPicPr>
                    <a:picLocks noChangeAspect="1"/>
                  </pic:cNvPicPr>
                </pic:nvPicPr>
                <pic:blipFill>
                  <a:blip r:embed="rId1">
                    <a:extLst/>
                  </a:blip>
                  <a:stretch>
                    <a:fillRect/>
                  </a:stretch>
                </pic:blipFill>
                <pic:spPr>
                  <a:xfrm>
                    <a:off x="0" y="0"/>
                    <a:ext cx="1706880" cy="626745"/>
                  </a:xfrm>
                  <a:prstGeom prst="rect">
                    <a:avLst/>
                  </a:prstGeom>
                  <a:ln w="12700" cap="flat">
                    <a:noFill/>
                    <a:miter lim="400000"/>
                  </a:ln>
                  <a:effectLst/>
                </pic:spPr>
              </pic:pic>
            </a:graphicData>
          </a:graphic>
        </wp:anchor>
      </w:drawing>
    </w:r>
    <w:r>
      <w:drawing>
        <wp:inline distT="0" distB="0" distL="0" distR="0">
          <wp:extent cx="1575740" cy="811250"/>
          <wp:effectExtent l="0" t="0" r="0" b="0"/>
          <wp:docPr id="1073741825" name="officeArt object" descr="Greater Outreach Services Logo.png"/>
          <wp:cNvGraphicFramePr/>
          <a:graphic xmlns:a="http://schemas.openxmlformats.org/drawingml/2006/main">
            <a:graphicData uri="http://schemas.openxmlformats.org/drawingml/2006/picture">
              <pic:pic xmlns:pic="http://schemas.openxmlformats.org/drawingml/2006/picture">
                <pic:nvPicPr>
                  <pic:cNvPr id="1073741825" name="Greater Outreach Services Logo.png" descr="Greater Outreach Services Logo.png"/>
                  <pic:cNvPicPr>
                    <a:picLocks noChangeAspect="1"/>
                  </pic:cNvPicPr>
                </pic:nvPicPr>
                <pic:blipFill>
                  <a:blip r:embed="rId2">
                    <a:extLst/>
                  </a:blip>
                  <a:stretch>
                    <a:fillRect/>
                  </a:stretch>
                </pic:blipFill>
                <pic:spPr>
                  <a:xfrm>
                    <a:off x="0" y="0"/>
                    <a:ext cx="1575740" cy="811250"/>
                  </a:xfrm>
                  <a:prstGeom prst="rect">
                    <a:avLst/>
                  </a:prstGeom>
                  <a:ln w="12700" cap="flat">
                    <a:noFill/>
                    <a:miter lim="400000"/>
                  </a:ln>
                  <a:effectLst/>
                </pic:spPr>
              </pic:pic>
            </a:graphicData>
          </a:graphic>
        </wp:inline>
      </w:drawing>
    </w:r>
    <w:r>
      <w:rPr>
        <w:rFonts w:ascii="Calibri" w:cs="Calibri" w:hAnsi="Calibri" w:eastAsia="Calibri"/>
        <w:b w:val="1"/>
        <w:bCs w:val="1"/>
        <w:sz w:val="32"/>
        <w:szCs w:val="32"/>
        <w:rtl w:val="0"/>
        <w:lang w:val="fr-FR"/>
      </w:rPr>
      <w:t>Job Description</w:t>
    </w:r>
  </w:p>
  <w:p>
    <w:pPr>
      <w:pStyle w:val="Body A"/>
      <w:jc w:val="center"/>
    </w:pPr>
  </w:p>
  <w:p>
    <w:pPr>
      <w:pStyle w:val="Body A"/>
      <w:rPr>
        <w:lang w:val="en-US"/>
      </w:rPr>
    </w:pPr>
    <w:r>
      <w:rPr>
        <w:rtl w:val="0"/>
        <w:lang w:val="en-US"/>
      </w:rPr>
      <w:t>Position Title: OutPatient Therapist/Clinician</w:t>
      <w:tab/>
      <w:tab/>
      <w:t>Date of Hire:</w:t>
      <w:tab/>
    </w:r>
  </w:p>
  <w:p>
    <w:pPr>
      <w:pStyle w:val="Body A"/>
    </w:pPr>
    <w:r>
      <w:rPr>
        <w:rtl w:val="0"/>
        <w:lang w:val="en-US"/>
      </w:rPr>
      <w:t>Employee Name:</w:t>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fr-FR"/>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