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9E5BA" w14:textId="551F3D36" w:rsidR="004F0006" w:rsidRPr="0083716E" w:rsidRDefault="00DA601D" w:rsidP="0083716E">
      <w:pPr>
        <w:pStyle w:val="NoSpacing"/>
        <w:jc w:val="center"/>
        <w:rPr>
          <w:sz w:val="40"/>
          <w:szCs w:val="40"/>
        </w:rPr>
      </w:pPr>
      <w:r w:rsidRPr="0083716E">
        <w:rPr>
          <w:sz w:val="40"/>
          <w:szCs w:val="40"/>
        </w:rPr>
        <w:t xml:space="preserve">The Knolls </w:t>
      </w:r>
      <w:r w:rsidR="004F0006" w:rsidRPr="0083716E">
        <w:rPr>
          <w:sz w:val="40"/>
          <w:szCs w:val="40"/>
        </w:rPr>
        <w:t>- Star Valley</w:t>
      </w:r>
    </w:p>
    <w:p w14:paraId="4753D271" w14:textId="25F75410" w:rsidR="0083716E" w:rsidRPr="00237E90" w:rsidRDefault="004F0006" w:rsidP="00237E90">
      <w:pPr>
        <w:pStyle w:val="NoSpacing"/>
        <w:jc w:val="center"/>
        <w:rPr>
          <w:sz w:val="40"/>
          <w:szCs w:val="40"/>
        </w:rPr>
      </w:pPr>
      <w:r w:rsidRPr="0083716E">
        <w:rPr>
          <w:sz w:val="40"/>
          <w:szCs w:val="40"/>
        </w:rPr>
        <w:t>Property Owners Association</w:t>
      </w:r>
    </w:p>
    <w:p w14:paraId="4C1E8FF2" w14:textId="75468046" w:rsidR="00DA601D" w:rsidRDefault="00237E90" w:rsidP="00237E90">
      <w:pPr>
        <w:pStyle w:val="NoSpacing"/>
        <w:jc w:val="center"/>
        <w:rPr>
          <w:sz w:val="32"/>
          <w:szCs w:val="32"/>
        </w:rPr>
      </w:pPr>
      <w:r>
        <w:rPr>
          <w:sz w:val="32"/>
          <w:szCs w:val="32"/>
        </w:rPr>
        <w:t>General Fee Schedule</w:t>
      </w:r>
      <w:r w:rsidR="00DA601D" w:rsidRPr="0083716E">
        <w:rPr>
          <w:sz w:val="32"/>
          <w:szCs w:val="32"/>
        </w:rPr>
        <w:t xml:space="preserve"> Effective July 1, 202</w:t>
      </w:r>
      <w:r w:rsidR="00133A13">
        <w:rPr>
          <w:sz w:val="32"/>
          <w:szCs w:val="32"/>
        </w:rPr>
        <w:t>6</w:t>
      </w:r>
    </w:p>
    <w:p w14:paraId="273EE08B" w14:textId="77777777" w:rsidR="00237E90" w:rsidRDefault="00237E90" w:rsidP="004F0006">
      <w:pPr>
        <w:pStyle w:val="NoSpacing"/>
      </w:pPr>
    </w:p>
    <w:p w14:paraId="6FB3AE96" w14:textId="77777777" w:rsidR="00DD5A90" w:rsidRPr="00DD5A90" w:rsidRDefault="00DD5A90" w:rsidP="00DD5A90">
      <w:pPr>
        <w:pStyle w:val="NoSpacing"/>
        <w:rPr>
          <w:b/>
          <w:bCs/>
        </w:rPr>
      </w:pPr>
      <w:r w:rsidRPr="00DD5A90">
        <w:rPr>
          <w:b/>
          <w:bCs/>
        </w:rPr>
        <w:t>Annual Assessment Fee</w:t>
      </w:r>
    </w:p>
    <w:p w14:paraId="5B3DA54E" w14:textId="5C4EA485" w:rsidR="00DD5A90" w:rsidRPr="00DD5A90" w:rsidRDefault="00DD5A90" w:rsidP="00DD5A90">
      <w:pPr>
        <w:pStyle w:val="NoSpacing"/>
        <w:rPr>
          <w:sz w:val="22"/>
          <w:szCs w:val="22"/>
        </w:rPr>
      </w:pPr>
      <w:r w:rsidRPr="00DD5A90">
        <w:rPr>
          <w:sz w:val="22"/>
          <w:szCs w:val="22"/>
        </w:rPr>
        <w:t xml:space="preserve">     $</w:t>
      </w:r>
      <w:r w:rsidR="00133A13">
        <w:rPr>
          <w:sz w:val="22"/>
          <w:szCs w:val="22"/>
        </w:rPr>
        <w:t>40</w:t>
      </w:r>
      <w:r w:rsidRPr="00DD5A90">
        <w:rPr>
          <w:sz w:val="22"/>
          <w:szCs w:val="22"/>
        </w:rPr>
        <w:t>0 per lot</w:t>
      </w:r>
    </w:p>
    <w:p w14:paraId="66FB8211" w14:textId="77777777" w:rsidR="00DD5A90" w:rsidRPr="00DD5A90" w:rsidRDefault="00DD5A90" w:rsidP="00DD5A90">
      <w:pPr>
        <w:pStyle w:val="NoSpacing"/>
        <w:rPr>
          <w:b/>
          <w:bCs/>
        </w:rPr>
      </w:pPr>
      <w:r w:rsidRPr="00DD5A90">
        <w:rPr>
          <w:b/>
          <w:bCs/>
        </w:rPr>
        <w:t>Lot Transfer Fee</w:t>
      </w:r>
    </w:p>
    <w:p w14:paraId="59B9B31F" w14:textId="6CC420C4" w:rsidR="00DD5A90" w:rsidRPr="00DD5A90" w:rsidRDefault="00DD5A90" w:rsidP="00DD5A90">
      <w:pPr>
        <w:pStyle w:val="NoSpacing"/>
        <w:rPr>
          <w:sz w:val="22"/>
          <w:szCs w:val="22"/>
        </w:rPr>
      </w:pPr>
      <w:r w:rsidRPr="00DD5A90">
        <w:rPr>
          <w:sz w:val="22"/>
          <w:szCs w:val="22"/>
        </w:rPr>
        <w:t xml:space="preserve">     $</w:t>
      </w:r>
      <w:r w:rsidR="00133A13">
        <w:rPr>
          <w:sz w:val="22"/>
          <w:szCs w:val="22"/>
        </w:rPr>
        <w:t>40</w:t>
      </w:r>
      <w:r w:rsidRPr="00DD5A90">
        <w:rPr>
          <w:sz w:val="22"/>
          <w:szCs w:val="22"/>
        </w:rPr>
        <w:t>0 (Equal to the Annual Assessment Fee)</w:t>
      </w:r>
    </w:p>
    <w:p w14:paraId="44198A26" w14:textId="77777777" w:rsidR="00DD5A90" w:rsidRPr="00DD5A90" w:rsidRDefault="00DD5A90" w:rsidP="00DD5A90">
      <w:pPr>
        <w:pStyle w:val="NoSpacing"/>
        <w:rPr>
          <w:b/>
          <w:bCs/>
        </w:rPr>
      </w:pPr>
      <w:r w:rsidRPr="00DD5A90">
        <w:rPr>
          <w:b/>
          <w:bCs/>
        </w:rPr>
        <w:t>Construction Requiring Town Permit</w:t>
      </w:r>
    </w:p>
    <w:p w14:paraId="22D59E23" w14:textId="77777777" w:rsidR="00DD5A90" w:rsidRPr="00DD5A90" w:rsidRDefault="00DD5A90" w:rsidP="00DD5A90">
      <w:pPr>
        <w:pStyle w:val="NoSpacing"/>
        <w:ind w:left="720"/>
        <w:rPr>
          <w:sz w:val="22"/>
          <w:szCs w:val="22"/>
        </w:rPr>
      </w:pPr>
      <w:r w:rsidRPr="00DD5A90">
        <w:rPr>
          <w:sz w:val="22"/>
          <w:szCs w:val="22"/>
        </w:rPr>
        <w:t>$1,500 deposit, fully refundable upon final approval by the Architectural Control Committee (ACC) after project completion.</w:t>
      </w:r>
    </w:p>
    <w:p w14:paraId="78205F61" w14:textId="77777777" w:rsidR="00DD5A90" w:rsidRPr="00DD5A90" w:rsidRDefault="00DD5A90" w:rsidP="00DD5A90">
      <w:pPr>
        <w:pStyle w:val="NoSpacing"/>
        <w:rPr>
          <w:b/>
          <w:bCs/>
        </w:rPr>
      </w:pPr>
      <w:r w:rsidRPr="00DD5A90">
        <w:rPr>
          <w:b/>
          <w:bCs/>
        </w:rPr>
        <w:t>New Home Construction – ACC Review and Deposit</w:t>
      </w:r>
    </w:p>
    <w:p w14:paraId="0CF81510" w14:textId="77777777" w:rsidR="00DD5A90" w:rsidRPr="00DD5A90" w:rsidRDefault="00DD5A90" w:rsidP="00DD5A90">
      <w:pPr>
        <w:pStyle w:val="NoSpacing"/>
        <w:rPr>
          <w:sz w:val="22"/>
          <w:szCs w:val="22"/>
        </w:rPr>
      </w:pPr>
      <w:r w:rsidRPr="00DD5A90">
        <w:rPr>
          <w:sz w:val="22"/>
          <w:szCs w:val="22"/>
        </w:rPr>
        <w:t>In accordance with Article V of the CC&amp;Rs:</w:t>
      </w:r>
    </w:p>
    <w:p w14:paraId="244CAE01" w14:textId="77777777" w:rsidR="00DD5A90" w:rsidRPr="00DD5A90" w:rsidRDefault="00DD5A90" w:rsidP="00DD5A90">
      <w:pPr>
        <w:pStyle w:val="NoSpacing"/>
        <w:numPr>
          <w:ilvl w:val="0"/>
          <w:numId w:val="11"/>
        </w:numPr>
        <w:rPr>
          <w:sz w:val="22"/>
          <w:szCs w:val="22"/>
        </w:rPr>
      </w:pPr>
      <w:r w:rsidRPr="00DD5A90">
        <w:rPr>
          <w:sz w:val="22"/>
          <w:szCs w:val="22"/>
        </w:rPr>
        <w:t>A total of $6,500 is due at the time of plan submission for any new single-family residence.</w:t>
      </w:r>
    </w:p>
    <w:p w14:paraId="2CBC0FC4" w14:textId="77777777" w:rsidR="00DD5A90" w:rsidRPr="00DD5A90" w:rsidRDefault="00DD5A90" w:rsidP="00DD5A90">
      <w:pPr>
        <w:pStyle w:val="NoSpacing"/>
        <w:numPr>
          <w:ilvl w:val="0"/>
          <w:numId w:val="11"/>
        </w:numPr>
        <w:rPr>
          <w:sz w:val="22"/>
          <w:szCs w:val="22"/>
        </w:rPr>
      </w:pPr>
      <w:r w:rsidRPr="00DD5A90">
        <w:rPr>
          <w:sz w:val="22"/>
          <w:szCs w:val="22"/>
        </w:rPr>
        <w:t>$1,500 of this amount is a non-refundable architectural review fee.</w:t>
      </w:r>
    </w:p>
    <w:p w14:paraId="45B59CE8" w14:textId="77777777" w:rsidR="00DD5A90" w:rsidRPr="00DD5A90" w:rsidRDefault="00DD5A90" w:rsidP="00DD5A90">
      <w:pPr>
        <w:pStyle w:val="NoSpacing"/>
        <w:numPr>
          <w:ilvl w:val="0"/>
          <w:numId w:val="11"/>
        </w:numPr>
        <w:rPr>
          <w:sz w:val="22"/>
          <w:szCs w:val="22"/>
        </w:rPr>
      </w:pPr>
      <w:r w:rsidRPr="00DD5A90">
        <w:rPr>
          <w:sz w:val="22"/>
          <w:szCs w:val="22"/>
        </w:rPr>
        <w:t>$5,000 is a refundable construction deposit, returned upon satisfactory completion of the home as determined by the ACC.</w:t>
      </w:r>
    </w:p>
    <w:p w14:paraId="63514DCA" w14:textId="77777777" w:rsidR="00DD5A90" w:rsidRPr="00DD5A90" w:rsidRDefault="00000000" w:rsidP="00DD5A90">
      <w:pPr>
        <w:pStyle w:val="NoSpacing"/>
      </w:pPr>
      <w:r>
        <w:pict w14:anchorId="2A822BC0">
          <v:rect id="_x0000_i1025" style="width:0;height:1.5pt" o:hralign="center" o:hrstd="t" o:hr="t" fillcolor="#a0a0a0" stroked="f"/>
        </w:pict>
      </w:r>
    </w:p>
    <w:p w14:paraId="41223299" w14:textId="77777777" w:rsidR="00DD5A90" w:rsidRPr="00DD5A90" w:rsidRDefault="00DD5A90" w:rsidP="00DD5A90">
      <w:pPr>
        <w:pStyle w:val="NoSpacing"/>
        <w:rPr>
          <w:b/>
          <w:bCs/>
        </w:rPr>
      </w:pPr>
      <w:r w:rsidRPr="00DD5A90">
        <w:rPr>
          <w:b/>
          <w:bCs/>
        </w:rPr>
        <w:t>Payment Schedule and Late Fees</w:t>
      </w:r>
    </w:p>
    <w:p w14:paraId="57FBE6DB" w14:textId="77777777" w:rsidR="00DD5A90" w:rsidRPr="00DD5A90" w:rsidRDefault="00DD5A90" w:rsidP="00DD5A90">
      <w:pPr>
        <w:pStyle w:val="NoSpacing"/>
        <w:numPr>
          <w:ilvl w:val="0"/>
          <w:numId w:val="7"/>
        </w:numPr>
        <w:rPr>
          <w:sz w:val="22"/>
          <w:szCs w:val="22"/>
        </w:rPr>
      </w:pPr>
      <w:r w:rsidRPr="00DD5A90">
        <w:rPr>
          <w:sz w:val="22"/>
          <w:szCs w:val="22"/>
        </w:rPr>
        <w:t>Invoices are mailed on or about July 1.</w:t>
      </w:r>
    </w:p>
    <w:p w14:paraId="75D44023" w14:textId="77777777" w:rsidR="00DD5A90" w:rsidRPr="00DD5A90" w:rsidRDefault="00DD5A90" w:rsidP="00DD5A90">
      <w:pPr>
        <w:pStyle w:val="NoSpacing"/>
        <w:numPr>
          <w:ilvl w:val="0"/>
          <w:numId w:val="7"/>
        </w:numPr>
        <w:rPr>
          <w:sz w:val="22"/>
          <w:szCs w:val="22"/>
        </w:rPr>
      </w:pPr>
      <w:r w:rsidRPr="00DD5A90">
        <w:rPr>
          <w:sz w:val="22"/>
          <w:szCs w:val="22"/>
        </w:rPr>
        <w:t>Annual assessments are due no later than August 1.</w:t>
      </w:r>
    </w:p>
    <w:p w14:paraId="6AAD8416" w14:textId="77777777" w:rsidR="00DD5A90" w:rsidRPr="00DD5A90" w:rsidRDefault="00DD5A90" w:rsidP="00DD5A90">
      <w:pPr>
        <w:pStyle w:val="NoSpacing"/>
        <w:rPr>
          <w:sz w:val="22"/>
          <w:szCs w:val="22"/>
        </w:rPr>
      </w:pPr>
      <w:r w:rsidRPr="00DD5A90">
        <w:rPr>
          <w:sz w:val="22"/>
          <w:szCs w:val="22"/>
        </w:rPr>
        <w:t>If payment is not received by the due date:</w:t>
      </w:r>
    </w:p>
    <w:p w14:paraId="1DB1261F" w14:textId="46163A3C" w:rsidR="00DD5A90" w:rsidRPr="00DD5A90" w:rsidRDefault="00DD5A90" w:rsidP="00DD5A90">
      <w:pPr>
        <w:pStyle w:val="NoSpacing"/>
        <w:numPr>
          <w:ilvl w:val="0"/>
          <w:numId w:val="9"/>
        </w:numPr>
        <w:rPr>
          <w:sz w:val="22"/>
          <w:szCs w:val="22"/>
        </w:rPr>
      </w:pPr>
      <w:r w:rsidRPr="00DD5A90">
        <w:rPr>
          <w:sz w:val="22"/>
          <w:szCs w:val="22"/>
        </w:rPr>
        <w:t>September 1 (30+ days past due):</w:t>
      </w:r>
      <w:r w:rsidRPr="00DD5A90">
        <w:rPr>
          <w:sz w:val="22"/>
          <w:szCs w:val="22"/>
        </w:rPr>
        <w:br/>
        <w:t>A late fee of $</w:t>
      </w:r>
      <w:r w:rsidR="00133A13">
        <w:rPr>
          <w:sz w:val="22"/>
          <w:szCs w:val="22"/>
        </w:rPr>
        <w:t>40</w:t>
      </w:r>
      <w:r w:rsidRPr="00DD5A90">
        <w:rPr>
          <w:sz w:val="22"/>
          <w:szCs w:val="22"/>
        </w:rPr>
        <w:t xml:space="preserve"> (10% of the annual assessment) will be added and a past due notice will be sent.</w:t>
      </w:r>
    </w:p>
    <w:p w14:paraId="30103CD8" w14:textId="6EA02608" w:rsidR="00DD5A90" w:rsidRPr="00DD5A90" w:rsidRDefault="00DD5A90" w:rsidP="00DD5A90">
      <w:pPr>
        <w:pStyle w:val="NoSpacing"/>
        <w:numPr>
          <w:ilvl w:val="0"/>
          <w:numId w:val="9"/>
        </w:numPr>
        <w:rPr>
          <w:sz w:val="22"/>
          <w:szCs w:val="22"/>
        </w:rPr>
      </w:pPr>
      <w:r w:rsidRPr="00DD5A90">
        <w:rPr>
          <w:sz w:val="22"/>
          <w:szCs w:val="22"/>
        </w:rPr>
        <w:t xml:space="preserve">October 1 (60+ days </w:t>
      </w:r>
      <w:proofErr w:type="gramStart"/>
      <w:r w:rsidRPr="00DD5A90">
        <w:rPr>
          <w:sz w:val="22"/>
          <w:szCs w:val="22"/>
        </w:rPr>
        <w:t>past</w:t>
      </w:r>
      <w:proofErr w:type="gramEnd"/>
      <w:r w:rsidRPr="00DD5A90">
        <w:rPr>
          <w:sz w:val="22"/>
          <w:szCs w:val="22"/>
        </w:rPr>
        <w:t xml:space="preserve"> due):</w:t>
      </w:r>
      <w:r w:rsidRPr="00DD5A90">
        <w:rPr>
          <w:sz w:val="22"/>
          <w:szCs w:val="22"/>
        </w:rPr>
        <w:br/>
        <w:t>An additional late fee of $</w:t>
      </w:r>
      <w:r w:rsidR="00133A13">
        <w:rPr>
          <w:sz w:val="22"/>
          <w:szCs w:val="22"/>
        </w:rPr>
        <w:t>40</w:t>
      </w:r>
      <w:r w:rsidRPr="00DD5A90">
        <w:rPr>
          <w:sz w:val="22"/>
          <w:szCs w:val="22"/>
        </w:rPr>
        <w:t xml:space="preserve"> will be applied (total late fees $</w:t>
      </w:r>
      <w:r w:rsidR="00133A13">
        <w:rPr>
          <w:sz w:val="22"/>
          <w:szCs w:val="22"/>
        </w:rPr>
        <w:t>80</w:t>
      </w:r>
      <w:r w:rsidRPr="00DD5A90">
        <w:rPr>
          <w:sz w:val="22"/>
          <w:szCs w:val="22"/>
        </w:rPr>
        <w:t>), and a second notice will be sent.</w:t>
      </w:r>
    </w:p>
    <w:p w14:paraId="79FAEC2D" w14:textId="2767069A" w:rsidR="00DD5A90" w:rsidRPr="00DD5A90" w:rsidRDefault="00DD5A90" w:rsidP="00DD5A90">
      <w:pPr>
        <w:pStyle w:val="NoSpacing"/>
        <w:numPr>
          <w:ilvl w:val="0"/>
          <w:numId w:val="9"/>
        </w:numPr>
        <w:rPr>
          <w:sz w:val="22"/>
          <w:szCs w:val="22"/>
        </w:rPr>
      </w:pPr>
      <w:r w:rsidRPr="00DD5A90">
        <w:rPr>
          <w:sz w:val="22"/>
          <w:szCs w:val="22"/>
        </w:rPr>
        <w:t xml:space="preserve">November 1 (90+ days </w:t>
      </w:r>
      <w:proofErr w:type="gramStart"/>
      <w:r w:rsidRPr="00DD5A90">
        <w:rPr>
          <w:sz w:val="22"/>
          <w:szCs w:val="22"/>
        </w:rPr>
        <w:t>past</w:t>
      </w:r>
      <w:proofErr w:type="gramEnd"/>
      <w:r w:rsidRPr="00DD5A90">
        <w:rPr>
          <w:sz w:val="22"/>
          <w:szCs w:val="22"/>
        </w:rPr>
        <w:t xml:space="preserve"> due):</w:t>
      </w:r>
      <w:r w:rsidRPr="00DD5A90">
        <w:rPr>
          <w:sz w:val="22"/>
          <w:szCs w:val="22"/>
        </w:rPr>
        <w:br/>
        <w:t>A further late fee of $</w:t>
      </w:r>
      <w:r w:rsidR="00133A13">
        <w:rPr>
          <w:sz w:val="22"/>
          <w:szCs w:val="22"/>
        </w:rPr>
        <w:t>40</w:t>
      </w:r>
      <w:r w:rsidRPr="00DD5A90">
        <w:rPr>
          <w:sz w:val="22"/>
          <w:szCs w:val="22"/>
        </w:rPr>
        <w:t xml:space="preserve"> will be applied (total late fees $1</w:t>
      </w:r>
      <w:r w:rsidR="00133A13">
        <w:rPr>
          <w:sz w:val="22"/>
          <w:szCs w:val="22"/>
        </w:rPr>
        <w:t>20</w:t>
      </w:r>
      <w:r w:rsidRPr="00DD5A90">
        <w:rPr>
          <w:sz w:val="22"/>
          <w:szCs w:val="22"/>
        </w:rPr>
        <w:t>), and a final notice will be sent.</w:t>
      </w:r>
    </w:p>
    <w:p w14:paraId="2A438604" w14:textId="77777777" w:rsidR="00DD5A90" w:rsidRPr="00DD5A90" w:rsidRDefault="00DD5A90" w:rsidP="00DD5A90">
      <w:pPr>
        <w:pStyle w:val="NoSpacing"/>
        <w:numPr>
          <w:ilvl w:val="0"/>
          <w:numId w:val="9"/>
        </w:numPr>
        <w:rPr>
          <w:sz w:val="22"/>
          <w:szCs w:val="22"/>
        </w:rPr>
      </w:pPr>
      <w:r w:rsidRPr="00DD5A90">
        <w:rPr>
          <w:sz w:val="22"/>
          <w:szCs w:val="22"/>
        </w:rPr>
        <w:t>If payment is not received within 15 days after the final notice, the Association may file a lien on the property.</w:t>
      </w:r>
    </w:p>
    <w:p w14:paraId="7B79111B" w14:textId="77777777" w:rsidR="00DD5A90" w:rsidRPr="00DD5A90" w:rsidRDefault="00000000" w:rsidP="00DD5A90">
      <w:pPr>
        <w:pStyle w:val="NoSpacing"/>
      </w:pPr>
      <w:r>
        <w:pict w14:anchorId="5ED5355F">
          <v:rect id="_x0000_i1026" style="width:0;height:1.5pt" o:hralign="center" o:hrstd="t" o:hr="t" fillcolor="#a0a0a0" stroked="f"/>
        </w:pict>
      </w:r>
    </w:p>
    <w:p w14:paraId="6E9227DA" w14:textId="77777777" w:rsidR="00DD5A90" w:rsidRPr="00DD5A90" w:rsidRDefault="00DD5A90" w:rsidP="00DD5A90">
      <w:pPr>
        <w:pStyle w:val="NoSpacing"/>
        <w:rPr>
          <w:b/>
          <w:bCs/>
        </w:rPr>
      </w:pPr>
      <w:r w:rsidRPr="00DD5A90">
        <w:rPr>
          <w:b/>
          <w:bCs/>
        </w:rPr>
        <w:t xml:space="preserve">Interest </w:t>
      </w:r>
      <w:proofErr w:type="gramStart"/>
      <w:r w:rsidRPr="00DD5A90">
        <w:rPr>
          <w:b/>
          <w:bCs/>
        </w:rPr>
        <w:t>on</w:t>
      </w:r>
      <w:proofErr w:type="gramEnd"/>
      <w:r w:rsidRPr="00DD5A90">
        <w:rPr>
          <w:b/>
          <w:bCs/>
        </w:rPr>
        <w:t xml:space="preserve"> Delinquent Assessments</w:t>
      </w:r>
    </w:p>
    <w:p w14:paraId="780FB786" w14:textId="77777777" w:rsidR="00DD5A90" w:rsidRPr="00DD5A90" w:rsidRDefault="00DD5A90" w:rsidP="00DD5A90">
      <w:pPr>
        <w:pStyle w:val="NoSpacing"/>
        <w:rPr>
          <w:sz w:val="22"/>
          <w:szCs w:val="22"/>
        </w:rPr>
      </w:pPr>
      <w:r w:rsidRPr="00DD5A90">
        <w:rPr>
          <w:sz w:val="22"/>
          <w:szCs w:val="22"/>
        </w:rPr>
        <w:t>Per the CC&amp;Rs, any assessment unpaid 30 days after its due date shall accrue interest at 12% per annum (1% per month) from the date of delinquency.</w:t>
      </w:r>
    </w:p>
    <w:p w14:paraId="0E008E16" w14:textId="77777777" w:rsidR="00DD5A90" w:rsidRPr="00DD5A90" w:rsidRDefault="00DD5A90" w:rsidP="00DD5A90">
      <w:pPr>
        <w:pStyle w:val="NoSpacing"/>
        <w:rPr>
          <w:sz w:val="22"/>
          <w:szCs w:val="22"/>
        </w:rPr>
      </w:pPr>
      <w:r w:rsidRPr="00DD5A90">
        <w:rPr>
          <w:sz w:val="22"/>
          <w:szCs w:val="22"/>
        </w:rPr>
        <w:t>Payments received will be applied in the following order:</w:t>
      </w:r>
    </w:p>
    <w:p w14:paraId="4657A5F4" w14:textId="77777777" w:rsidR="00DD5A90" w:rsidRPr="00DD5A90" w:rsidRDefault="00DD5A90" w:rsidP="00DD5A90">
      <w:pPr>
        <w:pStyle w:val="NoSpacing"/>
        <w:numPr>
          <w:ilvl w:val="0"/>
          <w:numId w:val="10"/>
        </w:numPr>
        <w:rPr>
          <w:sz w:val="22"/>
          <w:szCs w:val="22"/>
        </w:rPr>
      </w:pPr>
      <w:r w:rsidRPr="00DD5A90">
        <w:rPr>
          <w:sz w:val="22"/>
          <w:szCs w:val="22"/>
        </w:rPr>
        <w:t>Unpaid principal</w:t>
      </w:r>
    </w:p>
    <w:p w14:paraId="2B8651D1" w14:textId="77777777" w:rsidR="00DD5A90" w:rsidRPr="00DD5A90" w:rsidRDefault="00DD5A90" w:rsidP="00DD5A90">
      <w:pPr>
        <w:pStyle w:val="NoSpacing"/>
        <w:numPr>
          <w:ilvl w:val="0"/>
          <w:numId w:val="10"/>
        </w:numPr>
        <w:rPr>
          <w:sz w:val="22"/>
          <w:szCs w:val="22"/>
        </w:rPr>
      </w:pPr>
      <w:r w:rsidRPr="00DD5A90">
        <w:rPr>
          <w:sz w:val="22"/>
          <w:szCs w:val="22"/>
        </w:rPr>
        <w:t>Interest accrued</w:t>
      </w:r>
    </w:p>
    <w:p w14:paraId="5AFD800A" w14:textId="77777777" w:rsidR="00DD5A90" w:rsidRPr="00DD5A90" w:rsidRDefault="00DD5A90" w:rsidP="00DD5A90">
      <w:pPr>
        <w:pStyle w:val="NoSpacing"/>
        <w:numPr>
          <w:ilvl w:val="0"/>
          <w:numId w:val="10"/>
        </w:numPr>
        <w:rPr>
          <w:sz w:val="22"/>
          <w:szCs w:val="22"/>
        </w:rPr>
      </w:pPr>
      <w:r w:rsidRPr="00DD5A90">
        <w:rPr>
          <w:sz w:val="22"/>
          <w:szCs w:val="22"/>
        </w:rPr>
        <w:t>Late fees and other charges</w:t>
      </w:r>
    </w:p>
    <w:p w14:paraId="40FF42F2" w14:textId="77777777" w:rsidR="00DD5A90" w:rsidRPr="00DD5A90" w:rsidRDefault="00000000" w:rsidP="00DD5A90">
      <w:pPr>
        <w:pStyle w:val="NoSpacing"/>
      </w:pPr>
      <w:r>
        <w:pict w14:anchorId="644C4BE1">
          <v:rect id="_x0000_i1027" style="width:0;height:1.5pt" o:hralign="center" o:hrstd="t" o:hr="t" fillcolor="#a0a0a0" stroked="f"/>
        </w:pict>
      </w:r>
    </w:p>
    <w:p w14:paraId="1BB81356" w14:textId="77777777" w:rsidR="00DD5A90" w:rsidRPr="00DD5A90" w:rsidRDefault="00DD5A90" w:rsidP="00DD5A90">
      <w:pPr>
        <w:pStyle w:val="NoSpacing"/>
        <w:rPr>
          <w:b/>
          <w:bCs/>
        </w:rPr>
      </w:pPr>
      <w:r w:rsidRPr="00DD5A90">
        <w:rPr>
          <w:b/>
          <w:bCs/>
        </w:rPr>
        <w:t>Recovery Costs</w:t>
      </w:r>
    </w:p>
    <w:p w14:paraId="7FCA8069" w14:textId="77777777" w:rsidR="00DD5A90" w:rsidRPr="00DD5A90" w:rsidRDefault="00DD5A90" w:rsidP="00DD5A90">
      <w:pPr>
        <w:pStyle w:val="NoSpacing"/>
        <w:rPr>
          <w:sz w:val="22"/>
          <w:szCs w:val="22"/>
        </w:rPr>
      </w:pPr>
      <w:r w:rsidRPr="00DD5A90">
        <w:rPr>
          <w:sz w:val="22"/>
          <w:szCs w:val="22"/>
        </w:rPr>
        <w:t>Any legal or administrative fees incurred by the Board in the collection of delinquent fees, filing liens, or resolving violations shall be the responsibility of the property owner.</w:t>
      </w:r>
    </w:p>
    <w:p w14:paraId="16AD48DD" w14:textId="77777777" w:rsidR="00DD5A90" w:rsidRPr="00DD5A90" w:rsidRDefault="00000000" w:rsidP="00DD5A90">
      <w:pPr>
        <w:pStyle w:val="NoSpacing"/>
      </w:pPr>
      <w:r>
        <w:pict w14:anchorId="5E07E39C">
          <v:rect id="_x0000_i1028" style="width:0;height:1.5pt" o:hralign="center" o:hrstd="t" o:hr="t" fillcolor="#a0a0a0" stroked="f"/>
        </w:pict>
      </w:r>
    </w:p>
    <w:p w14:paraId="10D0FE8F" w14:textId="77777777" w:rsidR="00DD5A90" w:rsidRPr="00DD5A90" w:rsidRDefault="00DD5A90" w:rsidP="00DD5A90">
      <w:pPr>
        <w:pStyle w:val="NoSpacing"/>
        <w:rPr>
          <w:b/>
          <w:bCs/>
        </w:rPr>
      </w:pPr>
      <w:r w:rsidRPr="00DD5A90">
        <w:rPr>
          <w:b/>
          <w:bCs/>
        </w:rPr>
        <w:t>Dishonored Checks</w:t>
      </w:r>
    </w:p>
    <w:p w14:paraId="3CC2773C" w14:textId="77777777" w:rsidR="00DD5A90" w:rsidRDefault="00DD5A90" w:rsidP="00DD5A90">
      <w:pPr>
        <w:pStyle w:val="NoSpacing"/>
        <w:rPr>
          <w:sz w:val="22"/>
          <w:szCs w:val="22"/>
        </w:rPr>
      </w:pPr>
      <w:r w:rsidRPr="00DD5A90">
        <w:rPr>
          <w:sz w:val="22"/>
          <w:szCs w:val="22"/>
        </w:rPr>
        <w:t>A $35 administrative fee will be charged for any returned check, in addition to any bank charges. Late fees may also apply.</w:t>
      </w:r>
    </w:p>
    <w:p w14:paraId="73EBC7EE" w14:textId="77777777" w:rsidR="00DD5A90" w:rsidRPr="00DD5A90" w:rsidRDefault="00DD5A90" w:rsidP="00DD5A90">
      <w:pPr>
        <w:pStyle w:val="NoSpacing"/>
        <w:rPr>
          <w:sz w:val="22"/>
          <w:szCs w:val="22"/>
        </w:rPr>
      </w:pPr>
    </w:p>
    <w:p w14:paraId="0020A510" w14:textId="692E5D5C" w:rsidR="00597804" w:rsidRPr="00DD5A90" w:rsidRDefault="00DD5A90" w:rsidP="00DD5A90">
      <w:pPr>
        <w:pStyle w:val="NoSpacing"/>
        <w:rPr>
          <w:i/>
          <w:iCs/>
          <w:sz w:val="20"/>
          <w:szCs w:val="20"/>
        </w:rPr>
      </w:pPr>
      <w:r w:rsidRPr="00DD5A90">
        <w:rPr>
          <w:i/>
          <w:iCs/>
          <w:sz w:val="20"/>
          <w:szCs w:val="20"/>
        </w:rPr>
        <w:t>The Association’s late fees and interest charges are designed to encourage timely payment and to help offset the increased administrative effort involved in collecting delinquent assessments. These charges are not punitive but are intended as fair compensation for additional work and costs incurred by the Association’s volunteer Board members.</w:t>
      </w:r>
    </w:p>
    <w:sectPr w:rsidR="00597804" w:rsidRPr="00DD5A90" w:rsidSect="00837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7E4"/>
    <w:multiLevelType w:val="hybridMultilevel"/>
    <w:tmpl w:val="A3C66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0B2D94"/>
    <w:multiLevelType w:val="hybridMultilevel"/>
    <w:tmpl w:val="623AC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332A9"/>
    <w:multiLevelType w:val="hybridMultilevel"/>
    <w:tmpl w:val="676CF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806D56"/>
    <w:multiLevelType w:val="multilevel"/>
    <w:tmpl w:val="75EA0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5C4E2F"/>
    <w:multiLevelType w:val="multilevel"/>
    <w:tmpl w:val="39E2E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5D7E74"/>
    <w:multiLevelType w:val="hybridMultilevel"/>
    <w:tmpl w:val="17C2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062259"/>
    <w:multiLevelType w:val="hybridMultilevel"/>
    <w:tmpl w:val="E6863A44"/>
    <w:lvl w:ilvl="0" w:tplc="B59E231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705D19"/>
    <w:multiLevelType w:val="hybridMultilevel"/>
    <w:tmpl w:val="B61CD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ED2360"/>
    <w:multiLevelType w:val="hybridMultilevel"/>
    <w:tmpl w:val="B07AB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B81EB2"/>
    <w:multiLevelType w:val="multilevel"/>
    <w:tmpl w:val="92C29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F9073A"/>
    <w:multiLevelType w:val="multilevel"/>
    <w:tmpl w:val="B5EA5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5336310">
    <w:abstractNumId w:val="5"/>
  </w:num>
  <w:num w:numId="2" w16cid:durableId="2065785944">
    <w:abstractNumId w:val="6"/>
  </w:num>
  <w:num w:numId="3" w16cid:durableId="1345472525">
    <w:abstractNumId w:val="3"/>
  </w:num>
  <w:num w:numId="4" w16cid:durableId="914627475">
    <w:abstractNumId w:val="9"/>
  </w:num>
  <w:num w:numId="5" w16cid:durableId="521357150">
    <w:abstractNumId w:val="10"/>
  </w:num>
  <w:num w:numId="6" w16cid:durableId="1618683284">
    <w:abstractNumId w:val="4"/>
  </w:num>
  <w:num w:numId="7" w16cid:durableId="740173944">
    <w:abstractNumId w:val="7"/>
  </w:num>
  <w:num w:numId="8" w16cid:durableId="2116365534">
    <w:abstractNumId w:val="1"/>
  </w:num>
  <w:num w:numId="9" w16cid:durableId="6905488">
    <w:abstractNumId w:val="2"/>
  </w:num>
  <w:num w:numId="10" w16cid:durableId="1708994208">
    <w:abstractNumId w:val="8"/>
  </w:num>
  <w:num w:numId="11" w16cid:durableId="1329015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01D"/>
    <w:rsid w:val="000174E2"/>
    <w:rsid w:val="00133A13"/>
    <w:rsid w:val="001C6239"/>
    <w:rsid w:val="00237E90"/>
    <w:rsid w:val="004F0006"/>
    <w:rsid w:val="00597804"/>
    <w:rsid w:val="0072794B"/>
    <w:rsid w:val="0083716E"/>
    <w:rsid w:val="009F7D60"/>
    <w:rsid w:val="00C504ED"/>
    <w:rsid w:val="00D86DCC"/>
    <w:rsid w:val="00DA4C3E"/>
    <w:rsid w:val="00DA601D"/>
    <w:rsid w:val="00DD5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AF749"/>
  <w15:chartTrackingRefBased/>
  <w15:docId w15:val="{CA052ACA-A87A-4946-AE86-C990B60BB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60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60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60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60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60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60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60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60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60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0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60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60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60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60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60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60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60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601D"/>
    <w:rPr>
      <w:rFonts w:eastAsiaTheme="majorEastAsia" w:cstheme="majorBidi"/>
      <w:color w:val="272727" w:themeColor="text1" w:themeTint="D8"/>
    </w:rPr>
  </w:style>
  <w:style w:type="paragraph" w:styleId="Title">
    <w:name w:val="Title"/>
    <w:basedOn w:val="Normal"/>
    <w:next w:val="Normal"/>
    <w:link w:val="TitleChar"/>
    <w:uiPriority w:val="10"/>
    <w:qFormat/>
    <w:rsid w:val="00DA60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60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60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60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601D"/>
    <w:pPr>
      <w:spacing w:before="160"/>
      <w:jc w:val="center"/>
    </w:pPr>
    <w:rPr>
      <w:i/>
      <w:iCs/>
      <w:color w:val="404040" w:themeColor="text1" w:themeTint="BF"/>
    </w:rPr>
  </w:style>
  <w:style w:type="character" w:customStyle="1" w:styleId="QuoteChar">
    <w:name w:val="Quote Char"/>
    <w:basedOn w:val="DefaultParagraphFont"/>
    <w:link w:val="Quote"/>
    <w:uiPriority w:val="29"/>
    <w:rsid w:val="00DA601D"/>
    <w:rPr>
      <w:i/>
      <w:iCs/>
      <w:color w:val="404040" w:themeColor="text1" w:themeTint="BF"/>
    </w:rPr>
  </w:style>
  <w:style w:type="paragraph" w:styleId="ListParagraph">
    <w:name w:val="List Paragraph"/>
    <w:basedOn w:val="Normal"/>
    <w:uiPriority w:val="34"/>
    <w:qFormat/>
    <w:rsid w:val="00DA601D"/>
    <w:pPr>
      <w:ind w:left="720"/>
      <w:contextualSpacing/>
    </w:pPr>
  </w:style>
  <w:style w:type="character" w:styleId="IntenseEmphasis">
    <w:name w:val="Intense Emphasis"/>
    <w:basedOn w:val="DefaultParagraphFont"/>
    <w:uiPriority w:val="21"/>
    <w:qFormat/>
    <w:rsid w:val="00DA601D"/>
    <w:rPr>
      <w:i/>
      <w:iCs/>
      <w:color w:val="0F4761" w:themeColor="accent1" w:themeShade="BF"/>
    </w:rPr>
  </w:style>
  <w:style w:type="paragraph" w:styleId="IntenseQuote">
    <w:name w:val="Intense Quote"/>
    <w:basedOn w:val="Normal"/>
    <w:next w:val="Normal"/>
    <w:link w:val="IntenseQuoteChar"/>
    <w:uiPriority w:val="30"/>
    <w:qFormat/>
    <w:rsid w:val="00DA60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601D"/>
    <w:rPr>
      <w:i/>
      <w:iCs/>
      <w:color w:val="0F4761" w:themeColor="accent1" w:themeShade="BF"/>
    </w:rPr>
  </w:style>
  <w:style w:type="character" w:styleId="IntenseReference">
    <w:name w:val="Intense Reference"/>
    <w:basedOn w:val="DefaultParagraphFont"/>
    <w:uiPriority w:val="32"/>
    <w:qFormat/>
    <w:rsid w:val="00DA601D"/>
    <w:rPr>
      <w:b/>
      <w:bCs/>
      <w:smallCaps/>
      <w:color w:val="0F4761" w:themeColor="accent1" w:themeShade="BF"/>
      <w:spacing w:val="5"/>
    </w:rPr>
  </w:style>
  <w:style w:type="paragraph" w:styleId="NoSpacing">
    <w:name w:val="No Spacing"/>
    <w:uiPriority w:val="1"/>
    <w:qFormat/>
    <w:rsid w:val="004F00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 The Knolls POA</dc:creator>
  <cp:keywords/>
  <dc:description/>
  <cp:lastModifiedBy>Secretary The Knolls POA</cp:lastModifiedBy>
  <cp:revision>2</cp:revision>
  <dcterms:created xsi:type="dcterms:W3CDTF">2026-06-04T20:01:00Z</dcterms:created>
  <dcterms:modified xsi:type="dcterms:W3CDTF">2026-06-04T20:01:00Z</dcterms:modified>
</cp:coreProperties>
</file>