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none"/>
          <w:left w:val="none"/>
          <w:bottom w:val="none"/>
          <w:right w:val="none"/>
          <w:insideH w:val="single" w:color="auto" w:sz="4"/>
          <w:insideV w:val="single" w:color="auto" w:sz="4"/>
        </w:tblBorders>
      </w:tblPr>
      <w:tblGrid>
        <w:gridCol w:w="10080"/>
      </w:tblGrid>
      <w:tr>
        <w:tc>
          <w:tcPr>
            <w:shd w:fill="1C3A2F" w:val="clear"/>
            <w:tcMar>
              <w:top w:type="dxa" w:w="280"/>
              <w:left w:type="dxa" w:w="400"/>
              <w:bottom w:type="dxa" w:w="280"/>
              <w:right w:type="dxa" w:w="400"/>
            </w:tcMar>
          </w:tcPr>
          <w:p>
            <w:pPr>
              <w:spacing w:before="0" w:after="80"/>
              <w:jc w:val="center"/>
            </w:pPr>
            <w:r>
              <w:rPr>
                <w:rFonts w:ascii="Arial" w:cs="Arial" w:eastAsia="Arial" w:hAnsi="Arial"/>
                <w:b/>
                <w:bCs/>
                <w:i w:val="false"/>
                <w:iCs w:val="false"/>
                <w:color w:val="FFFFFF"/>
                <w:sz w:val="34"/>
                <w:szCs w:val="34"/>
              </w:rPr>
              <w:t xml:space="preserve">Trinity Tree × Desert Recovery Centers</w:t>
            </w:r>
          </w:p>
          <w:p>
            <w:pPr>
              <w:spacing w:before="0" w:after="60"/>
              <w:jc w:val="center"/>
            </w:pPr>
            <w:r>
              <w:rPr>
                <w:rFonts w:ascii="Arial" w:cs="Arial" w:eastAsia="Arial" w:hAnsi="Arial"/>
                <w:b w:val="false"/>
                <w:bCs w:val="false"/>
                <w:i w:val="false"/>
                <w:iCs w:val="false"/>
                <w:color w:val="A8C5B0"/>
                <w:sz w:val="24"/>
                <w:szCs w:val="24"/>
              </w:rPr>
              <w:t xml:space="preserve">Psychology Doctoral Internship Training Program</w:t>
            </w:r>
          </w:p>
          <w:p>
            <w:pPr>
              <w:spacing w:before="0" w:after="0"/>
              <w:jc w:val="center"/>
            </w:pPr>
            <w:r>
              <w:rPr>
                <w:rFonts w:ascii="Arial" w:cs="Arial" w:eastAsia="Arial" w:hAnsi="Arial"/>
                <w:b w:val="false"/>
                <w:bCs w:val="false"/>
                <w:i/>
                <w:iCs/>
                <w:color w:val="A8C5B0"/>
                <w:sz w:val="19"/>
                <w:szCs w:val="19"/>
              </w:rPr>
              <w:t xml:space="preserve">Training Manual  |  2025–2026  |  APPIC Program ID: 2589-01</w:t>
            </w:r>
          </w:p>
        </w:tc>
      </w:tr>
    </w:tbl>
    <w:p>
      <w:pPr>
        <w:spacing w:before="80" w:after="0"/>
      </w:pPr>
      <w:r>
        <w:rPr>
          <w:rFonts w:ascii="Arial" w:cs="Arial" w:eastAsia="Arial" w:hAnsi="Arial"/>
          <w:b w:val="false"/>
          <w:bCs w:val="false"/>
          <w:i w:val="false"/>
          <w:iCs w:val="false"/>
          <w:color w:val="000000"/>
          <w:sz w:val="21"/>
          <w:szCs w:val="21"/>
        </w:rPr>
        <w:t xml:space="preserve"/>
      </w:r>
    </w:p>
    <w:tbl>
      <w:tblPr>
        <w:tblW w:type="dxa" w:w="10080"/>
        <w:tblBorders>
          <w:top w:val="none"/>
          <w:left w:val="none"/>
          <w:bottom w:val="none"/>
          <w:right w:val="none"/>
          <w:insideH w:val="single" w:color="auto" w:sz="4"/>
          <w:insideV w:val="single" w:color="auto" w:sz="4"/>
        </w:tblBorders>
      </w:tblPr>
      <w:tblGrid>
        <w:gridCol w:w="10080"/>
      </w:tblGrid>
      <w:tr>
        <w:tc>
          <w:tcPr>
            <w:tcBorders>
              <w:top w:val="single" w:color="D4C9B0" w:sz="1"/>
              <w:left w:val="single" w:color="D4C9B0" w:sz="1"/>
              <w:bottom w:val="single" w:color="D4C9B0" w:sz="1"/>
              <w:right w:val="single" w:color="D4C9B0" w:sz="1"/>
            </w:tcBorders>
            <w:shd w:fill="EDE6D6"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1C3A2F"/>
                <w:sz w:val="19"/>
                <w:szCs w:val="19"/>
              </w:rPr>
              <w:t xml:space="preserve">Director of Clinical Training: </w:t>
            </w:r>
            <w:r>
              <w:rPr>
                <w:rFonts w:ascii="Arial" w:cs="Arial" w:eastAsia="Arial" w:hAnsi="Arial"/>
                <w:b w:val="false"/>
                <w:bCs w:val="false"/>
                <w:i w:val="false"/>
                <w:iCs w:val="false"/>
                <w:color w:val="000000"/>
                <w:sz w:val="19"/>
                <w:szCs w:val="19"/>
              </w:rPr>
              <w:t xml:space="preserve">Jonathan J. Shelton, Psy.D.  |  (623) 444-5508  |  drshelton@trinitytreepsych.com  |  www.trinitytreepsych.com</w:t>
            </w:r>
          </w:p>
          <w:p>
            <w:pPr>
              <w:spacing w:before="0" w:after="0"/>
              <w:jc w:val="left"/>
            </w:pPr>
            <w:r>
              <w:rPr>
                <w:rFonts w:ascii="Arial" w:cs="Arial" w:eastAsia="Arial" w:hAnsi="Arial"/>
                <w:b/>
                <w:bCs/>
                <w:i w:val="false"/>
                <w:iCs w:val="false"/>
                <w:color w:val="1C3A2F"/>
                <w:sz w:val="19"/>
                <w:szCs w:val="19"/>
              </w:rPr>
              <w:t xml:space="preserve">Co-Director of Clinical Training: </w:t>
            </w:r>
            <w:r>
              <w:rPr>
                <w:rFonts w:ascii="Arial" w:cs="Arial" w:eastAsia="Arial" w:hAnsi="Arial"/>
                <w:b w:val="false"/>
                <w:bCs w:val="false"/>
                <w:i w:val="false"/>
                <w:iCs w:val="false"/>
                <w:color w:val="000000"/>
                <w:sz w:val="19"/>
                <w:szCs w:val="19"/>
              </w:rPr>
              <w:t xml:space="preserve">Dr. Nguyen, Psy.D.  |  drnguyen@trinitytreepsych.com</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1. Program Overview and Training Philosophy</w:t>
      </w:r>
    </w:p>
    <w:p>
      <w:pPr>
        <w:spacing w:before="80" w:after="80"/>
        <w:jc w:val="left"/>
      </w:pPr>
      <w:r>
        <w:rPr>
          <w:rFonts w:ascii="Arial" w:cs="Arial" w:eastAsia="Arial" w:hAnsi="Arial"/>
          <w:b w:val="false"/>
          <w:bCs w:val="false"/>
          <w:i w:val="false"/>
          <w:iCs w:val="false"/>
          <w:color w:val="000000"/>
          <w:sz w:val="21"/>
          <w:szCs w:val="21"/>
        </w:rPr>
        <w:t xml:space="preserve">The Psychology Doctoral Internship Training Program at Trinity Tree × Desert Recovery Centers is a 12-month, 2,000-hour, organized and sequential training experience designed to prepare doctoral interns for entry-level independent practice in Health Service Psychology. The program follows a practitioner–scholar model grounded in evidence-based practice, ethical decision-making, multicultural responsiveness, and the integration of research and clinical application.</w:t>
      </w:r>
    </w:p>
    <w:p>
      <w:pPr>
        <w:spacing w:before="8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val="false"/>
          <w:iCs w:val="false"/>
          <w:color w:val="000000"/>
          <w:sz w:val="21"/>
          <w:szCs w:val="21"/>
        </w:rPr>
        <w:t xml:space="preserve">Training is longitudinal and developmentally sequenced across three structured phases. Clinical responsibility increases progressively based on demonstrated competency, moving from structured oversight in the early phase to increasing autonomy as benchmarks are met. Supervisors of record retain full legal and clinical responsibility for all intern clinical services throughout the training year.</w:t>
      </w:r>
    </w:p>
    <w:p>
      <w:pPr>
        <w:spacing w:before="80" w:after="0"/>
      </w:pPr>
      <w:r>
        <w:rPr>
          <w:rFonts w:ascii="Arial" w:cs="Arial" w:eastAsia="Arial" w:hAnsi="Arial"/>
          <w:b w:val="false"/>
          <w:bCs w:val="false"/>
          <w:i w:val="false"/>
          <w:iCs w:val="false"/>
          <w:color w:val="000000"/>
          <w:sz w:val="21"/>
          <w:szCs w:val="21"/>
        </w:rPr>
        <w:t xml:space="preserve"/>
      </w:r>
    </w:p>
    <w:tbl>
      <w:tblPr>
        <w:tblW w:type="dxa" w:w="10080"/>
        <w:tblBorders>
          <w:top w:val="none"/>
          <w:left w:val="none"/>
          <w:bottom w:val="none"/>
          <w:right w:val="none"/>
          <w:insideH w:val="single" w:color="auto" w:sz="4"/>
          <w:insideV w:val="single" w:color="auto" w:sz="4"/>
        </w:tblBorders>
      </w:tblPr>
      <w:tblGrid>
        <w:gridCol w:w="10080"/>
      </w:tblGrid>
      <w:tr>
        <w:tc>
          <w:tcPr>
            <w:tcBorders>
              <w:top w:val="single" w:color="5C8C6E" w:sz="1"/>
              <w:left w:val="single" w:color="5C8C6E" w:sz="1"/>
              <w:bottom w:val="single" w:color="5C8C6E" w:sz="1"/>
              <w:right w:val="single" w:color="5C8C6E" w:sz="1"/>
            </w:tcBorders>
            <w:shd w:fill="E8F4EF" w:val="clear"/>
            <w:tcMar>
              <w:top w:type="dxa" w:w="140"/>
              <w:left w:type="dxa" w:w="240"/>
              <w:bottom w:type="dxa" w:w="140"/>
              <w:right w:type="dxa" w:w="240"/>
            </w:tcMar>
          </w:tcPr>
          <w:p>
            <w:pPr>
              <w:spacing w:before="0" w:after="60"/>
              <w:jc w:val="left"/>
            </w:pPr>
            <w:r>
              <w:rPr>
                <w:rFonts w:ascii="Arial" w:cs="Arial" w:eastAsia="Arial" w:hAnsi="Arial"/>
                <w:b/>
                <w:bCs/>
                <w:i w:val="false"/>
                <w:iCs w:val="false"/>
                <w:color w:val="1C3A2F"/>
                <w:sz w:val="21"/>
                <w:szCs w:val="21"/>
              </w:rPr>
              <w:t xml:space="preserve">Training Sites: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Desert Recovery Centers (Residential, IOP, PHP) — approximately 70% of training time. Serving adults with substance use and co-occurring mental health disorders across multiple levels of care.</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Trinity Tree Psychological Services (Outpatient) — approximately 30% of training time. Providing psychological assessment, brief outpatient psychotherapy, and consultation services.</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2. Training Goals</w:t>
      </w:r>
    </w:p>
    <w:p>
      <w:pPr>
        <w:spacing w:before="80" w:after="80"/>
        <w:jc w:val="left"/>
      </w:pPr>
      <w:r>
        <w:rPr>
          <w:rFonts w:ascii="Arial" w:cs="Arial" w:eastAsia="Arial" w:hAnsi="Arial"/>
          <w:b w:val="false"/>
          <w:bCs w:val="false"/>
          <w:i w:val="false"/>
          <w:iCs w:val="false"/>
          <w:color w:val="000000"/>
          <w:sz w:val="21"/>
          <w:szCs w:val="21"/>
        </w:rPr>
        <w:t xml:space="preserve">The program is organized around five overarching training goals aligned with APA Profession-Wide Competencies and the clinical mission of the program:</w:t>
      </w:r>
    </w:p>
    <w:p>
      <w:pPr>
        <w:spacing w:before="80" w:after="0"/>
      </w:pPr>
      <w:r>
        <w:rPr>
          <w:rFonts w:ascii="Arial" w:cs="Arial" w:eastAsia="Arial" w:hAnsi="Arial"/>
          <w:b w:val="false"/>
          <w:bCs w:val="false"/>
          <w:i w:val="false"/>
          <w:iCs w:val="false"/>
          <w:color w:val="000000"/>
          <w:sz w:val="21"/>
          <w:szCs w:val="21"/>
        </w:rPr>
        <w:t xml:space="preserve"/>
      </w:r>
    </w:p>
    <w:tbl>
      <w:tblPr>
        <w:tblW w:type="dxa" w:w="10080"/>
        <w:tblBorders>
          <w:top w:val="none"/>
          <w:left w:val="none"/>
          <w:bottom w:val="none"/>
          <w:right w:val="none"/>
          <w:insideH w:val="single" w:color="auto" w:sz="4"/>
          <w:insideV w:val="single" w:color="auto" w:sz="4"/>
        </w:tblBorders>
      </w:tblPr>
      <w:tblGrid>
        <w:gridCol w:w="600"/>
        <w:gridCol w:w="9480"/>
      </w:tblGrid>
      <w:tr>
        <w:tc>
          <w:tcPr>
            <w:tcW w:type="dxa" w:w="6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w:t>
            </w:r>
          </w:p>
        </w:tc>
        <w:tc>
          <w:tcPr>
            <w:tcW w:type="dxa" w:w="94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Training Goal</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1</w:t>
            </w:r>
          </w:p>
        </w:tc>
        <w:tc>
          <w:tcPr>
            <w:tcW w:type="dxa" w:w="9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Develop competence in the science and practice of evidence-based psychological assessment across a range of presenting concerns, populations, and levels of care.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2</w:t>
            </w:r>
          </w:p>
        </w:tc>
        <w:tc>
          <w:tcPr>
            <w:tcW w:type="dxa" w:w="9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Develop competence in the delivery of evidence-based psychological interventions, including individual and group psychotherapy, crisis intervention, and behavioral consultation.</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3</w:t>
            </w:r>
          </w:p>
        </w:tc>
        <w:tc>
          <w:tcPr>
            <w:tcW w:type="dxa" w:w="9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Develop the capacity to function ethically, professionally, and with cultural humility across diverse clinical populations and interdisciplinary settings.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4</w:t>
            </w:r>
          </w:p>
        </w:tc>
        <w:tc>
          <w:tcPr>
            <w:tcW w:type="dxa" w:w="9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Develop readiness for supervisory roles through active engagement in the supervisory process and progressive assumption of professional responsibility.</w:t>
            </w:r>
          </w:p>
        </w:tc>
      </w:tr>
      <w:tr>
        <w:tc>
          <w:tcPr>
            <w:tcW w:type="dxa" w:w="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5</w:t>
            </w:r>
          </w:p>
        </w:tc>
        <w:tc>
          <w:tcPr>
            <w:tcW w:type="dxa" w:w="9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Develop professional identity as a Health Service Psychologist prepared for entry-level independent practice, postdoctoral training, and lifelong learning.</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3. Training Sites and Levels of Care</w:t>
      </w:r>
    </w:p>
    <w:p>
      <w:pPr>
        <w:spacing w:before="200" w:after="80"/>
      </w:pPr>
      <w:r>
        <w:rPr>
          <w:rFonts w:ascii="Arial" w:cs="Arial" w:eastAsia="Arial" w:hAnsi="Arial"/>
          <w:b/>
          <w:bCs/>
          <w:i w:val="false"/>
          <w:iCs w:val="false"/>
          <w:color w:val="1C3A2F"/>
          <w:sz w:val="24"/>
          <w:szCs w:val="24"/>
        </w:rPr>
        <w:t xml:space="preserve">3A. Desert Recovery Centers (Primary Rotation — 70%)</w:t>
      </w:r>
    </w:p>
    <w:p>
      <w:pPr>
        <w:spacing w:before="80" w:after="80"/>
        <w:jc w:val="left"/>
      </w:pPr>
      <w:r>
        <w:rPr>
          <w:rFonts w:ascii="Arial" w:cs="Arial" w:eastAsia="Arial" w:hAnsi="Arial"/>
          <w:b w:val="false"/>
          <w:bCs w:val="false"/>
          <w:i w:val="false"/>
          <w:iCs w:val="false"/>
          <w:color w:val="000000"/>
          <w:sz w:val="21"/>
          <w:szCs w:val="21"/>
        </w:rPr>
        <w:t xml:space="preserve">Desert Recovery Centers provides residential and intensive outpatient treatment for adults with substance use and co-occurring mental health disorders across three levels of care:</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Residential Treatment Program (RTP)</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Partial Hospitalization Program (PHP)</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Intensive Outpatient Program (IOP)</w:t>
      </w:r>
    </w:p>
    <w:p>
      <w:pPr>
        <w:spacing w:before="8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val="false"/>
          <w:iCs w:val="false"/>
          <w:color w:val="000000"/>
          <w:sz w:val="21"/>
          <w:szCs w:val="21"/>
        </w:rPr>
        <w:t xml:space="preserve">Interns at DRC gain experience with acute stabilization, crisis intervention, structured residential treatment, group therapy facilitation, substance use assessment, trauma-informed care, and interdisciplinary team collaboration. Supervisor of Record: Dr. Nguyen, Psy.D. Primary SOR: Dr. Ellis, Psy.D.</w:t>
      </w:r>
    </w:p>
    <w:p>
      <w:pPr>
        <w:spacing w:before="12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3B. Trinity Tree Psychological Services (Secondary Rotation — 30%)</w:t>
      </w:r>
    </w:p>
    <w:p>
      <w:pPr>
        <w:spacing w:before="80" w:after="80"/>
        <w:jc w:val="left"/>
      </w:pPr>
      <w:r>
        <w:rPr>
          <w:rFonts w:ascii="Arial" w:cs="Arial" w:eastAsia="Arial" w:hAnsi="Arial"/>
          <w:b w:val="false"/>
          <w:bCs w:val="false"/>
          <w:i w:val="false"/>
          <w:iCs w:val="false"/>
          <w:color w:val="000000"/>
          <w:sz w:val="21"/>
          <w:szCs w:val="21"/>
        </w:rPr>
        <w:t xml:space="preserve">Trinity Tree provides outpatient psychological assessment, brief psychotherapy for the worried well, and consultation services for children, adolescents, and adults. Interns at Trinity Tree gain experience in comprehensive psychological assessment across the lifespan using the full Trinity Tree battery, brief outpatient therapy, clinical intake processes, and report writing.</w:t>
      </w:r>
    </w:p>
    <w:p>
      <w:pPr>
        <w:spacing w:before="8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val="false"/>
          <w:iCs w:val="false"/>
          <w:color w:val="000000"/>
          <w:sz w:val="21"/>
          <w:szCs w:val="21"/>
        </w:rPr>
        <w:t xml:space="preserve">Supervisor of Record: Dr. Shelton, Psy.D. Primary SOR: Dr. Day, Psy.D.</w:t>
      </w:r>
    </w:p>
    <w:p>
      <w:pPr>
        <w:spacing w:before="8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3C. Sample Structured Weekly Schedule</w:t>
      </w:r>
    </w:p>
    <w:tbl>
      <w:tblPr>
        <w:tblW w:type="dxa" w:w="10080"/>
        <w:tblBorders>
          <w:top w:val="none"/>
          <w:left w:val="none"/>
          <w:bottom w:val="none"/>
          <w:right w:val="none"/>
          <w:insideH w:val="single" w:color="auto" w:sz="4"/>
          <w:insideV w:val="single" w:color="auto" w:sz="4"/>
        </w:tblBorders>
      </w:tblPr>
      <w:tblGrid>
        <w:gridCol w:w="3200"/>
        <w:gridCol w:w="1400"/>
        <w:gridCol w:w="5480"/>
      </w:tblGrid>
      <w:tr>
        <w:tc>
          <w:tcPr>
            <w:tcW w:type="dxa" w:w="32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Training Activity</w:t>
            </w:r>
          </w:p>
        </w:tc>
        <w:tc>
          <w:tcPr>
            <w:tcW w:type="dxa" w:w="14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Approx. Hours/Week</w:t>
            </w:r>
          </w:p>
        </w:tc>
        <w:tc>
          <w:tcPr>
            <w:tcW w:type="dxa" w:w="54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Notes</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Direct Clinical Service</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20–25 hrs</w:t>
            </w:r>
          </w:p>
        </w:tc>
        <w:tc>
          <w:tcPr>
            <w:tcW w:type="dxa" w:w="5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≥25% face-to-face client contact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Psychological Assessment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4–6 hrs</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Administration, scoring, interpretation, report writing</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Individual Supervision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2 hrs (minimum)</w:t>
            </w:r>
          </w:p>
        </w:tc>
        <w:tc>
          <w:tcPr>
            <w:tcW w:type="dxa" w:w="5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Licensed psychologist supervisor of record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Group Supervision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1 hr (minimum)</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Facilitated by licensed psychologist</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Case Conference / Consultation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As indicated</w:t>
            </w:r>
          </w:p>
        </w:tc>
        <w:tc>
          <w:tcPr>
            <w:tcW w:type="dxa" w:w="5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Interdisciplinary team meetings and consultation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Structured Didactic Seminar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2 hrs (minimum)</w:t>
            </w:r>
          </w:p>
        </w:tc>
        <w:tc>
          <w:tcPr>
            <w:tcW w:type="dxa" w:w="5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Weekly; 104–108 hours annually</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Documentation &amp; Professional Development</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Remaining hours</w:t>
            </w:r>
          </w:p>
        </w:tc>
        <w:tc>
          <w:tcPr>
            <w:tcW w:type="dxa" w:w="5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Progress notes, reports, professional reading</w:t>
            </w:r>
          </w:p>
        </w:tc>
      </w:tr>
    </w:tbl>
    <w:p>
      <w:pPr>
        <w:spacing w:before="6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iCs/>
          <w:color w:val="666666"/>
          <w:sz w:val="18"/>
          <w:szCs w:val="18"/>
        </w:rPr>
        <w:t xml:space="preserve">Total: Approximately 40 hours per week. Interns do not receive credit for more than 40 hours per week, consistent with ARS § 32-2071(H).</w:t>
      </w:r>
    </w:p>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4. Range of Assessment Activities</w:t>
      </w:r>
    </w:p>
    <w:p>
      <w:pPr>
        <w:spacing w:before="80" w:after="80"/>
        <w:jc w:val="left"/>
      </w:pPr>
      <w:r>
        <w:rPr>
          <w:rFonts w:ascii="Arial" w:cs="Arial" w:eastAsia="Arial" w:hAnsi="Arial"/>
          <w:b w:val="false"/>
          <w:bCs w:val="false"/>
          <w:i w:val="false"/>
          <w:iCs w:val="false"/>
          <w:color w:val="000000"/>
          <w:sz w:val="21"/>
          <w:szCs w:val="21"/>
        </w:rPr>
        <w:t xml:space="preserve">Interns receive structured training in a comprehensive range of psychological assessment activities. A minimum of five (5) comprehensive integrated assessment batteries are completed across the training year. The Trinity Tree assessment battery includes:</w:t>
      </w:r>
    </w:p>
    <w:p>
      <w:pPr>
        <w:spacing w:before="80" w:after="0"/>
      </w:pPr>
      <w:r>
        <w:rPr>
          <w:rFonts w:ascii="Arial" w:cs="Arial" w:eastAsia="Arial" w:hAnsi="Arial"/>
          <w:b w:val="false"/>
          <w:bCs w:val="false"/>
          <w:i w:val="false"/>
          <w:iCs w:val="false"/>
          <w:color w:val="000000"/>
          <w:sz w:val="21"/>
          <w:szCs w:val="21"/>
        </w:rPr>
        <w:t xml:space="preserve"/>
      </w:r>
    </w:p>
    <w:tbl>
      <w:tblPr>
        <w:tblW w:type="dxa" w:w="10080"/>
        <w:tblBorders>
          <w:top w:val="none"/>
          <w:left w:val="none"/>
          <w:bottom w:val="none"/>
          <w:right w:val="none"/>
          <w:insideH w:val="single" w:color="auto" w:sz="4"/>
          <w:insideV w:val="single" w:color="auto" w:sz="4"/>
        </w:tblBorders>
      </w:tblPr>
      <w:tblGrid>
        <w:gridCol w:w="4800"/>
        <w:gridCol w:w="5280"/>
      </w:tblGrid>
      <w:tr>
        <w:tc>
          <w:tcPr>
            <w:tcW w:type="dxa" w:w="4800"/>
            <w:tcBorders>
              <w:top w:val="none"/>
              <w:left w:val="none"/>
              <w:bottom w:val="none"/>
              <w:right w:val="none"/>
            </w:tcBorders>
            <w:tcMar>
              <w:top w:type="dxa" w:w="0"/>
              <w:left w:type="dxa" w:w="0"/>
              <w:bottom w:type="dxa" w:w="0"/>
              <w:right w:type="dxa" w:w="240"/>
            </w:tcMar>
          </w:tcPr>
          <w:p>
            <w:pPr>
              <w:spacing w:before="160" w:after="60"/>
            </w:pPr>
            <w:r>
              <w:rPr>
                <w:rFonts w:ascii="Arial" w:cs="Arial" w:eastAsia="Arial" w:hAnsi="Arial"/>
                <w:b/>
                <w:bCs/>
                <w:i w:val="false"/>
                <w:iCs w:val="false"/>
                <w:color w:val="3D6B56"/>
                <w:sz w:val="21"/>
                <w:szCs w:val="21"/>
              </w:rPr>
              <w:t xml:space="preserve">Cognitive &amp; Intellectual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WAIS-5 — Adult cognitive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WISC-5 — Child cognitive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WPPSI-IV — Preschool cognitive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C-TONI-2 — Nonverbal reasoning</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Memory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WMS-5 — Adult memory assessment</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Academic &amp; Achievement Assessment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WIAT-4 — Academic achievement across the lifespan</w:t>
            </w:r>
          </w:p>
        </w:tc>
        <w:tc>
          <w:tcPr>
            <w:tcW w:type="dxa" w:w="5280"/>
            <w:tcBorders>
              <w:top w:val="none"/>
              <w:left w:val="none"/>
              <w:bottom w:val="none"/>
              <w:right w:val="none"/>
            </w:tcBorders>
            <w:tcMar>
              <w:top w:type="dxa" w:w="0"/>
              <w:left w:type="dxa" w:w="240"/>
              <w:bottom w:type="dxa" w:w="0"/>
              <w:right w:type="dxa" w:w="0"/>
            </w:tcMar>
          </w:tcPr>
          <w:p>
            <w:pPr>
              <w:spacing w:before="160" w:after="60"/>
            </w:pPr>
            <w:r>
              <w:rPr>
                <w:rFonts w:ascii="Arial" w:cs="Arial" w:eastAsia="Arial" w:hAnsi="Arial"/>
                <w:b/>
                <w:bCs/>
                <w:i w:val="false"/>
                <w:iCs w:val="false"/>
                <w:color w:val="3D6B56"/>
                <w:sz w:val="21"/>
                <w:szCs w:val="21"/>
              </w:rPr>
              <w:t xml:space="preserve">Neuropsychological Screening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TRAILS A&amp;B — Processing speed &amp; executive function</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Rey 15 — Effort testing &amp; validity</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Beery VMI — Visual-motor integration</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Autism &amp; Adaptive Behavior</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CARS-2 — Autism spectrum screening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VABS-III — Adaptive behavior assessment</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Additional Assessment Activities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Structured &amp; semi-structured diagnostic interviews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Differential diagnosis of co-occurring disorders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Risk assessment (suicide, violence, self-harm)</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Integrated psychological report writing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Feedback sessions with clients &amp; referral sources</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5. Range of Intervention Activities</w:t>
      </w:r>
    </w:p>
    <w:tbl>
      <w:tblPr>
        <w:tblW w:type="dxa" w:w="10080"/>
        <w:tblBorders>
          <w:top w:val="none"/>
          <w:left w:val="none"/>
          <w:bottom w:val="none"/>
          <w:right w:val="none"/>
          <w:insideH w:val="single" w:color="auto" w:sz="4"/>
          <w:insideV w:val="single" w:color="auto" w:sz="4"/>
        </w:tblBorders>
      </w:tblPr>
      <w:tblGrid>
        <w:gridCol w:w="4800"/>
        <w:gridCol w:w="5280"/>
      </w:tblGrid>
      <w:tr>
        <w:tc>
          <w:tcPr>
            <w:tcW w:type="dxa" w:w="4800"/>
            <w:tcBorders>
              <w:top w:val="none"/>
              <w:left w:val="none"/>
              <w:bottom w:val="none"/>
              <w:right w:val="none"/>
            </w:tcBorders>
            <w:tcMar>
              <w:top w:type="dxa" w:w="0"/>
              <w:left w:type="dxa" w:w="0"/>
              <w:bottom w:type="dxa" w:w="0"/>
              <w:right w:type="dxa" w:w="240"/>
            </w:tcMar>
          </w:tcPr>
          <w:p>
            <w:pPr>
              <w:spacing w:before="160" w:after="60"/>
            </w:pPr>
            <w:r>
              <w:rPr>
                <w:rFonts w:ascii="Arial" w:cs="Arial" w:eastAsia="Arial" w:hAnsi="Arial"/>
                <w:b/>
                <w:bCs/>
                <w:i w:val="false"/>
                <w:iCs w:val="false"/>
                <w:color w:val="3D6B56"/>
                <w:sz w:val="21"/>
                <w:szCs w:val="21"/>
              </w:rPr>
              <w:t xml:space="preserve">Individual Psychotherapy</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Substance use disorders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Trauma-related disorders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Mood and anxiety disorders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Co-occurring psychiatric conditions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Brief psychotherapy (outpatient — worried well)</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Group Psychotherapy</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Process groups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Psychoeducational groups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Relapse prevention groups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Skills-based groups (DBT, CBT)</w:t>
            </w:r>
          </w:p>
        </w:tc>
        <w:tc>
          <w:tcPr>
            <w:tcW w:type="dxa" w:w="5280"/>
            <w:tcBorders>
              <w:top w:val="none"/>
              <w:left w:val="none"/>
              <w:bottom w:val="none"/>
              <w:right w:val="none"/>
            </w:tcBorders>
            <w:tcMar>
              <w:top w:type="dxa" w:w="0"/>
              <w:left w:type="dxa" w:w="240"/>
              <w:bottom w:type="dxa" w:w="0"/>
              <w:right w:type="dxa" w:w="0"/>
            </w:tcMar>
          </w:tcPr>
          <w:p>
            <w:pPr>
              <w:spacing w:before="160" w:after="60"/>
            </w:pPr>
            <w:r>
              <w:rPr>
                <w:rFonts w:ascii="Arial" w:cs="Arial" w:eastAsia="Arial" w:hAnsi="Arial"/>
                <w:b/>
                <w:bCs/>
                <w:i w:val="false"/>
                <w:iCs w:val="false"/>
                <w:color w:val="3D6B56"/>
                <w:sz w:val="21"/>
                <w:szCs w:val="21"/>
              </w:rPr>
              <w:t xml:space="preserve">Crisis &amp; Consultation</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Crisis intervention and stabilization planning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Behavioral consultation with interdisciplinary teams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Interdisciplinary case conference participation</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Treatment Planning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Comprehensive treatment planning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Discharge planning and aftercare coordination</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Case conceptualization and differential diagnosis</w:t>
            </w:r>
          </w:p>
          <w:p>
            <w:pPr>
              <w:spacing w:before="8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Quality Improvement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Each intern completes one Quality Improvement (QI) project during the training year</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6. Supervision Structure</w:t>
      </w:r>
    </w:p>
    <w:tbl>
      <w:tblPr>
        <w:tblW w:type="dxa" w:w="10080"/>
        <w:tblBorders>
          <w:top w:val="none"/>
          <w:left w:val="none"/>
          <w:bottom w:val="none"/>
          <w:right w:val="none"/>
          <w:insideH w:val="single" w:color="auto" w:sz="4"/>
          <w:insideV w:val="single" w:color="auto" w:sz="4"/>
        </w:tblBorders>
      </w:tblPr>
      <w:tblGrid>
        <w:gridCol w:w="10080"/>
      </w:tblGrid>
      <w:tr>
        <w:tc>
          <w:tcPr>
            <w:tcBorders>
              <w:top w:val="single" w:color="5C8C6E" w:sz="1"/>
              <w:left w:val="single" w:color="5C8C6E" w:sz="1"/>
              <w:bottom w:val="single" w:color="5C8C6E" w:sz="1"/>
              <w:right w:val="single" w:color="5C8C6E" w:sz="1"/>
            </w:tcBorders>
            <w:shd w:fill="E8F4EF" w:val="clear"/>
            <w:tcMar>
              <w:top w:type="dxa" w:w="140"/>
              <w:left w:type="dxa" w:w="240"/>
              <w:bottom w:type="dxa" w:w="140"/>
              <w:right w:type="dxa" w:w="240"/>
            </w:tcMar>
          </w:tcPr>
          <w:p>
            <w:pPr>
              <w:spacing w:before="0" w:after="0"/>
              <w:jc w:val="left"/>
            </w:pPr>
            <w:r>
              <w:rPr>
                <w:rFonts w:ascii="Arial" w:cs="Arial" w:eastAsia="Arial" w:hAnsi="Arial"/>
                <w:b w:val="false"/>
                <w:bCs w:val="false"/>
                <w:i w:val="false"/>
                <w:iCs w:val="false"/>
                <w:color w:val="000000"/>
                <w:sz w:val="21"/>
                <w:szCs w:val="21"/>
              </w:rPr>
              <w:t xml:space="preserve">Each intern is assigned a licensed psychologist Supervisor of Record who provides a minimum of </w:t>
            </w:r>
            <w:r>
              <w:rPr>
                <w:rFonts w:ascii="Arial" w:cs="Arial" w:eastAsia="Arial" w:hAnsi="Arial"/>
                <w:b/>
                <w:bCs/>
                <w:i w:val="false"/>
                <w:iCs w:val="false"/>
                <w:color w:val="1C3A2F"/>
                <w:sz w:val="21"/>
                <w:szCs w:val="21"/>
              </w:rPr>
              <w:t xml:space="preserve">two (2) hours of individual supervision weekly</w:t>
            </w:r>
            <w:r>
              <w:rPr>
                <w:rFonts w:ascii="Arial" w:cs="Arial" w:eastAsia="Arial" w:hAnsi="Arial"/>
                <w:b w:val="false"/>
                <w:bCs w:val="false"/>
                <w:i w:val="false"/>
                <w:iCs w:val="false"/>
                <w:color w:val="000000"/>
                <w:sz w:val="21"/>
                <w:szCs w:val="21"/>
              </w:rPr>
              <w:t xml:space="preserve"> and retains full legal and clinical responsibility for all intern clinical services. A minimum of </w:t>
            </w:r>
            <w:r>
              <w:rPr>
                <w:rFonts w:ascii="Arial" w:cs="Arial" w:eastAsia="Arial" w:hAnsi="Arial"/>
                <w:b/>
                <w:bCs/>
                <w:i w:val="false"/>
                <w:iCs w:val="false"/>
                <w:color w:val="1C3A2F"/>
                <w:sz w:val="21"/>
                <w:szCs w:val="21"/>
              </w:rPr>
              <w:t xml:space="preserve">one (1) hour of group supervision</w:t>
            </w:r>
            <w:r>
              <w:rPr>
                <w:rFonts w:ascii="Arial" w:cs="Arial" w:eastAsia="Arial" w:hAnsi="Arial"/>
                <w:b w:val="false"/>
                <w:bCs w:val="false"/>
                <w:i w:val="false"/>
                <w:iCs w:val="false"/>
                <w:color w:val="000000"/>
                <w:sz w:val="21"/>
                <w:szCs w:val="21"/>
              </w:rPr>
              <w:t xml:space="preserve"> is provided weekly. Licensed psychologists are available for immediate consultation during all intern clinical service hours.</w:t>
            </w:r>
          </w:p>
        </w:tc>
      </w:tr>
    </w:tbl>
    <w:p>
      <w:pPr>
        <w:spacing w:before="120" w:after="0"/>
      </w:pPr>
      <w:r>
        <w:rPr>
          <w:rFonts w:ascii="Arial" w:cs="Arial" w:eastAsia="Arial" w:hAnsi="Arial"/>
          <w:b w:val="false"/>
          <w:bCs w:val="false"/>
          <w:i w:val="false"/>
          <w:iCs w:val="false"/>
          <w:color w:val="000000"/>
          <w:sz w:val="21"/>
          <w:szCs w:val="21"/>
        </w:rPr>
        <w:t xml:space="preserve"/>
      </w:r>
    </w:p>
    <w:tbl>
      <w:tblPr>
        <w:tblW w:type="dxa" w:w="10080"/>
        <w:tblBorders>
          <w:top w:val="none"/>
          <w:left w:val="none"/>
          <w:bottom w:val="none"/>
          <w:right w:val="none"/>
          <w:insideH w:val="single" w:color="auto" w:sz="4"/>
          <w:insideV w:val="single" w:color="auto" w:sz="4"/>
        </w:tblBorders>
      </w:tblPr>
      <w:tblGrid>
        <w:gridCol w:w="700"/>
        <w:gridCol w:w="2600"/>
        <w:gridCol w:w="2600"/>
        <w:gridCol w:w="4180"/>
      </w:tblGrid>
      <w:tr>
        <w:tc>
          <w:tcPr>
            <w:tcW w:type="dxa" w:w="7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Role</w:t>
            </w:r>
          </w:p>
        </w:tc>
        <w:tc>
          <w:tcPr>
            <w:tcW w:type="dxa" w:w="26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Trinity Tree</w:t>
            </w:r>
          </w:p>
        </w:tc>
        <w:tc>
          <w:tcPr>
            <w:tcW w:type="dxa" w:w="26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Desert Recovery Centers</w:t>
            </w:r>
          </w:p>
        </w:tc>
        <w:tc>
          <w:tcPr>
            <w:tcW w:type="dxa" w:w="41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Scope</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DCT</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Shelton, Psy.D.</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Nguyen, Psy.D.</w:t>
            </w:r>
          </w:p>
        </w:tc>
        <w:tc>
          <w:tcPr>
            <w:tcW w:type="dxa" w:w="4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Cross-site administrative and supervisory oversight; unscheduled individual supervision on a regular basis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Primary SOR</w:t>
            </w:r>
          </w:p>
        </w:tc>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Day, Psy.D.</w:t>
            </w:r>
          </w:p>
        </w:tc>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Ellis, Psy.D.</w:t>
            </w:r>
          </w:p>
        </w:tc>
        <w:tc>
          <w:tcPr>
            <w:tcW w:type="dxa" w:w="41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Scheduled weekly individual supervision; full legal and clinical responsibility for intern cases</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Support</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Wheeler, Psy.D. (Postdoctoral)</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Snell, Psy.D. (Postdoctoral)</w:t>
            </w:r>
          </w:p>
        </w:tc>
        <w:tc>
          <w:tcPr>
            <w:tcW w:type="dxa" w:w="41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Co-supervision, case consultation, and didactic support under licensed oversight; does not retain independent supervisory responsibility</w:t>
            </w:r>
          </w:p>
        </w:tc>
      </w:tr>
    </w:tbl>
    <w:p>
      <w:pPr>
        <w:spacing w:before="120" w:after="0"/>
      </w:pPr>
      <w:r>
        <w:rPr>
          <w:rFonts w:ascii="Arial" w:cs="Arial" w:eastAsia="Arial" w:hAnsi="Arial"/>
          <w:b w:val="false"/>
          <w:bCs w:val="false"/>
          <w:i w:val="false"/>
          <w:iCs w:val="false"/>
          <w:color w:val="000000"/>
          <w:sz w:val="21"/>
          <w:szCs w:val="21"/>
        </w:rPr>
        <w:t xml:space="preserve"/>
      </w:r>
    </w:p>
    <w:p>
      <w:pPr>
        <w:spacing w:before="160" w:after="60"/>
      </w:pPr>
      <w:r>
        <w:rPr>
          <w:rFonts w:ascii="Arial" w:cs="Arial" w:eastAsia="Arial" w:hAnsi="Arial"/>
          <w:b/>
          <w:bCs/>
          <w:i w:val="false"/>
          <w:iCs w:val="false"/>
          <w:color w:val="3D6B56"/>
          <w:sz w:val="21"/>
          <w:szCs w:val="21"/>
        </w:rPr>
        <w:t xml:space="preserve">Emergency Coverage and Supervisory Chain</w:t>
      </w:r>
    </w:p>
    <w:p>
      <w:pPr>
        <w:spacing w:before="80" w:after="80"/>
        <w:jc w:val="left"/>
      </w:pPr>
      <w:r>
        <w:rPr>
          <w:rFonts w:ascii="Arial" w:cs="Arial" w:eastAsia="Arial" w:hAnsi="Arial"/>
          <w:b w:val="false"/>
          <w:bCs w:val="false"/>
          <w:i w:val="false"/>
          <w:iCs w:val="false"/>
          <w:color w:val="000000"/>
          <w:sz w:val="21"/>
          <w:szCs w:val="21"/>
        </w:rPr>
        <w:t xml:space="preserve">Licensed supervisory coverage is maintained at all times. Each site maintains a documented emergency call chain ensuring an intern can always reach a licensed supervisor:</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Trinity Tree: Dr. Day → Dr. Shelton → Dr. Ellis → Dr. Nguyen</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Desert Recovery Centers: Dr. Ellis → Dr. Nguyen → Dr. Shelton → Dr. Snell (on-site presence only)</w:t>
      </w:r>
    </w:p>
    <w:p>
      <w:pPr>
        <w:spacing w:before="8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val="false"/>
          <w:iCs w:val="false"/>
          <w:color w:val="000000"/>
          <w:sz w:val="21"/>
          <w:szCs w:val="21"/>
        </w:rPr>
        <w:t xml:space="preserve">Monthly supervision team meetings are held across both sites to review supervisee progress, address training environment concerns, and evaluate modifications to the supervision model.</w:t>
      </w:r>
    </w:p>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7. Evaluation and Minimal Level of Achievement</w:t>
      </w:r>
    </w:p>
    <w:p>
      <w:pPr>
        <w:spacing w:before="200" w:after="80"/>
      </w:pPr>
      <w:r>
        <w:rPr>
          <w:rFonts w:ascii="Arial" w:cs="Arial" w:eastAsia="Arial" w:hAnsi="Arial"/>
          <w:b/>
          <w:bCs/>
          <w:i w:val="false"/>
          <w:iCs w:val="false"/>
          <w:color w:val="1C3A2F"/>
          <w:sz w:val="24"/>
          <w:szCs w:val="24"/>
        </w:rPr>
        <w:t xml:space="preserve">7A. Evaluation Schedule</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Ongoing formative feedback: Provided in every supervision session beginning at orientation</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Mid-Year Evaluation: Completed at Months 4–6; reviewed with intern; submitted to doctoral program DCT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End-of-Year Evaluation: Completed at Months 10–12; comprehensive review of all competency domains; submitted to doctoral program DCT</w:t>
      </w:r>
    </w:p>
    <w:p>
      <w:pPr>
        <w:spacing w:before="12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7B. Rating Scale</w:t>
      </w:r>
    </w:p>
    <w:tbl>
      <w:tblPr>
        <w:tblW w:type="dxa" w:w="10080"/>
        <w:tblBorders>
          <w:top w:val="none"/>
          <w:left w:val="none"/>
          <w:bottom w:val="none"/>
          <w:right w:val="none"/>
          <w:insideH w:val="single" w:color="auto" w:sz="4"/>
          <w:insideV w:val="single" w:color="auto" w:sz="4"/>
        </w:tblBorders>
      </w:tblPr>
      <w:tblGrid>
        <w:gridCol w:w="700"/>
        <w:gridCol w:w="2600"/>
        <w:gridCol w:w="6780"/>
      </w:tblGrid>
      <w:tr>
        <w:tc>
          <w:tcPr>
            <w:tcW w:type="dxa" w:w="7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Rating</w:t>
            </w:r>
          </w:p>
        </w:tc>
        <w:tc>
          <w:tcPr>
            <w:tcW w:type="dxa" w:w="26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Label</w:t>
            </w:r>
          </w:p>
        </w:tc>
        <w:tc>
          <w:tcPr>
            <w:tcW w:type="dxa" w:w="67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Description</w:t>
            </w:r>
          </w:p>
        </w:tc>
      </w:tr>
      <w:tr>
        <w:tc>
          <w:tcPr>
            <w:tcW w:type="dxa" w:w="700"/>
            <w:tcBorders>
              <w:top w:val="single" w:color="CCCCCC" w:sz="1"/>
              <w:left w:val="single" w:color="CCCCCC" w:sz="1"/>
              <w:bottom w:val="single" w:color="CCCCCC" w:sz="1"/>
              <w:right w:val="single" w:color="CCCCCC" w:sz="1"/>
            </w:tcBorders>
            <w:shd w:fill="1C3A2F" w:val="clear"/>
            <w:tcMar>
              <w:top w:type="dxa" w:w="80"/>
              <w:left w:type="dxa" w:w="120"/>
              <w:bottom w:type="dxa" w:w="80"/>
              <w:right w:type="dxa" w:w="120"/>
            </w:tcMar>
            <w:vAlign w:val="center"/>
          </w:tcPr>
          <w:p>
            <w:pPr>
              <w:spacing w:before="0" w:after="0"/>
              <w:jc w:val="center"/>
            </w:pPr>
            <w:r>
              <w:rPr>
                <w:rFonts w:ascii="Arial" w:cs="Arial" w:eastAsia="Arial" w:hAnsi="Arial"/>
                <w:b/>
                <w:bCs/>
                <w:i w:val="false"/>
                <w:iCs w:val="false"/>
                <w:color w:val="FFFFFF"/>
                <w:sz w:val="22"/>
                <w:szCs w:val="22"/>
              </w:rPr>
              <w:t xml:space="preserve">1</w:t>
            </w:r>
          </w:p>
        </w:tc>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Significant Concern</w:t>
            </w:r>
          </w:p>
        </w:tc>
        <w:tc>
          <w:tcPr>
            <w:tcW w:type="dxa" w:w="67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Performance well below developmental expectations; remediation required</w:t>
            </w:r>
          </w:p>
        </w:tc>
      </w:tr>
      <w:tr>
        <w:tc>
          <w:tcPr>
            <w:tcW w:type="dxa" w:w="700"/>
            <w:tcBorders>
              <w:top w:val="single" w:color="CCCCCC" w:sz="1"/>
              <w:left w:val="single" w:color="CCCCCC" w:sz="1"/>
              <w:bottom w:val="single" w:color="CCCCCC" w:sz="1"/>
              <w:right w:val="single" w:color="CCCCCC" w:sz="1"/>
            </w:tcBorders>
            <w:shd w:fill="1C3A2F" w:val="clear"/>
            <w:tcMar>
              <w:top w:type="dxa" w:w="80"/>
              <w:left w:type="dxa" w:w="120"/>
              <w:bottom w:type="dxa" w:w="80"/>
              <w:right w:type="dxa" w:w="120"/>
            </w:tcMar>
            <w:vAlign w:val="center"/>
          </w:tcPr>
          <w:p>
            <w:pPr>
              <w:spacing w:before="0" w:after="0"/>
              <w:jc w:val="center"/>
            </w:pPr>
            <w:r>
              <w:rPr>
                <w:rFonts w:ascii="Arial" w:cs="Arial" w:eastAsia="Arial" w:hAnsi="Arial"/>
                <w:b/>
                <w:bCs/>
                <w:i w:val="false"/>
                <w:iCs w:val="false"/>
                <w:color w:val="FFFFFF"/>
                <w:sz w:val="22"/>
                <w:szCs w:val="22"/>
              </w:rPr>
              <w:t xml:space="preserve">2</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Needs Improvement</w:t>
            </w:r>
          </w:p>
        </w:tc>
        <w:tc>
          <w:tcPr>
            <w:tcW w:type="dxa" w:w="6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Inconsistent performance; close supervisory support required</w:t>
            </w:r>
          </w:p>
        </w:tc>
      </w:tr>
      <w:tr>
        <w:tc>
          <w:tcPr>
            <w:tcW w:type="dxa" w:w="700"/>
            <w:tcBorders>
              <w:top w:val="single" w:color="CCCCCC" w:sz="1"/>
              <w:left w:val="single" w:color="CCCCCC" w:sz="1"/>
              <w:bottom w:val="single" w:color="CCCCCC" w:sz="1"/>
              <w:right w:val="single" w:color="CCCCCC" w:sz="1"/>
            </w:tcBorders>
            <w:shd w:fill="C4854A" w:val="clear"/>
            <w:tcMar>
              <w:top w:type="dxa" w:w="80"/>
              <w:left w:type="dxa" w:w="120"/>
              <w:bottom w:type="dxa" w:w="80"/>
              <w:right w:type="dxa" w:w="120"/>
            </w:tcMar>
            <w:vAlign w:val="center"/>
          </w:tcPr>
          <w:p>
            <w:pPr>
              <w:spacing w:before="0" w:after="0"/>
              <w:jc w:val="center"/>
            </w:pPr>
            <w:r>
              <w:rPr>
                <w:rFonts w:ascii="Arial" w:cs="Arial" w:eastAsia="Arial" w:hAnsi="Arial"/>
                <w:b/>
                <w:bCs/>
                <w:i w:val="false"/>
                <w:iCs w:val="false"/>
                <w:color w:val="FFFFFF"/>
                <w:sz w:val="22"/>
                <w:szCs w:val="22"/>
              </w:rPr>
              <w:t xml:space="preserve">3</w:t>
            </w:r>
          </w:p>
        </w:tc>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Meets Expectations (MLA)</w:t>
            </w:r>
          </w:p>
        </w:tc>
        <w:tc>
          <w:tcPr>
            <w:tcW w:type="dxa" w:w="67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Competent for developmental level; occasional supervision needed — Minimum Level of Achievement</w:t>
            </w:r>
          </w:p>
        </w:tc>
      </w:tr>
      <w:tr>
        <w:tc>
          <w:tcPr>
            <w:tcW w:type="dxa" w:w="700"/>
            <w:tcBorders>
              <w:top w:val="single" w:color="CCCCCC" w:sz="1"/>
              <w:left w:val="single" w:color="CCCCCC" w:sz="1"/>
              <w:bottom w:val="single" w:color="CCCCCC" w:sz="1"/>
              <w:right w:val="single" w:color="CCCCCC" w:sz="1"/>
            </w:tcBorders>
            <w:shd w:fill="1C3A2F" w:val="clear"/>
            <w:tcMar>
              <w:top w:type="dxa" w:w="80"/>
              <w:left w:type="dxa" w:w="120"/>
              <w:bottom w:type="dxa" w:w="80"/>
              <w:right w:type="dxa" w:w="120"/>
            </w:tcMar>
            <w:vAlign w:val="center"/>
          </w:tcPr>
          <w:p>
            <w:pPr>
              <w:spacing w:before="0" w:after="0"/>
              <w:jc w:val="center"/>
            </w:pPr>
            <w:r>
              <w:rPr>
                <w:rFonts w:ascii="Arial" w:cs="Arial" w:eastAsia="Arial" w:hAnsi="Arial"/>
                <w:b/>
                <w:bCs/>
                <w:i w:val="false"/>
                <w:iCs w:val="false"/>
                <w:color w:val="FFFFFF"/>
                <w:sz w:val="22"/>
                <w:szCs w:val="22"/>
              </w:rPr>
              <w:t xml:space="preserve">4</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Exceeds Expectations</w:t>
            </w:r>
          </w:p>
        </w:tc>
        <w:tc>
          <w:tcPr>
            <w:tcW w:type="dxa" w:w="6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Strong, consistent performance; minimal prompting needed</w:t>
            </w:r>
          </w:p>
        </w:tc>
      </w:tr>
      <w:tr>
        <w:tc>
          <w:tcPr>
            <w:tcW w:type="dxa" w:w="700"/>
            <w:tcBorders>
              <w:top w:val="single" w:color="CCCCCC" w:sz="1"/>
              <w:left w:val="single" w:color="CCCCCC" w:sz="1"/>
              <w:bottom w:val="single" w:color="CCCCCC" w:sz="1"/>
              <w:right w:val="single" w:color="CCCCCC" w:sz="1"/>
            </w:tcBorders>
            <w:shd w:fill="1C3A2F" w:val="clear"/>
            <w:tcMar>
              <w:top w:type="dxa" w:w="80"/>
              <w:left w:type="dxa" w:w="120"/>
              <w:bottom w:type="dxa" w:w="80"/>
              <w:right w:type="dxa" w:w="120"/>
            </w:tcMar>
            <w:vAlign w:val="center"/>
          </w:tcPr>
          <w:p>
            <w:pPr>
              <w:spacing w:before="0" w:after="0"/>
              <w:jc w:val="center"/>
            </w:pPr>
            <w:r>
              <w:rPr>
                <w:rFonts w:ascii="Arial" w:cs="Arial" w:eastAsia="Arial" w:hAnsi="Arial"/>
                <w:b/>
                <w:bCs/>
                <w:i w:val="false"/>
                <w:iCs w:val="false"/>
                <w:color w:val="FFFFFF"/>
                <w:sz w:val="22"/>
                <w:szCs w:val="22"/>
              </w:rPr>
              <w:t xml:space="preserve">5</w:t>
            </w:r>
          </w:p>
        </w:tc>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bCs/>
                <w:i w:val="false"/>
                <w:iCs w:val="false"/>
                <w:color w:val="1C3A2F"/>
                <w:sz w:val="19"/>
                <w:szCs w:val="19"/>
              </w:rPr>
              <w:t xml:space="preserve">Ready for Independent Practice</w:t>
            </w:r>
          </w:p>
        </w:tc>
        <w:tc>
          <w:tcPr>
            <w:tcW w:type="dxa" w:w="67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Demonstrates independence across settings and presentations</w:t>
            </w:r>
          </w:p>
        </w:tc>
      </w:tr>
    </w:tbl>
    <w:p>
      <w:pPr>
        <w:spacing w:before="12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7C. Minimal Level of Achievement (MLA = 3.0)</w:t>
      </w:r>
    </w:p>
    <w:p>
      <w:pPr>
        <w:spacing w:before="80" w:after="80"/>
        <w:jc w:val="left"/>
      </w:pPr>
      <w:r>
        <w:rPr>
          <w:rFonts w:ascii="Arial" w:cs="Arial" w:eastAsia="Arial" w:hAnsi="Arial"/>
          <w:b w:val="false"/>
          <w:bCs w:val="false"/>
          <w:i w:val="false"/>
          <w:iCs w:val="false"/>
          <w:color w:val="000000"/>
          <w:sz w:val="21"/>
          <w:szCs w:val="21"/>
        </w:rPr>
        <w:t xml:space="preserve">A rating of 3.0 (Meets Expectations) across all evaluated competency domains is required for successful program completion. Interns falling below MLA in any domain receive a documented remediation plan developed collaboratively with the supervisor of record, the DCT, and the intern’s doctoral program. Due Process procedures are available to all interns and are described in Section 10.</w:t>
      </w:r>
    </w:p>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8. Didactic Seminars and Professional Development</w:t>
      </w:r>
    </w:p>
    <w:p>
      <w:pPr>
        <w:spacing w:before="80" w:after="80"/>
        <w:jc w:val="left"/>
      </w:pPr>
      <w:r>
        <w:rPr>
          <w:rFonts w:ascii="Arial" w:cs="Arial" w:eastAsia="Arial" w:hAnsi="Arial"/>
          <w:b w:val="false"/>
          <w:bCs w:val="false"/>
          <w:i w:val="false"/>
          <w:iCs w:val="false"/>
          <w:color w:val="000000"/>
          <w:sz w:val="21"/>
          <w:szCs w:val="21"/>
        </w:rPr>
        <w:t xml:space="preserve">Interns participate in a minimum of two (2) hours of structured didactic seminars per week (minimum 104–108 hours annually). Seminars are facilitated by licensed psychologists and subject matter experts affiliated with the program and are designed to ensure exposure to all APA Profession-Wide Competencies.</w:t>
      </w:r>
    </w:p>
    <w:p>
      <w:pPr>
        <w:spacing w:before="8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8A. Didactic Faculty</w:t>
      </w:r>
    </w:p>
    <w:tbl>
      <w:tblPr>
        <w:tblW w:type="dxa" w:w="10080"/>
        <w:tblBorders>
          <w:top w:val="none"/>
          <w:left w:val="none"/>
          <w:bottom w:val="none"/>
          <w:right w:val="none"/>
          <w:insideH w:val="single" w:color="auto" w:sz="4"/>
          <w:insideV w:val="single" w:color="auto" w:sz="4"/>
        </w:tblBorders>
      </w:tblPr>
      <w:tblGrid>
        <w:gridCol w:w="2600"/>
        <w:gridCol w:w="7480"/>
      </w:tblGrid>
      <w:tr>
        <w:tc>
          <w:tcPr>
            <w:tcW w:type="dxa" w:w="26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Faculty Member</w:t>
            </w:r>
          </w:p>
        </w:tc>
        <w:tc>
          <w:tcPr>
            <w:tcW w:type="dxa" w:w="74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Areas of Expertise &amp; Seminar Topics</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Jonathan Shelton, Psy.D.</w:t>
            </w:r>
          </w:p>
        </w:tc>
        <w:tc>
          <w:tcPr>
            <w:tcW w:type="dxa" w:w="7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Ethics, trauma-informed care, CPT, risk assessment, psychoeducational reports for courts &amp; expert testimony, supervision development, professional identity, burnout &amp; self-care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Nguyen, Psy.D.</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Substance use treatment, co-occurring disorders, clinical intake processes, levels of care, integrated report writing</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Day, Psy.D.</w:t>
            </w:r>
          </w:p>
        </w:tc>
        <w:tc>
          <w:tcPr>
            <w:tcW w:type="dxa" w:w="7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Psychological assessment (WAIS-5, WMS-5, WISC-5, WPPSI-IV, WIAT-4, TRAILS A&amp;B, Rey 15, Beery, C-TONI-2, CARS-2, VABS-III), score interpretation, differential diagnosis, DDS report writing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Ellis, Psy.D.</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Child &amp; family systems, ADOS-2 administration &amp; interpretation, CARS-2, childhood adversity &amp; trauma, neurodevelopmental assessment</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Wheeler, Psy.D. (Postdoctoral)</w:t>
            </w:r>
          </w:p>
        </w:tc>
        <w:tc>
          <w:tcPr>
            <w:tcW w:type="dxa" w:w="7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Advanced individual psychotherapy, DBT applications, therapeutic alliance in brief therapy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Snell, Psy.D. (Postdoctoral)</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Co-occurring disorders, group therapy in residential settings, DBT foundations</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Sonya Willis (Guest)</w:t>
            </w:r>
          </w:p>
        </w:tc>
        <w:tc>
          <w:tcPr>
            <w:tcW w:type="dxa" w:w="7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Psychology and advocacy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Dr. Velez (Guest)</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Prospective internship site overview — Rockland Psychiatric Center, Office of Mental Health (Orangeburg, New York)</w:t>
            </w:r>
          </w:p>
        </w:tc>
      </w:tr>
    </w:tbl>
    <w:p>
      <w:pPr>
        <w:spacing w:before="12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8B. Quality Improvement Project</w:t>
      </w:r>
    </w:p>
    <w:p>
      <w:pPr>
        <w:spacing w:before="80" w:after="80"/>
        <w:jc w:val="left"/>
      </w:pPr>
      <w:r>
        <w:rPr>
          <w:rFonts w:ascii="Arial" w:cs="Arial" w:eastAsia="Arial" w:hAnsi="Arial"/>
          <w:b w:val="false"/>
          <w:bCs w:val="false"/>
          <w:i w:val="false"/>
          <w:iCs w:val="false"/>
          <w:color w:val="000000"/>
          <w:sz w:val="21"/>
          <w:szCs w:val="21"/>
        </w:rPr>
        <w:t xml:space="preserve">Each intern completes one Quality Improvement (QI) project during the training year, contributing to program development and professional growth. Projects are developed in consultation with the supervisor of record and DCT and presented at the end of the training year.</w:t>
      </w:r>
    </w:p>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9. Stipend, Benefits &amp; Resources</w:t>
      </w:r>
    </w:p>
    <w:tbl>
      <w:tblPr>
        <w:tblW w:type="dxa" w:w="10080"/>
        <w:tblBorders>
          <w:top w:val="none"/>
          <w:left w:val="none"/>
          <w:bottom w:val="none"/>
          <w:right w:val="none"/>
          <w:insideH w:val="single" w:color="auto" w:sz="4"/>
          <w:insideV w:val="single" w:color="auto" w:sz="4"/>
        </w:tblBorders>
      </w:tblPr>
      <w:tblGrid>
        <w:gridCol w:w="3000"/>
        <w:gridCol w:w="7080"/>
      </w:tblGrid>
      <w:tr>
        <w:tc>
          <w:tcPr>
            <w:tcW w:type="dxa" w:w="300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Benefit</w:t>
            </w:r>
          </w:p>
        </w:tc>
        <w:tc>
          <w:tcPr>
            <w:tcW w:type="dxa" w:w="7080"/>
            <w:tcBorders>
              <w:top w:val="single" w:color="1C3A2F" w:sz="1"/>
              <w:left w:val="single" w:color="1C3A2F" w:sz="1"/>
              <w:bottom w:val="single" w:color="1C3A2F" w:sz="1"/>
              <w:right w:val="single" w:color="1C3A2F" w:sz="1"/>
            </w:tcBorders>
            <w:shd w:fill="1C3A2F" w:val="clear"/>
            <w:tcMar>
              <w:top w:type="dxa" w:w="80"/>
              <w:left w:type="dxa" w:w="120"/>
              <w:bottom w:type="dxa" w:w="80"/>
              <w:right w:type="dxa" w:w="120"/>
            </w:tcMar>
          </w:tcPr>
          <w:p>
            <w:pPr>
              <w:spacing w:before="0" w:after="0"/>
              <w:jc w:val="center"/>
            </w:pPr>
            <w:r>
              <w:rPr>
                <w:rFonts w:ascii="Arial" w:cs="Arial" w:eastAsia="Arial" w:hAnsi="Arial"/>
                <w:b/>
                <w:bCs/>
                <w:i w:val="false"/>
                <w:iCs w:val="false"/>
                <w:color w:val="FFFFFF"/>
                <w:sz w:val="19"/>
                <w:szCs w:val="19"/>
              </w:rPr>
              <w:t xml:space="preserve">Details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Annual Stipend</w:t>
            </w:r>
          </w:p>
        </w:tc>
        <w:tc>
          <w:tcPr>
            <w:tcW w:type="dxa" w:w="7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$40,000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Vacation</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10 vacation days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Paid Holidays</w:t>
            </w:r>
          </w:p>
        </w:tc>
        <w:tc>
          <w:tcPr>
            <w:tcW w:type="dxa" w:w="7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10 paid holidays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Professional Development Days</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5 professional development days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Professional Development Funding</w:t>
            </w:r>
          </w:p>
        </w:tc>
        <w:tc>
          <w:tcPr>
            <w:tcW w:type="dxa" w:w="7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Available; details provided at orientation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Professional Liability Coverage</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Provided by the program</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Workspace</w:t>
            </w:r>
          </w:p>
        </w:tc>
        <w:tc>
          <w:tcPr>
            <w:tcW w:type="dxa" w:w="7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Private workspace at training site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Testing Library</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Full access to assessment instruments and scoring materials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Digital Resources</w:t>
            </w:r>
          </w:p>
        </w:tc>
        <w:tc>
          <w:tcPr>
            <w:tcW w:type="dxa" w:w="70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Access to electronic health records and clinical databases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Training Support</w:t>
            </w:r>
          </w:p>
        </w:tc>
        <w:tc>
          <w:tcPr>
            <w:tcW w:type="dxa" w:w="7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jc w:val="left"/>
            </w:pPr>
            <w:r>
              <w:rPr>
                <w:rFonts w:ascii="Arial" w:cs="Arial" w:eastAsia="Arial" w:hAnsi="Arial"/>
                <w:b w:val="false"/>
                <w:bCs w:val="false"/>
                <w:i w:val="false"/>
                <w:iCs w:val="false"/>
                <w:color w:val="000000"/>
                <w:sz w:val="19"/>
                <w:szCs w:val="19"/>
              </w:rPr>
              <w:t xml:space="preserve">Dedicated training coordination throughout the year</w:t>
            </w:r>
          </w:p>
        </w:tc>
      </w:tr>
    </w:tbl>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10. Communication with Doctoral Programs &amp; Due Process</w:t>
      </w:r>
    </w:p>
    <w:p>
      <w:pPr>
        <w:spacing w:before="200" w:after="80"/>
      </w:pPr>
      <w:r>
        <w:rPr>
          <w:rFonts w:ascii="Arial" w:cs="Arial" w:eastAsia="Arial" w:hAnsi="Arial"/>
          <w:b/>
          <w:bCs/>
          <w:i w:val="false"/>
          <w:iCs w:val="false"/>
          <w:color w:val="1C3A2F"/>
          <w:sz w:val="24"/>
          <w:szCs w:val="24"/>
        </w:rPr>
        <w:t xml:space="preserve">10A. Communication with Doctoral Programs</w:t>
      </w:r>
    </w:p>
    <w:p>
      <w:pPr>
        <w:spacing w:before="80" w:after="80"/>
        <w:jc w:val="left"/>
      </w:pPr>
      <w:r>
        <w:rPr>
          <w:rFonts w:ascii="Arial" w:cs="Arial" w:eastAsia="Arial" w:hAnsi="Arial"/>
          <w:b w:val="false"/>
          <w:bCs w:val="false"/>
          <w:i w:val="false"/>
          <w:iCs w:val="false"/>
          <w:color w:val="000000"/>
          <w:sz w:val="21"/>
          <w:szCs w:val="21"/>
        </w:rPr>
        <w:t xml:space="preserve">The program maintains structured communication with each intern’s doctoral program throughout the training year:</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Confirmation of placement and written training agreement at the start of training</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Mid-Year evaluation summaries submitted directly to the doctoral program DCT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End-of-Year evaluation summaries submitted directly to the doctoral program DCT</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Prompt notification of any remediation procedures or performance concerns</w:t>
      </w:r>
    </w:p>
    <w:p>
      <w:pPr>
        <w:spacing w:before="50" w:after="50"/>
        <w:ind w:left="560" w:hanging="280"/>
      </w:pPr>
      <w:r>
        <w:rPr>
          <w:rFonts w:ascii="Arial" w:cs="Arial" w:eastAsia="Arial" w:hAnsi="Arial"/>
          <w:b/>
          <w:bCs/>
          <w:i w:val="false"/>
          <w:iCs w:val="false"/>
          <w:color w:val="C4854A"/>
          <w:sz w:val="21"/>
          <w:szCs w:val="21"/>
        </w:rPr>
        <w:t xml:space="preserve">•  </w:t>
      </w:r>
      <w:r>
        <w:rPr>
          <w:rFonts w:ascii="Arial" w:cs="Arial" w:eastAsia="Arial" w:hAnsi="Arial"/>
          <w:b w:val="false"/>
          <w:bCs w:val="false"/>
          <w:i w:val="false"/>
          <w:iCs w:val="false"/>
          <w:color w:val="000000"/>
          <w:sz w:val="21"/>
          <w:szCs w:val="21"/>
        </w:rPr>
        <w:t xml:space="preserve">Final documentation of hours and competency ratings upon program completion</w:t>
      </w:r>
    </w:p>
    <w:p>
      <w:pPr>
        <w:spacing w:before="120" w:after="0"/>
      </w:pPr>
      <w:r>
        <w:rPr>
          <w:rFonts w:ascii="Arial" w:cs="Arial" w:eastAsia="Arial" w:hAnsi="Arial"/>
          <w:b w:val="false"/>
          <w:bCs w:val="false"/>
          <w:i w:val="false"/>
          <w:iCs w:val="false"/>
          <w:color w:val="000000"/>
          <w:sz w:val="21"/>
          <w:szCs w:val="21"/>
        </w:rPr>
        <w:t xml:space="preserve"/>
      </w:r>
    </w:p>
    <w:p>
      <w:pPr>
        <w:spacing w:before="200" w:after="80"/>
      </w:pPr>
      <w:r>
        <w:rPr>
          <w:rFonts w:ascii="Arial" w:cs="Arial" w:eastAsia="Arial" w:hAnsi="Arial"/>
          <w:b/>
          <w:bCs/>
          <w:i w:val="false"/>
          <w:iCs w:val="false"/>
          <w:color w:val="1C3A2F"/>
          <w:sz w:val="24"/>
          <w:szCs w:val="24"/>
        </w:rPr>
        <w:t xml:space="preserve">10B. Due Process Policy</w:t>
      </w:r>
    </w:p>
    <w:p>
      <w:pPr>
        <w:spacing w:before="80" w:after="80"/>
        <w:jc w:val="left"/>
      </w:pPr>
      <w:r>
        <w:rPr>
          <w:rFonts w:ascii="Arial" w:cs="Arial" w:eastAsia="Arial" w:hAnsi="Arial"/>
          <w:b w:val="false"/>
          <w:bCs w:val="false"/>
          <w:i w:val="false"/>
          <w:iCs w:val="false"/>
          <w:color w:val="000000"/>
          <w:sz w:val="21"/>
          <w:szCs w:val="21"/>
        </w:rPr>
        <w:t xml:space="preserve">The program’s Due Process Policy ensures fair and transparent resolution of performance concerns and training difficulties. The policy outlines both informal and formal resolution procedures, is consistent with ADA-compliant language, and provides interns with clear rights and procedures for appeal. The full Due Process Policy is provided to interns at orientation and is available upon request. Interns are encouraged to raise concerns promptly with their supervisor of record or DCT.</w:t>
      </w:r>
    </w:p>
    <w:p>
      <w:pPr>
        <w:spacing w:before="160" w:after="0"/>
      </w:pPr>
      <w:r>
        <w:rPr>
          <w:rFonts w:ascii="Arial" w:cs="Arial" w:eastAsia="Arial" w:hAnsi="Arial"/>
          <w:b w:val="false"/>
          <w:bCs w:val="false"/>
          <w:i w:val="false"/>
          <w:iCs w:val="false"/>
          <w:color w:val="000000"/>
          <w:sz w:val="21"/>
          <w:szCs w:val="21"/>
        </w:rPr>
        <w:t xml:space="preserve"/>
      </w:r>
    </w:p>
    <w:p>
      <w:pPr>
        <w:pBdr>
          <w:bottom w:val="single" w:color="C4854A" w:sz="6" w:space="4"/>
        </w:pBdr>
        <w:spacing w:before="300" w:after="120"/>
      </w:pPr>
      <w:r>
        <w:rPr>
          <w:rFonts w:ascii="Arial" w:cs="Arial" w:eastAsia="Arial" w:hAnsi="Arial"/>
          <w:b/>
          <w:bCs/>
          <w:i w:val="false"/>
          <w:iCs w:val="false"/>
          <w:color w:val="1C3A2F"/>
          <w:sz w:val="28"/>
          <w:szCs w:val="28"/>
        </w:rPr>
        <w:t xml:space="preserve">11. Commitment to Diversity, Equity &amp; Inclusion</w:t>
      </w:r>
    </w:p>
    <w:p>
      <w:pPr>
        <w:spacing w:before="80" w:after="80"/>
        <w:jc w:val="left"/>
      </w:pPr>
      <w:r>
        <w:rPr>
          <w:rFonts w:ascii="Arial" w:cs="Arial" w:eastAsia="Arial" w:hAnsi="Arial"/>
          <w:b w:val="false"/>
          <w:bCs w:val="false"/>
          <w:i w:val="false"/>
          <w:iCs w:val="false"/>
          <w:color w:val="000000"/>
          <w:sz w:val="21"/>
          <w:szCs w:val="21"/>
        </w:rPr>
        <w:t xml:space="preserve">Trinity Tree × Desert Recovery Centers is deeply committed to fostering a training environment that reflects and honors the diversity of the communities we serve. We recognize that cultural humility, anti-racist practice, and equity-centered care are not supplementary competencies but foundational to ethical practice in Health Service Psychology.</w:t>
      </w:r>
    </w:p>
    <w:p>
      <w:pPr>
        <w:spacing w:before="80" w:after="0"/>
      </w:pPr>
      <w:r>
        <w:rPr>
          <w:rFonts w:ascii="Arial" w:cs="Arial" w:eastAsia="Arial" w:hAnsi="Arial"/>
          <w:b w:val="false"/>
          <w:bCs w:val="false"/>
          <w:i w:val="false"/>
          <w:iCs w:val="false"/>
          <w:color w:val="000000"/>
          <w:sz w:val="21"/>
          <w:szCs w:val="21"/>
        </w:rPr>
        <w:t xml:space="preserve"/>
      </w:r>
    </w:p>
    <w:p>
      <w:pPr>
        <w:spacing w:before="80" w:after="80"/>
        <w:jc w:val="left"/>
      </w:pPr>
      <w:r>
        <w:rPr>
          <w:rFonts w:ascii="Arial" w:cs="Arial" w:eastAsia="Arial" w:hAnsi="Arial"/>
          <w:b w:val="false"/>
          <w:bCs w:val="false"/>
          <w:i w:val="false"/>
          <w:iCs w:val="false"/>
          <w:color w:val="000000"/>
          <w:sz w:val="21"/>
          <w:szCs w:val="21"/>
        </w:rPr>
        <w:t xml:space="preserve">Didactic seminars explicitly address multicultural competence, cultural humility, and systemic influences on mental health and health care access. Interns work with culturally diverse, underserved, and historically marginalized populations and are supported in developing reflective, advocacy-oriented, and culturally responsive clinical practice. The program actively recruits interns from diverse backgrounds and is committed to creating a training environment where all interns can thrive.</w:t>
      </w:r>
    </w:p>
    <w:p>
      <w:pPr>
        <w:spacing w:before="160" w:after="0"/>
      </w:pPr>
      <w:r>
        <w:rPr>
          <w:rFonts w:ascii="Arial" w:cs="Arial" w:eastAsia="Arial" w:hAnsi="Arial"/>
          <w:b w:val="false"/>
          <w:bCs w:val="false"/>
          <w:i w:val="false"/>
          <w:iCs w:val="false"/>
          <w:color w:val="000000"/>
          <w:sz w:val="21"/>
          <w:szCs w:val="21"/>
        </w:rPr>
        <w:t xml:space="preserve"/>
      </w:r>
    </w:p>
    <w:p>
      <w:pPr>
        <w:pBdr>
          <w:top w:val="single" w:color="C4854A" w:sz="4" w:space="8"/>
        </w:pBdr>
        <w:spacing w:before="0" w:after="0"/>
        <w:jc w:val="center"/>
      </w:pPr>
      <w:r>
        <w:rPr>
          <w:rFonts w:ascii="Arial" w:cs="Arial" w:eastAsia="Arial" w:hAnsi="Arial"/>
          <w:b w:val="false"/>
          <w:bCs w:val="false"/>
          <w:i w:val="false"/>
          <w:iCs w:val="false"/>
          <w:color w:val="666666"/>
          <w:sz w:val="17"/>
          <w:szCs w:val="17"/>
        </w:rPr>
        <w:t xml:space="preserve">Jonathan J. Shelton, Psy.D.  |  Director of Clinical Training  |  Trinity Tree × Desert Recovery Centers  |  APPIC ID: 2589-01  |  (623) 444-5508  |  drshelton@trinitytreepsych.com</w:t>
      </w:r>
    </w:p>
    <w:sectPr>
      <w:footerReference w:type="default" r:id="rId6"/>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854A" w:sz="2" w:space="4"/>
      </w:pBdr>
      <w:jc w:val="center"/>
    </w:pPr>
    <w:r>
      <w:rPr>
        <w:rFonts w:ascii="Arial" w:cs="Arial" w:eastAsia="Arial" w:hAnsi="Arial"/>
        <w:color w:val="666666"/>
        <w:sz w:val="16"/>
        <w:szCs w:val="16"/>
      </w:rPr>
      <w:t xml:space="preserve">Trinity Tree × Desert Recovery Centers  |  Training Manual 2025–2026  |  APPIC ID: 2589-01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2026-03-30T23:17:20.682Z</dcterms:created>
  <dcterms:modified xsi:type="dcterms:W3CDTF">2026-03-30T23:17:20.683Z</dcterms:modified>
</cp:coreProperties>
</file>

<file path=docProps/custom.xml><?xml version="1.0" encoding="utf-8"?>
<Properties xmlns="http://schemas.openxmlformats.org/officeDocument/2006/custom-properties" xmlns:vt="http://schemas.openxmlformats.org/officeDocument/2006/docPropsVTypes"/>
</file>