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6" w:type="dxa"/>
        <w:tblInd w:w="-856" w:type="dxa"/>
        <w:tblLook w:val="04A0" w:firstRow="1" w:lastRow="0" w:firstColumn="1" w:lastColumn="0" w:noHBand="0" w:noVBand="1"/>
      </w:tblPr>
      <w:tblGrid>
        <w:gridCol w:w="3865"/>
        <w:gridCol w:w="10591"/>
      </w:tblGrid>
      <w:tr w:rsidR="000E38C2" w:rsidRPr="007D257E" w14:paraId="3E887D7E" w14:textId="77777777" w:rsidTr="000E38C2">
        <w:trPr>
          <w:trHeight w:val="1070"/>
        </w:trPr>
        <w:tc>
          <w:tcPr>
            <w:tcW w:w="3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CEED" w:themeFill="accent5" w:themeFillTint="33"/>
            <w:vAlign w:val="center"/>
            <w:hideMark/>
          </w:tcPr>
          <w:p w14:paraId="69440B44" w14:textId="77777777" w:rsidR="000E38C2" w:rsidRDefault="000E38C2" w:rsidP="009155FE">
            <w:pPr>
              <w:spacing w:after="0" w:line="240" w:lineRule="auto"/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  <w:t>RESUMEN EJECUTIVO</w:t>
            </w:r>
          </w:p>
          <w:p w14:paraId="27233A12" w14:textId="77777777" w:rsidR="009E496B" w:rsidRPr="00694E25" w:rsidRDefault="009E496B" w:rsidP="009155F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778DD3" w14:textId="77777777" w:rsidR="000E38C2" w:rsidRPr="00D1464D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C1AFF">
              <w:rPr>
                <w:rFonts w:ascii="Century Gothic" w:hAnsi="Century Gothic"/>
                <w:b/>
                <w:bCs/>
                <w:sz w:val="20"/>
              </w:rPr>
              <w:t>Nombre de Empresa</w:t>
            </w:r>
            <w:r>
              <w:rPr>
                <w:rFonts w:ascii="Century Gothic" w:hAnsi="Century Gothic"/>
                <w:sz w:val="20"/>
              </w:rPr>
              <w:t xml:space="preserve"> tiene como objetivo convertirse en líder de la industria de carga de vehículos eléctricos (EV) al proporcionar soluciones de carga innovadoras, fiables y accesibles a propietarios y empresas de estos vehículos. Nuestro plan estratégico describe los pasos para expandir nuestra red, mejorar nuestra tecnología y aumentar nuestra presencia en el mercado en los próximos cinco años.</w:t>
            </w:r>
          </w:p>
        </w:tc>
      </w:tr>
      <w:tr w:rsidR="000E38C2" w:rsidRPr="007D257E" w14:paraId="1B7BB658" w14:textId="77777777" w:rsidTr="000E38C2">
        <w:trPr>
          <w:trHeight w:val="1008"/>
        </w:trPr>
        <w:tc>
          <w:tcPr>
            <w:tcW w:w="3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9EDC" w:themeFill="accent5" w:themeFillTint="66"/>
            <w:vAlign w:val="center"/>
          </w:tcPr>
          <w:p w14:paraId="15431A33" w14:textId="77777777" w:rsidR="000E38C2" w:rsidRPr="00694E25" w:rsidRDefault="000E38C2" w:rsidP="009155F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  <w:t>DECLARACIÓN DE LA VISIÓN</w:t>
            </w:r>
          </w:p>
        </w:tc>
        <w:tc>
          <w:tcPr>
            <w:tcW w:w="10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50DEAF" w14:textId="77777777" w:rsidR="000E38C2" w:rsidRPr="007E2D98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Revolucionar la experiencia de carga de vehículos eléctricos para que sea tan común y fácil de usar como una estación de gasolina tradicional, y así acelerar la transición global hacia el transporte sostenible.</w:t>
            </w:r>
          </w:p>
        </w:tc>
      </w:tr>
      <w:tr w:rsidR="000E38C2" w:rsidRPr="007D257E" w14:paraId="4B97D25B" w14:textId="77777777" w:rsidTr="000E38C2">
        <w:trPr>
          <w:trHeight w:val="1008"/>
        </w:trPr>
        <w:tc>
          <w:tcPr>
            <w:tcW w:w="3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CEED" w:themeFill="accent5" w:themeFillTint="33"/>
            <w:vAlign w:val="center"/>
          </w:tcPr>
          <w:p w14:paraId="740F0E7B" w14:textId="77777777" w:rsidR="000E38C2" w:rsidRPr="00694E25" w:rsidRDefault="000E38C2" w:rsidP="009155F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  <w:t>DECLARACIÓN DE LA MISIÓN</w:t>
            </w:r>
          </w:p>
        </w:tc>
        <w:tc>
          <w:tcPr>
            <w:tcW w:w="10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AB6D96" w14:textId="77777777" w:rsidR="000E38C2" w:rsidRPr="007E2D98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La misión de </w:t>
            </w:r>
            <w:r w:rsidRPr="000C1AFF">
              <w:rPr>
                <w:rFonts w:ascii="Century Gothic" w:hAnsi="Century Gothic"/>
                <w:b/>
                <w:bCs/>
                <w:sz w:val="20"/>
              </w:rPr>
              <w:t>Nombre de Empresa</w:t>
            </w:r>
            <w:r>
              <w:rPr>
                <w:rFonts w:ascii="Century Gothic" w:hAnsi="Century Gothic"/>
                <w:sz w:val="20"/>
              </w:rPr>
              <w:t xml:space="preserve"> es empoderar a los propietarios de vehículos eléctricos con soluciones de carga rápidas, eficientes y ubicuas para impulsar el crecimiento de la movilidad eléctrica a través de la innovación, servicios centrados en el cliente y asociaciones estratégicas.</w:t>
            </w:r>
          </w:p>
        </w:tc>
      </w:tr>
      <w:tr w:rsidR="000E38C2" w:rsidRPr="007D257E" w14:paraId="6C0F1D90" w14:textId="77777777" w:rsidTr="000E38C2">
        <w:trPr>
          <w:trHeight w:val="1817"/>
        </w:trPr>
        <w:tc>
          <w:tcPr>
            <w:tcW w:w="3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9EDC" w:themeFill="accent5" w:themeFillTint="66"/>
            <w:vAlign w:val="center"/>
          </w:tcPr>
          <w:p w14:paraId="1A6DD61D" w14:textId="77777777" w:rsidR="000E38C2" w:rsidRPr="00694E25" w:rsidRDefault="000E38C2" w:rsidP="009155F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  <w:t>ANÁLISIS FODA</w:t>
            </w:r>
          </w:p>
        </w:tc>
        <w:tc>
          <w:tcPr>
            <w:tcW w:w="10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BBC871" w14:textId="77777777" w:rsidR="000E38C2" w:rsidRPr="00333D63" w:rsidRDefault="000E38C2" w:rsidP="000E38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Fortalezas: tecnología de carga avanzada, sólidas asociaciones con fabricantes de vehículos eléctricos y ubicación estratégica de las estaciones de carga.</w:t>
            </w:r>
          </w:p>
          <w:p w14:paraId="79054979" w14:textId="77777777" w:rsidR="000E38C2" w:rsidRPr="00333D63" w:rsidRDefault="000E38C2" w:rsidP="000E38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Debilidades: altos costos iniciales de infraestructura y competencia de las redes establecidas de combustible y carga.</w:t>
            </w:r>
          </w:p>
          <w:p w14:paraId="5AE0B087" w14:textId="77777777" w:rsidR="000E38C2" w:rsidRPr="00333D63" w:rsidRDefault="000E38C2" w:rsidP="000E38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Oportunidades: la creciente demanda de vehículos eléctricos, los incentivos gubernamentales para la energía renovable y el potencial de expansión internacional.</w:t>
            </w:r>
          </w:p>
          <w:p w14:paraId="78E1087A" w14:textId="77777777" w:rsidR="000E38C2" w:rsidRPr="00333D63" w:rsidRDefault="000E38C2" w:rsidP="000E38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Amenazas: avances tecnológicos de la competencia y cambios en los entornos normativos.</w:t>
            </w:r>
          </w:p>
        </w:tc>
      </w:tr>
      <w:tr w:rsidR="000E38C2" w:rsidRPr="007D257E" w14:paraId="40EB0809" w14:textId="77777777" w:rsidTr="000E38C2">
        <w:trPr>
          <w:trHeight w:val="1088"/>
        </w:trPr>
        <w:tc>
          <w:tcPr>
            <w:tcW w:w="3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CEED" w:themeFill="accent5" w:themeFillTint="33"/>
            <w:vAlign w:val="center"/>
          </w:tcPr>
          <w:p w14:paraId="1AEE1739" w14:textId="77777777" w:rsidR="000E38C2" w:rsidRPr="00694E25" w:rsidRDefault="000E38C2" w:rsidP="009155F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  <w:t>METAS DE NEGOCIOS</w:t>
            </w:r>
          </w:p>
        </w:tc>
        <w:tc>
          <w:tcPr>
            <w:tcW w:w="10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FDAD90" w14:textId="77777777" w:rsidR="000E38C2" w:rsidRPr="00333D63" w:rsidRDefault="000E38C2" w:rsidP="000E38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 corto plazo (1 a 2 años): Aumentar la cantidad de estaciones de carga en un 50% y garantizar dos nuevas asociaciones estratégicas.</w:t>
            </w:r>
          </w:p>
          <w:p w14:paraId="30F84E92" w14:textId="77777777" w:rsidR="000E38C2" w:rsidRPr="00333D63" w:rsidRDefault="000E38C2" w:rsidP="000E38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 largo plazo (3 a 5 años): Lograr una cuota de mercado del 25% en el sector de carga de vehículos eléctricos y ampliar las operaciones a tres nuevos países.</w:t>
            </w:r>
          </w:p>
        </w:tc>
      </w:tr>
      <w:tr w:rsidR="000E38C2" w:rsidRPr="007D257E" w14:paraId="303A6012" w14:textId="77777777" w:rsidTr="000E38C2">
        <w:trPr>
          <w:trHeight w:val="1008"/>
        </w:trPr>
        <w:tc>
          <w:tcPr>
            <w:tcW w:w="3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9EDC" w:themeFill="accent5" w:themeFillTint="66"/>
            <w:vAlign w:val="center"/>
          </w:tcPr>
          <w:p w14:paraId="13A028AC" w14:textId="77777777" w:rsidR="000E38C2" w:rsidRPr="00694E25" w:rsidRDefault="000E38C2" w:rsidP="009155F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  <w:t>PLAN DE MARKETING</w:t>
            </w:r>
          </w:p>
        </w:tc>
        <w:tc>
          <w:tcPr>
            <w:tcW w:w="10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451B71" w14:textId="77777777" w:rsidR="000E38C2" w:rsidRPr="007E2D98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Implemente una estrategia de marketing multicanal que se centre en el marketing digital, las asociaciones con fabricantes de vehículos eléctricos y la participación en exposiciones de energía renovable que aumenten el conocimiento de la marca y la participación del cliente.</w:t>
            </w:r>
          </w:p>
        </w:tc>
      </w:tr>
      <w:tr w:rsidR="000E38C2" w:rsidRPr="007D257E" w14:paraId="5945644A" w14:textId="77777777" w:rsidTr="000E38C2">
        <w:trPr>
          <w:trHeight w:val="1008"/>
        </w:trPr>
        <w:tc>
          <w:tcPr>
            <w:tcW w:w="3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CEED" w:themeFill="accent5" w:themeFillTint="33"/>
            <w:vAlign w:val="center"/>
          </w:tcPr>
          <w:p w14:paraId="4A8457DA" w14:textId="77777777" w:rsidR="000E38C2" w:rsidRPr="00694E25" w:rsidRDefault="000E38C2" w:rsidP="009155F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  <w:t>PLAN OPERATIVO</w:t>
            </w:r>
          </w:p>
        </w:tc>
        <w:tc>
          <w:tcPr>
            <w:tcW w:w="10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2B1159" w14:textId="77777777" w:rsidR="000E38C2" w:rsidRPr="007E2D98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Aumente el desarrollo de la infraestructura invirtiendo en tecnologías de carga de última generación y optimizando la logística para garantizar la implementación y el mantenimiento eficientes de las estaciones de carga.</w:t>
            </w:r>
          </w:p>
        </w:tc>
      </w:tr>
      <w:tr w:rsidR="000E38C2" w:rsidRPr="007D257E" w14:paraId="50DD3AB9" w14:textId="77777777" w:rsidTr="000E38C2">
        <w:trPr>
          <w:trHeight w:val="1008"/>
        </w:trPr>
        <w:tc>
          <w:tcPr>
            <w:tcW w:w="3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9EDC" w:themeFill="accent5" w:themeFillTint="66"/>
            <w:vAlign w:val="center"/>
          </w:tcPr>
          <w:p w14:paraId="5625465F" w14:textId="77777777" w:rsidR="000E38C2" w:rsidRPr="00694E25" w:rsidRDefault="000E38C2" w:rsidP="009155F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  <w:t>PROYECCIONES FINANCIERAS</w:t>
            </w:r>
          </w:p>
        </w:tc>
        <w:tc>
          <w:tcPr>
            <w:tcW w:w="10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097C08" w14:textId="77777777" w:rsidR="000E38C2" w:rsidRPr="00D1020F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Año 1: Ingresos de USD 5 millones con una pérdida neta de USD 1 millón debido a las inversiones iniciales.</w:t>
            </w:r>
          </w:p>
          <w:p w14:paraId="59E830B9" w14:textId="77777777" w:rsidR="000E38C2" w:rsidRPr="00D1020F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Año 2: Ingresos de USD 10 millones con un beneficio neto de USD 1 millón.</w:t>
            </w:r>
          </w:p>
          <w:p w14:paraId="3BA1FFC0" w14:textId="77777777" w:rsidR="000E38C2" w:rsidRPr="007E2D98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Año 3 a 5: Crecimiento interanual de los ingresos del 30%, lo que alcanza un margen de beneficio neto del 15%.</w:t>
            </w:r>
          </w:p>
        </w:tc>
      </w:tr>
      <w:tr w:rsidR="000E38C2" w:rsidRPr="007D257E" w14:paraId="487968C6" w14:textId="77777777" w:rsidTr="000E38C2">
        <w:trPr>
          <w:trHeight w:val="1151"/>
        </w:trPr>
        <w:tc>
          <w:tcPr>
            <w:tcW w:w="3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CEED" w:themeFill="accent5" w:themeFillTint="33"/>
            <w:vAlign w:val="center"/>
          </w:tcPr>
          <w:p w14:paraId="52229A1B" w14:textId="77777777" w:rsidR="000E38C2" w:rsidRPr="00694E25" w:rsidRDefault="000E38C2" w:rsidP="009155F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8"/>
              </w:rPr>
              <w:t>EQUIPO</w:t>
            </w:r>
          </w:p>
        </w:tc>
        <w:tc>
          <w:tcPr>
            <w:tcW w:w="10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7EE1EA" w14:textId="77777777" w:rsidR="000E38C2" w:rsidRPr="001F6345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Director ejecutivo: experto en energía renovable con 20 años de experiencia.</w:t>
            </w:r>
          </w:p>
          <w:p w14:paraId="62AD9B42" w14:textId="77777777" w:rsidR="000E38C2" w:rsidRPr="001F6345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CTO: especialista en tecnología de vehículos eléctricos y desarrollo de infraestructuras.</w:t>
            </w:r>
          </w:p>
          <w:p w14:paraId="392A173B" w14:textId="77777777" w:rsidR="000E38C2" w:rsidRPr="001F6345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CFO: experto en finanzas e inversión que se centra en las tecnologías ecológicas.</w:t>
            </w:r>
          </w:p>
          <w:p w14:paraId="1ECA0DA0" w14:textId="77777777" w:rsidR="000E38C2" w:rsidRPr="007E2D98" w:rsidRDefault="000E38C2" w:rsidP="009155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756EA">
              <w:rPr>
                <w:rFonts w:ascii="Century Gothic" w:hAnsi="Century Gothic"/>
                <w:spacing w:val="-3"/>
                <w:sz w:val="20"/>
              </w:rPr>
              <w:t>Director de marketing: líder calificado en marketing digital y creación de marca en la industria tecnológica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</w:tbl>
    <w:p w14:paraId="238AD68A" w14:textId="77777777" w:rsidR="000E38C2" w:rsidRDefault="000E38C2" w:rsidP="000E38C2"/>
    <w:sectPr w:rsidR="000E38C2" w:rsidSect="000E38C2">
      <w:pgSz w:w="15840" w:h="12240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200A0"/>
    <w:multiLevelType w:val="hybridMultilevel"/>
    <w:tmpl w:val="8FAE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8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C2"/>
    <w:rsid w:val="000E38C2"/>
    <w:rsid w:val="009E496B"/>
    <w:rsid w:val="00A5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367E"/>
  <w15:chartTrackingRefBased/>
  <w15:docId w15:val="{B4D1B069-44D3-4A45-83C4-88C95F1E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C2"/>
    <w:pPr>
      <w:spacing w:line="259" w:lineRule="auto"/>
    </w:pPr>
    <w:rPr>
      <w:rFonts w:eastAsiaTheme="minorEastAsia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Eduardo López</dc:creator>
  <cp:keywords/>
  <dc:description/>
  <cp:lastModifiedBy>Iván Eduardo López</cp:lastModifiedBy>
  <cp:revision>2</cp:revision>
  <dcterms:created xsi:type="dcterms:W3CDTF">2025-06-02T21:48:00Z</dcterms:created>
  <dcterms:modified xsi:type="dcterms:W3CDTF">2025-06-02T21:50:00Z</dcterms:modified>
</cp:coreProperties>
</file>