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B7796D" w14:textId="11A59BE6" w:rsidR="008D6335" w:rsidRPr="00E50F66" w:rsidRDefault="00E50F66" w:rsidP="00E50F66">
      <w:pPr>
        <w:pStyle w:val="Title"/>
        <w:pBdr>
          <w:bottom w:val="single" w:sz="48" w:space="19" w:color="FF7A00" w:themeColor="accent1"/>
        </w:pBdr>
        <w:rPr>
          <w:sz w:val="56"/>
        </w:rPr>
      </w:pPr>
      <w:r w:rsidRPr="00E50F66">
        <w:rPr>
          <w:sz w:val="56"/>
        </w:rPr>
        <w:t>Investing and Personal Finance Blog</w:t>
      </w:r>
    </w:p>
    <w:p w14:paraId="67BA1646" w14:textId="05D57F04" w:rsidR="008D6335" w:rsidRDefault="0050230F">
      <w:pPr>
        <w:pStyle w:val="Heading1"/>
      </w:pPr>
      <w:r>
        <w:t>More dividend stocks to check out and add to your investment portfolio</w:t>
      </w:r>
    </w:p>
    <w:p w14:paraId="309F893F" w14:textId="518A2791" w:rsidR="002453C1" w:rsidRDefault="000D1C64" w:rsidP="000542DA">
      <w:pPr>
        <w:rPr>
          <w:lang w:val="en-MY"/>
        </w:rPr>
      </w:pPr>
      <w:r>
        <w:t xml:space="preserve">keyword: </w:t>
      </w:r>
      <w:r w:rsidR="00795633">
        <w:t>money</w:t>
      </w:r>
      <w:r w:rsidR="00B670EA">
        <w:t xml:space="preserve">, </w:t>
      </w:r>
      <w:r w:rsidR="0050230F">
        <w:t xml:space="preserve">stocks, investments, dividend, </w:t>
      </w:r>
      <w:r w:rsidR="0050230F" w:rsidRPr="00964D5E">
        <w:t>real estate</w:t>
      </w:r>
      <w:r w:rsidR="0050230F">
        <w:t>,</w:t>
      </w:r>
      <w:r w:rsidR="00964D5E">
        <w:t xml:space="preserve"> </w:t>
      </w:r>
      <w:r w:rsidR="00964D5E" w:rsidRPr="00292CD9">
        <w:t>EPR Properties</w:t>
      </w:r>
      <w:r w:rsidR="00964D5E">
        <w:t>, Realty Income</w:t>
      </w:r>
    </w:p>
    <w:p w14:paraId="07F9132F" w14:textId="77777777" w:rsidR="00DA6708" w:rsidRDefault="000542DA" w:rsidP="00DA6708">
      <w:pPr>
        <w:spacing w:line="480" w:lineRule="auto"/>
        <w:ind w:firstLine="720"/>
        <w:rPr>
          <w:lang w:val="en-MY"/>
        </w:rPr>
      </w:pPr>
      <w:r w:rsidRPr="000542DA">
        <w:rPr>
          <w:lang w:val="en-MY"/>
        </w:rPr>
        <w:t>Hello and welcome back to my </w:t>
      </w:r>
      <w:r w:rsidRPr="000542DA">
        <w:rPr>
          <w:b/>
          <w:bCs/>
          <w:lang w:val="en-MY"/>
        </w:rPr>
        <w:t>investing</w:t>
      </w:r>
      <w:r w:rsidRPr="000542DA">
        <w:rPr>
          <w:lang w:val="en-MY"/>
        </w:rPr>
        <w:t> and </w:t>
      </w:r>
      <w:r w:rsidRPr="000542DA">
        <w:rPr>
          <w:b/>
          <w:bCs/>
          <w:lang w:val="en-MY"/>
        </w:rPr>
        <w:t>personal finance</w:t>
      </w:r>
      <w:r w:rsidRPr="000542DA">
        <w:rPr>
          <w:lang w:val="en-MY"/>
        </w:rPr>
        <w:t> blog. Thank you for joining me on my journey of learning and improving my own </w:t>
      </w:r>
      <w:r w:rsidRPr="000542DA">
        <w:rPr>
          <w:b/>
          <w:bCs/>
          <w:lang w:val="en-MY"/>
        </w:rPr>
        <w:t>personal finance</w:t>
      </w:r>
      <w:r w:rsidRPr="000542DA">
        <w:rPr>
          <w:lang w:val="en-MY"/>
        </w:rPr>
        <w:t>. This week I am going to be sharing some</w:t>
      </w:r>
      <w:r w:rsidR="0050230F">
        <w:rPr>
          <w:lang w:val="en-MY"/>
        </w:rPr>
        <w:t xml:space="preserve"> more </w:t>
      </w:r>
      <w:r w:rsidR="0050230F" w:rsidRPr="00964D5E">
        <w:rPr>
          <w:b/>
          <w:bCs/>
          <w:lang w:val="en-MY"/>
        </w:rPr>
        <w:t>dividend</w:t>
      </w:r>
      <w:r w:rsidR="0050230F">
        <w:rPr>
          <w:lang w:val="en-MY"/>
        </w:rPr>
        <w:t xml:space="preserve"> </w:t>
      </w:r>
      <w:r w:rsidR="0050230F" w:rsidRPr="00964D5E">
        <w:rPr>
          <w:b/>
          <w:bCs/>
          <w:lang w:val="en-MY"/>
        </w:rPr>
        <w:t>stocks</w:t>
      </w:r>
      <w:r w:rsidR="0050230F">
        <w:rPr>
          <w:lang w:val="en-MY"/>
        </w:rPr>
        <w:t xml:space="preserve"> with you and also</w:t>
      </w:r>
      <w:r w:rsidRPr="000542DA">
        <w:rPr>
          <w:lang w:val="en-MY"/>
        </w:rPr>
        <w:t xml:space="preserve"> information</w:t>
      </w:r>
      <w:r w:rsidR="0050230F">
        <w:rPr>
          <w:lang w:val="en-MY"/>
        </w:rPr>
        <w:t xml:space="preserve"> about those companies</w:t>
      </w:r>
      <w:r w:rsidRPr="000542DA">
        <w:rPr>
          <w:lang w:val="en-MY"/>
        </w:rPr>
        <w:t xml:space="preserve">. </w:t>
      </w:r>
    </w:p>
    <w:p w14:paraId="3EE77303" w14:textId="0963793D" w:rsidR="00DA6708" w:rsidRDefault="00DA6708" w:rsidP="00DA6708">
      <w:pPr>
        <w:spacing w:line="480" w:lineRule="auto"/>
        <w:ind w:firstLine="720"/>
        <w:rPr>
          <w:lang w:val="en-MY"/>
        </w:rPr>
      </w:pPr>
      <w:r>
        <w:rPr>
          <w:noProof/>
          <w:lang w:val="en-MY"/>
        </w:rPr>
        <w:drawing>
          <wp:anchor distT="0" distB="0" distL="114300" distR="114300" simplePos="0" relativeHeight="251658240" behindDoc="0" locked="0" layoutInCell="1" allowOverlap="1" wp14:anchorId="03980E38" wp14:editId="4D381BE2">
            <wp:simplePos x="0" y="0"/>
            <wp:positionH relativeFrom="column">
              <wp:posOffset>3007332</wp:posOffset>
            </wp:positionH>
            <wp:positionV relativeFrom="paragraph">
              <wp:posOffset>741045</wp:posOffset>
            </wp:positionV>
            <wp:extent cx="3495040" cy="1964690"/>
            <wp:effectExtent l="12700" t="12700" r="10160" b="16510"/>
            <wp:wrapThrough wrapText="bothSides">
              <wp:wrapPolygon edited="0">
                <wp:start x="-78" y="-140"/>
                <wp:lineTo x="-78" y="21642"/>
                <wp:lineTo x="21584" y="21642"/>
                <wp:lineTo x="21584" y="-140"/>
                <wp:lineTo x="-78" y="-140"/>
              </wp:wrapPolygon>
            </wp:wrapThrough>
            <wp:docPr id="2" name="Picture 2" descr="A person running on a grap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running on a graph&#10;&#10;Description automatically generated with low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95040" cy="196469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964D5E" w:rsidRPr="00964D5E">
        <w:rPr>
          <w:noProof/>
          <w:lang w:val="en-MY"/>
        </w:rPr>
        <w:t xml:space="preserve">The two company </w:t>
      </w:r>
      <w:r w:rsidR="00964D5E" w:rsidRPr="00964D5E">
        <w:rPr>
          <w:b/>
          <w:bCs/>
          <w:noProof/>
          <w:lang w:val="en-MY"/>
        </w:rPr>
        <w:t>stocks</w:t>
      </w:r>
      <w:r w:rsidR="00964D5E" w:rsidRPr="00964D5E">
        <w:rPr>
          <w:noProof/>
          <w:lang w:val="en-MY"/>
        </w:rPr>
        <w:t xml:space="preserve"> that I will be sharing today are </w:t>
      </w:r>
      <w:r w:rsidR="00964D5E" w:rsidRPr="00964D5E">
        <w:rPr>
          <w:b/>
          <w:bCs/>
          <w:noProof/>
          <w:lang w:val="en-MY"/>
        </w:rPr>
        <w:t>EPR Properties</w:t>
      </w:r>
      <w:r w:rsidR="00964D5E" w:rsidRPr="00964D5E">
        <w:rPr>
          <w:noProof/>
          <w:lang w:val="en-MY"/>
        </w:rPr>
        <w:t xml:space="preserve">(EPR) and </w:t>
      </w:r>
      <w:r w:rsidR="00964D5E" w:rsidRPr="00292CD9">
        <w:rPr>
          <w:b/>
          <w:bCs/>
          <w:noProof/>
          <w:lang w:val="en-MY"/>
        </w:rPr>
        <w:t>Realty Income</w:t>
      </w:r>
      <w:r w:rsidR="00964D5E" w:rsidRPr="00964D5E">
        <w:rPr>
          <w:noProof/>
          <w:lang w:val="en-MY"/>
        </w:rPr>
        <w:t xml:space="preserve">(O). I will be sharing these </w:t>
      </w:r>
      <w:r w:rsidR="00964D5E" w:rsidRPr="00964D5E">
        <w:rPr>
          <w:b/>
          <w:bCs/>
          <w:noProof/>
          <w:lang w:val="en-MY"/>
        </w:rPr>
        <w:t>stocks</w:t>
      </w:r>
      <w:r w:rsidR="00964D5E" w:rsidRPr="00964D5E">
        <w:rPr>
          <w:noProof/>
          <w:lang w:val="en-MY"/>
        </w:rPr>
        <w:t xml:space="preserve"> because they are different from the </w:t>
      </w:r>
      <w:r w:rsidR="00964D5E" w:rsidRPr="00964D5E">
        <w:rPr>
          <w:b/>
          <w:bCs/>
          <w:noProof/>
          <w:lang w:val="en-MY"/>
        </w:rPr>
        <w:t>dividend</w:t>
      </w:r>
      <w:r w:rsidR="00964D5E" w:rsidRPr="00964D5E">
        <w:rPr>
          <w:noProof/>
          <w:lang w:val="en-MY"/>
        </w:rPr>
        <w:t xml:space="preserve"> </w:t>
      </w:r>
      <w:r w:rsidR="00964D5E" w:rsidRPr="00964D5E">
        <w:rPr>
          <w:b/>
          <w:bCs/>
          <w:noProof/>
          <w:lang w:val="en-MY"/>
        </w:rPr>
        <w:t>stocks</w:t>
      </w:r>
      <w:r w:rsidR="00964D5E" w:rsidRPr="00964D5E">
        <w:rPr>
          <w:noProof/>
          <w:lang w:val="en-MY"/>
        </w:rPr>
        <w:t xml:space="preserve"> I have shared with you. These </w:t>
      </w:r>
      <w:r w:rsidR="00964D5E" w:rsidRPr="00964D5E">
        <w:rPr>
          <w:b/>
          <w:bCs/>
          <w:noProof/>
          <w:lang w:val="en-MY"/>
        </w:rPr>
        <w:t>stocks</w:t>
      </w:r>
      <w:r w:rsidR="00964D5E" w:rsidRPr="00964D5E">
        <w:rPr>
          <w:noProof/>
          <w:lang w:val="en-MY"/>
        </w:rPr>
        <w:t xml:space="preserve"> have monthly </w:t>
      </w:r>
      <w:r w:rsidR="00964D5E" w:rsidRPr="00964D5E">
        <w:rPr>
          <w:b/>
          <w:bCs/>
          <w:noProof/>
          <w:lang w:val="en-MY"/>
        </w:rPr>
        <w:t>dividend</w:t>
      </w:r>
      <w:r w:rsidR="00964D5E" w:rsidRPr="00964D5E">
        <w:rPr>
          <w:noProof/>
          <w:lang w:val="en-MY"/>
        </w:rPr>
        <w:t xml:space="preserve"> payouts. Depending on how much </w:t>
      </w:r>
      <w:r w:rsidR="00964D5E" w:rsidRPr="00964D5E">
        <w:rPr>
          <w:b/>
          <w:bCs/>
          <w:noProof/>
          <w:lang w:val="en-MY"/>
        </w:rPr>
        <w:t>money</w:t>
      </w:r>
      <w:r w:rsidR="00964D5E" w:rsidRPr="00964D5E">
        <w:rPr>
          <w:noProof/>
          <w:lang w:val="en-MY"/>
        </w:rPr>
        <w:t xml:space="preserve"> you decide to invest in these companies, you might even gain enough </w:t>
      </w:r>
      <w:r w:rsidR="00964D5E" w:rsidRPr="00964D5E">
        <w:rPr>
          <w:b/>
          <w:bCs/>
          <w:noProof/>
          <w:lang w:val="en-MY"/>
        </w:rPr>
        <w:t>money</w:t>
      </w:r>
      <w:r w:rsidR="00964D5E" w:rsidRPr="00964D5E">
        <w:rPr>
          <w:noProof/>
          <w:lang w:val="en-MY"/>
        </w:rPr>
        <w:t xml:space="preserve"> from these </w:t>
      </w:r>
      <w:r w:rsidR="00964D5E" w:rsidRPr="00964D5E">
        <w:rPr>
          <w:b/>
          <w:bCs/>
          <w:noProof/>
          <w:lang w:val="en-MY"/>
        </w:rPr>
        <w:t>dividend</w:t>
      </w:r>
      <w:r w:rsidR="00964D5E" w:rsidRPr="00964D5E">
        <w:rPr>
          <w:noProof/>
          <w:lang w:val="en-MY"/>
        </w:rPr>
        <w:t xml:space="preserve"> </w:t>
      </w:r>
      <w:r w:rsidR="00964D5E" w:rsidRPr="00964D5E">
        <w:rPr>
          <w:b/>
          <w:bCs/>
          <w:noProof/>
          <w:lang w:val="en-MY"/>
        </w:rPr>
        <w:t>stocks</w:t>
      </w:r>
      <w:r w:rsidR="00964D5E" w:rsidRPr="00964D5E">
        <w:rPr>
          <w:noProof/>
          <w:lang w:val="en-MY"/>
        </w:rPr>
        <w:t xml:space="preserve"> to pay monthly bills</w:t>
      </w:r>
      <w:r>
        <w:rPr>
          <w:lang w:val="en-MY"/>
        </w:rPr>
        <w:t xml:space="preserve">. </w:t>
      </w:r>
    </w:p>
    <w:p w14:paraId="1E24D15F" w14:textId="42E891D2" w:rsidR="00F53843" w:rsidRDefault="00964D5E" w:rsidP="00F53843">
      <w:pPr>
        <w:spacing w:line="480" w:lineRule="auto"/>
        <w:ind w:firstLine="720"/>
        <w:rPr>
          <w:lang w:val="en-MY"/>
        </w:rPr>
      </w:pPr>
      <w:r w:rsidRPr="00964D5E">
        <w:rPr>
          <w:lang w:val="en-MY"/>
        </w:rPr>
        <w:t xml:space="preserve">As I have said before, </w:t>
      </w:r>
      <w:r w:rsidRPr="00964D5E">
        <w:rPr>
          <w:b/>
          <w:bCs/>
          <w:lang w:val="en-MY"/>
        </w:rPr>
        <w:t>dividend</w:t>
      </w:r>
      <w:r w:rsidRPr="00964D5E">
        <w:rPr>
          <w:lang w:val="en-MY"/>
        </w:rPr>
        <w:t xml:space="preserve"> </w:t>
      </w:r>
      <w:r w:rsidRPr="00964D5E">
        <w:rPr>
          <w:b/>
          <w:bCs/>
          <w:lang w:val="en-MY"/>
        </w:rPr>
        <w:t>stocks</w:t>
      </w:r>
      <w:r w:rsidRPr="00964D5E">
        <w:rPr>
          <w:lang w:val="en-MY"/>
        </w:rPr>
        <w:t xml:space="preserve"> are not something to ignore. Yes, everyone wants to buy the big boys like Apple or Tesla, but </w:t>
      </w:r>
      <w:r w:rsidRPr="00964D5E">
        <w:rPr>
          <w:b/>
          <w:bCs/>
          <w:lang w:val="en-MY"/>
        </w:rPr>
        <w:t>dividend</w:t>
      </w:r>
      <w:r w:rsidRPr="00964D5E">
        <w:rPr>
          <w:lang w:val="en-MY"/>
        </w:rPr>
        <w:t xml:space="preserve"> </w:t>
      </w:r>
      <w:r w:rsidRPr="00964D5E">
        <w:rPr>
          <w:b/>
          <w:bCs/>
          <w:lang w:val="en-MY"/>
        </w:rPr>
        <w:t>stocks</w:t>
      </w:r>
      <w:r w:rsidRPr="00964D5E">
        <w:rPr>
          <w:lang w:val="en-MY"/>
        </w:rPr>
        <w:t xml:space="preserve"> like these have a lot of growth potential as well. Getting passive income from </w:t>
      </w:r>
      <w:r w:rsidRPr="00964D5E">
        <w:rPr>
          <w:b/>
          <w:bCs/>
          <w:lang w:val="en-MY"/>
        </w:rPr>
        <w:t>dividend</w:t>
      </w:r>
      <w:r w:rsidRPr="00964D5E">
        <w:rPr>
          <w:lang w:val="en-MY"/>
        </w:rPr>
        <w:t xml:space="preserve"> </w:t>
      </w:r>
      <w:r w:rsidRPr="00964D5E">
        <w:rPr>
          <w:b/>
          <w:bCs/>
          <w:lang w:val="en-MY"/>
        </w:rPr>
        <w:t>stocks</w:t>
      </w:r>
      <w:r w:rsidRPr="00964D5E">
        <w:rPr>
          <w:lang w:val="en-MY"/>
        </w:rPr>
        <w:t xml:space="preserve"> like these can really boost your financial situation. Never say no to passive income. Why work multiple jobs when you can just sit at home while your </w:t>
      </w:r>
      <w:r w:rsidRPr="00964D5E">
        <w:rPr>
          <w:b/>
          <w:bCs/>
          <w:lang w:val="en-MY"/>
        </w:rPr>
        <w:t>money</w:t>
      </w:r>
      <w:r w:rsidRPr="00964D5E">
        <w:rPr>
          <w:lang w:val="en-MY"/>
        </w:rPr>
        <w:t xml:space="preserve"> grows and you get paid </w:t>
      </w:r>
      <w:r w:rsidRPr="00964D5E">
        <w:rPr>
          <w:b/>
          <w:bCs/>
          <w:lang w:val="en-MY"/>
        </w:rPr>
        <w:t>dividend</w:t>
      </w:r>
      <w:r w:rsidRPr="00964D5E">
        <w:rPr>
          <w:lang w:val="en-MY"/>
        </w:rPr>
        <w:t>s monthly</w:t>
      </w:r>
      <w:r w:rsidR="00DA6708">
        <w:rPr>
          <w:lang w:val="en-MY"/>
        </w:rPr>
        <w:t>.</w:t>
      </w:r>
      <w:r w:rsidR="00F53843">
        <w:rPr>
          <w:lang w:val="en-MY"/>
        </w:rPr>
        <w:t xml:space="preserve"> </w:t>
      </w:r>
    </w:p>
    <w:p w14:paraId="5727A184" w14:textId="0C3EB691" w:rsidR="00802FD1" w:rsidRDefault="00802FD1" w:rsidP="00802FD1">
      <w:pPr>
        <w:spacing w:line="480" w:lineRule="auto"/>
        <w:rPr>
          <w:lang w:val="en-MY"/>
        </w:rPr>
      </w:pPr>
      <w:r>
        <w:rPr>
          <w:noProof/>
          <w:lang w:val="en-MY"/>
        </w:rPr>
        <w:lastRenderedPageBreak/>
        <w:drawing>
          <wp:anchor distT="0" distB="0" distL="114300" distR="114300" simplePos="0" relativeHeight="251659264" behindDoc="0" locked="0" layoutInCell="1" allowOverlap="1" wp14:anchorId="307F55C1" wp14:editId="78AB07F8">
            <wp:simplePos x="0" y="0"/>
            <wp:positionH relativeFrom="column">
              <wp:posOffset>3307632</wp:posOffset>
            </wp:positionH>
            <wp:positionV relativeFrom="paragraph">
              <wp:posOffset>470204</wp:posOffset>
            </wp:positionV>
            <wp:extent cx="3061335" cy="1894840"/>
            <wp:effectExtent l="12700" t="12700" r="12065" b="10160"/>
            <wp:wrapThrough wrapText="bothSides">
              <wp:wrapPolygon edited="0">
                <wp:start x="-90" y="-145"/>
                <wp:lineTo x="-90" y="21571"/>
                <wp:lineTo x="21596" y="21571"/>
                <wp:lineTo x="21596" y="-145"/>
                <wp:lineTo x="-90" y="-145"/>
              </wp:wrapPolygon>
            </wp:wrapThrough>
            <wp:docPr id="4" name="Picture 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websit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61335" cy="189484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F905C6" w:rsidRPr="00F905C6">
        <w:rPr>
          <w:rFonts w:ascii="Times New Roman" w:eastAsia="Times New Roman" w:hAnsi="Times New Roman" w:cs="Times New Roman"/>
          <w:color w:val="auto"/>
          <w:lang w:val="en-MY" w:eastAsia="en-GB"/>
        </w:rPr>
        <w:fldChar w:fldCharType="begin"/>
      </w:r>
      <w:r w:rsidR="00F905C6" w:rsidRPr="00F905C6">
        <w:rPr>
          <w:rFonts w:ascii="Times New Roman" w:eastAsia="Times New Roman" w:hAnsi="Times New Roman" w:cs="Times New Roman"/>
          <w:color w:val="auto"/>
          <w:lang w:val="en-MY" w:eastAsia="en-GB"/>
        </w:rPr>
        <w:instrText xml:space="preserve"> INCLUDEPICTURE "https://i.insider.com/60f05c36bb790e0018207c17?width=700" \* MERGEFORMATINET </w:instrText>
      </w:r>
      <w:r w:rsidR="00170B95">
        <w:rPr>
          <w:rFonts w:ascii="Times New Roman" w:eastAsia="Times New Roman" w:hAnsi="Times New Roman" w:cs="Times New Roman"/>
          <w:color w:val="auto"/>
          <w:lang w:val="en-MY" w:eastAsia="en-GB"/>
        </w:rPr>
        <w:fldChar w:fldCharType="separate"/>
      </w:r>
      <w:r w:rsidR="00F905C6" w:rsidRPr="00F905C6">
        <w:rPr>
          <w:rFonts w:ascii="Times New Roman" w:eastAsia="Times New Roman" w:hAnsi="Times New Roman" w:cs="Times New Roman"/>
          <w:color w:val="auto"/>
          <w:lang w:val="en-MY" w:eastAsia="en-GB"/>
        </w:rPr>
        <w:fldChar w:fldCharType="end"/>
      </w:r>
      <w:r w:rsidR="00DA6708" w:rsidRPr="00292CD9">
        <w:rPr>
          <w:b/>
          <w:bCs/>
        </w:rPr>
        <w:t xml:space="preserve">EPR </w:t>
      </w:r>
      <w:r w:rsidR="00B5648F" w:rsidRPr="00292CD9">
        <w:rPr>
          <w:b/>
          <w:bCs/>
        </w:rPr>
        <w:t>Properties</w:t>
      </w:r>
      <w:r w:rsidR="00B5648F">
        <w:rPr>
          <w:b/>
          <w:bCs/>
        </w:rPr>
        <w:t xml:space="preserve"> (</w:t>
      </w:r>
      <w:r w:rsidR="00DA6708">
        <w:rPr>
          <w:b/>
          <w:bCs/>
        </w:rPr>
        <w:t>EPR)</w:t>
      </w:r>
      <w:r w:rsidR="00F53843">
        <w:rPr>
          <w:lang w:val="en-MY"/>
        </w:rPr>
        <w:t xml:space="preserve"> </w:t>
      </w:r>
    </w:p>
    <w:p w14:paraId="4DB7363A" w14:textId="0CC933C6" w:rsidR="00F53843" w:rsidRDefault="00964D5E" w:rsidP="00F53843">
      <w:pPr>
        <w:spacing w:line="480" w:lineRule="auto"/>
        <w:ind w:firstLine="720"/>
        <w:rPr>
          <w:lang w:val="en-MY"/>
        </w:rPr>
      </w:pPr>
      <w:r w:rsidRPr="00292CD9">
        <w:rPr>
          <w:b/>
          <w:bCs/>
        </w:rPr>
        <w:t>EPR Properties</w:t>
      </w:r>
      <w:r w:rsidRPr="00964D5E">
        <w:t xml:space="preserve"> has a </w:t>
      </w:r>
      <w:r w:rsidRPr="00964D5E">
        <w:rPr>
          <w:b/>
          <w:bCs/>
        </w:rPr>
        <w:t>dividend</w:t>
      </w:r>
      <w:r w:rsidRPr="00964D5E">
        <w:t xml:space="preserve"> yield of 5.88%. </w:t>
      </w:r>
      <w:r w:rsidRPr="00292CD9">
        <w:rPr>
          <w:b/>
          <w:bCs/>
        </w:rPr>
        <w:t>EPR Properties</w:t>
      </w:r>
      <w:r w:rsidRPr="00964D5E">
        <w:t xml:space="preserve"> is a $3.9 billion company, and over the last year, it has been up 119% after taking a big dip from the pandemic. EPR still has not fully recovered up to its $77 price point, but it is on the right track. EPR is a </w:t>
      </w:r>
      <w:r w:rsidRPr="00964D5E">
        <w:rPr>
          <w:b/>
          <w:bCs/>
        </w:rPr>
        <w:t>real estate</w:t>
      </w:r>
      <w:r w:rsidRPr="00964D5E">
        <w:t xml:space="preserve"> investment trust or REIT. REITs are required to pay back their investors 90% of their taxable income in the form of </w:t>
      </w:r>
      <w:r w:rsidRPr="00964D5E">
        <w:rPr>
          <w:b/>
          <w:bCs/>
        </w:rPr>
        <w:t>dividend</w:t>
      </w:r>
      <w:r w:rsidRPr="00964D5E">
        <w:t xml:space="preserve">s, which is why they usually have pretty good </w:t>
      </w:r>
      <w:r w:rsidRPr="00964D5E">
        <w:rPr>
          <w:b/>
          <w:bCs/>
        </w:rPr>
        <w:t>dividend</w:t>
      </w:r>
      <w:r w:rsidRPr="00964D5E">
        <w:t xml:space="preserve"> yields</w:t>
      </w:r>
      <w:r w:rsidRPr="00964D5E">
        <w:t xml:space="preserve"> </w:t>
      </w:r>
      <w:r>
        <w:t xml:space="preserve">(link to: </w:t>
      </w:r>
      <w:hyperlink r:id="rId9" w:history="1">
        <w:r w:rsidRPr="00AB649A">
          <w:rPr>
            <w:rStyle w:val="Hyperlink"/>
          </w:rPr>
          <w:t>https://investors.eprkc.com/investing-asset-management/default.aspx</w:t>
        </w:r>
      </w:hyperlink>
      <w:r>
        <w:t xml:space="preserve"> ).</w:t>
      </w:r>
    </w:p>
    <w:p w14:paraId="7DFC0A93" w14:textId="4FC00448" w:rsidR="00F53843" w:rsidRDefault="00802FD1" w:rsidP="00F53843">
      <w:pPr>
        <w:spacing w:line="480" w:lineRule="auto"/>
        <w:ind w:firstLine="720"/>
      </w:pPr>
      <w:r w:rsidRPr="00802FD1">
        <w:drawing>
          <wp:anchor distT="0" distB="0" distL="114300" distR="114300" simplePos="0" relativeHeight="251660288" behindDoc="0" locked="0" layoutInCell="1" allowOverlap="1" wp14:anchorId="17130C91" wp14:editId="4707BFE4">
            <wp:simplePos x="0" y="0"/>
            <wp:positionH relativeFrom="column">
              <wp:posOffset>3294380</wp:posOffset>
            </wp:positionH>
            <wp:positionV relativeFrom="paragraph">
              <wp:posOffset>168275</wp:posOffset>
            </wp:positionV>
            <wp:extent cx="3074035" cy="2040255"/>
            <wp:effectExtent l="12700" t="12700" r="12065" b="17145"/>
            <wp:wrapThrough wrapText="bothSides">
              <wp:wrapPolygon edited="0">
                <wp:start x="-89" y="-134"/>
                <wp:lineTo x="-89" y="21647"/>
                <wp:lineTo x="21596" y="21647"/>
                <wp:lineTo x="21596" y="-134"/>
                <wp:lineTo x="-89" y="-134"/>
              </wp:wrapPolygon>
            </wp:wrapThrough>
            <wp:docPr id="1" name="Picture 1" descr="A picture containing text, decker, dou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decker, doubl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074035" cy="204025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964D5E" w:rsidRPr="00292CD9">
        <w:rPr>
          <w:b/>
          <w:bCs/>
        </w:rPr>
        <w:t>EPR Properties</w:t>
      </w:r>
      <w:r w:rsidR="00964D5E" w:rsidRPr="00964D5E">
        <w:t xml:space="preserve"> specializes in experimental </w:t>
      </w:r>
      <w:r w:rsidR="00964D5E" w:rsidRPr="00964D5E">
        <w:rPr>
          <w:b/>
          <w:bCs/>
        </w:rPr>
        <w:t>real estate</w:t>
      </w:r>
      <w:r w:rsidR="00964D5E" w:rsidRPr="00964D5E">
        <w:t xml:space="preserve"> such as movie theaters like AMC Theaters, ski resorts, and other gaming facilities. But as you know, venues like these were shut down during the pandemic. Now, as the markets start to recover from the pandemic, EPR price also starts to recover</w:t>
      </w:r>
      <w:r w:rsidR="00F53843">
        <w:t>.</w:t>
      </w:r>
      <w:r w:rsidRPr="00802FD1">
        <w:rPr>
          <w:noProof/>
        </w:rPr>
        <w:t xml:space="preserve"> </w:t>
      </w:r>
    </w:p>
    <w:p w14:paraId="5B7CA8D4" w14:textId="656BED81" w:rsidR="00DA6708" w:rsidRPr="00F53843" w:rsidRDefault="00964D5E" w:rsidP="00F53843">
      <w:pPr>
        <w:spacing w:line="480" w:lineRule="auto"/>
        <w:ind w:firstLine="720"/>
        <w:rPr>
          <w:lang w:val="en-MY"/>
        </w:rPr>
      </w:pPr>
      <w:r w:rsidRPr="00964D5E">
        <w:t xml:space="preserve">During the pandemic, </w:t>
      </w:r>
      <w:r w:rsidRPr="00292CD9">
        <w:rPr>
          <w:b/>
          <w:bCs/>
        </w:rPr>
        <w:t>EPR Properties</w:t>
      </w:r>
      <w:r w:rsidRPr="00964D5E">
        <w:t xml:space="preserve"> halted their </w:t>
      </w:r>
      <w:r w:rsidRPr="00964D5E">
        <w:rPr>
          <w:b/>
          <w:bCs/>
        </w:rPr>
        <w:t>dividend</w:t>
      </w:r>
      <w:r w:rsidRPr="00964D5E">
        <w:t xml:space="preserve">s because the company was not bringing in any sources of income from the movie theaters, ski resorts, and gaming facilities. But as the world started to open back up, EPR in July 2021 brought back its </w:t>
      </w:r>
      <w:r w:rsidRPr="00964D5E">
        <w:rPr>
          <w:b/>
          <w:bCs/>
        </w:rPr>
        <w:t>dividend</w:t>
      </w:r>
      <w:r w:rsidRPr="00964D5E">
        <w:t xml:space="preserve">s, now almost 6%.  </w:t>
      </w:r>
      <w:r w:rsidRPr="00292CD9">
        <w:rPr>
          <w:b/>
          <w:bCs/>
        </w:rPr>
        <w:t>EPR Properties</w:t>
      </w:r>
      <w:r w:rsidRPr="00964D5E">
        <w:t xml:space="preserve"> is one to </w:t>
      </w:r>
      <w:proofErr w:type="gramStart"/>
      <w:r w:rsidRPr="00964D5E">
        <w:t>definitely have</w:t>
      </w:r>
      <w:proofErr w:type="gramEnd"/>
      <w:r w:rsidRPr="00964D5E">
        <w:t xml:space="preserve"> on your radar right now. As the economy </w:t>
      </w:r>
      <w:r w:rsidRPr="00964D5E">
        <w:lastRenderedPageBreak/>
        <w:t>starts to open back up and people start to go back to the movie theaters, you can see EPR starting to recover back to its original state</w:t>
      </w:r>
      <w:r w:rsidR="00802FD1">
        <w:t>.</w:t>
      </w:r>
    </w:p>
    <w:p w14:paraId="3C7BAD7A" w14:textId="77777777" w:rsidR="00DA6708" w:rsidRDefault="00DA6708" w:rsidP="005F29F9">
      <w:pPr>
        <w:spacing w:after="0" w:line="480" w:lineRule="auto"/>
        <w:rPr>
          <w:b/>
          <w:bCs/>
        </w:rPr>
      </w:pPr>
    </w:p>
    <w:p w14:paraId="0CBF847D" w14:textId="1C2633F2" w:rsidR="000542DA" w:rsidRDefault="00DA6708" w:rsidP="00DA6708">
      <w:pPr>
        <w:spacing w:after="0" w:line="480" w:lineRule="auto"/>
        <w:rPr>
          <w:b/>
          <w:bCs/>
          <w:lang w:val="en-MY"/>
        </w:rPr>
      </w:pPr>
      <w:r w:rsidRPr="00292CD9">
        <w:rPr>
          <w:b/>
          <w:bCs/>
          <w:lang w:val="en-MY"/>
        </w:rPr>
        <w:t>Realty Income</w:t>
      </w:r>
      <w:r w:rsidR="00802FD1">
        <w:rPr>
          <w:b/>
          <w:bCs/>
          <w:lang w:val="en-MY"/>
        </w:rPr>
        <w:t xml:space="preserve"> </w:t>
      </w:r>
      <w:r w:rsidRPr="00DA6708">
        <w:rPr>
          <w:b/>
          <w:bCs/>
          <w:lang w:val="en-MY"/>
        </w:rPr>
        <w:t>(O)</w:t>
      </w:r>
    </w:p>
    <w:p w14:paraId="00A38FB4" w14:textId="1DCC9621" w:rsidR="00292CD9" w:rsidRPr="00DA6708" w:rsidRDefault="00292CD9" w:rsidP="00292CD9">
      <w:pPr>
        <w:spacing w:after="0" w:line="480" w:lineRule="auto"/>
        <w:jc w:val="center"/>
        <w:rPr>
          <w:b/>
          <w:bCs/>
          <w:lang w:val="en-MY"/>
        </w:rPr>
      </w:pPr>
      <w:r w:rsidRPr="00964D5E">
        <w:drawing>
          <wp:inline distT="0" distB="0" distL="0" distR="0" wp14:anchorId="4CA82A22" wp14:editId="6A653DE4">
            <wp:extent cx="4502856" cy="2360472"/>
            <wp:effectExtent l="12700" t="12700" r="18415" b="14605"/>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 company name&#10;&#10;Description automatically generated"/>
                    <pic:cNvPicPr/>
                  </pic:nvPicPr>
                  <pic:blipFill>
                    <a:blip r:embed="rId11"/>
                    <a:stretch>
                      <a:fillRect/>
                    </a:stretch>
                  </pic:blipFill>
                  <pic:spPr>
                    <a:xfrm>
                      <a:off x="0" y="0"/>
                      <a:ext cx="4568139" cy="2394695"/>
                    </a:xfrm>
                    <a:prstGeom prst="rect">
                      <a:avLst/>
                    </a:prstGeom>
                    <a:ln>
                      <a:solidFill>
                        <a:schemeClr val="accent1"/>
                      </a:solidFill>
                    </a:ln>
                  </pic:spPr>
                </pic:pic>
              </a:graphicData>
            </a:graphic>
          </wp:inline>
        </w:drawing>
      </w:r>
    </w:p>
    <w:p w14:paraId="765CEF60" w14:textId="4299AA47" w:rsidR="003D66E5" w:rsidRPr="00292CD9" w:rsidRDefault="00964D5E" w:rsidP="00292CD9">
      <w:pPr>
        <w:spacing w:line="480" w:lineRule="auto"/>
        <w:ind w:firstLine="720"/>
        <w:rPr>
          <w:lang w:val="en-MY"/>
        </w:rPr>
      </w:pPr>
      <w:r w:rsidRPr="00964D5E">
        <w:rPr>
          <w:b/>
          <w:bCs/>
          <w:lang w:val="en-MY"/>
        </w:rPr>
        <w:t>Realty Income</w:t>
      </w:r>
      <w:r w:rsidRPr="00964D5E">
        <w:rPr>
          <w:lang w:val="en-MY"/>
        </w:rPr>
        <w:t xml:space="preserve"> has single-tenant commercial properties in the United States, Spain, and the United Kingdom. It is a very large company with a net income of over $400 million a year. Its total assets are worth up to $18 billion (link to: </w:t>
      </w:r>
      <w:hyperlink r:id="rId12" w:tgtFrame="_blank" w:history="1">
        <w:r w:rsidRPr="00964D5E">
          <w:rPr>
            <w:rStyle w:val="Hyperlink"/>
            <w:lang w:val="en-MY"/>
          </w:rPr>
          <w:t>https://www.forbes.com/companies/realty-income/?sh=19d8dd817f2b</w:t>
        </w:r>
      </w:hyperlink>
      <w:r w:rsidRPr="00964D5E">
        <w:rPr>
          <w:lang w:val="en-MY"/>
        </w:rPr>
        <w:t xml:space="preserve">). It is a constantly growing company, and its </w:t>
      </w:r>
      <w:r w:rsidRPr="00964D5E">
        <w:rPr>
          <w:b/>
          <w:bCs/>
          <w:lang w:val="en-MY"/>
        </w:rPr>
        <w:t>stocks</w:t>
      </w:r>
      <w:r w:rsidRPr="00964D5E">
        <w:rPr>
          <w:lang w:val="en-MY"/>
        </w:rPr>
        <w:t xml:space="preserve"> were not affected by the pandemic. In fact, it continued to grow over the past year</w:t>
      </w:r>
      <w:r>
        <w:t xml:space="preserve">. </w:t>
      </w:r>
    </w:p>
    <w:p w14:paraId="72BD7261" w14:textId="2D59A181" w:rsidR="00DA6708" w:rsidRDefault="00964D5E" w:rsidP="003D66E5">
      <w:pPr>
        <w:spacing w:line="480" w:lineRule="auto"/>
        <w:ind w:firstLine="720"/>
      </w:pPr>
      <w:r w:rsidRPr="00292CD9">
        <w:rPr>
          <w:b/>
          <w:bCs/>
        </w:rPr>
        <w:t>Realty Income</w:t>
      </w:r>
      <w:r w:rsidRPr="00964D5E">
        <w:t xml:space="preserve"> is well known for being a monthly payment </w:t>
      </w:r>
      <w:r w:rsidRPr="00964D5E">
        <w:rPr>
          <w:b/>
          <w:bCs/>
        </w:rPr>
        <w:t>dividend</w:t>
      </w:r>
      <w:r w:rsidRPr="00964D5E">
        <w:t xml:space="preserve"> stock over the last year. It is up 26% over the past year, and it has a </w:t>
      </w:r>
      <w:r w:rsidRPr="00964D5E">
        <w:rPr>
          <w:b/>
          <w:bCs/>
        </w:rPr>
        <w:t>dividend</w:t>
      </w:r>
      <w:r w:rsidRPr="00964D5E">
        <w:t xml:space="preserve"> yield of 3.86%. </w:t>
      </w:r>
      <w:r w:rsidRPr="00292CD9">
        <w:rPr>
          <w:b/>
          <w:bCs/>
        </w:rPr>
        <w:t>Realty Income</w:t>
      </w:r>
      <w:r w:rsidRPr="00964D5E">
        <w:t xml:space="preserve"> is also a REIT and has a strong clientele which includes Walmart and Dollar General. </w:t>
      </w:r>
      <w:proofErr w:type="gramStart"/>
      <w:r w:rsidRPr="00964D5E">
        <w:t>As long as</w:t>
      </w:r>
      <w:proofErr w:type="gramEnd"/>
      <w:r w:rsidRPr="00964D5E">
        <w:t xml:space="preserve"> these tenants, Walmart and Dollar general, should continue to do well, then you are going to consistently get your </w:t>
      </w:r>
      <w:r w:rsidRPr="00964D5E">
        <w:rPr>
          <w:b/>
          <w:bCs/>
        </w:rPr>
        <w:t>dividend</w:t>
      </w:r>
      <w:r w:rsidRPr="00964D5E">
        <w:t xml:space="preserve"> payments from the monthly payment </w:t>
      </w:r>
      <w:r w:rsidRPr="00964D5E">
        <w:rPr>
          <w:b/>
          <w:bCs/>
        </w:rPr>
        <w:t>dividend</w:t>
      </w:r>
      <w:r w:rsidRPr="00964D5E">
        <w:t xml:space="preserve"> </w:t>
      </w:r>
      <w:r w:rsidRPr="00964D5E">
        <w:rPr>
          <w:b/>
          <w:bCs/>
        </w:rPr>
        <w:t>stocks</w:t>
      </w:r>
      <w:r w:rsidR="003D66E5">
        <w:t>.</w:t>
      </w:r>
    </w:p>
    <w:p w14:paraId="4C92F93C" w14:textId="1AD183E4" w:rsidR="002B4D9A" w:rsidRDefault="000542DA" w:rsidP="000542DA">
      <w:pPr>
        <w:spacing w:after="0" w:line="480" w:lineRule="auto"/>
        <w:ind w:firstLine="720"/>
      </w:pPr>
      <w:r>
        <w:t xml:space="preserve"> </w:t>
      </w:r>
    </w:p>
    <w:p w14:paraId="1E857CA9" w14:textId="7132A478" w:rsidR="000D1C64" w:rsidRPr="000542DA" w:rsidRDefault="000542DA" w:rsidP="000542DA">
      <w:pPr>
        <w:spacing w:after="0" w:line="480" w:lineRule="auto"/>
        <w:ind w:firstLine="720"/>
        <w:rPr>
          <w:lang w:val="en-MY"/>
        </w:rPr>
      </w:pPr>
      <w:r>
        <w:t xml:space="preserve">Thanks again for reading guys make sure you stick around for the next one. </w:t>
      </w:r>
    </w:p>
    <w:sectPr w:rsidR="000D1C64" w:rsidRPr="000542DA">
      <w:footerReference w:type="default" r:id="rId13"/>
      <w:pgSz w:w="11907" w:h="16839" w:code="9"/>
      <w:pgMar w:top="1080" w:right="864" w:bottom="1584" w:left="86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9A75C" w14:textId="77777777" w:rsidR="00170B95" w:rsidRDefault="00170B95">
      <w:pPr>
        <w:spacing w:after="0" w:line="240" w:lineRule="auto"/>
      </w:pPr>
      <w:r>
        <w:separator/>
      </w:r>
    </w:p>
  </w:endnote>
  <w:endnote w:type="continuationSeparator" w:id="0">
    <w:p w14:paraId="693ECEA1" w14:textId="77777777" w:rsidR="00170B95" w:rsidRDefault="00170B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2852419"/>
      <w:docPartObj>
        <w:docPartGallery w:val="Page Numbers (Bottom of Page)"/>
        <w:docPartUnique/>
      </w:docPartObj>
    </w:sdtPr>
    <w:sdtEndPr>
      <w:rPr>
        <w:noProof/>
      </w:rPr>
    </w:sdtEndPr>
    <w:sdtContent>
      <w:p w14:paraId="4BC78901" w14:textId="77777777" w:rsidR="008D6335" w:rsidRDefault="000E0CD7">
        <w:r>
          <w:rPr>
            <w:lang w:val="en-GB" w:bidi="en-GB"/>
          </w:rPr>
          <w:fldChar w:fldCharType="begin"/>
        </w:r>
        <w:r>
          <w:rPr>
            <w:lang w:val="en-GB" w:bidi="en-GB"/>
          </w:rPr>
          <w:instrText xml:space="preserve"> PAGE   \* MERGEFORMAT </w:instrText>
        </w:r>
        <w:r>
          <w:rPr>
            <w:lang w:val="en-GB" w:bidi="en-GB"/>
          </w:rPr>
          <w:fldChar w:fldCharType="separate"/>
        </w:r>
        <w:r w:rsidR="004A6047">
          <w:rPr>
            <w:noProof/>
            <w:lang w:val="en-GB" w:bidi="en-GB"/>
          </w:rPr>
          <w:t>0</w:t>
        </w:r>
        <w:r>
          <w:rPr>
            <w:noProof/>
            <w:lang w:val="en-GB" w:bidi="en-GB"/>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0226F" w14:textId="77777777" w:rsidR="00170B95" w:rsidRDefault="00170B95">
      <w:pPr>
        <w:spacing w:after="0" w:line="240" w:lineRule="auto"/>
      </w:pPr>
      <w:r>
        <w:separator/>
      </w:r>
    </w:p>
  </w:footnote>
  <w:footnote w:type="continuationSeparator" w:id="0">
    <w:p w14:paraId="288D60D4" w14:textId="77777777" w:rsidR="00170B95" w:rsidRDefault="00170B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EE2A7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9A8315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19E430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0C6C95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D80F29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2A46C7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FC25A4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75E5B4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2F819E8"/>
    <w:lvl w:ilvl="0">
      <w:start w:val="1"/>
      <w:numFmt w:val="decimal"/>
      <w:lvlText w:val="%1."/>
      <w:lvlJc w:val="left"/>
      <w:pPr>
        <w:ind w:left="1080" w:hanging="360"/>
      </w:pPr>
      <w:rPr>
        <w:rFonts w:hint="default"/>
      </w:rPr>
    </w:lvl>
  </w:abstractNum>
  <w:abstractNum w:abstractNumId="9" w15:restartNumberingAfterBreak="0">
    <w:nsid w:val="FFFFFF89"/>
    <w:multiLevelType w:val="singleLevel"/>
    <w:tmpl w:val="C97C33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C190004"/>
    <w:multiLevelType w:val="hybridMultilevel"/>
    <w:tmpl w:val="84A4F6C8"/>
    <w:lvl w:ilvl="0" w:tplc="1C7E5174">
      <w:start w:val="1"/>
      <w:numFmt w:val="bullet"/>
      <w:lvlText w:val=""/>
      <w:lvlJc w:val="left"/>
      <w:pPr>
        <w:tabs>
          <w:tab w:val="num" w:pos="720"/>
        </w:tabs>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385202"/>
    <w:multiLevelType w:val="hybridMultilevel"/>
    <w:tmpl w:val="C13A5756"/>
    <w:lvl w:ilvl="0" w:tplc="EFC0596C">
      <w:start w:val="1"/>
      <w:numFmt w:val="decimal"/>
      <w:lvlText w:val="%1."/>
      <w:lvlJc w:val="left"/>
      <w:pPr>
        <w:tabs>
          <w:tab w:val="num" w:pos="1080"/>
        </w:tabs>
        <w:ind w:left="10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8"/>
  </w:num>
  <w:num w:numId="3">
    <w:abstractNumId w:val="9"/>
  </w:num>
  <w:num w:numId="4">
    <w:abstractNumId w:val="8"/>
    <w:lvlOverride w:ilvl="0">
      <w:lvl w:ilvl="0">
        <w:start w:val="1"/>
        <w:numFmt w:val="decimal"/>
        <w:lvlText w:val="%1."/>
        <w:lvlJc w:val="left"/>
        <w:pPr>
          <w:tabs>
            <w:tab w:val="num" w:pos="1080"/>
          </w:tabs>
          <w:ind w:left="1080" w:hanging="360"/>
        </w:pPr>
        <w:rPr>
          <w:rFonts w:hint="default"/>
        </w:rPr>
      </w:lvl>
    </w:lvlOverride>
  </w:num>
  <w:num w:numId="5">
    <w:abstractNumId w:val="10"/>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8"/>
    <w:lvlOverride w:ilvl="0">
      <w:startOverride w:val="1"/>
    </w:lvlOverride>
  </w:num>
  <w:num w:numId="15">
    <w:abstractNumId w:val="8"/>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66"/>
    <w:rsid w:val="000542DA"/>
    <w:rsid w:val="000713D3"/>
    <w:rsid w:val="000D1C64"/>
    <w:rsid w:val="000E0CD7"/>
    <w:rsid w:val="00122B3F"/>
    <w:rsid w:val="00142F69"/>
    <w:rsid w:val="00170B95"/>
    <w:rsid w:val="001B79F4"/>
    <w:rsid w:val="0020610F"/>
    <w:rsid w:val="002453C1"/>
    <w:rsid w:val="00292CD9"/>
    <w:rsid w:val="002B4D9A"/>
    <w:rsid w:val="003D66E5"/>
    <w:rsid w:val="00415DAD"/>
    <w:rsid w:val="004266BB"/>
    <w:rsid w:val="004A48BA"/>
    <w:rsid w:val="004A6047"/>
    <w:rsid w:val="0050230F"/>
    <w:rsid w:val="0053084A"/>
    <w:rsid w:val="005F29F9"/>
    <w:rsid w:val="006070C0"/>
    <w:rsid w:val="006777E6"/>
    <w:rsid w:val="00773DB1"/>
    <w:rsid w:val="00782384"/>
    <w:rsid w:val="00795633"/>
    <w:rsid w:val="0079702E"/>
    <w:rsid w:val="007B08C7"/>
    <w:rsid w:val="007D4D03"/>
    <w:rsid w:val="00802FD1"/>
    <w:rsid w:val="00897E57"/>
    <w:rsid w:val="008D6335"/>
    <w:rsid w:val="00964D5E"/>
    <w:rsid w:val="00984204"/>
    <w:rsid w:val="00B5648F"/>
    <w:rsid w:val="00B670EA"/>
    <w:rsid w:val="00B901DA"/>
    <w:rsid w:val="00BA17AA"/>
    <w:rsid w:val="00C21138"/>
    <w:rsid w:val="00C34A67"/>
    <w:rsid w:val="00C46A2D"/>
    <w:rsid w:val="00C853AB"/>
    <w:rsid w:val="00D235C6"/>
    <w:rsid w:val="00DA6708"/>
    <w:rsid w:val="00DB3B7A"/>
    <w:rsid w:val="00E332EF"/>
    <w:rsid w:val="00E50F66"/>
    <w:rsid w:val="00E9587B"/>
    <w:rsid w:val="00EC3CBE"/>
    <w:rsid w:val="00F26AFD"/>
    <w:rsid w:val="00F53843"/>
    <w:rsid w:val="00F905C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6E6495"/>
  <w15:chartTrackingRefBased/>
  <w15:docId w15:val="{F7B7ADB5-A174-E045-AF61-3B9E9F1E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666660" w:themeColor="text2" w:themeTint="BF"/>
        <w:sz w:val="24"/>
        <w:szCs w:val="24"/>
        <w:lang w:val="en-US" w:eastAsia="ja-JP" w:bidi="ar-SA"/>
      </w:rPr>
    </w:rPrDefault>
    <w:pPrDefault>
      <w:pPr>
        <w:spacing w:after="36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60"/>
      <w:contextualSpacing/>
      <w:outlineLvl w:val="0"/>
    </w:pPr>
    <w:rPr>
      <w:rFonts w:asciiTheme="majorHAnsi" w:eastAsiaTheme="majorEastAsia" w:hAnsiTheme="majorHAnsi" w:cstheme="majorBidi"/>
      <w:b/>
      <w:color w:val="454541" w:themeColor="text2" w:themeTint="E6"/>
      <w:sz w:val="44"/>
      <w:szCs w:val="32"/>
    </w:rPr>
  </w:style>
  <w:style w:type="paragraph" w:styleId="Heading4">
    <w:name w:val="heading 4"/>
    <w:basedOn w:val="Normal"/>
    <w:next w:val="Normal"/>
    <w:uiPriority w:val="9"/>
    <w:semiHidden/>
    <w:unhideWhenUsed/>
    <w:qFormat/>
    <w:pPr>
      <w:keepNext/>
      <w:keepLines/>
      <w:spacing w:before="340" w:after="120"/>
      <w:contextualSpacing/>
      <w:outlineLvl w:val="3"/>
    </w:pPr>
    <w:rPr>
      <w:rFonts w:asciiTheme="majorHAnsi" w:eastAsiaTheme="majorEastAsia" w:hAnsiTheme="majorHAnsi" w:cstheme="majorBidi"/>
      <w:iCs/>
      <w:color w:val="FF7A00" w:themeColor="accent1"/>
    </w:rPr>
  </w:style>
  <w:style w:type="paragraph" w:styleId="Heading5">
    <w:name w:val="heading 5"/>
    <w:basedOn w:val="Normal"/>
    <w:next w:val="Normal"/>
    <w:link w:val="Heading5Char"/>
    <w:uiPriority w:val="9"/>
    <w:semiHidden/>
    <w:unhideWhenUsed/>
    <w:qFormat/>
    <w:pPr>
      <w:keepNext/>
      <w:keepLines/>
      <w:spacing w:before="340" w:after="120"/>
      <w:contextualSpacing/>
      <w:outlineLvl w:val="4"/>
    </w:pPr>
    <w:rPr>
      <w:rFonts w:asciiTheme="majorHAnsi" w:eastAsiaTheme="majorEastAsia" w:hAnsiTheme="majorHAnsi" w:cstheme="majorBidi"/>
      <w:i/>
      <w:color w:val="FF7A00" w:themeColor="accent1"/>
    </w:rPr>
  </w:style>
  <w:style w:type="paragraph" w:styleId="Heading6">
    <w:name w:val="heading 6"/>
    <w:basedOn w:val="Normal"/>
    <w:next w:val="Normal"/>
    <w:link w:val="Heading6Char"/>
    <w:uiPriority w:val="9"/>
    <w:semiHidden/>
    <w:unhideWhenUsed/>
    <w:qFormat/>
    <w:pPr>
      <w:keepNext/>
      <w:keepLines/>
      <w:spacing w:before="340" w:after="120"/>
      <w:contextualSpacing/>
      <w:outlineLvl w:val="5"/>
    </w:pPr>
    <w:rPr>
      <w:rFonts w:asciiTheme="majorHAnsi" w:eastAsiaTheme="majorEastAsia" w:hAnsiTheme="majorHAnsi" w:cstheme="majorBidi"/>
      <w:b/>
      <w:color w:val="FF7A00" w:themeColor="accent1"/>
      <w:sz w:val="20"/>
    </w:rPr>
  </w:style>
  <w:style w:type="paragraph" w:styleId="Heading7">
    <w:name w:val="heading 7"/>
    <w:basedOn w:val="Normal"/>
    <w:next w:val="Normal"/>
    <w:link w:val="Heading7Char"/>
    <w:uiPriority w:val="9"/>
    <w:semiHidden/>
    <w:unhideWhenUsed/>
    <w:qFormat/>
    <w:pPr>
      <w:keepNext/>
      <w:keepLines/>
      <w:spacing w:before="340" w:after="120"/>
      <w:contextualSpacing/>
      <w:outlineLvl w:val="6"/>
    </w:pPr>
    <w:rPr>
      <w:rFonts w:asciiTheme="majorHAnsi" w:eastAsiaTheme="majorEastAsia" w:hAnsiTheme="majorHAnsi" w:cstheme="majorBidi"/>
      <w:b/>
      <w:i/>
      <w:iCs/>
      <w:color w:val="FF7A00" w:themeColor="accent1"/>
      <w:sz w:val="20"/>
    </w:rPr>
  </w:style>
  <w:style w:type="paragraph" w:styleId="Heading8">
    <w:name w:val="heading 8"/>
    <w:basedOn w:val="Normal"/>
    <w:next w:val="Normal"/>
    <w:link w:val="Heading8Char"/>
    <w:uiPriority w:val="9"/>
    <w:semiHidden/>
    <w:unhideWhenUsed/>
    <w:qFormat/>
    <w:pPr>
      <w:keepNext/>
      <w:keepLines/>
      <w:spacing w:before="340" w:after="120"/>
      <w:contextualSpacing/>
      <w:outlineLvl w:val="7"/>
    </w:pPr>
    <w:rPr>
      <w:rFonts w:asciiTheme="majorHAnsi" w:eastAsiaTheme="majorEastAsia" w:hAnsiTheme="majorHAnsi" w:cstheme="majorBidi"/>
      <w:color w:val="FF7A00" w:themeColor="accent1"/>
      <w:sz w:val="20"/>
      <w:szCs w:val="21"/>
    </w:rPr>
  </w:style>
  <w:style w:type="paragraph" w:styleId="Heading9">
    <w:name w:val="heading 9"/>
    <w:basedOn w:val="Normal"/>
    <w:next w:val="Normal"/>
    <w:link w:val="Heading9Char"/>
    <w:uiPriority w:val="9"/>
    <w:semiHidden/>
    <w:unhideWhenUsed/>
    <w:qFormat/>
    <w:pPr>
      <w:keepNext/>
      <w:keepLines/>
      <w:spacing w:before="340" w:after="120"/>
      <w:contextualSpacing/>
      <w:outlineLvl w:val="8"/>
    </w:pPr>
    <w:rPr>
      <w:rFonts w:asciiTheme="majorHAnsi" w:eastAsiaTheme="majorEastAsia" w:hAnsiTheme="majorHAnsi" w:cstheme="majorBidi"/>
      <w:i/>
      <w:iCs/>
      <w:color w:val="FF7A00" w:themeColor="accent1"/>
      <w:sz w:val="20"/>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
    <w:qFormat/>
    <w:pPr>
      <w:pBdr>
        <w:bottom w:val="single" w:sz="48" w:space="22" w:color="FF7A00" w:themeColor="accent1"/>
      </w:pBdr>
      <w:spacing w:after="400" w:line="240" w:lineRule="auto"/>
      <w:contextualSpacing/>
    </w:pPr>
    <w:rPr>
      <w:rFonts w:asciiTheme="majorHAnsi" w:eastAsiaTheme="majorEastAsia" w:hAnsiTheme="majorHAnsi" w:cstheme="majorBidi"/>
      <w:b/>
      <w:color w:val="454541" w:themeColor="text2" w:themeTint="E6"/>
      <w:kern w:val="28"/>
      <w:sz w:val="60"/>
      <w:szCs w:val="56"/>
    </w:rPr>
  </w:style>
  <w:style w:type="character" w:customStyle="1" w:styleId="TitleChar">
    <w:name w:val="Title Char"/>
    <w:basedOn w:val="DefaultParagraphFont"/>
    <w:link w:val="Title"/>
    <w:uiPriority w:val="1"/>
    <w:rPr>
      <w:rFonts w:asciiTheme="majorHAnsi" w:eastAsiaTheme="majorEastAsia" w:hAnsiTheme="majorHAnsi" w:cstheme="majorBidi"/>
      <w:b/>
      <w:color w:val="454541" w:themeColor="text2" w:themeTint="E6"/>
      <w:kern w:val="28"/>
      <w:sz w:val="60"/>
      <w:szCs w:val="56"/>
    </w:rPr>
  </w:style>
  <w:style w:type="character" w:customStyle="1" w:styleId="Heading1Char">
    <w:name w:val="Heading 1 Char"/>
    <w:basedOn w:val="DefaultParagraphFont"/>
    <w:link w:val="Heading1"/>
    <w:uiPriority w:val="9"/>
    <w:rPr>
      <w:rFonts w:asciiTheme="majorHAnsi" w:eastAsiaTheme="majorEastAsia" w:hAnsiTheme="majorHAnsi" w:cstheme="majorBidi"/>
      <w:b/>
      <w:color w:val="454541" w:themeColor="text2" w:themeTint="E6"/>
      <w:sz w:val="44"/>
      <w:szCs w:val="32"/>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color w:val="FF7A00" w:themeColor="accent1"/>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color w:val="FF7A00" w:themeColor="accent1"/>
      <w:sz w:val="20"/>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color w:val="FF7A00" w:themeColor="accent1"/>
      <w:sz w:val="20"/>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FF7A00" w:themeColor="accent1"/>
      <w:sz w:val="20"/>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FF7A00" w:themeColor="accent1"/>
      <w:sz w:val="20"/>
      <w:szCs w:val="21"/>
    </w:rPr>
  </w:style>
  <w:style w:type="paragraph" w:styleId="Subtitle">
    <w:name w:val="Subtitle"/>
    <w:basedOn w:val="Normal"/>
    <w:link w:val="SubtitleChar"/>
    <w:uiPriority w:val="11"/>
    <w:semiHidden/>
    <w:unhideWhenUsed/>
    <w:qFormat/>
    <w:pPr>
      <w:numPr>
        <w:ilvl w:val="1"/>
      </w:numPr>
      <w:spacing w:after="480"/>
      <w:contextualSpacing/>
    </w:pPr>
    <w:rPr>
      <w:rFonts w:eastAsiaTheme="minorEastAsia"/>
      <w:color w:val="FF7A00" w:themeColor="accent1"/>
      <w:sz w:val="34"/>
      <w:szCs w:val="22"/>
    </w:rPr>
  </w:style>
  <w:style w:type="character" w:customStyle="1" w:styleId="SubtitleChar">
    <w:name w:val="Subtitle Char"/>
    <w:basedOn w:val="DefaultParagraphFont"/>
    <w:link w:val="Subtitle"/>
    <w:uiPriority w:val="11"/>
    <w:semiHidden/>
    <w:rPr>
      <w:rFonts w:eastAsiaTheme="minorEastAsia"/>
      <w:color w:val="FF7A00" w:themeColor="accent1"/>
      <w:sz w:val="34"/>
      <w:szCs w:val="22"/>
    </w:rPr>
  </w:style>
  <w:style w:type="character" w:styleId="SubtleEmphasis">
    <w:name w:val="Subtle Emphasis"/>
    <w:basedOn w:val="DefaultParagraphFont"/>
    <w:uiPriority w:val="19"/>
    <w:semiHidden/>
    <w:unhideWhenUsed/>
    <w:qFormat/>
    <w:rPr>
      <w:i/>
      <w:iCs/>
      <w:color w:val="666660" w:themeColor="text2" w:themeTint="BF"/>
    </w:rPr>
  </w:style>
  <w:style w:type="character" w:styleId="IntenseEmphasis">
    <w:name w:val="Intense Emphasis"/>
    <w:basedOn w:val="DefaultParagraphFont"/>
    <w:uiPriority w:val="21"/>
    <w:semiHidden/>
    <w:unhideWhenUsed/>
    <w:qFormat/>
    <w:rPr>
      <w:b/>
      <w:i/>
      <w:iCs/>
      <w:color w:val="454541" w:themeColor="text2" w:themeTint="E6"/>
    </w:rPr>
  </w:style>
  <w:style w:type="character" w:styleId="Strong">
    <w:name w:val="Strong"/>
    <w:basedOn w:val="DefaultParagraphFont"/>
    <w:uiPriority w:val="22"/>
    <w:unhideWhenUsed/>
    <w:qFormat/>
    <w:rPr>
      <w:b/>
      <w:bCs/>
      <w:color w:val="666660" w:themeColor="text2" w:themeTint="BF"/>
    </w:rPr>
  </w:style>
  <w:style w:type="paragraph" w:styleId="Quote">
    <w:name w:val="Quote"/>
    <w:basedOn w:val="Normal"/>
    <w:next w:val="Normal"/>
    <w:link w:val="QuoteChar"/>
    <w:uiPriority w:val="29"/>
    <w:semiHidden/>
    <w:unhideWhenUsed/>
    <w:qFormat/>
    <w:pPr>
      <w:spacing w:before="320" w:after="320"/>
    </w:pPr>
    <w:rPr>
      <w:i/>
      <w:iCs/>
      <w:sz w:val="34"/>
    </w:rPr>
  </w:style>
  <w:style w:type="character" w:customStyle="1" w:styleId="QuoteChar">
    <w:name w:val="Quote Char"/>
    <w:basedOn w:val="DefaultParagraphFont"/>
    <w:link w:val="Quote"/>
    <w:uiPriority w:val="29"/>
    <w:semiHidden/>
    <w:rPr>
      <w:i/>
      <w:iCs/>
      <w:sz w:val="34"/>
    </w:rPr>
  </w:style>
  <w:style w:type="paragraph" w:styleId="IntenseQuote">
    <w:name w:val="Intense Quote"/>
    <w:basedOn w:val="Normal"/>
    <w:next w:val="Normal"/>
    <w:link w:val="IntenseQuoteChar"/>
    <w:uiPriority w:val="30"/>
    <w:semiHidden/>
    <w:unhideWhenUsed/>
    <w:qFormat/>
    <w:pPr>
      <w:spacing w:before="320" w:after="320"/>
    </w:pPr>
    <w:rPr>
      <w:b/>
      <w:i/>
      <w:iCs/>
      <w:color w:val="454541" w:themeColor="text2" w:themeTint="E6"/>
      <w:sz w:val="34"/>
    </w:rPr>
  </w:style>
  <w:style w:type="character" w:customStyle="1" w:styleId="IntenseQuoteChar">
    <w:name w:val="Intense Quote Char"/>
    <w:basedOn w:val="DefaultParagraphFont"/>
    <w:link w:val="IntenseQuote"/>
    <w:uiPriority w:val="30"/>
    <w:semiHidden/>
    <w:rPr>
      <w:b/>
      <w:i/>
      <w:iCs/>
      <w:color w:val="454541" w:themeColor="text2" w:themeTint="E6"/>
      <w:sz w:val="34"/>
    </w:rPr>
  </w:style>
  <w:style w:type="character" w:styleId="SubtleReference">
    <w:name w:val="Subtle Reference"/>
    <w:basedOn w:val="DefaultParagraphFont"/>
    <w:uiPriority w:val="31"/>
    <w:semiHidden/>
    <w:unhideWhenUsed/>
    <w:qFormat/>
    <w:rPr>
      <w:caps/>
      <w:smallCaps w:val="0"/>
      <w:color w:val="666660" w:themeColor="text2" w:themeTint="BF"/>
    </w:rPr>
  </w:style>
  <w:style w:type="character" w:styleId="IntenseReference">
    <w:name w:val="Intense Reference"/>
    <w:basedOn w:val="DefaultParagraphFont"/>
    <w:uiPriority w:val="32"/>
    <w:semiHidden/>
    <w:unhideWhenUsed/>
    <w:qFormat/>
    <w:rPr>
      <w:b/>
      <w:bCs/>
      <w:caps/>
      <w:smallCaps w:val="0"/>
      <w:color w:val="666660" w:themeColor="text2" w:themeTint="BF"/>
      <w:spacing w:val="0"/>
    </w:rPr>
  </w:style>
  <w:style w:type="paragraph" w:styleId="Caption">
    <w:name w:val="caption"/>
    <w:basedOn w:val="Normal"/>
    <w:next w:val="Normal"/>
    <w:uiPriority w:val="35"/>
    <w:semiHidden/>
    <w:unhideWhenUsed/>
    <w:qFormat/>
    <w:pPr>
      <w:spacing w:after="200" w:line="240" w:lineRule="auto"/>
    </w:pPr>
    <w:rPr>
      <w:i/>
      <w:iCs/>
      <w:sz w:val="20"/>
      <w:szCs w:val="18"/>
    </w:rPr>
  </w:style>
  <w:style w:type="paragraph" w:styleId="TOCHeading">
    <w:name w:val="TOC Heading"/>
    <w:basedOn w:val="Heading1"/>
    <w:next w:val="Normal"/>
    <w:uiPriority w:val="39"/>
    <w:semiHidden/>
    <w:unhideWhenUsed/>
    <w:qFormat/>
    <w:pPr>
      <w:outlineLvl w:val="9"/>
    </w:pPr>
  </w:style>
  <w:style w:type="character" w:styleId="PlaceholderText">
    <w:name w:val="Placeholder Text"/>
    <w:basedOn w:val="DefaultParagraphFont"/>
    <w:uiPriority w:val="99"/>
    <w:semiHidden/>
    <w:rPr>
      <w:color w:val="808080"/>
    </w:rPr>
  </w:style>
  <w:style w:type="character" w:styleId="BookTitle">
    <w:name w:val="Book Title"/>
    <w:basedOn w:val="DefaultParagraphFont"/>
    <w:uiPriority w:val="33"/>
    <w:semiHidden/>
    <w:unhideWhenUsed/>
    <w:rPr>
      <w:b w:val="0"/>
      <w:bCs/>
      <w:i w:val="0"/>
      <w:iCs/>
      <w:spacing w:val="0"/>
      <w:u w:val="single"/>
    </w:rPr>
  </w:style>
  <w:style w:type="paragraph" w:styleId="TOAHeading">
    <w:name w:val="toa heading"/>
    <w:basedOn w:val="Normal"/>
    <w:next w:val="Normal"/>
    <w:uiPriority w:val="99"/>
    <w:semiHidden/>
    <w:unhideWhenUsed/>
    <w:pPr>
      <w:spacing w:before="120"/>
    </w:pPr>
    <w:rPr>
      <w:rFonts w:asciiTheme="majorHAnsi" w:eastAsiaTheme="majorEastAsia" w:hAnsiTheme="majorHAnsi" w:cstheme="majorBidi"/>
      <w:b/>
      <w:bCs/>
    </w:rPr>
  </w:style>
  <w:style w:type="paragraph" w:styleId="Header">
    <w:name w:val="header"/>
    <w:basedOn w:val="Normal"/>
    <w:link w:val="HeaderChar"/>
    <w:uiPriority w:val="99"/>
    <w:unhideWhenUsed/>
    <w:pPr>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spacing w:after="0" w:line="240" w:lineRule="auto"/>
    </w:pPr>
  </w:style>
  <w:style w:type="character" w:customStyle="1" w:styleId="FooterChar">
    <w:name w:val="Footer Char"/>
    <w:basedOn w:val="DefaultParagraphFont"/>
    <w:link w:val="Footer"/>
    <w:uiPriority w:val="99"/>
  </w:style>
  <w:style w:type="character" w:styleId="Hyperlink">
    <w:name w:val="Hyperlink"/>
    <w:basedOn w:val="DefaultParagraphFont"/>
    <w:uiPriority w:val="99"/>
    <w:unhideWhenUsed/>
    <w:rsid w:val="00773DB1"/>
    <w:rPr>
      <w:color w:val="34B6C3" w:themeColor="hyperlink"/>
      <w:u w:val="single"/>
    </w:rPr>
  </w:style>
  <w:style w:type="character" w:styleId="UnresolvedMention">
    <w:name w:val="Unresolved Mention"/>
    <w:basedOn w:val="DefaultParagraphFont"/>
    <w:uiPriority w:val="99"/>
    <w:semiHidden/>
    <w:unhideWhenUsed/>
    <w:rsid w:val="00773DB1"/>
    <w:rPr>
      <w:color w:val="605E5C"/>
      <w:shd w:val="clear" w:color="auto" w:fill="E1DFDD"/>
    </w:rPr>
  </w:style>
  <w:style w:type="character" w:styleId="FollowedHyperlink">
    <w:name w:val="FollowedHyperlink"/>
    <w:basedOn w:val="DefaultParagraphFont"/>
    <w:uiPriority w:val="99"/>
    <w:semiHidden/>
    <w:unhideWhenUsed/>
    <w:rsid w:val="00964D5E"/>
    <w:rPr>
      <w:color w:val="A96EB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12164">
      <w:bodyDiv w:val="1"/>
      <w:marLeft w:val="0"/>
      <w:marRight w:val="0"/>
      <w:marTop w:val="0"/>
      <w:marBottom w:val="0"/>
      <w:divBdr>
        <w:top w:val="none" w:sz="0" w:space="0" w:color="auto"/>
        <w:left w:val="none" w:sz="0" w:space="0" w:color="auto"/>
        <w:bottom w:val="none" w:sz="0" w:space="0" w:color="auto"/>
        <w:right w:val="none" w:sz="0" w:space="0" w:color="auto"/>
      </w:divBdr>
    </w:div>
    <w:div w:id="236717986">
      <w:bodyDiv w:val="1"/>
      <w:marLeft w:val="0"/>
      <w:marRight w:val="0"/>
      <w:marTop w:val="0"/>
      <w:marBottom w:val="0"/>
      <w:divBdr>
        <w:top w:val="none" w:sz="0" w:space="0" w:color="auto"/>
        <w:left w:val="none" w:sz="0" w:space="0" w:color="auto"/>
        <w:bottom w:val="none" w:sz="0" w:space="0" w:color="auto"/>
        <w:right w:val="none" w:sz="0" w:space="0" w:color="auto"/>
      </w:divBdr>
    </w:div>
    <w:div w:id="286476177">
      <w:bodyDiv w:val="1"/>
      <w:marLeft w:val="0"/>
      <w:marRight w:val="0"/>
      <w:marTop w:val="0"/>
      <w:marBottom w:val="0"/>
      <w:divBdr>
        <w:top w:val="none" w:sz="0" w:space="0" w:color="auto"/>
        <w:left w:val="none" w:sz="0" w:space="0" w:color="auto"/>
        <w:bottom w:val="none" w:sz="0" w:space="0" w:color="auto"/>
        <w:right w:val="none" w:sz="0" w:space="0" w:color="auto"/>
      </w:divBdr>
    </w:div>
    <w:div w:id="319625463">
      <w:bodyDiv w:val="1"/>
      <w:marLeft w:val="0"/>
      <w:marRight w:val="0"/>
      <w:marTop w:val="0"/>
      <w:marBottom w:val="0"/>
      <w:divBdr>
        <w:top w:val="none" w:sz="0" w:space="0" w:color="auto"/>
        <w:left w:val="none" w:sz="0" w:space="0" w:color="auto"/>
        <w:bottom w:val="none" w:sz="0" w:space="0" w:color="auto"/>
        <w:right w:val="none" w:sz="0" w:space="0" w:color="auto"/>
      </w:divBdr>
    </w:div>
    <w:div w:id="335618995">
      <w:bodyDiv w:val="1"/>
      <w:marLeft w:val="0"/>
      <w:marRight w:val="0"/>
      <w:marTop w:val="0"/>
      <w:marBottom w:val="0"/>
      <w:divBdr>
        <w:top w:val="none" w:sz="0" w:space="0" w:color="auto"/>
        <w:left w:val="none" w:sz="0" w:space="0" w:color="auto"/>
        <w:bottom w:val="none" w:sz="0" w:space="0" w:color="auto"/>
        <w:right w:val="none" w:sz="0" w:space="0" w:color="auto"/>
      </w:divBdr>
    </w:div>
    <w:div w:id="372928716">
      <w:bodyDiv w:val="1"/>
      <w:marLeft w:val="0"/>
      <w:marRight w:val="0"/>
      <w:marTop w:val="0"/>
      <w:marBottom w:val="0"/>
      <w:divBdr>
        <w:top w:val="none" w:sz="0" w:space="0" w:color="auto"/>
        <w:left w:val="none" w:sz="0" w:space="0" w:color="auto"/>
        <w:bottom w:val="none" w:sz="0" w:space="0" w:color="auto"/>
        <w:right w:val="none" w:sz="0" w:space="0" w:color="auto"/>
      </w:divBdr>
    </w:div>
    <w:div w:id="432946189">
      <w:bodyDiv w:val="1"/>
      <w:marLeft w:val="0"/>
      <w:marRight w:val="0"/>
      <w:marTop w:val="0"/>
      <w:marBottom w:val="0"/>
      <w:divBdr>
        <w:top w:val="none" w:sz="0" w:space="0" w:color="auto"/>
        <w:left w:val="none" w:sz="0" w:space="0" w:color="auto"/>
        <w:bottom w:val="none" w:sz="0" w:space="0" w:color="auto"/>
        <w:right w:val="none" w:sz="0" w:space="0" w:color="auto"/>
      </w:divBdr>
    </w:div>
    <w:div w:id="508564336">
      <w:bodyDiv w:val="1"/>
      <w:marLeft w:val="0"/>
      <w:marRight w:val="0"/>
      <w:marTop w:val="0"/>
      <w:marBottom w:val="0"/>
      <w:divBdr>
        <w:top w:val="none" w:sz="0" w:space="0" w:color="auto"/>
        <w:left w:val="none" w:sz="0" w:space="0" w:color="auto"/>
        <w:bottom w:val="none" w:sz="0" w:space="0" w:color="auto"/>
        <w:right w:val="none" w:sz="0" w:space="0" w:color="auto"/>
      </w:divBdr>
    </w:div>
    <w:div w:id="718434042">
      <w:bodyDiv w:val="1"/>
      <w:marLeft w:val="0"/>
      <w:marRight w:val="0"/>
      <w:marTop w:val="0"/>
      <w:marBottom w:val="0"/>
      <w:divBdr>
        <w:top w:val="none" w:sz="0" w:space="0" w:color="auto"/>
        <w:left w:val="none" w:sz="0" w:space="0" w:color="auto"/>
        <w:bottom w:val="none" w:sz="0" w:space="0" w:color="auto"/>
        <w:right w:val="none" w:sz="0" w:space="0" w:color="auto"/>
      </w:divBdr>
    </w:div>
    <w:div w:id="764881961">
      <w:bodyDiv w:val="1"/>
      <w:marLeft w:val="0"/>
      <w:marRight w:val="0"/>
      <w:marTop w:val="0"/>
      <w:marBottom w:val="0"/>
      <w:divBdr>
        <w:top w:val="none" w:sz="0" w:space="0" w:color="auto"/>
        <w:left w:val="none" w:sz="0" w:space="0" w:color="auto"/>
        <w:bottom w:val="none" w:sz="0" w:space="0" w:color="auto"/>
        <w:right w:val="none" w:sz="0" w:space="0" w:color="auto"/>
      </w:divBdr>
    </w:div>
    <w:div w:id="785153901">
      <w:bodyDiv w:val="1"/>
      <w:marLeft w:val="0"/>
      <w:marRight w:val="0"/>
      <w:marTop w:val="0"/>
      <w:marBottom w:val="0"/>
      <w:divBdr>
        <w:top w:val="none" w:sz="0" w:space="0" w:color="auto"/>
        <w:left w:val="none" w:sz="0" w:space="0" w:color="auto"/>
        <w:bottom w:val="none" w:sz="0" w:space="0" w:color="auto"/>
        <w:right w:val="none" w:sz="0" w:space="0" w:color="auto"/>
      </w:divBdr>
    </w:div>
    <w:div w:id="1308433403">
      <w:bodyDiv w:val="1"/>
      <w:marLeft w:val="0"/>
      <w:marRight w:val="0"/>
      <w:marTop w:val="0"/>
      <w:marBottom w:val="0"/>
      <w:divBdr>
        <w:top w:val="none" w:sz="0" w:space="0" w:color="auto"/>
        <w:left w:val="none" w:sz="0" w:space="0" w:color="auto"/>
        <w:bottom w:val="none" w:sz="0" w:space="0" w:color="auto"/>
        <w:right w:val="none" w:sz="0" w:space="0" w:color="auto"/>
      </w:divBdr>
    </w:div>
    <w:div w:id="1638293958">
      <w:bodyDiv w:val="1"/>
      <w:marLeft w:val="0"/>
      <w:marRight w:val="0"/>
      <w:marTop w:val="0"/>
      <w:marBottom w:val="0"/>
      <w:divBdr>
        <w:top w:val="none" w:sz="0" w:space="0" w:color="auto"/>
        <w:left w:val="none" w:sz="0" w:space="0" w:color="auto"/>
        <w:bottom w:val="none" w:sz="0" w:space="0" w:color="auto"/>
        <w:right w:val="none" w:sz="0" w:space="0" w:color="auto"/>
      </w:divBdr>
    </w:div>
    <w:div w:id="1704360971">
      <w:bodyDiv w:val="1"/>
      <w:marLeft w:val="0"/>
      <w:marRight w:val="0"/>
      <w:marTop w:val="0"/>
      <w:marBottom w:val="0"/>
      <w:divBdr>
        <w:top w:val="none" w:sz="0" w:space="0" w:color="auto"/>
        <w:left w:val="none" w:sz="0" w:space="0" w:color="auto"/>
        <w:bottom w:val="none" w:sz="0" w:space="0" w:color="auto"/>
        <w:right w:val="none" w:sz="0" w:space="0" w:color="auto"/>
      </w:divBdr>
    </w:div>
    <w:div w:id="1750229318">
      <w:bodyDiv w:val="1"/>
      <w:marLeft w:val="0"/>
      <w:marRight w:val="0"/>
      <w:marTop w:val="0"/>
      <w:marBottom w:val="0"/>
      <w:divBdr>
        <w:top w:val="none" w:sz="0" w:space="0" w:color="auto"/>
        <w:left w:val="none" w:sz="0" w:space="0" w:color="auto"/>
        <w:bottom w:val="none" w:sz="0" w:space="0" w:color="auto"/>
        <w:right w:val="none" w:sz="0" w:space="0" w:color="auto"/>
      </w:divBdr>
    </w:div>
    <w:div w:id="1759324915">
      <w:bodyDiv w:val="1"/>
      <w:marLeft w:val="0"/>
      <w:marRight w:val="0"/>
      <w:marTop w:val="0"/>
      <w:marBottom w:val="0"/>
      <w:divBdr>
        <w:top w:val="none" w:sz="0" w:space="0" w:color="auto"/>
        <w:left w:val="none" w:sz="0" w:space="0" w:color="auto"/>
        <w:bottom w:val="none" w:sz="0" w:space="0" w:color="auto"/>
        <w:right w:val="none" w:sz="0" w:space="0" w:color="auto"/>
      </w:divBdr>
    </w:div>
    <w:div w:id="1785616772">
      <w:bodyDiv w:val="1"/>
      <w:marLeft w:val="0"/>
      <w:marRight w:val="0"/>
      <w:marTop w:val="0"/>
      <w:marBottom w:val="0"/>
      <w:divBdr>
        <w:top w:val="none" w:sz="0" w:space="0" w:color="auto"/>
        <w:left w:val="none" w:sz="0" w:space="0" w:color="auto"/>
        <w:bottom w:val="none" w:sz="0" w:space="0" w:color="auto"/>
        <w:right w:val="none" w:sz="0" w:space="0" w:color="auto"/>
      </w:divBdr>
    </w:div>
    <w:div w:id="1841501539">
      <w:bodyDiv w:val="1"/>
      <w:marLeft w:val="0"/>
      <w:marRight w:val="0"/>
      <w:marTop w:val="0"/>
      <w:marBottom w:val="0"/>
      <w:divBdr>
        <w:top w:val="none" w:sz="0" w:space="0" w:color="auto"/>
        <w:left w:val="none" w:sz="0" w:space="0" w:color="auto"/>
        <w:bottom w:val="none" w:sz="0" w:space="0" w:color="auto"/>
        <w:right w:val="none" w:sz="0" w:space="0" w:color="auto"/>
      </w:divBdr>
    </w:div>
    <w:div w:id="200195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yperlink" Target="https://www.forbes.com/companies/realty-income/?sh=19d8dd817f2b"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hyperlink" Target="https://investors.eprkc.com/investing-asset-management/default.aspx"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OngVanyon/Library/Containers/com.microsoft.Word/Data/Library/Application%20Support/Microsoft/Office/16.0/DTS/en-GB%7b214CBE5A-BEB1-D34E-99B2-CD9E7D28E7AC%7d/%7b67B54AD9-6D54-5246-A859-4C0EDC6C8B73%7dtf10002069.dotx" TargetMode="External"/></Relationships>
</file>

<file path=word/theme/theme1.xml><?xml version="1.0" encoding="utf-8"?>
<a:theme xmlns:a="http://schemas.openxmlformats.org/drawingml/2006/main" name="Office Theme">
  <a:themeElements>
    <a:clrScheme name="Journal">
      <a:dk1>
        <a:sysClr val="windowText" lastClr="000000"/>
      </a:dk1>
      <a:lt1>
        <a:sysClr val="window" lastClr="FFFFFF"/>
      </a:lt1>
      <a:dk2>
        <a:srgbClr val="31312E"/>
      </a:dk2>
      <a:lt2>
        <a:srgbClr val="FDFBF9"/>
      </a:lt2>
      <a:accent1>
        <a:srgbClr val="FF7A00"/>
      </a:accent1>
      <a:accent2>
        <a:srgbClr val="FF6275"/>
      </a:accent2>
      <a:accent3>
        <a:srgbClr val="9CC346"/>
      </a:accent3>
      <a:accent4>
        <a:srgbClr val="A96EB6"/>
      </a:accent4>
      <a:accent5>
        <a:srgbClr val="F89A4A"/>
      </a:accent5>
      <a:accent6>
        <a:srgbClr val="E7D364"/>
      </a:accent6>
      <a:hlink>
        <a:srgbClr val="34B6C3"/>
      </a:hlink>
      <a:folHlink>
        <a:srgbClr val="A96EB6"/>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{67B54AD9-6D54-5246-A859-4C0EDC6C8B73}tf10002069.dotx</Template>
  <TotalTime>310</TotalTime>
  <Pages>3</Pages>
  <Words>590</Words>
  <Characters>3363</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Ong, Vanyon</cp:lastModifiedBy>
  <cp:revision>7</cp:revision>
  <dcterms:created xsi:type="dcterms:W3CDTF">2021-09-16T14:17:00Z</dcterms:created>
  <dcterms:modified xsi:type="dcterms:W3CDTF">2021-10-28T05:52:00Z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TF10002001</vt:lpwstr>
  </property>
</Properties>
</file>