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796D" w14:textId="11A59BE6" w:rsidR="008D6335" w:rsidRPr="00E50F66" w:rsidRDefault="00E50F66" w:rsidP="00E50F66">
      <w:pPr>
        <w:pStyle w:val="Title"/>
        <w:pBdr>
          <w:bottom w:val="single" w:sz="48" w:space="19" w:color="FF7A00" w:themeColor="accent1"/>
        </w:pBdr>
        <w:rPr>
          <w:sz w:val="56"/>
        </w:rPr>
      </w:pPr>
      <w:r w:rsidRPr="00E50F66">
        <w:rPr>
          <w:sz w:val="56"/>
        </w:rPr>
        <w:t>Investing and Personal Finance Blog</w:t>
      </w:r>
    </w:p>
    <w:p w14:paraId="67BA1646" w14:textId="1E7CCF72" w:rsidR="008D6335" w:rsidRDefault="00DB3B7A">
      <w:pPr>
        <w:pStyle w:val="Heading1"/>
      </w:pPr>
      <w:r>
        <w:t xml:space="preserve">More stocks worth checking out </w:t>
      </w:r>
      <w:r w:rsidR="004A48BA">
        <w:t>to diversify your portfolio</w:t>
      </w:r>
    </w:p>
    <w:p w14:paraId="6B612D29" w14:textId="07AD8A27" w:rsidR="000D1C64" w:rsidRPr="000D1C64" w:rsidRDefault="000D1C64" w:rsidP="000D1C64">
      <w:r>
        <w:t>keyword: personal finance, invest</w:t>
      </w:r>
      <w:r w:rsidR="00C34A67">
        <w:t>ing, investment</w:t>
      </w:r>
      <w:r>
        <w:t>, budgeting, money, dividend</w:t>
      </w:r>
      <w:r w:rsidR="00C46A2D">
        <w:t>, stocks</w:t>
      </w:r>
    </w:p>
    <w:p w14:paraId="309F893F" w14:textId="36B64349" w:rsidR="002453C1" w:rsidRPr="002453C1" w:rsidRDefault="002453C1" w:rsidP="002453C1">
      <w:pPr>
        <w:spacing w:line="480" w:lineRule="auto"/>
        <w:ind w:firstLine="720"/>
        <w:rPr>
          <w:lang w:val="en-MY"/>
        </w:rPr>
      </w:pPr>
      <w:r w:rsidRPr="002453C1">
        <w:rPr>
          <w:lang w:val="en-MY"/>
        </w:rPr>
        <w:t>Hello and welcome back to my </w:t>
      </w:r>
      <w:r w:rsidRPr="002453C1">
        <w:rPr>
          <w:b/>
          <w:bCs/>
          <w:lang w:val="en-MY"/>
        </w:rPr>
        <w:t>investing</w:t>
      </w:r>
      <w:r w:rsidRPr="002453C1">
        <w:rPr>
          <w:lang w:val="en-MY"/>
        </w:rPr>
        <w:t> and </w:t>
      </w:r>
      <w:r w:rsidRPr="002453C1">
        <w:rPr>
          <w:b/>
          <w:bCs/>
          <w:lang w:val="en-MY"/>
        </w:rPr>
        <w:t>personal finance</w:t>
      </w:r>
      <w:r w:rsidRPr="002453C1">
        <w:rPr>
          <w:lang w:val="en-MY"/>
        </w:rPr>
        <w:t> blog. Thank you for joining me on my journey of learning and improving my own </w:t>
      </w:r>
      <w:r w:rsidRPr="002453C1">
        <w:rPr>
          <w:b/>
          <w:bCs/>
          <w:lang w:val="en-MY"/>
        </w:rPr>
        <w:t>personal finance</w:t>
      </w:r>
      <w:r w:rsidRPr="002453C1">
        <w:rPr>
          <w:lang w:val="en-MY"/>
        </w:rPr>
        <w:t>. This week I am going to be sharing some more information about </w:t>
      </w:r>
      <w:r w:rsidRPr="002453C1">
        <w:rPr>
          <w:b/>
          <w:bCs/>
          <w:lang w:val="en-MY"/>
        </w:rPr>
        <w:t>stocks </w:t>
      </w:r>
      <w:r w:rsidRPr="002453C1">
        <w:rPr>
          <w:lang w:val="en-MY"/>
        </w:rPr>
        <w:t>to help you diversify your portfolio even more.</w:t>
      </w:r>
    </w:p>
    <w:p w14:paraId="73610D40" w14:textId="09402063" w:rsidR="002453C1" w:rsidRPr="002453C1" w:rsidRDefault="002453C1" w:rsidP="002453C1">
      <w:pPr>
        <w:spacing w:line="480" w:lineRule="auto"/>
        <w:ind w:firstLine="720"/>
        <w:rPr>
          <w:lang w:val="en-MY"/>
        </w:rPr>
      </w:pPr>
      <w:r>
        <w:rPr>
          <w:noProof/>
          <w:lang w:val="en-MY"/>
        </w:rPr>
        <w:drawing>
          <wp:anchor distT="0" distB="0" distL="114300" distR="114300" simplePos="0" relativeHeight="251664384" behindDoc="0" locked="0" layoutInCell="1" allowOverlap="1" wp14:anchorId="731FB110" wp14:editId="6CD67AF6">
            <wp:simplePos x="0" y="0"/>
            <wp:positionH relativeFrom="column">
              <wp:posOffset>3221990</wp:posOffset>
            </wp:positionH>
            <wp:positionV relativeFrom="paragraph">
              <wp:posOffset>781050</wp:posOffset>
            </wp:positionV>
            <wp:extent cx="2988945" cy="2106930"/>
            <wp:effectExtent l="12700" t="12700" r="8255" b="13970"/>
            <wp:wrapThrough wrapText="bothSides">
              <wp:wrapPolygon edited="0">
                <wp:start x="-92" y="-130"/>
                <wp:lineTo x="-92" y="21613"/>
                <wp:lineTo x="21568" y="21613"/>
                <wp:lineTo x="21568" y="-130"/>
                <wp:lineTo x="-92" y="-130"/>
              </wp:wrapPolygon>
            </wp:wrapThrough>
            <wp:docPr id="5" name="Picture 5" descr="A picture containing outdoor, transport, yellow, power shov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outdoor, transport, yellow, power shovel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8945" cy="21069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53C1">
        <w:rPr>
          <w:lang w:val="en-MY"/>
        </w:rPr>
        <w:t>Last week I talked about how it is important to diversify your portfolio. Diversifying your portfolio would be better if you are looking to make a more risk-free type of </w:t>
      </w:r>
      <w:r w:rsidRPr="002453C1">
        <w:rPr>
          <w:b/>
          <w:bCs/>
          <w:lang w:val="en-MY"/>
        </w:rPr>
        <w:t>investment</w:t>
      </w:r>
      <w:r w:rsidRPr="002453C1">
        <w:rPr>
          <w:lang w:val="en-MY"/>
        </w:rPr>
        <w:t> portfolio. This week I will only be covering a couple of </w:t>
      </w:r>
      <w:r w:rsidRPr="002453C1">
        <w:rPr>
          <w:b/>
          <w:bCs/>
          <w:lang w:val="en-MY"/>
        </w:rPr>
        <w:t>stocks</w:t>
      </w:r>
      <w:r w:rsidRPr="002453C1">
        <w:rPr>
          <w:lang w:val="en-MY"/>
        </w:rPr>
        <w:t xml:space="preserve"> that are worth checking out. The first one is a well-known agriculture and manufacturing company here in the </w:t>
      </w:r>
      <w:proofErr w:type="spellStart"/>
      <w:r w:rsidRPr="002453C1">
        <w:rPr>
          <w:lang w:val="en-MY"/>
        </w:rPr>
        <w:t>midwest</w:t>
      </w:r>
      <w:proofErr w:type="spellEnd"/>
      <w:r w:rsidRPr="002453C1">
        <w:rPr>
          <w:lang w:val="en-MY"/>
        </w:rPr>
        <w:t xml:space="preserve"> called </w:t>
      </w:r>
      <w:r w:rsidRPr="002453C1">
        <w:rPr>
          <w:b/>
          <w:bCs/>
          <w:lang w:val="en-MY"/>
        </w:rPr>
        <w:t>John Deere (DE). </w:t>
      </w:r>
      <w:r w:rsidRPr="002453C1">
        <w:rPr>
          <w:lang w:val="en-MY"/>
        </w:rPr>
        <w:t>The second stock I will be talking about is a famous construction company, </w:t>
      </w:r>
      <w:r w:rsidRPr="002453C1">
        <w:rPr>
          <w:b/>
          <w:bCs/>
          <w:lang w:val="en-MY"/>
        </w:rPr>
        <w:t>Caterpillar (CAT).</w:t>
      </w:r>
      <w:r w:rsidRPr="002453C1">
        <w:rPr>
          <w:lang w:val="en-MY"/>
        </w:rPr>
        <w:t xml:space="preserve"> Construction companies are one of my personal </w:t>
      </w:r>
      <w:proofErr w:type="spellStart"/>
      <w:r w:rsidRPr="002453C1">
        <w:rPr>
          <w:lang w:val="en-MY"/>
        </w:rPr>
        <w:t>favorite</w:t>
      </w:r>
      <w:proofErr w:type="spellEnd"/>
      <w:r w:rsidRPr="002453C1">
        <w:rPr>
          <w:lang w:val="en-MY"/>
        </w:rPr>
        <w:t> </w:t>
      </w:r>
      <w:r w:rsidRPr="002453C1">
        <w:rPr>
          <w:b/>
          <w:bCs/>
          <w:lang w:val="en-MY"/>
        </w:rPr>
        <w:t>stocks</w:t>
      </w:r>
      <w:r w:rsidRPr="002453C1">
        <w:rPr>
          <w:lang w:val="en-MY"/>
        </w:rPr>
        <w:t> to purchase. Information on a big construction project can be easily found on news websites or channels. When I was </w:t>
      </w:r>
      <w:r w:rsidRPr="002453C1">
        <w:rPr>
          <w:b/>
          <w:bCs/>
          <w:lang w:val="en-MY"/>
        </w:rPr>
        <w:t>investing</w:t>
      </w:r>
      <w:r w:rsidRPr="002453C1">
        <w:rPr>
          <w:lang w:val="en-MY"/>
        </w:rPr>
        <w:t> back in my home country in Malaysia, construction companies were the best </w:t>
      </w:r>
      <w:r w:rsidRPr="002453C1">
        <w:rPr>
          <w:b/>
          <w:bCs/>
          <w:lang w:val="en-MY"/>
        </w:rPr>
        <w:t>stocks</w:t>
      </w:r>
      <w:r w:rsidRPr="002453C1">
        <w:rPr>
          <w:lang w:val="en-MY"/>
        </w:rPr>
        <w:t xml:space="preserve"> to buy because Malaysia is a developing country. There were plenty of large construction projects yearly funded by both the government and private investors. A large </w:t>
      </w:r>
      <w:r w:rsidRPr="002453C1">
        <w:rPr>
          <w:lang w:val="en-MY"/>
        </w:rPr>
        <w:lastRenderedPageBreak/>
        <w:t>company like Caterpillar (link</w:t>
      </w:r>
      <w:r>
        <w:rPr>
          <w:lang w:val="en-MY"/>
        </w:rPr>
        <w:t xml:space="preserve"> </w:t>
      </w:r>
      <w:r w:rsidRPr="002453C1">
        <w:rPr>
          <w:lang w:val="en-MY"/>
        </w:rPr>
        <w:t>to: </w:t>
      </w:r>
      <w:hyperlink r:id="rId8" w:tgtFrame="_blank" w:history="1">
        <w:r w:rsidRPr="002453C1">
          <w:rPr>
            <w:rStyle w:val="Hyperlink"/>
            <w:lang w:val="en-MY"/>
          </w:rPr>
          <w:t>https://investors.caterpillar.com/overview/default.aspx</w:t>
        </w:r>
      </w:hyperlink>
      <w:r w:rsidRPr="002453C1">
        <w:rPr>
          <w:lang w:val="en-MY"/>
        </w:rPr>
        <w:t> ) is already providing its services and machines to big projects all around America. </w:t>
      </w:r>
    </w:p>
    <w:p w14:paraId="329C8BAD" w14:textId="0DC2ADA1" w:rsidR="00782384" w:rsidRPr="002453C1" w:rsidRDefault="002453C1" w:rsidP="002453C1">
      <w:pPr>
        <w:spacing w:line="480" w:lineRule="auto"/>
        <w:ind w:firstLine="720"/>
        <w:rPr>
          <w:lang w:val="en-MY"/>
        </w:rPr>
      </w:pPr>
      <w:r w:rsidRPr="002453C1">
        <w:rPr>
          <w:lang w:val="en-MY"/>
        </w:rPr>
        <w:t>I chose to talk about these two companies today because these two </w:t>
      </w:r>
      <w:r w:rsidRPr="002453C1">
        <w:rPr>
          <w:b/>
          <w:bCs/>
          <w:lang w:val="en-MY"/>
        </w:rPr>
        <w:t>stocks</w:t>
      </w:r>
      <w:r w:rsidRPr="002453C1">
        <w:rPr>
          <w:lang w:val="en-MY"/>
        </w:rPr>
        <w:t> have dropped in prices over the last month, and this month would be a good time to grab the opportunity to buy these </w:t>
      </w:r>
      <w:r w:rsidRPr="002453C1">
        <w:rPr>
          <w:b/>
          <w:bCs/>
          <w:lang w:val="en-MY"/>
        </w:rPr>
        <w:t>stocks</w:t>
      </w:r>
      <w:r w:rsidRPr="002453C1">
        <w:rPr>
          <w:lang w:val="en-MY"/>
        </w:rPr>
        <w:t> at a good price. Holding these </w:t>
      </w:r>
      <w:r w:rsidRPr="002453C1">
        <w:rPr>
          <w:b/>
          <w:bCs/>
          <w:lang w:val="en-MY"/>
        </w:rPr>
        <w:t>stocks</w:t>
      </w:r>
      <w:r w:rsidRPr="002453C1">
        <w:rPr>
          <w:lang w:val="en-MY"/>
        </w:rPr>
        <w:t> would be very good for long-term </w:t>
      </w:r>
      <w:r w:rsidRPr="002453C1">
        <w:rPr>
          <w:b/>
          <w:bCs/>
          <w:lang w:val="en-MY"/>
        </w:rPr>
        <w:t>investment</w:t>
      </w:r>
      <w:r w:rsidRPr="002453C1">
        <w:rPr>
          <w:lang w:val="en-MY"/>
        </w:rPr>
        <w:t>, and their </w:t>
      </w:r>
      <w:r w:rsidRPr="002453C1">
        <w:rPr>
          <w:b/>
          <w:bCs/>
          <w:lang w:val="en-MY"/>
        </w:rPr>
        <w:t>dividend</w:t>
      </w:r>
      <w:r w:rsidRPr="002453C1">
        <w:rPr>
          <w:lang w:val="en-MY"/>
        </w:rPr>
        <w:t> </w:t>
      </w:r>
      <w:proofErr w:type="spellStart"/>
      <w:r w:rsidRPr="002453C1">
        <w:rPr>
          <w:lang w:val="en-MY"/>
        </w:rPr>
        <w:t>payout</w:t>
      </w:r>
      <w:proofErr w:type="spellEnd"/>
      <w:r w:rsidRPr="002453C1">
        <w:rPr>
          <w:lang w:val="en-MY"/>
        </w:rPr>
        <w:t xml:space="preserve"> is pretty good</w:t>
      </w:r>
      <w:r w:rsidR="00897E57">
        <w:t xml:space="preserve">. </w:t>
      </w:r>
    </w:p>
    <w:p w14:paraId="427B2F51" w14:textId="4D884200" w:rsidR="00773DB1" w:rsidRDefault="00897E57" w:rsidP="00773DB1">
      <w:pPr>
        <w:rPr>
          <w:b/>
          <w:bCs/>
        </w:rPr>
      </w:pPr>
      <w:r>
        <w:rPr>
          <w:b/>
          <w:bCs/>
        </w:rPr>
        <w:t>John Deere (DE)</w:t>
      </w:r>
    </w:p>
    <w:p w14:paraId="6B5831DB" w14:textId="45A7EA90" w:rsidR="0020610F" w:rsidRPr="00773DB1" w:rsidRDefault="00897E57" w:rsidP="00773DB1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5DE7911" wp14:editId="0F31AC74">
            <wp:extent cx="6463665" cy="3785235"/>
            <wp:effectExtent l="0" t="0" r="635" b="0"/>
            <wp:docPr id="2" name="Picture 2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histogram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3665" cy="378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2A205" w14:textId="3FF19449" w:rsidR="00E9587B" w:rsidRPr="002453C1" w:rsidRDefault="00773DB1" w:rsidP="00897E57">
      <w:pPr>
        <w:spacing w:line="480" w:lineRule="auto"/>
        <w:rPr>
          <w:lang w:val="en-MY"/>
        </w:rPr>
      </w:pPr>
      <w:r>
        <w:tab/>
      </w:r>
      <w:r w:rsidR="002453C1" w:rsidRPr="002453C1">
        <w:rPr>
          <w:b/>
          <w:bCs/>
          <w:lang w:val="en-MY"/>
        </w:rPr>
        <w:t>John Deere (DE)</w:t>
      </w:r>
      <w:r w:rsidR="002453C1" w:rsidRPr="002453C1">
        <w:rPr>
          <w:lang w:val="en-MY"/>
        </w:rPr>
        <w:t xml:space="preserve"> is a very well-known manufacturing company in the </w:t>
      </w:r>
      <w:proofErr w:type="spellStart"/>
      <w:r w:rsidR="002453C1">
        <w:rPr>
          <w:lang w:val="en-MY"/>
        </w:rPr>
        <w:t>m</w:t>
      </w:r>
      <w:r w:rsidR="002453C1" w:rsidRPr="002453C1">
        <w:rPr>
          <w:lang w:val="en-MY"/>
        </w:rPr>
        <w:t>idwest</w:t>
      </w:r>
      <w:proofErr w:type="spellEnd"/>
      <w:r w:rsidR="002453C1" w:rsidRPr="002453C1">
        <w:rPr>
          <w:lang w:val="en-MY"/>
        </w:rPr>
        <w:t>. John Deere was founded in Illinois in 1837. Its machines and equipment are used for agriculture and construction all over the United States. In August, the company raised its quarterly </w:t>
      </w:r>
      <w:r w:rsidR="002453C1" w:rsidRPr="00F26AFD">
        <w:rPr>
          <w:b/>
          <w:bCs/>
          <w:lang w:val="en-MY"/>
        </w:rPr>
        <w:t>dividend</w:t>
      </w:r>
      <w:r w:rsidR="002453C1" w:rsidRPr="002453C1">
        <w:rPr>
          <w:lang w:val="en-MY"/>
        </w:rPr>
        <w:t> by 17% (link to: </w:t>
      </w:r>
      <w:hyperlink r:id="rId10" w:tgtFrame="_blank" w:history="1">
        <w:r w:rsidR="002453C1" w:rsidRPr="002453C1">
          <w:rPr>
            <w:rStyle w:val="Hyperlink"/>
            <w:lang w:val="en-MY"/>
          </w:rPr>
          <w:t>https://www.deere.com/en/our-company/news-and-announcements/news-releases/2021/corporate/2021aug25-dividend/</w:t>
        </w:r>
      </w:hyperlink>
      <w:r w:rsidR="002453C1" w:rsidRPr="002453C1">
        <w:rPr>
          <w:lang w:val="en-MY"/>
        </w:rPr>
        <w:t> ). Its current </w:t>
      </w:r>
      <w:r w:rsidR="002453C1" w:rsidRPr="00F26AFD">
        <w:rPr>
          <w:b/>
          <w:bCs/>
          <w:lang w:val="en-MY"/>
        </w:rPr>
        <w:t>dividend</w:t>
      </w:r>
      <w:r w:rsidR="002453C1" w:rsidRPr="002453C1">
        <w:rPr>
          <w:lang w:val="en-MY"/>
        </w:rPr>
        <w:t xml:space="preserve"> yield is 1.07. Over the </w:t>
      </w:r>
      <w:r w:rsidR="002453C1" w:rsidRPr="002453C1">
        <w:rPr>
          <w:lang w:val="en-MY"/>
        </w:rPr>
        <w:lastRenderedPageBreak/>
        <w:t xml:space="preserve">past month, the </w:t>
      </w:r>
      <w:r w:rsidR="002453C1" w:rsidRPr="00F26AFD">
        <w:rPr>
          <w:b/>
          <w:bCs/>
          <w:lang w:val="en-MY"/>
        </w:rPr>
        <w:t>stock</w:t>
      </w:r>
      <w:r w:rsidR="002453C1" w:rsidRPr="002453C1">
        <w:rPr>
          <w:lang w:val="en-MY"/>
        </w:rPr>
        <w:t> prices for this company fell around 9%. Prices are bound to rise again, so now would be a good time to buy </w:t>
      </w:r>
      <w:r w:rsidR="002453C1" w:rsidRPr="00F26AFD">
        <w:rPr>
          <w:b/>
          <w:bCs/>
          <w:lang w:val="en-MY"/>
        </w:rPr>
        <w:t>stocks</w:t>
      </w:r>
      <w:r w:rsidR="002453C1" w:rsidRPr="002453C1">
        <w:rPr>
          <w:lang w:val="en-MY"/>
        </w:rPr>
        <w:t> for this company at a good price</w:t>
      </w:r>
      <w:r w:rsidR="00142F69" w:rsidRPr="002453C1">
        <w:t xml:space="preserve">. </w:t>
      </w:r>
    </w:p>
    <w:p w14:paraId="239D69C7" w14:textId="2859BE25" w:rsidR="00142F69" w:rsidRDefault="006777E6" w:rsidP="00897E57">
      <w:pPr>
        <w:spacing w:line="480" w:lineRule="auto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8444947" wp14:editId="581CB8E7">
            <wp:simplePos x="0" y="0"/>
            <wp:positionH relativeFrom="column">
              <wp:posOffset>2496820</wp:posOffset>
            </wp:positionH>
            <wp:positionV relativeFrom="paragraph">
              <wp:posOffset>541020</wp:posOffset>
            </wp:positionV>
            <wp:extent cx="3815715" cy="2289175"/>
            <wp:effectExtent l="12700" t="12700" r="6985" b="9525"/>
            <wp:wrapThrough wrapText="bothSides">
              <wp:wrapPolygon edited="0">
                <wp:start x="-72" y="-120"/>
                <wp:lineTo x="-72" y="21570"/>
                <wp:lineTo x="21568" y="21570"/>
                <wp:lineTo x="21568" y="-120"/>
                <wp:lineTo x="-72" y="-120"/>
              </wp:wrapPolygon>
            </wp:wrapThrough>
            <wp:docPr id="4" name="Picture 4" descr="A picture containing text, yell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yellow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715" cy="22891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F69" w:rsidRPr="00142F69">
        <w:rPr>
          <w:b/>
          <w:bCs/>
        </w:rPr>
        <w:t>Caterpillar (CAT)</w:t>
      </w:r>
    </w:p>
    <w:p w14:paraId="147145DB" w14:textId="7100CD5E" w:rsidR="00142F69" w:rsidRPr="00F26AFD" w:rsidRDefault="00142F69" w:rsidP="00897E57">
      <w:pPr>
        <w:spacing w:line="480" w:lineRule="auto"/>
        <w:rPr>
          <w:lang w:val="en-MY"/>
        </w:rPr>
      </w:pPr>
      <w:r>
        <w:rPr>
          <w:b/>
          <w:bCs/>
        </w:rPr>
        <w:tab/>
      </w:r>
      <w:r w:rsidR="00F26AFD" w:rsidRPr="00F26AFD">
        <w:rPr>
          <w:b/>
          <w:bCs/>
          <w:lang w:val="en-MY"/>
        </w:rPr>
        <w:t>Caterpillar (CAT)</w:t>
      </w:r>
      <w:r w:rsidR="00F26AFD" w:rsidRPr="00F26AFD">
        <w:rPr>
          <w:lang w:val="en-MY"/>
        </w:rPr>
        <w:t> is a manufacturing and construction company that needs no introduction. Their machines can be found in all corners of the globe. Besides the company’s top-notch machines and equipment, its </w:t>
      </w:r>
      <w:r w:rsidR="00F26AFD" w:rsidRPr="00F26AFD">
        <w:rPr>
          <w:b/>
          <w:bCs/>
          <w:lang w:val="en-MY"/>
        </w:rPr>
        <w:t>stocks</w:t>
      </w:r>
      <w:r w:rsidR="00F26AFD" w:rsidRPr="00F26AFD">
        <w:rPr>
          <w:lang w:val="en-MY"/>
        </w:rPr>
        <w:t> are worth checking out. </w:t>
      </w:r>
      <w:r w:rsidR="00F26AFD" w:rsidRPr="00F26AFD">
        <w:rPr>
          <w:b/>
          <w:bCs/>
          <w:lang w:val="en-MY"/>
        </w:rPr>
        <w:t>Stock</w:t>
      </w:r>
      <w:r w:rsidR="00F26AFD" w:rsidRPr="00F26AFD">
        <w:rPr>
          <w:lang w:val="en-MY"/>
        </w:rPr>
        <w:t> prices for Caterpillar have been going down the past couple of months, so this month, I will be watching it closely to see when a good time would be to buy. I will be looking for prices around $188 to $190. I think that would be a reasonable entry price for this stock. Its </w:t>
      </w:r>
      <w:r w:rsidR="00F26AFD" w:rsidRPr="00F26AFD">
        <w:rPr>
          <w:b/>
          <w:bCs/>
          <w:lang w:val="en-MY"/>
        </w:rPr>
        <w:t>dividend</w:t>
      </w:r>
      <w:r w:rsidR="00F26AFD" w:rsidRPr="00F26AFD">
        <w:rPr>
          <w:lang w:val="en-MY"/>
        </w:rPr>
        <w:t> yield is currently sitting at 2.18 every quarter</w:t>
      </w:r>
      <w:r w:rsidR="006777E6" w:rsidRPr="00F26AFD">
        <w:t xml:space="preserve">. </w:t>
      </w:r>
    </w:p>
    <w:p w14:paraId="1E857CA9" w14:textId="3E1F080A" w:rsidR="000D1C64" w:rsidRDefault="000D1C64" w:rsidP="00E9587B">
      <w:pPr>
        <w:spacing w:line="480" w:lineRule="auto"/>
        <w:ind w:firstLine="720"/>
      </w:pPr>
      <w:r>
        <w:t>Thanks</w:t>
      </w:r>
      <w:r w:rsidR="006070C0">
        <w:t xml:space="preserve"> again</w:t>
      </w:r>
      <w:r>
        <w:t xml:space="preserve"> for reading. Hope you stick around for the next one where I am going to shar</w:t>
      </w:r>
      <w:r w:rsidR="006070C0">
        <w:t>ing</w:t>
      </w:r>
      <w:r>
        <w:t xml:space="preserve"> m</w:t>
      </w:r>
      <w:r w:rsidR="006070C0">
        <w:t>ore</w:t>
      </w:r>
      <w:r>
        <w:t xml:space="preserve"> market</w:t>
      </w:r>
      <w:r w:rsidR="006070C0">
        <w:t xml:space="preserve"> research and news!</w:t>
      </w:r>
    </w:p>
    <w:sectPr w:rsidR="000D1C64">
      <w:footerReference w:type="default" r:id="rId12"/>
      <w:pgSz w:w="11907" w:h="16839" w:code="9"/>
      <w:pgMar w:top="1080" w:right="864" w:bottom="158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8275" w14:textId="77777777" w:rsidR="001B79F4" w:rsidRDefault="001B79F4">
      <w:pPr>
        <w:spacing w:after="0" w:line="240" w:lineRule="auto"/>
      </w:pPr>
      <w:r>
        <w:separator/>
      </w:r>
    </w:p>
  </w:endnote>
  <w:endnote w:type="continuationSeparator" w:id="0">
    <w:p w14:paraId="27290069" w14:textId="77777777" w:rsidR="001B79F4" w:rsidRDefault="001B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78901" w14:textId="77777777" w:rsidR="008D6335" w:rsidRDefault="000E0CD7"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4A6047">
          <w:rPr>
            <w:noProof/>
            <w:lang w:val="en-GB" w:bidi="en-GB"/>
          </w:rPr>
          <w:t>0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6D77A" w14:textId="77777777" w:rsidR="001B79F4" w:rsidRDefault="001B79F4">
      <w:pPr>
        <w:spacing w:after="0" w:line="240" w:lineRule="auto"/>
      </w:pPr>
      <w:r>
        <w:separator/>
      </w:r>
    </w:p>
  </w:footnote>
  <w:footnote w:type="continuationSeparator" w:id="0">
    <w:p w14:paraId="03AC6E6D" w14:textId="77777777" w:rsidR="001B79F4" w:rsidRDefault="001B7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66"/>
    <w:rsid w:val="000713D3"/>
    <w:rsid w:val="000D1C64"/>
    <w:rsid w:val="000E0CD7"/>
    <w:rsid w:val="00142F69"/>
    <w:rsid w:val="001B79F4"/>
    <w:rsid w:val="0020610F"/>
    <w:rsid w:val="002453C1"/>
    <w:rsid w:val="004266BB"/>
    <w:rsid w:val="004A48BA"/>
    <w:rsid w:val="004A6047"/>
    <w:rsid w:val="0053084A"/>
    <w:rsid w:val="006070C0"/>
    <w:rsid w:val="006777E6"/>
    <w:rsid w:val="00773DB1"/>
    <w:rsid w:val="00782384"/>
    <w:rsid w:val="0079702E"/>
    <w:rsid w:val="007B08C7"/>
    <w:rsid w:val="007D4D03"/>
    <w:rsid w:val="00897E57"/>
    <w:rsid w:val="008D6335"/>
    <w:rsid w:val="00B901DA"/>
    <w:rsid w:val="00BA17AA"/>
    <w:rsid w:val="00C21138"/>
    <w:rsid w:val="00C34A67"/>
    <w:rsid w:val="00C46A2D"/>
    <w:rsid w:val="00C853AB"/>
    <w:rsid w:val="00D235C6"/>
    <w:rsid w:val="00DB3B7A"/>
    <w:rsid w:val="00E332EF"/>
    <w:rsid w:val="00E50F66"/>
    <w:rsid w:val="00E9587B"/>
    <w:rsid w:val="00F2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E6495"/>
  <w15:chartTrackingRefBased/>
  <w15:docId w15:val="{F7B7ADB5-A174-E045-AF61-3B9E9F1E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FF7A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FF7A00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FF7A00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sid w:val="00773DB1"/>
    <w:rPr>
      <w:color w:val="34B6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3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vestors.caterpillar.com/overview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0" Type="http://schemas.openxmlformats.org/officeDocument/2006/relationships/hyperlink" Target="https://www.deere.com/en/our-company/news-and-announcements/news-releases/2021/corporate/2021aug25-dividen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OngVanyon/Library/Containers/com.microsoft.Word/Data/Library/Application%20Support/Microsoft/Office/16.0/DTS/en-GB%7b214CBE5A-BEB1-D34E-99B2-CD9E7D28E7AC%7d/%7b67B54AD9-6D54-5246-A859-4C0EDC6C8B73%7dtf10002069.dotx" TargetMode="External"/></Relationship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{67B54AD9-6D54-5246-A859-4C0EDC6C8B73}tf10002069.dotx</Template>
  <TotalTime>186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Ong, Vanyon</cp:lastModifiedBy>
  <cp:revision>5</cp:revision>
  <dcterms:created xsi:type="dcterms:W3CDTF">2021-09-16T14:17:00Z</dcterms:created>
  <dcterms:modified xsi:type="dcterms:W3CDTF">2021-10-07T06:06:00Z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TF10002001</vt:lpwstr>
  </property>
</Properties>
</file>