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10" w:rsidRPr="00DF575C" w:rsidRDefault="00851C10" w:rsidP="00444311">
      <w:pPr>
        <w:spacing w:line="360" w:lineRule="auto"/>
        <w:jc w:val="center"/>
        <w:rPr>
          <w:b/>
          <w:bCs/>
          <w:sz w:val="32"/>
          <w:szCs w:val="32"/>
        </w:rPr>
      </w:pPr>
      <w:r w:rsidRPr="00DF575C">
        <w:rPr>
          <w:b/>
          <w:bCs/>
          <w:sz w:val="32"/>
          <w:szCs w:val="32"/>
        </w:rPr>
        <w:t>CONTENTS</w:t>
      </w:r>
    </w:p>
    <w:p w:rsidR="00851C10" w:rsidRPr="0047351B" w:rsidRDefault="00851C10" w:rsidP="00444311">
      <w:pPr>
        <w:spacing w:line="360" w:lineRule="auto"/>
        <w:jc w:val="center"/>
        <w:rPr>
          <w:b/>
          <w:bCs/>
          <w:i/>
          <w:sz w:val="38"/>
          <w:szCs w:val="38"/>
          <w:u w:val="single"/>
        </w:rPr>
      </w:pPr>
    </w:p>
    <w:tbl>
      <w:tblPr>
        <w:tblStyle w:val="TableGrid"/>
        <w:tblW w:w="9558" w:type="dxa"/>
        <w:tblLook w:val="04A0" w:firstRow="1" w:lastRow="0" w:firstColumn="1" w:lastColumn="0" w:noHBand="0" w:noVBand="1"/>
      </w:tblPr>
      <w:tblGrid>
        <w:gridCol w:w="1669"/>
        <w:gridCol w:w="6089"/>
        <w:gridCol w:w="1800"/>
      </w:tblGrid>
      <w:tr w:rsidR="00CB002E" w:rsidRPr="0047351B" w:rsidTr="009D5678">
        <w:trPr>
          <w:trHeight w:val="782"/>
        </w:trPr>
        <w:tc>
          <w:tcPr>
            <w:tcW w:w="1669" w:type="dxa"/>
            <w:tcBorders>
              <w:bottom w:val="single" w:sz="4" w:space="0" w:color="auto"/>
            </w:tcBorders>
          </w:tcPr>
          <w:p w:rsidR="00CB002E" w:rsidRPr="009D5678" w:rsidRDefault="00CB002E" w:rsidP="0041038B">
            <w:pPr>
              <w:spacing w:before="240" w:line="360" w:lineRule="auto"/>
              <w:jc w:val="center"/>
              <w:rPr>
                <w:b/>
                <w:bCs/>
                <w:i/>
              </w:rPr>
            </w:pPr>
            <w:r w:rsidRPr="009D5678">
              <w:rPr>
                <w:b/>
                <w:bCs/>
                <w:i/>
              </w:rPr>
              <w:t>Serial No.</w:t>
            </w:r>
          </w:p>
        </w:tc>
        <w:tc>
          <w:tcPr>
            <w:tcW w:w="6089" w:type="dxa"/>
            <w:tcBorders>
              <w:bottom w:val="single" w:sz="4" w:space="0" w:color="auto"/>
            </w:tcBorders>
          </w:tcPr>
          <w:p w:rsidR="00CB002E" w:rsidRPr="009D5678" w:rsidRDefault="00CB002E" w:rsidP="0041038B">
            <w:pPr>
              <w:tabs>
                <w:tab w:val="left" w:pos="2010"/>
              </w:tabs>
              <w:spacing w:before="240" w:line="360" w:lineRule="auto"/>
              <w:rPr>
                <w:b/>
                <w:bCs/>
                <w:i/>
              </w:rPr>
            </w:pPr>
            <w:r w:rsidRPr="009D5678">
              <w:rPr>
                <w:b/>
                <w:bCs/>
                <w:i/>
              </w:rPr>
              <w:tab/>
              <w:t>Headings</w:t>
            </w:r>
          </w:p>
        </w:tc>
        <w:tc>
          <w:tcPr>
            <w:tcW w:w="1800" w:type="dxa"/>
            <w:tcBorders>
              <w:bottom w:val="single" w:sz="4" w:space="0" w:color="auto"/>
            </w:tcBorders>
          </w:tcPr>
          <w:p w:rsidR="00CB002E" w:rsidRPr="009D5678" w:rsidRDefault="00CB002E" w:rsidP="0041038B">
            <w:pPr>
              <w:tabs>
                <w:tab w:val="left" w:pos="2010"/>
              </w:tabs>
              <w:spacing w:before="240" w:line="360" w:lineRule="auto"/>
              <w:ind w:left="343"/>
              <w:rPr>
                <w:b/>
                <w:bCs/>
                <w:i/>
              </w:rPr>
            </w:pPr>
            <w:r w:rsidRPr="009D5678">
              <w:rPr>
                <w:b/>
                <w:bCs/>
                <w:i/>
              </w:rPr>
              <w:t>Page No.</w:t>
            </w:r>
          </w:p>
        </w:tc>
      </w:tr>
      <w:tr w:rsidR="00CB002E" w:rsidRPr="0047351B" w:rsidTr="009D5678">
        <w:trPr>
          <w:trHeight w:val="620"/>
        </w:trPr>
        <w:tc>
          <w:tcPr>
            <w:tcW w:w="1669" w:type="dxa"/>
            <w:tcBorders>
              <w:bottom w:val="single" w:sz="4" w:space="0" w:color="auto"/>
            </w:tcBorders>
          </w:tcPr>
          <w:p w:rsidR="00CB002E" w:rsidRPr="009D5678" w:rsidRDefault="00CB002E" w:rsidP="0041038B">
            <w:pPr>
              <w:spacing w:before="120" w:line="360" w:lineRule="auto"/>
              <w:jc w:val="center"/>
              <w:rPr>
                <w:bCs/>
                <w:i/>
              </w:rPr>
            </w:pPr>
            <w:r w:rsidRPr="009D5678">
              <w:rPr>
                <w:bCs/>
                <w:i/>
              </w:rPr>
              <w:t>1</w:t>
            </w:r>
          </w:p>
        </w:tc>
        <w:tc>
          <w:tcPr>
            <w:tcW w:w="6089" w:type="dxa"/>
            <w:tcBorders>
              <w:top w:val="nil"/>
              <w:bottom w:val="single" w:sz="4" w:space="0" w:color="auto"/>
            </w:tcBorders>
          </w:tcPr>
          <w:p w:rsidR="00CB002E" w:rsidRPr="009D5678" w:rsidRDefault="00CB002E" w:rsidP="0041038B">
            <w:pPr>
              <w:spacing w:before="120" w:line="360" w:lineRule="auto"/>
              <w:ind w:left="252" w:firstLine="90"/>
              <w:rPr>
                <w:bCs/>
                <w:i/>
              </w:rPr>
            </w:pPr>
            <w:r w:rsidRPr="009D5678">
              <w:rPr>
                <w:bCs/>
                <w:i/>
              </w:rPr>
              <w:t>Introduction</w:t>
            </w:r>
          </w:p>
        </w:tc>
        <w:tc>
          <w:tcPr>
            <w:tcW w:w="1800" w:type="dxa"/>
            <w:tcBorders>
              <w:top w:val="nil"/>
              <w:bottom w:val="single" w:sz="4" w:space="0" w:color="auto"/>
            </w:tcBorders>
          </w:tcPr>
          <w:p w:rsidR="00CB002E" w:rsidRPr="009D5678" w:rsidRDefault="0041038B" w:rsidP="0041038B">
            <w:pPr>
              <w:spacing w:before="120" w:line="360" w:lineRule="auto"/>
              <w:jc w:val="center"/>
              <w:rPr>
                <w:bCs/>
                <w:i/>
              </w:rPr>
            </w:pPr>
            <w:r w:rsidRPr="009D5678">
              <w:rPr>
                <w:bCs/>
                <w:i/>
              </w:rPr>
              <w:t>5</w:t>
            </w:r>
          </w:p>
        </w:tc>
      </w:tr>
      <w:tr w:rsidR="00A252C8" w:rsidRPr="0047351B" w:rsidTr="009D5678">
        <w:trPr>
          <w:trHeight w:val="620"/>
        </w:trPr>
        <w:tc>
          <w:tcPr>
            <w:tcW w:w="1669" w:type="dxa"/>
            <w:tcBorders>
              <w:top w:val="single" w:sz="4" w:space="0" w:color="auto"/>
            </w:tcBorders>
          </w:tcPr>
          <w:p w:rsidR="00A252C8" w:rsidRPr="009D5678" w:rsidRDefault="001025CF" w:rsidP="0041038B">
            <w:pPr>
              <w:spacing w:before="120" w:line="360" w:lineRule="auto"/>
              <w:jc w:val="center"/>
              <w:rPr>
                <w:bCs/>
                <w:i/>
              </w:rPr>
            </w:pPr>
            <w:r w:rsidRPr="009D5678">
              <w:rPr>
                <w:bCs/>
                <w:i/>
              </w:rPr>
              <w:t>2</w:t>
            </w:r>
          </w:p>
        </w:tc>
        <w:tc>
          <w:tcPr>
            <w:tcW w:w="6089" w:type="dxa"/>
            <w:tcBorders>
              <w:top w:val="single" w:sz="4" w:space="0" w:color="auto"/>
            </w:tcBorders>
          </w:tcPr>
          <w:p w:rsidR="00A252C8" w:rsidRPr="009D5678" w:rsidRDefault="001025CF" w:rsidP="0041038B">
            <w:pPr>
              <w:spacing w:before="120" w:line="360" w:lineRule="auto"/>
              <w:ind w:left="252" w:firstLine="90"/>
              <w:rPr>
                <w:bCs/>
                <w:i/>
              </w:rPr>
            </w:pPr>
            <w:r w:rsidRPr="009D5678">
              <w:rPr>
                <w:bCs/>
                <w:i/>
              </w:rPr>
              <w:t>History</w:t>
            </w:r>
          </w:p>
        </w:tc>
        <w:tc>
          <w:tcPr>
            <w:tcW w:w="1800" w:type="dxa"/>
            <w:tcBorders>
              <w:top w:val="single" w:sz="4" w:space="0" w:color="auto"/>
            </w:tcBorders>
          </w:tcPr>
          <w:p w:rsidR="00A252C8" w:rsidRPr="009D5678" w:rsidRDefault="0041038B" w:rsidP="0041038B">
            <w:pPr>
              <w:spacing w:before="120" w:line="360" w:lineRule="auto"/>
              <w:jc w:val="center"/>
              <w:rPr>
                <w:bCs/>
                <w:i/>
              </w:rPr>
            </w:pPr>
            <w:r w:rsidRPr="009D5678">
              <w:rPr>
                <w:bCs/>
                <w:i/>
              </w:rPr>
              <w:t>7</w:t>
            </w:r>
          </w:p>
        </w:tc>
      </w:tr>
      <w:tr w:rsidR="005C1431" w:rsidRPr="0047351B" w:rsidTr="009D5678">
        <w:trPr>
          <w:trHeight w:val="620"/>
        </w:trPr>
        <w:tc>
          <w:tcPr>
            <w:tcW w:w="1669" w:type="dxa"/>
            <w:tcBorders>
              <w:top w:val="single" w:sz="4" w:space="0" w:color="auto"/>
            </w:tcBorders>
          </w:tcPr>
          <w:p w:rsidR="005C1431" w:rsidRPr="009D5678" w:rsidRDefault="005C1431" w:rsidP="0041038B">
            <w:pPr>
              <w:spacing w:before="120" w:line="360" w:lineRule="auto"/>
              <w:jc w:val="center"/>
              <w:rPr>
                <w:bCs/>
                <w:i/>
              </w:rPr>
            </w:pPr>
            <w:r w:rsidRPr="009D5678">
              <w:rPr>
                <w:bCs/>
                <w:i/>
              </w:rPr>
              <w:t>3</w:t>
            </w:r>
          </w:p>
        </w:tc>
        <w:tc>
          <w:tcPr>
            <w:tcW w:w="6089" w:type="dxa"/>
            <w:tcBorders>
              <w:top w:val="single" w:sz="4" w:space="0" w:color="auto"/>
            </w:tcBorders>
          </w:tcPr>
          <w:p w:rsidR="005C1431" w:rsidRPr="009D5678" w:rsidRDefault="005C1431" w:rsidP="0041038B">
            <w:pPr>
              <w:spacing w:before="120" w:line="360" w:lineRule="auto"/>
              <w:ind w:left="252" w:firstLine="90"/>
              <w:rPr>
                <w:bCs/>
                <w:i/>
              </w:rPr>
            </w:pPr>
            <w:r w:rsidRPr="009D5678">
              <w:rPr>
                <w:bCs/>
                <w:i/>
              </w:rPr>
              <w:t>Research Methodology</w:t>
            </w:r>
          </w:p>
        </w:tc>
        <w:tc>
          <w:tcPr>
            <w:tcW w:w="1800" w:type="dxa"/>
            <w:tcBorders>
              <w:top w:val="single" w:sz="4" w:space="0" w:color="auto"/>
            </w:tcBorders>
          </w:tcPr>
          <w:p w:rsidR="005C1431" w:rsidRPr="009D5678" w:rsidRDefault="0041038B" w:rsidP="0041038B">
            <w:pPr>
              <w:spacing w:before="120" w:line="360" w:lineRule="auto"/>
              <w:jc w:val="center"/>
              <w:rPr>
                <w:bCs/>
                <w:i/>
              </w:rPr>
            </w:pPr>
            <w:r w:rsidRPr="009D5678">
              <w:rPr>
                <w:bCs/>
                <w:i/>
              </w:rPr>
              <w:t>9</w:t>
            </w:r>
          </w:p>
        </w:tc>
      </w:tr>
      <w:tr w:rsidR="00CB002E" w:rsidRPr="0047351B" w:rsidTr="009D5678">
        <w:trPr>
          <w:trHeight w:val="620"/>
        </w:trPr>
        <w:tc>
          <w:tcPr>
            <w:tcW w:w="1669" w:type="dxa"/>
          </w:tcPr>
          <w:p w:rsidR="00CB002E" w:rsidRPr="009D5678" w:rsidRDefault="005C1431" w:rsidP="0041038B">
            <w:pPr>
              <w:spacing w:before="120" w:line="360" w:lineRule="auto"/>
              <w:jc w:val="center"/>
              <w:rPr>
                <w:bCs/>
                <w:i/>
              </w:rPr>
            </w:pPr>
            <w:r w:rsidRPr="009D5678">
              <w:rPr>
                <w:bCs/>
                <w:i/>
              </w:rPr>
              <w:t>4</w:t>
            </w:r>
          </w:p>
        </w:tc>
        <w:tc>
          <w:tcPr>
            <w:tcW w:w="6089" w:type="dxa"/>
          </w:tcPr>
          <w:p w:rsidR="00CB002E" w:rsidRPr="009D5678" w:rsidRDefault="001025CF" w:rsidP="0041038B">
            <w:pPr>
              <w:spacing w:before="120" w:line="360" w:lineRule="auto"/>
              <w:ind w:firstLine="342"/>
              <w:rPr>
                <w:bCs/>
                <w:i/>
              </w:rPr>
            </w:pPr>
            <w:r w:rsidRPr="009D5678">
              <w:rPr>
                <w:bCs/>
                <w:i/>
              </w:rPr>
              <w:t xml:space="preserve">Organizational </w:t>
            </w:r>
            <w:r w:rsidR="00CB002E" w:rsidRPr="009D5678">
              <w:rPr>
                <w:bCs/>
                <w:i/>
              </w:rPr>
              <w:t>Structure</w:t>
            </w:r>
          </w:p>
        </w:tc>
        <w:tc>
          <w:tcPr>
            <w:tcW w:w="1800" w:type="dxa"/>
          </w:tcPr>
          <w:p w:rsidR="00CB002E" w:rsidRPr="009D5678" w:rsidRDefault="0041038B" w:rsidP="0041038B">
            <w:pPr>
              <w:spacing w:before="120" w:line="360" w:lineRule="auto"/>
              <w:jc w:val="center"/>
              <w:rPr>
                <w:bCs/>
                <w:i/>
              </w:rPr>
            </w:pPr>
            <w:r w:rsidRPr="009D5678">
              <w:rPr>
                <w:bCs/>
                <w:i/>
              </w:rPr>
              <w:t>10</w:t>
            </w:r>
          </w:p>
        </w:tc>
      </w:tr>
      <w:tr w:rsidR="00CB002E" w:rsidRPr="0047351B" w:rsidTr="009D5678">
        <w:trPr>
          <w:trHeight w:val="620"/>
        </w:trPr>
        <w:tc>
          <w:tcPr>
            <w:tcW w:w="1669" w:type="dxa"/>
          </w:tcPr>
          <w:p w:rsidR="00CB002E" w:rsidRPr="009D5678" w:rsidRDefault="005C1431" w:rsidP="0041038B">
            <w:pPr>
              <w:spacing w:before="120" w:line="360" w:lineRule="auto"/>
              <w:jc w:val="center"/>
              <w:rPr>
                <w:bCs/>
                <w:i/>
              </w:rPr>
            </w:pPr>
            <w:r w:rsidRPr="009D5678">
              <w:rPr>
                <w:bCs/>
                <w:i/>
              </w:rPr>
              <w:t>5</w:t>
            </w:r>
          </w:p>
        </w:tc>
        <w:tc>
          <w:tcPr>
            <w:tcW w:w="6089" w:type="dxa"/>
          </w:tcPr>
          <w:p w:rsidR="00CB002E" w:rsidRPr="009D5678" w:rsidRDefault="00CB002E" w:rsidP="0041038B">
            <w:pPr>
              <w:tabs>
                <w:tab w:val="left" w:pos="312"/>
              </w:tabs>
              <w:spacing w:before="120" w:line="360" w:lineRule="auto"/>
              <w:ind w:firstLine="342"/>
              <w:rPr>
                <w:bCs/>
                <w:i/>
              </w:rPr>
            </w:pPr>
            <w:r w:rsidRPr="009D5678">
              <w:rPr>
                <w:bCs/>
                <w:i/>
              </w:rPr>
              <w:t>Products &amp; Services</w:t>
            </w:r>
          </w:p>
        </w:tc>
        <w:tc>
          <w:tcPr>
            <w:tcW w:w="1800" w:type="dxa"/>
          </w:tcPr>
          <w:p w:rsidR="00CB002E" w:rsidRPr="009D5678" w:rsidRDefault="005C1431" w:rsidP="0041038B">
            <w:pPr>
              <w:tabs>
                <w:tab w:val="left" w:pos="312"/>
              </w:tabs>
              <w:spacing w:before="120" w:line="360" w:lineRule="auto"/>
              <w:jc w:val="center"/>
              <w:rPr>
                <w:bCs/>
                <w:i/>
              </w:rPr>
            </w:pPr>
            <w:r w:rsidRPr="009D5678">
              <w:rPr>
                <w:bCs/>
                <w:i/>
              </w:rPr>
              <w:t>1</w:t>
            </w:r>
            <w:r w:rsidR="0041038B" w:rsidRPr="009D5678">
              <w:rPr>
                <w:bCs/>
                <w:i/>
              </w:rPr>
              <w:t>2</w:t>
            </w:r>
          </w:p>
        </w:tc>
      </w:tr>
      <w:tr w:rsidR="00CB002E" w:rsidRPr="0047351B" w:rsidTr="009D5678">
        <w:trPr>
          <w:trHeight w:val="620"/>
        </w:trPr>
        <w:tc>
          <w:tcPr>
            <w:tcW w:w="1669" w:type="dxa"/>
          </w:tcPr>
          <w:p w:rsidR="00CB002E" w:rsidRPr="009D5678" w:rsidRDefault="005C1431" w:rsidP="0041038B">
            <w:pPr>
              <w:spacing w:before="120" w:line="360" w:lineRule="auto"/>
              <w:jc w:val="center"/>
              <w:rPr>
                <w:bCs/>
                <w:i/>
              </w:rPr>
            </w:pPr>
            <w:r w:rsidRPr="009D5678">
              <w:rPr>
                <w:bCs/>
                <w:i/>
              </w:rPr>
              <w:t>6</w:t>
            </w:r>
          </w:p>
        </w:tc>
        <w:tc>
          <w:tcPr>
            <w:tcW w:w="6089" w:type="dxa"/>
          </w:tcPr>
          <w:p w:rsidR="00CB002E" w:rsidRPr="009D5678" w:rsidRDefault="00CB002E" w:rsidP="0041038B">
            <w:pPr>
              <w:spacing w:before="120" w:line="360" w:lineRule="auto"/>
              <w:ind w:firstLine="342"/>
              <w:rPr>
                <w:bCs/>
                <w:i/>
              </w:rPr>
            </w:pPr>
            <w:r w:rsidRPr="009D5678">
              <w:rPr>
                <w:bCs/>
                <w:i/>
              </w:rPr>
              <w:t>Financial Statement Analysis</w:t>
            </w:r>
          </w:p>
        </w:tc>
        <w:tc>
          <w:tcPr>
            <w:tcW w:w="1800" w:type="dxa"/>
          </w:tcPr>
          <w:p w:rsidR="00CB002E" w:rsidRPr="009D5678" w:rsidRDefault="003C3695" w:rsidP="0041038B">
            <w:pPr>
              <w:spacing w:before="120" w:line="360" w:lineRule="auto"/>
              <w:jc w:val="center"/>
              <w:rPr>
                <w:bCs/>
                <w:i/>
              </w:rPr>
            </w:pPr>
            <w:r w:rsidRPr="009D5678">
              <w:rPr>
                <w:bCs/>
                <w:i/>
              </w:rPr>
              <w:t>1</w:t>
            </w:r>
            <w:r w:rsidR="0041038B" w:rsidRPr="009D5678">
              <w:rPr>
                <w:bCs/>
                <w:i/>
              </w:rPr>
              <w:t>7</w:t>
            </w:r>
          </w:p>
        </w:tc>
      </w:tr>
      <w:tr w:rsidR="002A69A3" w:rsidRPr="0047351B" w:rsidTr="009D5678">
        <w:trPr>
          <w:trHeight w:val="620"/>
        </w:trPr>
        <w:tc>
          <w:tcPr>
            <w:tcW w:w="1669" w:type="dxa"/>
          </w:tcPr>
          <w:p w:rsidR="002A69A3" w:rsidRPr="009D5678" w:rsidRDefault="005C1431" w:rsidP="0041038B">
            <w:pPr>
              <w:spacing w:before="120" w:line="360" w:lineRule="auto"/>
              <w:jc w:val="center"/>
              <w:rPr>
                <w:bCs/>
                <w:i/>
              </w:rPr>
            </w:pPr>
            <w:r w:rsidRPr="009D5678">
              <w:rPr>
                <w:bCs/>
                <w:i/>
              </w:rPr>
              <w:t>7</w:t>
            </w:r>
          </w:p>
        </w:tc>
        <w:tc>
          <w:tcPr>
            <w:tcW w:w="6089" w:type="dxa"/>
          </w:tcPr>
          <w:p w:rsidR="002A69A3" w:rsidRPr="009D5678" w:rsidRDefault="002A69A3" w:rsidP="0041038B">
            <w:pPr>
              <w:spacing w:before="120" w:line="360" w:lineRule="auto"/>
              <w:ind w:firstLine="342"/>
              <w:rPr>
                <w:bCs/>
                <w:i/>
              </w:rPr>
            </w:pPr>
            <w:r w:rsidRPr="009D5678">
              <w:rPr>
                <w:bCs/>
                <w:i/>
              </w:rPr>
              <w:t>Profit &amp; loss A/c</w:t>
            </w:r>
          </w:p>
        </w:tc>
        <w:tc>
          <w:tcPr>
            <w:tcW w:w="1800" w:type="dxa"/>
          </w:tcPr>
          <w:p w:rsidR="002A69A3" w:rsidRPr="009D5678" w:rsidRDefault="003C3695" w:rsidP="0041038B">
            <w:pPr>
              <w:spacing w:before="120" w:line="360" w:lineRule="auto"/>
              <w:jc w:val="center"/>
              <w:rPr>
                <w:bCs/>
                <w:i/>
              </w:rPr>
            </w:pPr>
            <w:r w:rsidRPr="009D5678">
              <w:rPr>
                <w:bCs/>
                <w:i/>
              </w:rPr>
              <w:t>1</w:t>
            </w:r>
            <w:r w:rsidR="0041038B" w:rsidRPr="009D5678">
              <w:rPr>
                <w:bCs/>
                <w:i/>
              </w:rPr>
              <w:t>8</w:t>
            </w:r>
          </w:p>
        </w:tc>
      </w:tr>
      <w:tr w:rsidR="002A69A3" w:rsidRPr="0047351B" w:rsidTr="009D5678">
        <w:trPr>
          <w:trHeight w:val="620"/>
        </w:trPr>
        <w:tc>
          <w:tcPr>
            <w:tcW w:w="1669" w:type="dxa"/>
          </w:tcPr>
          <w:p w:rsidR="002A69A3" w:rsidRPr="009D5678" w:rsidRDefault="005C1431" w:rsidP="0041038B">
            <w:pPr>
              <w:spacing w:before="120" w:line="360" w:lineRule="auto"/>
              <w:jc w:val="center"/>
              <w:rPr>
                <w:bCs/>
                <w:i/>
              </w:rPr>
            </w:pPr>
            <w:r w:rsidRPr="009D5678">
              <w:rPr>
                <w:bCs/>
                <w:i/>
              </w:rPr>
              <w:t>8</w:t>
            </w:r>
          </w:p>
        </w:tc>
        <w:tc>
          <w:tcPr>
            <w:tcW w:w="6089" w:type="dxa"/>
          </w:tcPr>
          <w:p w:rsidR="002A69A3" w:rsidRPr="009D5678" w:rsidRDefault="002A69A3" w:rsidP="0041038B">
            <w:pPr>
              <w:spacing w:before="120" w:line="360" w:lineRule="auto"/>
              <w:ind w:firstLine="342"/>
              <w:rPr>
                <w:bCs/>
                <w:i/>
              </w:rPr>
            </w:pPr>
            <w:r w:rsidRPr="009D5678">
              <w:rPr>
                <w:bCs/>
                <w:i/>
              </w:rPr>
              <w:t>Cash Flow</w:t>
            </w:r>
          </w:p>
        </w:tc>
        <w:tc>
          <w:tcPr>
            <w:tcW w:w="1800" w:type="dxa"/>
          </w:tcPr>
          <w:p w:rsidR="002A69A3" w:rsidRPr="009D5678" w:rsidRDefault="00FB2858" w:rsidP="0041038B">
            <w:pPr>
              <w:spacing w:before="120" w:line="360" w:lineRule="auto"/>
              <w:jc w:val="center"/>
              <w:rPr>
                <w:bCs/>
                <w:i/>
              </w:rPr>
            </w:pPr>
            <w:r w:rsidRPr="009D5678">
              <w:rPr>
                <w:bCs/>
                <w:i/>
              </w:rPr>
              <w:t>20</w:t>
            </w:r>
          </w:p>
        </w:tc>
      </w:tr>
      <w:tr w:rsidR="002A69A3" w:rsidRPr="0047351B" w:rsidTr="009D5678">
        <w:trPr>
          <w:trHeight w:val="620"/>
        </w:trPr>
        <w:tc>
          <w:tcPr>
            <w:tcW w:w="1669" w:type="dxa"/>
          </w:tcPr>
          <w:p w:rsidR="002A69A3" w:rsidRPr="009D5678" w:rsidRDefault="005C1431" w:rsidP="0041038B">
            <w:pPr>
              <w:spacing w:before="120" w:line="360" w:lineRule="auto"/>
              <w:jc w:val="center"/>
              <w:rPr>
                <w:bCs/>
                <w:i/>
              </w:rPr>
            </w:pPr>
            <w:r w:rsidRPr="009D5678">
              <w:rPr>
                <w:bCs/>
                <w:i/>
              </w:rPr>
              <w:t>9</w:t>
            </w:r>
          </w:p>
        </w:tc>
        <w:tc>
          <w:tcPr>
            <w:tcW w:w="6089" w:type="dxa"/>
          </w:tcPr>
          <w:p w:rsidR="002A69A3" w:rsidRPr="009D5678" w:rsidRDefault="002A69A3" w:rsidP="0041038B">
            <w:pPr>
              <w:spacing w:before="120" w:line="360" w:lineRule="auto"/>
              <w:ind w:firstLine="342"/>
              <w:rPr>
                <w:bCs/>
                <w:i/>
              </w:rPr>
            </w:pPr>
            <w:r w:rsidRPr="009D5678">
              <w:rPr>
                <w:bCs/>
                <w:i/>
              </w:rPr>
              <w:t>Balance Sheet</w:t>
            </w:r>
          </w:p>
        </w:tc>
        <w:tc>
          <w:tcPr>
            <w:tcW w:w="1800" w:type="dxa"/>
          </w:tcPr>
          <w:p w:rsidR="002A69A3" w:rsidRPr="009D5678" w:rsidRDefault="0041038B" w:rsidP="0041038B">
            <w:pPr>
              <w:spacing w:before="120" w:line="360" w:lineRule="auto"/>
              <w:jc w:val="center"/>
              <w:rPr>
                <w:bCs/>
                <w:i/>
              </w:rPr>
            </w:pPr>
            <w:r w:rsidRPr="009D5678">
              <w:rPr>
                <w:bCs/>
                <w:i/>
              </w:rPr>
              <w:t>2</w:t>
            </w:r>
            <w:r w:rsidR="00FB2858" w:rsidRPr="009D5678">
              <w:rPr>
                <w:bCs/>
                <w:i/>
              </w:rPr>
              <w:t>1</w:t>
            </w:r>
          </w:p>
        </w:tc>
      </w:tr>
      <w:tr w:rsidR="00CB002E" w:rsidRPr="0047351B" w:rsidTr="009D5678">
        <w:trPr>
          <w:trHeight w:val="620"/>
        </w:trPr>
        <w:tc>
          <w:tcPr>
            <w:tcW w:w="1669" w:type="dxa"/>
          </w:tcPr>
          <w:p w:rsidR="00CB002E" w:rsidRPr="009D5678" w:rsidRDefault="005C1431" w:rsidP="0041038B">
            <w:pPr>
              <w:spacing w:before="120" w:line="360" w:lineRule="auto"/>
              <w:jc w:val="center"/>
              <w:rPr>
                <w:bCs/>
                <w:i/>
              </w:rPr>
            </w:pPr>
            <w:r w:rsidRPr="009D5678">
              <w:rPr>
                <w:bCs/>
                <w:i/>
              </w:rPr>
              <w:t>10</w:t>
            </w:r>
          </w:p>
        </w:tc>
        <w:tc>
          <w:tcPr>
            <w:tcW w:w="6089" w:type="dxa"/>
          </w:tcPr>
          <w:p w:rsidR="00CB002E" w:rsidRPr="009D5678" w:rsidRDefault="00CB002E" w:rsidP="0041038B">
            <w:pPr>
              <w:spacing w:before="120" w:line="360" w:lineRule="auto"/>
              <w:ind w:left="702" w:hanging="360"/>
              <w:rPr>
                <w:bCs/>
                <w:i/>
              </w:rPr>
            </w:pPr>
            <w:r w:rsidRPr="009D5678">
              <w:rPr>
                <w:bCs/>
                <w:i/>
              </w:rPr>
              <w:t>Ratio Analysis</w:t>
            </w:r>
          </w:p>
        </w:tc>
        <w:tc>
          <w:tcPr>
            <w:tcW w:w="1800" w:type="dxa"/>
          </w:tcPr>
          <w:p w:rsidR="00CB002E" w:rsidRPr="009D5678" w:rsidRDefault="00C24773" w:rsidP="0041038B">
            <w:pPr>
              <w:spacing w:before="120" w:line="360" w:lineRule="auto"/>
              <w:jc w:val="center"/>
              <w:rPr>
                <w:bCs/>
                <w:i/>
              </w:rPr>
            </w:pPr>
            <w:r w:rsidRPr="009D5678">
              <w:rPr>
                <w:bCs/>
                <w:i/>
              </w:rPr>
              <w:t>2</w:t>
            </w:r>
            <w:r w:rsidR="00FB2858" w:rsidRPr="009D5678">
              <w:rPr>
                <w:bCs/>
                <w:i/>
              </w:rPr>
              <w:t>3</w:t>
            </w:r>
          </w:p>
        </w:tc>
      </w:tr>
      <w:tr w:rsidR="003C3695" w:rsidRPr="0047351B" w:rsidTr="009D5678">
        <w:trPr>
          <w:trHeight w:val="620"/>
        </w:trPr>
        <w:tc>
          <w:tcPr>
            <w:tcW w:w="1669" w:type="dxa"/>
          </w:tcPr>
          <w:p w:rsidR="003C3695" w:rsidRPr="009D5678" w:rsidRDefault="005C1431" w:rsidP="0041038B">
            <w:pPr>
              <w:spacing w:before="120" w:line="360" w:lineRule="auto"/>
              <w:jc w:val="center"/>
              <w:rPr>
                <w:bCs/>
                <w:i/>
              </w:rPr>
            </w:pPr>
            <w:r w:rsidRPr="009D5678">
              <w:rPr>
                <w:bCs/>
                <w:i/>
              </w:rPr>
              <w:t>11</w:t>
            </w:r>
          </w:p>
        </w:tc>
        <w:tc>
          <w:tcPr>
            <w:tcW w:w="6089" w:type="dxa"/>
          </w:tcPr>
          <w:p w:rsidR="003C3695" w:rsidRPr="009D5678" w:rsidRDefault="003C3695" w:rsidP="0041038B">
            <w:pPr>
              <w:spacing w:before="120" w:line="360" w:lineRule="auto"/>
              <w:ind w:left="702" w:hanging="360"/>
              <w:rPr>
                <w:bCs/>
                <w:i/>
              </w:rPr>
            </w:pPr>
            <w:r w:rsidRPr="009D5678">
              <w:rPr>
                <w:bCs/>
                <w:i/>
              </w:rPr>
              <w:t>Earning Quality</w:t>
            </w:r>
          </w:p>
        </w:tc>
        <w:tc>
          <w:tcPr>
            <w:tcW w:w="1800" w:type="dxa"/>
          </w:tcPr>
          <w:p w:rsidR="003C3695" w:rsidRPr="009D5678" w:rsidRDefault="00FB2858" w:rsidP="0041038B">
            <w:pPr>
              <w:spacing w:before="120" w:line="360" w:lineRule="auto"/>
              <w:jc w:val="center"/>
              <w:rPr>
                <w:bCs/>
                <w:i/>
              </w:rPr>
            </w:pPr>
            <w:r w:rsidRPr="009D5678">
              <w:rPr>
                <w:bCs/>
                <w:i/>
              </w:rPr>
              <w:t>30</w:t>
            </w:r>
          </w:p>
        </w:tc>
      </w:tr>
      <w:tr w:rsidR="002A69A3" w:rsidRPr="0047351B" w:rsidTr="009D5678">
        <w:trPr>
          <w:trHeight w:val="620"/>
        </w:trPr>
        <w:tc>
          <w:tcPr>
            <w:tcW w:w="1669" w:type="dxa"/>
          </w:tcPr>
          <w:p w:rsidR="002A69A3" w:rsidRPr="009D5678" w:rsidRDefault="001025CF" w:rsidP="0041038B">
            <w:pPr>
              <w:spacing w:before="120" w:line="360" w:lineRule="auto"/>
              <w:jc w:val="center"/>
              <w:rPr>
                <w:bCs/>
                <w:i/>
              </w:rPr>
            </w:pPr>
            <w:r w:rsidRPr="009D5678">
              <w:rPr>
                <w:bCs/>
                <w:i/>
              </w:rPr>
              <w:t>1</w:t>
            </w:r>
            <w:r w:rsidR="005C1431" w:rsidRPr="009D5678">
              <w:rPr>
                <w:bCs/>
                <w:i/>
              </w:rPr>
              <w:t>2</w:t>
            </w:r>
          </w:p>
        </w:tc>
        <w:tc>
          <w:tcPr>
            <w:tcW w:w="6089" w:type="dxa"/>
          </w:tcPr>
          <w:p w:rsidR="002A69A3" w:rsidRPr="009D5678" w:rsidRDefault="005C1431" w:rsidP="0041038B">
            <w:pPr>
              <w:spacing w:before="120" w:line="360" w:lineRule="auto"/>
              <w:ind w:left="702" w:hanging="360"/>
              <w:rPr>
                <w:bCs/>
                <w:i/>
              </w:rPr>
            </w:pPr>
            <w:r w:rsidRPr="009D5678">
              <w:rPr>
                <w:bCs/>
                <w:i/>
              </w:rPr>
              <w:t>Summary</w:t>
            </w:r>
            <w:r w:rsidR="002A69A3" w:rsidRPr="009D5678">
              <w:rPr>
                <w:bCs/>
                <w:i/>
              </w:rPr>
              <w:t xml:space="preserve"> of Ratios</w:t>
            </w:r>
          </w:p>
        </w:tc>
        <w:tc>
          <w:tcPr>
            <w:tcW w:w="1800" w:type="dxa"/>
          </w:tcPr>
          <w:p w:rsidR="002A69A3" w:rsidRPr="009D5678" w:rsidRDefault="00C24773" w:rsidP="0041038B">
            <w:pPr>
              <w:spacing w:before="120" w:line="360" w:lineRule="auto"/>
              <w:jc w:val="center"/>
              <w:rPr>
                <w:bCs/>
                <w:i/>
              </w:rPr>
            </w:pPr>
            <w:r w:rsidRPr="009D5678">
              <w:rPr>
                <w:bCs/>
                <w:i/>
              </w:rPr>
              <w:t>3</w:t>
            </w:r>
            <w:r w:rsidR="00FB2858" w:rsidRPr="009D5678">
              <w:rPr>
                <w:bCs/>
                <w:i/>
              </w:rPr>
              <w:t>4</w:t>
            </w:r>
          </w:p>
        </w:tc>
      </w:tr>
      <w:tr w:rsidR="00CB002E" w:rsidRPr="0047351B" w:rsidTr="009D5678">
        <w:trPr>
          <w:trHeight w:val="620"/>
        </w:trPr>
        <w:tc>
          <w:tcPr>
            <w:tcW w:w="1669" w:type="dxa"/>
          </w:tcPr>
          <w:p w:rsidR="00CB002E" w:rsidRPr="009D5678" w:rsidRDefault="001025CF" w:rsidP="0041038B">
            <w:pPr>
              <w:spacing w:before="120" w:line="360" w:lineRule="auto"/>
              <w:jc w:val="center"/>
              <w:rPr>
                <w:bCs/>
                <w:i/>
              </w:rPr>
            </w:pPr>
            <w:r w:rsidRPr="009D5678">
              <w:rPr>
                <w:bCs/>
                <w:i/>
              </w:rPr>
              <w:t>1</w:t>
            </w:r>
            <w:r w:rsidR="005C1431" w:rsidRPr="009D5678">
              <w:rPr>
                <w:bCs/>
                <w:i/>
              </w:rPr>
              <w:t>3</w:t>
            </w:r>
          </w:p>
        </w:tc>
        <w:tc>
          <w:tcPr>
            <w:tcW w:w="6089" w:type="dxa"/>
          </w:tcPr>
          <w:p w:rsidR="00CB002E" w:rsidRPr="009D5678" w:rsidRDefault="00CB002E" w:rsidP="0041038B">
            <w:pPr>
              <w:spacing w:before="120" w:line="360" w:lineRule="auto"/>
              <w:ind w:firstLine="342"/>
              <w:rPr>
                <w:bCs/>
                <w:i/>
              </w:rPr>
            </w:pPr>
            <w:r w:rsidRPr="009D5678">
              <w:rPr>
                <w:bCs/>
                <w:i/>
              </w:rPr>
              <w:t xml:space="preserve">Conclusion </w:t>
            </w:r>
          </w:p>
        </w:tc>
        <w:tc>
          <w:tcPr>
            <w:tcW w:w="1800" w:type="dxa"/>
          </w:tcPr>
          <w:p w:rsidR="00CB002E" w:rsidRPr="009D5678" w:rsidRDefault="00C24773" w:rsidP="0041038B">
            <w:pPr>
              <w:spacing w:before="120" w:line="360" w:lineRule="auto"/>
              <w:jc w:val="center"/>
              <w:rPr>
                <w:bCs/>
                <w:i/>
              </w:rPr>
            </w:pPr>
            <w:r w:rsidRPr="009D5678">
              <w:rPr>
                <w:bCs/>
                <w:i/>
              </w:rPr>
              <w:t>3</w:t>
            </w:r>
            <w:r w:rsidR="00FB2858" w:rsidRPr="009D5678">
              <w:rPr>
                <w:bCs/>
                <w:i/>
              </w:rPr>
              <w:t>7</w:t>
            </w:r>
          </w:p>
        </w:tc>
      </w:tr>
      <w:tr w:rsidR="00CB002E" w:rsidRPr="0047351B" w:rsidTr="009D5678">
        <w:tblPrEx>
          <w:tblLook w:val="0000" w:firstRow="0" w:lastRow="0" w:firstColumn="0" w:lastColumn="0" w:noHBand="0" w:noVBand="0"/>
        </w:tblPrEx>
        <w:trPr>
          <w:trHeight w:val="620"/>
        </w:trPr>
        <w:tc>
          <w:tcPr>
            <w:tcW w:w="1669" w:type="dxa"/>
          </w:tcPr>
          <w:p w:rsidR="00CB002E" w:rsidRPr="009D5678" w:rsidRDefault="00CB002E" w:rsidP="0041038B">
            <w:pPr>
              <w:spacing w:before="120" w:line="360" w:lineRule="auto"/>
              <w:ind w:left="108"/>
              <w:jc w:val="center"/>
              <w:rPr>
                <w:bCs/>
                <w:i/>
              </w:rPr>
            </w:pPr>
            <w:r w:rsidRPr="009D5678">
              <w:rPr>
                <w:b/>
                <w:bCs/>
                <w:i/>
              </w:rPr>
              <w:br w:type="page"/>
            </w:r>
            <w:r w:rsidR="001025CF" w:rsidRPr="009D5678">
              <w:rPr>
                <w:bCs/>
                <w:i/>
              </w:rPr>
              <w:t>1</w:t>
            </w:r>
            <w:r w:rsidR="005C1431" w:rsidRPr="009D5678">
              <w:rPr>
                <w:bCs/>
                <w:i/>
              </w:rPr>
              <w:t>4</w:t>
            </w:r>
          </w:p>
        </w:tc>
        <w:tc>
          <w:tcPr>
            <w:tcW w:w="6089" w:type="dxa"/>
          </w:tcPr>
          <w:p w:rsidR="00CB002E" w:rsidRPr="009D5678" w:rsidRDefault="00CB002E" w:rsidP="0041038B">
            <w:pPr>
              <w:spacing w:before="120" w:line="360" w:lineRule="auto"/>
              <w:ind w:left="401"/>
              <w:rPr>
                <w:bCs/>
                <w:i/>
              </w:rPr>
            </w:pPr>
            <w:r w:rsidRPr="009D5678">
              <w:rPr>
                <w:bCs/>
                <w:i/>
              </w:rPr>
              <w:t>Suggestion</w:t>
            </w:r>
          </w:p>
        </w:tc>
        <w:tc>
          <w:tcPr>
            <w:tcW w:w="1800" w:type="dxa"/>
          </w:tcPr>
          <w:p w:rsidR="00CB002E" w:rsidRPr="009D5678" w:rsidRDefault="005C1431" w:rsidP="0041038B">
            <w:pPr>
              <w:spacing w:before="120" w:line="360" w:lineRule="auto"/>
              <w:jc w:val="center"/>
              <w:rPr>
                <w:bCs/>
                <w:i/>
              </w:rPr>
            </w:pPr>
            <w:r w:rsidRPr="009D5678">
              <w:rPr>
                <w:bCs/>
                <w:i/>
              </w:rPr>
              <w:t>3</w:t>
            </w:r>
            <w:r w:rsidR="00FB2858" w:rsidRPr="009D5678">
              <w:rPr>
                <w:bCs/>
                <w:i/>
              </w:rPr>
              <w:t>8</w:t>
            </w:r>
          </w:p>
        </w:tc>
      </w:tr>
      <w:tr w:rsidR="003C3695" w:rsidRPr="0047351B" w:rsidTr="009D5678">
        <w:tblPrEx>
          <w:tblLook w:val="0000" w:firstRow="0" w:lastRow="0" w:firstColumn="0" w:lastColumn="0" w:noHBand="0" w:noVBand="0"/>
        </w:tblPrEx>
        <w:trPr>
          <w:trHeight w:val="620"/>
        </w:trPr>
        <w:tc>
          <w:tcPr>
            <w:tcW w:w="1669" w:type="dxa"/>
          </w:tcPr>
          <w:p w:rsidR="003C3695" w:rsidRPr="009D5678" w:rsidRDefault="005C1431" w:rsidP="0041038B">
            <w:pPr>
              <w:spacing w:before="120" w:line="360" w:lineRule="auto"/>
              <w:ind w:left="108"/>
              <w:jc w:val="center"/>
              <w:rPr>
                <w:bCs/>
                <w:i/>
              </w:rPr>
            </w:pPr>
            <w:r w:rsidRPr="009D5678">
              <w:rPr>
                <w:bCs/>
                <w:i/>
              </w:rPr>
              <w:t>15</w:t>
            </w:r>
          </w:p>
        </w:tc>
        <w:tc>
          <w:tcPr>
            <w:tcW w:w="6089" w:type="dxa"/>
          </w:tcPr>
          <w:p w:rsidR="003C3695" w:rsidRPr="009D5678" w:rsidRDefault="003C3695" w:rsidP="0041038B">
            <w:pPr>
              <w:spacing w:before="120" w:line="360" w:lineRule="auto"/>
              <w:ind w:left="401"/>
              <w:rPr>
                <w:bCs/>
                <w:i/>
              </w:rPr>
            </w:pPr>
            <w:r w:rsidRPr="009D5678">
              <w:rPr>
                <w:bCs/>
                <w:i/>
              </w:rPr>
              <w:t>References</w:t>
            </w:r>
          </w:p>
        </w:tc>
        <w:tc>
          <w:tcPr>
            <w:tcW w:w="1800" w:type="dxa"/>
          </w:tcPr>
          <w:p w:rsidR="003C3695" w:rsidRPr="009D5678" w:rsidRDefault="005C1431" w:rsidP="0041038B">
            <w:pPr>
              <w:spacing w:before="120" w:line="360" w:lineRule="auto"/>
              <w:jc w:val="center"/>
              <w:rPr>
                <w:bCs/>
                <w:i/>
              </w:rPr>
            </w:pPr>
            <w:r w:rsidRPr="009D5678">
              <w:rPr>
                <w:bCs/>
                <w:i/>
              </w:rPr>
              <w:t>3</w:t>
            </w:r>
            <w:r w:rsidR="00FB2858" w:rsidRPr="009D5678">
              <w:rPr>
                <w:bCs/>
                <w:i/>
              </w:rPr>
              <w:t>9</w:t>
            </w:r>
          </w:p>
        </w:tc>
      </w:tr>
    </w:tbl>
    <w:p w:rsidR="00CB002E" w:rsidRPr="0047351B" w:rsidRDefault="00CB002E" w:rsidP="00444311">
      <w:pPr>
        <w:spacing w:line="360" w:lineRule="auto"/>
        <w:jc w:val="both"/>
        <w:rPr>
          <w:b/>
          <w:bCs/>
          <w:sz w:val="23"/>
          <w:szCs w:val="23"/>
        </w:rPr>
      </w:pPr>
    </w:p>
    <w:p w:rsidR="00CB002E" w:rsidRPr="0047351B" w:rsidRDefault="00CB002E">
      <w:pPr>
        <w:rPr>
          <w:b/>
          <w:bCs/>
          <w:sz w:val="23"/>
          <w:szCs w:val="23"/>
        </w:rPr>
      </w:pPr>
      <w:r w:rsidRPr="0047351B">
        <w:rPr>
          <w:b/>
          <w:bCs/>
          <w:sz w:val="23"/>
          <w:szCs w:val="23"/>
        </w:rPr>
        <w:br w:type="page"/>
      </w:r>
    </w:p>
    <w:p w:rsidR="00B67755" w:rsidRPr="00DF575C" w:rsidRDefault="00B352D6" w:rsidP="001025CF">
      <w:pPr>
        <w:spacing w:line="360" w:lineRule="auto"/>
        <w:jc w:val="center"/>
        <w:rPr>
          <w:b/>
          <w:bCs/>
          <w:sz w:val="32"/>
          <w:szCs w:val="32"/>
        </w:rPr>
      </w:pPr>
      <w:r w:rsidRPr="00DF575C">
        <w:rPr>
          <w:b/>
          <w:bCs/>
          <w:sz w:val="32"/>
          <w:szCs w:val="32"/>
        </w:rPr>
        <w:lastRenderedPageBreak/>
        <w:t>INTRODUCTION</w:t>
      </w:r>
    </w:p>
    <w:p w:rsidR="00CB7E93" w:rsidRPr="0047351B" w:rsidRDefault="00CB7E93" w:rsidP="00444311">
      <w:pPr>
        <w:spacing w:line="360" w:lineRule="auto"/>
        <w:jc w:val="center"/>
        <w:rPr>
          <w:b/>
          <w:sz w:val="38"/>
          <w:szCs w:val="38"/>
          <w:u w:val="single"/>
        </w:rPr>
      </w:pPr>
    </w:p>
    <w:p w:rsidR="00FB390E" w:rsidRPr="00DF575C" w:rsidRDefault="00FB390E" w:rsidP="00444311">
      <w:pPr>
        <w:spacing w:line="360" w:lineRule="auto"/>
        <w:ind w:firstLine="720"/>
        <w:jc w:val="both"/>
      </w:pPr>
      <w:r w:rsidRPr="00DF575C">
        <w:t xml:space="preserve">ICICI Bank is India's second-largest bank with total assets of about Rs.1,67,659 crore at March 31, </w:t>
      </w:r>
      <w:r w:rsidR="001C24F1">
        <w:t>2014</w:t>
      </w:r>
      <w:r w:rsidRPr="00DF575C">
        <w:t xml:space="preserve"> and profit after tax of Rs. 2,005 crore for the year ended March 31, </w:t>
      </w:r>
      <w:r w:rsidR="001C24F1">
        <w:t>2014</w:t>
      </w:r>
      <w:r w:rsidRPr="00DF575C">
        <w:t xml:space="preserve"> (Rs. 1,637 crore in fiscal 2004). ICICI Bank has a network of about 560 branches and extension counters and over 1,900 ATMs. ICICI Bank offers a wide range of banking products and financial services to corporate and retail customers through a variety of delivery channels and through its </w:t>
      </w:r>
      <w:r w:rsidR="00B67490" w:rsidRPr="00DF575C">
        <w:t>specialized</w:t>
      </w:r>
      <w:r w:rsidRPr="00DF575C">
        <w:t xml:space="preserve"> subsidiaries and affiliates in the areas of investment banking, life and non-life insurance, venture capital and asset management. ICICI Bank set up its international banking group in fiscal 2002 to cater to the cross border needs of clients and leverage on its domestic banking strengths to offer products internationally. ICICI Bank currently has subsidiaries in the United Kingdom, Canada and Russia, branches in Singapore and Bahrain and representative offices in the United States, China, United Arab Emirates, Bangladesh and South Africa.</w:t>
      </w:r>
    </w:p>
    <w:p w:rsidR="00FB390E" w:rsidRPr="00DF575C" w:rsidRDefault="00FB390E" w:rsidP="00444311">
      <w:pPr>
        <w:spacing w:line="360" w:lineRule="auto"/>
        <w:jc w:val="both"/>
      </w:pPr>
      <w:r w:rsidRPr="00DF575C">
        <w:t>ICICI Bank's equity shares are listed in India on the Stock Exchange, Mumbai and the National Stock Exchange of India Limited and its American Depositary Receipts (ADRs) are listed on the New York Stock Exchange (NYSE).</w:t>
      </w:r>
    </w:p>
    <w:p w:rsidR="00444311" w:rsidRPr="00DF575C" w:rsidRDefault="00444311" w:rsidP="00444311">
      <w:pPr>
        <w:spacing w:line="360" w:lineRule="auto"/>
        <w:jc w:val="both"/>
      </w:pPr>
    </w:p>
    <w:p w:rsidR="00FB390E" w:rsidRPr="00DF575C" w:rsidRDefault="00FB390E" w:rsidP="00444311">
      <w:pPr>
        <w:spacing w:line="360" w:lineRule="auto"/>
        <w:ind w:firstLine="720"/>
        <w:jc w:val="both"/>
      </w:pPr>
      <w:r w:rsidRPr="00DF575C">
        <w:t xml:space="preserve">As required by the stock exchanges, ICICI Bank has formulated a Code of Business Conduct and Ethics for its directors and employees. </w:t>
      </w:r>
    </w:p>
    <w:p w:rsidR="00444311" w:rsidRPr="00DF575C" w:rsidRDefault="00444311" w:rsidP="00444311">
      <w:pPr>
        <w:spacing w:line="360" w:lineRule="auto"/>
        <w:ind w:firstLine="720"/>
        <w:jc w:val="both"/>
      </w:pPr>
    </w:p>
    <w:p w:rsidR="00FB390E" w:rsidRPr="00DF575C" w:rsidRDefault="00FB390E" w:rsidP="00444311">
      <w:pPr>
        <w:spacing w:line="360" w:lineRule="auto"/>
        <w:ind w:firstLine="720"/>
        <w:jc w:val="both"/>
      </w:pPr>
      <w:r w:rsidRPr="00DF575C">
        <w:rPr>
          <w:bCs/>
        </w:rPr>
        <w:t xml:space="preserve">At April 4, </w:t>
      </w:r>
      <w:r w:rsidR="001C24F1">
        <w:rPr>
          <w:bCs/>
        </w:rPr>
        <w:t>2014</w:t>
      </w:r>
      <w:r w:rsidRPr="00DF575C">
        <w:rPr>
          <w:bCs/>
        </w:rPr>
        <w:t xml:space="preserve">, ICICI Bank, with </w:t>
      </w:r>
      <w:r w:rsidRPr="00DF575C">
        <w:rPr>
          <w:b/>
          <w:bCs/>
          <w:i/>
        </w:rPr>
        <w:t>free float market capitalization</w:t>
      </w:r>
      <w:r w:rsidRPr="00DF575C">
        <w:rPr>
          <w:b/>
          <w:bCs/>
        </w:rPr>
        <w:t>*</w:t>
      </w:r>
      <w:r w:rsidRPr="00DF575C">
        <w:rPr>
          <w:bCs/>
        </w:rPr>
        <w:t xml:space="preserve"> of about Rs. 308.00 billion (US$ 7.00 billion) ranked third amongst all the companies listed on the Indian stock exchanges.</w:t>
      </w:r>
    </w:p>
    <w:p w:rsidR="00B67755" w:rsidRPr="00DF575C" w:rsidRDefault="00B67755" w:rsidP="00444311">
      <w:pPr>
        <w:spacing w:line="360" w:lineRule="auto"/>
        <w:jc w:val="both"/>
      </w:pPr>
    </w:p>
    <w:p w:rsidR="00FB390E" w:rsidRPr="00DF575C" w:rsidRDefault="00FB390E" w:rsidP="00444311">
      <w:pPr>
        <w:spacing w:line="360" w:lineRule="auto"/>
        <w:ind w:firstLine="720"/>
        <w:jc w:val="both"/>
      </w:pPr>
      <w:r w:rsidRPr="00DF575C">
        <w:t xml:space="preserve">ICICI Bank was originally promoted in 1994 by ICICI Limited, an Indian financial institution, and was its wholly-owned subsidiary. ICICI's shareholding in ICICI Bank was reduced to 46% through a public offering of shares in India in fiscal 1998, an equity offering in the form of ADRs listed on the NYSE in fiscal 2000, ICICI Bank's acquisition of Bank of Madura Limited in an all-stock amalgamation in fiscal 2001, and secondary market sales by ICICI to institutional investors in fiscal 2001 and fiscal 2002. ICICI was formed in 1955 at the initiative of the World Bank, the Government of India and representatives of Indian industry. The principal objective was to create a development financial institution for providing medium-term and long-term project financing to Indian businesses. In the 1990s, ICICI transformed its business from a development financial </w:t>
      </w:r>
      <w:r w:rsidRPr="00DF575C">
        <w:lastRenderedPageBreak/>
        <w:t>institution offering only project finance to a diversified financial services group offering a wide variety of products and services, both directly and through a number of subsidiaries and affiliates like ICICI Bank. In 1999, ICICI become the first Indian company and the first bank or financial institution from non-Japan Asia to be listed on the NYSE.</w:t>
      </w:r>
    </w:p>
    <w:p w:rsidR="00FB390E" w:rsidRPr="00DF575C" w:rsidRDefault="00FB390E" w:rsidP="00444311">
      <w:pPr>
        <w:spacing w:line="360" w:lineRule="auto"/>
        <w:jc w:val="both"/>
      </w:pPr>
      <w:r w:rsidRPr="00DF575C">
        <w:t xml:space="preserve">After consideration of various corporate structuring alternatives in the context of the emerging competitive scenario in the Indian banking industry, and the move towards universal banking, the managements of ICICI and ICICI Bank formed the view that the merger of ICICI with ICICI Bank would be the optimal strategic alternative for both entities, and would create the optimal legal structure for the ICICI group's universal banking strategy. The merger would enhance value for ICICI shareholders through the merged entity's access to low-cost deposits, greater opportunities for earning fee-based income and the ability to participate in the payments system and provide transaction-banking services. The merger would enhance value for ICICI Bank shareholders through a large capital base and scale of operations, seamless access to ICICI's strong corporate relationships built up over five decades, entry into new business segments, higher market share in various business segments, particularly fee-based services, and access to the vast talent pool of ICICI and its subsidiaries. In October 2001, the Boards of Directors of ICICI and ICICI Bank approved the merger of ICICI and two of its wholly-owned retail finance subsidiaries, ICICI Personal Financial Services Limited and ICICI Capital Services Limited, with ICICI Bank. The merger was approved by shareholders of ICICI and ICICI Bank in January 2002, by the High Court of Gujarat at </w:t>
      </w:r>
      <w:r w:rsidR="00B67490" w:rsidRPr="00DF575C">
        <w:t>Ahmadabad</w:t>
      </w:r>
      <w:r w:rsidRPr="00DF575C">
        <w:t xml:space="preserve"> in March 2002, and by the High Court of Judicature at Mumbai and the Reserve Bank of India in April 2002. Consequent to the merger, the ICICI group's financing and banking operations, both wholesale and retail, have been integrated in a single entity. </w:t>
      </w:r>
    </w:p>
    <w:p w:rsidR="00DF4E05" w:rsidRPr="0047351B" w:rsidRDefault="00DF4E05" w:rsidP="00444311">
      <w:pPr>
        <w:spacing w:line="360" w:lineRule="auto"/>
        <w:jc w:val="both"/>
        <w:rPr>
          <w:sz w:val="23"/>
          <w:szCs w:val="23"/>
        </w:rPr>
      </w:pPr>
    </w:p>
    <w:p w:rsidR="00081070" w:rsidRPr="0047351B" w:rsidRDefault="00081070" w:rsidP="00444311">
      <w:pPr>
        <w:spacing w:line="360" w:lineRule="auto"/>
        <w:jc w:val="both"/>
        <w:rPr>
          <w:sz w:val="27"/>
          <w:szCs w:val="27"/>
        </w:rPr>
      </w:pPr>
    </w:p>
    <w:p w:rsidR="00971178" w:rsidRPr="0047351B" w:rsidRDefault="00971178" w:rsidP="00444311">
      <w:pPr>
        <w:spacing w:line="360" w:lineRule="auto"/>
        <w:jc w:val="both"/>
        <w:rPr>
          <w:sz w:val="27"/>
          <w:szCs w:val="27"/>
        </w:rPr>
      </w:pPr>
    </w:p>
    <w:p w:rsidR="00971178" w:rsidRPr="0047351B" w:rsidRDefault="00971178" w:rsidP="00444311">
      <w:pPr>
        <w:spacing w:line="360" w:lineRule="auto"/>
        <w:jc w:val="both"/>
        <w:rPr>
          <w:sz w:val="27"/>
          <w:szCs w:val="27"/>
        </w:rPr>
      </w:pPr>
    </w:p>
    <w:p w:rsidR="00971178" w:rsidRPr="0047351B" w:rsidRDefault="00971178" w:rsidP="00444311">
      <w:pPr>
        <w:spacing w:line="360" w:lineRule="auto"/>
        <w:jc w:val="both"/>
        <w:rPr>
          <w:sz w:val="27"/>
          <w:szCs w:val="27"/>
        </w:rPr>
      </w:pPr>
    </w:p>
    <w:p w:rsidR="00204598" w:rsidRPr="0047351B" w:rsidRDefault="00204598">
      <w:pPr>
        <w:rPr>
          <w:b/>
          <w:sz w:val="42"/>
          <w:szCs w:val="42"/>
        </w:rPr>
      </w:pPr>
      <w:r w:rsidRPr="0047351B">
        <w:rPr>
          <w:b/>
          <w:sz w:val="42"/>
          <w:szCs w:val="42"/>
        </w:rPr>
        <w:br w:type="page"/>
      </w:r>
    </w:p>
    <w:p w:rsidR="00204598" w:rsidRPr="00DF575C" w:rsidRDefault="00204598" w:rsidP="001025CF">
      <w:pPr>
        <w:spacing w:line="360" w:lineRule="auto"/>
        <w:jc w:val="center"/>
        <w:rPr>
          <w:b/>
          <w:sz w:val="32"/>
          <w:szCs w:val="32"/>
        </w:rPr>
      </w:pPr>
      <w:r w:rsidRPr="00DF575C">
        <w:rPr>
          <w:b/>
          <w:sz w:val="32"/>
          <w:szCs w:val="32"/>
        </w:rPr>
        <w:lastRenderedPageBreak/>
        <w:t>HISTORY</w:t>
      </w:r>
    </w:p>
    <w:p w:rsidR="001025CF" w:rsidRPr="0047351B" w:rsidRDefault="001025CF" w:rsidP="001025CF">
      <w:pPr>
        <w:spacing w:line="360" w:lineRule="auto"/>
        <w:jc w:val="center"/>
        <w:rPr>
          <w:b/>
          <w:sz w:val="31"/>
          <w:szCs w:val="31"/>
        </w:rPr>
      </w:pPr>
    </w:p>
    <w:p w:rsidR="00204598" w:rsidRPr="00DF575C" w:rsidRDefault="00204598" w:rsidP="001025CF">
      <w:pPr>
        <w:spacing w:line="360" w:lineRule="auto"/>
        <w:ind w:firstLine="720"/>
        <w:jc w:val="both"/>
        <w:rPr>
          <w:color w:val="000000"/>
        </w:rPr>
      </w:pPr>
      <w:r w:rsidRPr="00DF575C">
        <w:rPr>
          <w:rStyle w:val="apple-style-span"/>
          <w:color w:val="000000"/>
        </w:rPr>
        <w:t>ICICI Bank was originally promoted in 1994 by ICICI Limited, an Indian financial institution, and was its wholly-owned subsidiary. ICICI's shareholding in ICICI Bank was reduced to 46% through a public offering of shares in India in fiscal 1998, an equity offering in the form of ADRs listed on the NYSE in fiscal 2000, ICICI Bank's acquisition of Bank of Madura Limited in an all-stock amalgamation in fiscal 2001, and secondary market sales by ICICI to institutional investors in fiscal 2001 and fiscal 2002. ICICI was formed in 1955 at the initiative of the World Bank, the Government of India and representatives of Indian industry. The principal objective was to create a development financial institution for providing medium-term and long-term project financing to Indian businesses.</w:t>
      </w:r>
      <w:r w:rsidRPr="00DF575C">
        <w:rPr>
          <w:rStyle w:val="apple-converted-space"/>
          <w:color w:val="000000"/>
        </w:rPr>
        <w:t> </w:t>
      </w:r>
      <w:r w:rsidRPr="00DF575C">
        <w:rPr>
          <w:rStyle w:val="apple-converted-space"/>
          <w:color w:val="000000"/>
        </w:rPr>
        <w:tab/>
      </w:r>
      <w:r w:rsidRPr="00DF575C">
        <w:rPr>
          <w:color w:val="000000"/>
        </w:rPr>
        <w:br/>
      </w:r>
      <w:r w:rsidRPr="00DF575C">
        <w:rPr>
          <w:color w:val="000000"/>
        </w:rPr>
        <w:br/>
      </w:r>
      <w:r w:rsidR="001025CF" w:rsidRPr="00DF575C">
        <w:rPr>
          <w:rStyle w:val="apple-style-span"/>
          <w:color w:val="000000"/>
        </w:rPr>
        <w:t xml:space="preserve"> </w:t>
      </w:r>
      <w:r w:rsidR="001025CF" w:rsidRPr="00DF575C">
        <w:rPr>
          <w:rStyle w:val="apple-style-span"/>
          <w:color w:val="000000"/>
        </w:rPr>
        <w:tab/>
      </w:r>
      <w:r w:rsidRPr="00DF575C">
        <w:rPr>
          <w:rStyle w:val="apple-style-span"/>
          <w:color w:val="000000"/>
        </w:rPr>
        <w:t>In the 1990s, ICICI transformed its business from a development financial institution offering only project finance to a diversified financial services group offering a wide variety of products and services, both directly and through a number of subsidiaries and affiliates like ICICI Bank. In 1999, ICICI become the first Indian company and the first bank or financial institution from non-Japan Asia to be listed on the NYSE.</w:t>
      </w:r>
      <w:r w:rsidRPr="00DF575C">
        <w:rPr>
          <w:rStyle w:val="apple-converted-space"/>
          <w:color w:val="000000"/>
        </w:rPr>
        <w:t> </w:t>
      </w:r>
      <w:r w:rsidRPr="00DF575C">
        <w:rPr>
          <w:rStyle w:val="apple-converted-space"/>
          <w:color w:val="000000"/>
        </w:rPr>
        <w:tab/>
      </w:r>
      <w:r w:rsidRPr="00DF575C">
        <w:rPr>
          <w:color w:val="000000"/>
        </w:rPr>
        <w:br/>
      </w:r>
      <w:r w:rsidRPr="00DF575C">
        <w:rPr>
          <w:color w:val="000000"/>
        </w:rPr>
        <w:br/>
      </w:r>
      <w:r w:rsidR="001025CF" w:rsidRPr="00DF575C">
        <w:rPr>
          <w:rStyle w:val="apple-style-span"/>
          <w:color w:val="000000"/>
        </w:rPr>
        <w:t xml:space="preserve"> </w:t>
      </w:r>
      <w:r w:rsidR="001025CF" w:rsidRPr="00DF575C">
        <w:rPr>
          <w:rStyle w:val="apple-style-span"/>
          <w:color w:val="000000"/>
        </w:rPr>
        <w:tab/>
      </w:r>
      <w:r w:rsidRPr="00DF575C">
        <w:rPr>
          <w:rStyle w:val="apple-style-span"/>
          <w:color w:val="000000"/>
        </w:rPr>
        <w:t>After consideration of various corporate structuring alternatives in the context of the emerging competitive scenario in the Indian banking industry, and the move towards universal banking, the managements of ICICI and ICICI Bank formed the view that the merger of ICICI with ICICI Bank would be the optimal strategic alternative for both entities, and would create the optimal legal structure for the ICICI group's universal banking strategy. The merger would enhance value for ICICI shareholders through the merged entity's access to low-cost deposits, greater opportunities for earning fee-based income and the ability to participate in the payments system and provide transaction-banking services. The merger would enhance value for ICICI Bank shareholders through a large capital base and scale of operations, seamless access to ICICI's strong corporate relationships built up over five decades, entry into new business segments, higher market share in various business segments, particularly fee-based services, and access to the vast talent pool of ICICI and its subsidiaries.</w:t>
      </w:r>
      <w:r w:rsidRPr="00DF575C">
        <w:rPr>
          <w:rStyle w:val="apple-converted-space"/>
          <w:color w:val="000000"/>
        </w:rPr>
        <w:t> </w:t>
      </w:r>
      <w:r w:rsidRPr="00DF575C">
        <w:rPr>
          <w:rStyle w:val="apple-converted-space"/>
          <w:color w:val="000000"/>
        </w:rPr>
        <w:tab/>
      </w:r>
      <w:r w:rsidRPr="00DF575C">
        <w:rPr>
          <w:color w:val="000000"/>
        </w:rPr>
        <w:br/>
      </w:r>
    </w:p>
    <w:p w:rsidR="00204598" w:rsidRPr="0047351B" w:rsidRDefault="00204598">
      <w:pPr>
        <w:rPr>
          <w:color w:val="000000"/>
          <w:sz w:val="23"/>
          <w:szCs w:val="23"/>
        </w:rPr>
      </w:pPr>
      <w:r w:rsidRPr="0047351B">
        <w:rPr>
          <w:color w:val="000000"/>
          <w:sz w:val="23"/>
          <w:szCs w:val="23"/>
        </w:rPr>
        <w:br w:type="page"/>
      </w:r>
    </w:p>
    <w:p w:rsidR="00E96300" w:rsidRPr="00DF575C" w:rsidRDefault="00204598" w:rsidP="00125857">
      <w:pPr>
        <w:spacing w:line="360" w:lineRule="auto"/>
        <w:jc w:val="both"/>
        <w:rPr>
          <w:b/>
        </w:rPr>
      </w:pPr>
      <w:r w:rsidRPr="00DF575C">
        <w:rPr>
          <w:color w:val="000000"/>
        </w:rPr>
        <w:lastRenderedPageBreak/>
        <w:br/>
      </w:r>
      <w:r w:rsidR="001025CF" w:rsidRPr="00DF575C">
        <w:rPr>
          <w:rStyle w:val="apple-style-span"/>
          <w:color w:val="000000"/>
        </w:rPr>
        <w:t xml:space="preserve"> </w:t>
      </w:r>
      <w:r w:rsidR="001025CF" w:rsidRPr="00DF575C">
        <w:rPr>
          <w:rStyle w:val="apple-style-span"/>
          <w:color w:val="000000"/>
        </w:rPr>
        <w:tab/>
      </w:r>
      <w:r w:rsidRPr="00DF575C">
        <w:rPr>
          <w:rStyle w:val="apple-style-span"/>
          <w:color w:val="000000"/>
        </w:rPr>
        <w:t xml:space="preserve">In October 2001, the Boards of Directors of ICICI and ICICI Bank approved the merger of ICICI and two of its wholly-owned retail finance subsidiaries, ICICI Personal Financial Services Limited and ICICI Capital Services Limited, with ICICI Bank. The merger was approved by shareholders of ICICI and ICICI Bank in January 2002, by the High Court of Gujarat at </w:t>
      </w:r>
      <w:r w:rsidR="001025CF" w:rsidRPr="00DF575C">
        <w:rPr>
          <w:rStyle w:val="apple-style-span"/>
          <w:color w:val="000000"/>
        </w:rPr>
        <w:t>Ahmadabad</w:t>
      </w:r>
      <w:r w:rsidRPr="00DF575C">
        <w:rPr>
          <w:rStyle w:val="apple-style-span"/>
          <w:color w:val="000000"/>
        </w:rPr>
        <w:t xml:space="preserve"> in March 2002, and by the High Court of Judicature at Mumbai and the Reserve Bank of India in April 2002. Consequent to the merger, the ICICI group's financing and banking operations, both wholesale and retail, have been integrated in a single entity.</w:t>
      </w:r>
      <w:r w:rsidRPr="00DF575C">
        <w:rPr>
          <w:rStyle w:val="apple-style-span"/>
          <w:color w:val="000000"/>
        </w:rPr>
        <w:tab/>
      </w:r>
      <w:r w:rsidRPr="00DF575C">
        <w:rPr>
          <w:rStyle w:val="apple-converted-space"/>
          <w:color w:val="000000"/>
        </w:rPr>
        <w:t> </w:t>
      </w:r>
      <w:r w:rsidRPr="00DF575C">
        <w:rPr>
          <w:b/>
        </w:rPr>
        <w:t xml:space="preserve"> </w:t>
      </w:r>
    </w:p>
    <w:p w:rsidR="00E96300" w:rsidRPr="0047351B" w:rsidRDefault="00E96300">
      <w:pPr>
        <w:rPr>
          <w:b/>
          <w:sz w:val="23"/>
          <w:szCs w:val="23"/>
        </w:rPr>
      </w:pPr>
      <w:r w:rsidRPr="0047351B">
        <w:rPr>
          <w:b/>
          <w:sz w:val="23"/>
          <w:szCs w:val="23"/>
        </w:rPr>
        <w:br w:type="page"/>
      </w:r>
    </w:p>
    <w:p w:rsidR="00930F7C" w:rsidRPr="00DF575C" w:rsidRDefault="00E96300" w:rsidP="007F618F">
      <w:pPr>
        <w:spacing w:line="360" w:lineRule="auto"/>
        <w:jc w:val="center"/>
        <w:rPr>
          <w:b/>
          <w:sz w:val="32"/>
          <w:szCs w:val="32"/>
        </w:rPr>
      </w:pPr>
      <w:r w:rsidRPr="00DF575C">
        <w:rPr>
          <w:b/>
          <w:sz w:val="32"/>
          <w:szCs w:val="32"/>
        </w:rPr>
        <w:lastRenderedPageBreak/>
        <w:t xml:space="preserve">Research </w:t>
      </w:r>
      <w:r w:rsidR="00930F7C" w:rsidRPr="00DF575C">
        <w:rPr>
          <w:b/>
          <w:sz w:val="32"/>
          <w:szCs w:val="32"/>
        </w:rPr>
        <w:t>Methodology</w:t>
      </w:r>
    </w:p>
    <w:p w:rsidR="001B4107" w:rsidRPr="0047351B" w:rsidRDefault="001B4107" w:rsidP="007F618F">
      <w:pPr>
        <w:spacing w:line="360" w:lineRule="auto"/>
        <w:jc w:val="center"/>
        <w:rPr>
          <w:b/>
          <w:sz w:val="31"/>
          <w:szCs w:val="31"/>
        </w:rPr>
      </w:pPr>
    </w:p>
    <w:p w:rsidR="007F618F" w:rsidRPr="00DF575C" w:rsidRDefault="00930F7C" w:rsidP="001B4107">
      <w:pPr>
        <w:spacing w:line="360" w:lineRule="auto"/>
        <w:ind w:firstLine="720"/>
        <w:jc w:val="both"/>
      </w:pPr>
      <w:r w:rsidRPr="00DF575C">
        <w:t>For the purpose of study secondary data has been used for this purpose various articles, journals and annual reports of the bank has been studied. In this project various ratios were studied to find out the financial position of bank. These ratios are as follows:</w:t>
      </w:r>
    </w:p>
    <w:p w:rsidR="00930F7C" w:rsidRPr="00DF575C" w:rsidRDefault="00930F7C" w:rsidP="007F618F">
      <w:pPr>
        <w:pStyle w:val="ListParagraph"/>
        <w:numPr>
          <w:ilvl w:val="0"/>
          <w:numId w:val="14"/>
        </w:numPr>
        <w:spacing w:line="360" w:lineRule="auto"/>
        <w:ind w:left="360"/>
        <w:jc w:val="both"/>
        <w:rPr>
          <w:rFonts w:ascii="Times New Roman" w:hAnsi="Times New Roman" w:cs="Times New Roman"/>
          <w:bCs/>
          <w:color w:val="000000"/>
          <w:sz w:val="28"/>
          <w:szCs w:val="28"/>
        </w:rPr>
      </w:pPr>
      <w:r w:rsidRPr="00DF575C">
        <w:rPr>
          <w:rFonts w:ascii="Times New Roman" w:hAnsi="Times New Roman" w:cs="Times New Roman"/>
          <w:sz w:val="28"/>
          <w:szCs w:val="28"/>
        </w:rPr>
        <w:t>Capital Adequacy Ratio</w:t>
      </w:r>
      <w:r w:rsidRPr="00DF575C">
        <w:rPr>
          <w:rFonts w:ascii="Times New Roman" w:hAnsi="Times New Roman" w:cs="Times New Roman"/>
          <w:sz w:val="28"/>
          <w:szCs w:val="28"/>
        </w:rPr>
        <w:tab/>
        <w:t>:</w:t>
      </w:r>
      <w:r w:rsidRPr="00DF575C">
        <w:rPr>
          <w:rFonts w:ascii="Times New Roman" w:hAnsi="Times New Roman" w:cs="Times New Roman"/>
          <w:sz w:val="28"/>
          <w:szCs w:val="28"/>
        </w:rPr>
        <w:tab/>
      </w:r>
      <w:r w:rsidR="001B4107" w:rsidRPr="00DF575C">
        <w:rPr>
          <w:rFonts w:ascii="Times New Roman" w:hAnsi="Times New Roman" w:cs="Times New Roman"/>
          <w:sz w:val="28"/>
          <w:szCs w:val="28"/>
        </w:rPr>
        <w:tab/>
      </w:r>
      <w:r w:rsidRPr="00DF575C">
        <w:rPr>
          <w:rFonts w:ascii="Times New Roman" w:hAnsi="Times New Roman" w:cs="Times New Roman"/>
          <w:sz w:val="28"/>
          <w:szCs w:val="28"/>
          <w:u w:val="single"/>
        </w:rPr>
        <w:t>Capital</w:t>
      </w:r>
    </w:p>
    <w:p w:rsidR="00930F7C" w:rsidRPr="00DF575C" w:rsidRDefault="00930F7C" w:rsidP="007F618F">
      <w:pPr>
        <w:pStyle w:val="ListParagraph"/>
        <w:spacing w:line="360" w:lineRule="auto"/>
        <w:ind w:left="4320"/>
        <w:jc w:val="both"/>
        <w:rPr>
          <w:rFonts w:ascii="Times New Roman" w:hAnsi="Times New Roman" w:cs="Times New Roman"/>
          <w:sz w:val="28"/>
          <w:szCs w:val="28"/>
        </w:rPr>
      </w:pPr>
      <w:r w:rsidRPr="00DF575C">
        <w:rPr>
          <w:rFonts w:ascii="Times New Roman" w:hAnsi="Times New Roman" w:cs="Times New Roman"/>
          <w:sz w:val="28"/>
          <w:szCs w:val="28"/>
        </w:rPr>
        <w:t xml:space="preserve">   </w:t>
      </w:r>
      <w:r w:rsidR="001B4107" w:rsidRPr="00DF575C">
        <w:rPr>
          <w:rFonts w:ascii="Times New Roman" w:hAnsi="Times New Roman" w:cs="Times New Roman"/>
          <w:sz w:val="28"/>
          <w:szCs w:val="28"/>
        </w:rPr>
        <w:tab/>
        <w:t xml:space="preserve">  </w:t>
      </w:r>
      <w:r w:rsidRPr="00DF575C">
        <w:rPr>
          <w:rFonts w:ascii="Times New Roman" w:hAnsi="Times New Roman" w:cs="Times New Roman"/>
          <w:sz w:val="28"/>
          <w:szCs w:val="28"/>
        </w:rPr>
        <w:t>Risk</w:t>
      </w:r>
    </w:p>
    <w:p w:rsidR="00843A41" w:rsidRPr="00DF575C" w:rsidRDefault="00843A41" w:rsidP="007F618F">
      <w:pPr>
        <w:pStyle w:val="ListParagraph"/>
        <w:spacing w:line="360" w:lineRule="auto"/>
        <w:ind w:left="4320"/>
        <w:jc w:val="both"/>
        <w:rPr>
          <w:sz w:val="28"/>
          <w:szCs w:val="28"/>
        </w:rPr>
      </w:pPr>
    </w:p>
    <w:p w:rsidR="00843A41" w:rsidRPr="00DF575C" w:rsidRDefault="00930F7C" w:rsidP="007F618F">
      <w:pPr>
        <w:spacing w:line="360" w:lineRule="auto"/>
        <w:ind w:left="360" w:hanging="360"/>
        <w:rPr>
          <w:sz w:val="28"/>
          <w:szCs w:val="28"/>
        </w:rPr>
      </w:pPr>
      <w:r w:rsidRPr="00DF575C">
        <w:rPr>
          <w:sz w:val="28"/>
          <w:szCs w:val="28"/>
        </w:rPr>
        <w:t xml:space="preserve">2. </w:t>
      </w:r>
      <w:r w:rsidRPr="00DF575C">
        <w:rPr>
          <w:sz w:val="28"/>
          <w:szCs w:val="28"/>
        </w:rPr>
        <w:tab/>
      </w:r>
      <w:r w:rsidR="002147DD" w:rsidRPr="00DF575C">
        <w:rPr>
          <w:sz w:val="28"/>
          <w:szCs w:val="28"/>
        </w:rPr>
        <w:t>De</w:t>
      </w:r>
      <w:r w:rsidR="00843A41" w:rsidRPr="00DF575C">
        <w:rPr>
          <w:sz w:val="28"/>
          <w:szCs w:val="28"/>
        </w:rPr>
        <w:t xml:space="preserve">bt Equity Ratio </w:t>
      </w:r>
      <w:r w:rsidR="00843A41" w:rsidRPr="00DF575C">
        <w:rPr>
          <w:sz w:val="28"/>
          <w:szCs w:val="28"/>
        </w:rPr>
        <w:tab/>
      </w:r>
      <w:r w:rsidR="00843A41" w:rsidRPr="00DF575C">
        <w:rPr>
          <w:sz w:val="28"/>
          <w:szCs w:val="28"/>
        </w:rPr>
        <w:tab/>
        <w:t>:</w:t>
      </w:r>
      <w:r w:rsidR="00843A41" w:rsidRPr="00DF575C">
        <w:rPr>
          <w:sz w:val="28"/>
          <w:szCs w:val="28"/>
        </w:rPr>
        <w:tab/>
      </w:r>
      <w:r w:rsidR="001B4107" w:rsidRPr="00DF575C">
        <w:rPr>
          <w:sz w:val="28"/>
          <w:szCs w:val="28"/>
        </w:rPr>
        <w:tab/>
      </w:r>
      <w:r w:rsidR="00843A41" w:rsidRPr="00DF575C">
        <w:rPr>
          <w:sz w:val="28"/>
          <w:szCs w:val="28"/>
          <w:u w:val="single"/>
        </w:rPr>
        <w:t>Debit</w:t>
      </w:r>
    </w:p>
    <w:p w:rsidR="00843A41" w:rsidRPr="00DF575C" w:rsidRDefault="001B4107" w:rsidP="001B4107">
      <w:pPr>
        <w:spacing w:line="360" w:lineRule="auto"/>
        <w:ind w:left="4320"/>
        <w:rPr>
          <w:sz w:val="28"/>
          <w:szCs w:val="28"/>
        </w:rPr>
      </w:pPr>
      <w:r w:rsidRPr="00DF575C">
        <w:rPr>
          <w:sz w:val="28"/>
          <w:szCs w:val="28"/>
        </w:rPr>
        <w:t xml:space="preserve">    </w:t>
      </w:r>
      <w:r w:rsidR="00843A41" w:rsidRPr="00DF575C">
        <w:rPr>
          <w:sz w:val="28"/>
          <w:szCs w:val="28"/>
        </w:rPr>
        <w:t>Equity Funds</w:t>
      </w:r>
    </w:p>
    <w:p w:rsidR="00843A41" w:rsidRPr="00DF575C" w:rsidRDefault="00843A41" w:rsidP="007F618F">
      <w:pPr>
        <w:spacing w:line="360" w:lineRule="auto"/>
        <w:rPr>
          <w:sz w:val="28"/>
          <w:szCs w:val="28"/>
        </w:rPr>
      </w:pPr>
    </w:p>
    <w:p w:rsidR="00843A41" w:rsidRPr="00DF575C" w:rsidRDefault="00843A41" w:rsidP="007F618F">
      <w:pPr>
        <w:pStyle w:val="ListParagraph"/>
        <w:numPr>
          <w:ilvl w:val="0"/>
          <w:numId w:val="15"/>
        </w:numPr>
        <w:spacing w:line="360" w:lineRule="auto"/>
        <w:ind w:left="360"/>
        <w:rPr>
          <w:sz w:val="28"/>
          <w:szCs w:val="28"/>
        </w:rPr>
      </w:pPr>
      <w:r w:rsidRPr="00DF575C">
        <w:rPr>
          <w:rFonts w:ascii="Times New Roman" w:hAnsi="Times New Roman" w:cs="Times New Roman"/>
          <w:sz w:val="28"/>
          <w:szCs w:val="28"/>
        </w:rPr>
        <w:t>Net Turnover Margin Ratio</w:t>
      </w:r>
      <w:r w:rsidRPr="00DF575C">
        <w:rPr>
          <w:rFonts w:ascii="Times New Roman" w:hAnsi="Times New Roman" w:cs="Times New Roman"/>
          <w:sz w:val="28"/>
          <w:szCs w:val="28"/>
        </w:rPr>
        <w:tab/>
        <w:t>:</w:t>
      </w:r>
      <w:r w:rsidRPr="00DF575C">
        <w:rPr>
          <w:rFonts w:ascii="Times New Roman" w:hAnsi="Times New Roman" w:cs="Times New Roman"/>
          <w:sz w:val="28"/>
          <w:szCs w:val="28"/>
        </w:rPr>
        <w:tab/>
      </w:r>
      <w:r w:rsidRPr="00DF575C">
        <w:rPr>
          <w:rFonts w:ascii="Times New Roman" w:hAnsi="Times New Roman" w:cs="Times New Roman"/>
          <w:sz w:val="28"/>
          <w:szCs w:val="28"/>
        </w:rPr>
        <w:tab/>
        <w:t xml:space="preserve">    </w:t>
      </w:r>
      <w:r w:rsidRPr="00DF575C">
        <w:rPr>
          <w:rFonts w:ascii="Times New Roman" w:hAnsi="Times New Roman" w:cs="Times New Roman"/>
          <w:sz w:val="28"/>
          <w:szCs w:val="28"/>
          <w:u w:val="single"/>
        </w:rPr>
        <w:t>Net Profit</w:t>
      </w:r>
    </w:p>
    <w:p w:rsidR="00843A41" w:rsidRPr="00DF575C" w:rsidRDefault="00843A41" w:rsidP="001B4107">
      <w:pPr>
        <w:pStyle w:val="ListParagraph"/>
        <w:spacing w:line="360" w:lineRule="auto"/>
        <w:ind w:left="4320"/>
        <w:rPr>
          <w:rFonts w:ascii="Times New Roman" w:hAnsi="Times New Roman" w:cs="Times New Roman"/>
          <w:sz w:val="28"/>
          <w:szCs w:val="28"/>
        </w:rPr>
      </w:pPr>
      <w:r w:rsidRPr="00DF575C">
        <w:rPr>
          <w:rFonts w:ascii="Times New Roman" w:hAnsi="Times New Roman" w:cs="Times New Roman"/>
          <w:sz w:val="28"/>
          <w:szCs w:val="28"/>
        </w:rPr>
        <w:t>Net Sales (Operating Income)</w:t>
      </w:r>
    </w:p>
    <w:p w:rsidR="007F618F" w:rsidRPr="00DF575C" w:rsidRDefault="007F618F" w:rsidP="007F618F">
      <w:pPr>
        <w:spacing w:line="360" w:lineRule="auto"/>
        <w:rPr>
          <w:sz w:val="28"/>
          <w:szCs w:val="28"/>
        </w:rPr>
      </w:pPr>
    </w:p>
    <w:p w:rsidR="00843A41" w:rsidRPr="00DF575C" w:rsidRDefault="00843A41" w:rsidP="007F618F">
      <w:pPr>
        <w:spacing w:line="360" w:lineRule="auto"/>
        <w:rPr>
          <w:sz w:val="28"/>
          <w:szCs w:val="28"/>
        </w:rPr>
      </w:pPr>
      <w:r w:rsidRPr="00DF575C">
        <w:rPr>
          <w:sz w:val="28"/>
          <w:szCs w:val="28"/>
        </w:rPr>
        <w:t>4.  Assets Turnover Ratio</w:t>
      </w:r>
      <w:r w:rsidRPr="00DF575C">
        <w:rPr>
          <w:sz w:val="28"/>
          <w:szCs w:val="28"/>
        </w:rPr>
        <w:tab/>
      </w:r>
      <w:r w:rsidRPr="00DF575C">
        <w:rPr>
          <w:sz w:val="28"/>
          <w:szCs w:val="28"/>
        </w:rPr>
        <w:tab/>
        <w:t>:</w:t>
      </w:r>
      <w:r w:rsidRPr="00DF575C">
        <w:rPr>
          <w:sz w:val="28"/>
          <w:szCs w:val="28"/>
        </w:rPr>
        <w:tab/>
      </w:r>
      <w:r w:rsidRPr="00DF575C">
        <w:rPr>
          <w:sz w:val="28"/>
          <w:szCs w:val="28"/>
          <w:u w:val="single"/>
        </w:rPr>
        <w:t>Net Sales (Operating Income)</w:t>
      </w:r>
    </w:p>
    <w:p w:rsidR="00843A41" w:rsidRPr="00DF575C" w:rsidRDefault="001B4107" w:rsidP="007F618F">
      <w:pPr>
        <w:pStyle w:val="ListParagraph"/>
        <w:spacing w:line="360" w:lineRule="auto"/>
        <w:ind w:left="360"/>
        <w:rPr>
          <w:sz w:val="28"/>
          <w:szCs w:val="28"/>
        </w:rPr>
      </w:pPr>
      <w:r w:rsidRPr="00DF575C">
        <w:rPr>
          <w:sz w:val="28"/>
          <w:szCs w:val="28"/>
        </w:rPr>
        <w:tab/>
      </w:r>
      <w:r w:rsidRPr="00DF575C">
        <w:rPr>
          <w:sz w:val="28"/>
          <w:szCs w:val="28"/>
        </w:rPr>
        <w:tab/>
      </w:r>
      <w:r w:rsidRPr="00DF575C">
        <w:rPr>
          <w:sz w:val="28"/>
          <w:szCs w:val="28"/>
        </w:rPr>
        <w:tab/>
      </w:r>
      <w:r w:rsidRPr="00DF575C">
        <w:rPr>
          <w:sz w:val="28"/>
          <w:szCs w:val="28"/>
        </w:rPr>
        <w:tab/>
      </w:r>
      <w:r w:rsidRPr="00DF575C">
        <w:rPr>
          <w:sz w:val="28"/>
          <w:szCs w:val="28"/>
        </w:rPr>
        <w:tab/>
      </w:r>
      <w:r w:rsidRPr="00DF575C">
        <w:rPr>
          <w:sz w:val="28"/>
          <w:szCs w:val="28"/>
        </w:rPr>
        <w:tab/>
        <w:t xml:space="preserve">            </w:t>
      </w:r>
      <w:r w:rsidR="00843A41" w:rsidRPr="00DF575C">
        <w:rPr>
          <w:sz w:val="28"/>
          <w:szCs w:val="28"/>
        </w:rPr>
        <w:t xml:space="preserve">   Total Assets</w:t>
      </w:r>
    </w:p>
    <w:p w:rsidR="00843A41" w:rsidRPr="00DF575C" w:rsidRDefault="00843A41" w:rsidP="007F618F">
      <w:pPr>
        <w:pStyle w:val="ListParagraph"/>
        <w:spacing w:line="360" w:lineRule="auto"/>
        <w:ind w:left="360"/>
        <w:rPr>
          <w:rFonts w:ascii="Times New Roman" w:hAnsi="Times New Roman" w:cs="Times New Roman"/>
          <w:sz w:val="28"/>
          <w:szCs w:val="28"/>
        </w:rPr>
      </w:pPr>
    </w:p>
    <w:p w:rsidR="00843A41" w:rsidRPr="00DF575C" w:rsidRDefault="00843A41" w:rsidP="007F618F">
      <w:pPr>
        <w:spacing w:line="360" w:lineRule="auto"/>
        <w:rPr>
          <w:sz w:val="28"/>
          <w:szCs w:val="28"/>
          <w:u w:val="single"/>
        </w:rPr>
      </w:pPr>
      <w:r w:rsidRPr="00DF575C">
        <w:rPr>
          <w:sz w:val="28"/>
          <w:szCs w:val="28"/>
        </w:rPr>
        <w:t>5.  Return on Equity</w:t>
      </w:r>
      <w:r w:rsidRPr="00DF575C">
        <w:rPr>
          <w:sz w:val="28"/>
          <w:szCs w:val="28"/>
        </w:rPr>
        <w:tab/>
      </w:r>
      <w:r w:rsidRPr="00DF575C">
        <w:rPr>
          <w:sz w:val="28"/>
          <w:szCs w:val="28"/>
        </w:rPr>
        <w:tab/>
        <w:t>:</w:t>
      </w:r>
      <w:r w:rsidRPr="00DF575C">
        <w:rPr>
          <w:sz w:val="28"/>
          <w:szCs w:val="28"/>
        </w:rPr>
        <w:tab/>
      </w:r>
      <w:r w:rsidRPr="00DF575C">
        <w:rPr>
          <w:sz w:val="28"/>
          <w:szCs w:val="28"/>
        </w:rPr>
        <w:tab/>
        <w:t xml:space="preserve">       </w:t>
      </w:r>
      <w:r w:rsidRPr="00DF575C">
        <w:rPr>
          <w:sz w:val="28"/>
          <w:szCs w:val="28"/>
          <w:u w:val="single"/>
        </w:rPr>
        <w:t>Net Income</w:t>
      </w:r>
    </w:p>
    <w:p w:rsidR="00843A41" w:rsidRPr="00DF575C" w:rsidRDefault="00843A41" w:rsidP="007F618F">
      <w:pPr>
        <w:spacing w:line="360" w:lineRule="auto"/>
        <w:ind w:left="5040"/>
        <w:rPr>
          <w:sz w:val="28"/>
          <w:szCs w:val="28"/>
        </w:rPr>
      </w:pPr>
      <w:r w:rsidRPr="00DF575C">
        <w:rPr>
          <w:sz w:val="28"/>
          <w:szCs w:val="28"/>
        </w:rPr>
        <w:t>Equity Share Capital</w:t>
      </w:r>
    </w:p>
    <w:p w:rsidR="00843A41" w:rsidRPr="00DF575C" w:rsidRDefault="00843A41" w:rsidP="007F618F">
      <w:pPr>
        <w:spacing w:line="360" w:lineRule="auto"/>
        <w:ind w:left="5040"/>
        <w:rPr>
          <w:sz w:val="28"/>
          <w:szCs w:val="28"/>
        </w:rPr>
      </w:pPr>
    </w:p>
    <w:p w:rsidR="00843A41" w:rsidRPr="00DF575C" w:rsidRDefault="00843A41" w:rsidP="007F618F">
      <w:pPr>
        <w:spacing w:line="360" w:lineRule="auto"/>
        <w:rPr>
          <w:sz w:val="28"/>
          <w:szCs w:val="28"/>
        </w:rPr>
      </w:pPr>
      <w:r w:rsidRPr="00DF575C">
        <w:rPr>
          <w:sz w:val="28"/>
          <w:szCs w:val="28"/>
        </w:rPr>
        <w:t>6.  Return on Assets Ratio</w:t>
      </w:r>
      <w:r w:rsidRPr="00DF575C">
        <w:rPr>
          <w:sz w:val="28"/>
          <w:szCs w:val="28"/>
        </w:rPr>
        <w:tab/>
        <w:t>:</w:t>
      </w:r>
      <w:r w:rsidRPr="00DF575C">
        <w:rPr>
          <w:sz w:val="28"/>
          <w:szCs w:val="28"/>
        </w:rPr>
        <w:tab/>
      </w:r>
      <w:r w:rsidRPr="00DF575C">
        <w:rPr>
          <w:sz w:val="28"/>
          <w:szCs w:val="28"/>
        </w:rPr>
        <w:tab/>
      </w:r>
      <w:r w:rsidR="007F618F" w:rsidRPr="00DF575C">
        <w:rPr>
          <w:sz w:val="28"/>
          <w:szCs w:val="28"/>
        </w:rPr>
        <w:t xml:space="preserve">         </w:t>
      </w:r>
      <w:r w:rsidRPr="00DF575C">
        <w:rPr>
          <w:sz w:val="28"/>
          <w:szCs w:val="28"/>
          <w:u w:val="single"/>
        </w:rPr>
        <w:t>Net Profits</w:t>
      </w:r>
    </w:p>
    <w:p w:rsidR="007F618F" w:rsidRPr="00DF575C" w:rsidRDefault="007F618F" w:rsidP="007F618F">
      <w:pPr>
        <w:spacing w:line="360" w:lineRule="auto"/>
        <w:ind w:left="5040"/>
        <w:rPr>
          <w:sz w:val="28"/>
          <w:szCs w:val="28"/>
        </w:rPr>
      </w:pPr>
      <w:r w:rsidRPr="00DF575C">
        <w:rPr>
          <w:sz w:val="28"/>
          <w:szCs w:val="28"/>
        </w:rPr>
        <w:t>Average Total Assets</w:t>
      </w:r>
    </w:p>
    <w:p w:rsidR="007F618F" w:rsidRPr="00DF575C" w:rsidRDefault="007F618F" w:rsidP="007F618F">
      <w:pPr>
        <w:spacing w:line="360" w:lineRule="auto"/>
        <w:ind w:left="5040"/>
        <w:rPr>
          <w:sz w:val="28"/>
          <w:szCs w:val="28"/>
        </w:rPr>
      </w:pPr>
    </w:p>
    <w:p w:rsidR="007F618F" w:rsidRPr="00DF575C" w:rsidRDefault="007F618F" w:rsidP="007F618F">
      <w:pPr>
        <w:spacing w:line="360" w:lineRule="auto"/>
        <w:rPr>
          <w:sz w:val="28"/>
          <w:szCs w:val="28"/>
          <w:u w:val="single"/>
        </w:rPr>
      </w:pPr>
      <w:r w:rsidRPr="00DF575C">
        <w:rPr>
          <w:sz w:val="28"/>
          <w:szCs w:val="28"/>
        </w:rPr>
        <w:t>7.  Price Earnings Ratio</w:t>
      </w:r>
      <w:r w:rsidRPr="00DF575C">
        <w:rPr>
          <w:sz w:val="28"/>
          <w:szCs w:val="28"/>
        </w:rPr>
        <w:tab/>
      </w:r>
      <w:r w:rsidRPr="00DF575C">
        <w:rPr>
          <w:sz w:val="28"/>
          <w:szCs w:val="28"/>
        </w:rPr>
        <w:tab/>
        <w:t>:</w:t>
      </w:r>
      <w:r w:rsidRPr="00DF575C">
        <w:rPr>
          <w:sz w:val="28"/>
          <w:szCs w:val="28"/>
        </w:rPr>
        <w:tab/>
      </w:r>
      <w:r w:rsidRPr="00DF575C">
        <w:rPr>
          <w:sz w:val="28"/>
          <w:szCs w:val="28"/>
        </w:rPr>
        <w:tab/>
      </w:r>
      <w:r w:rsidRPr="00DF575C">
        <w:rPr>
          <w:sz w:val="28"/>
          <w:szCs w:val="28"/>
          <w:u w:val="single"/>
        </w:rPr>
        <w:t>Market Price of Shares</w:t>
      </w:r>
    </w:p>
    <w:p w:rsidR="007F618F" w:rsidRPr="00DF575C" w:rsidRDefault="007F618F" w:rsidP="007F618F">
      <w:pPr>
        <w:spacing w:line="360" w:lineRule="auto"/>
        <w:ind w:left="5040"/>
        <w:rPr>
          <w:sz w:val="28"/>
          <w:szCs w:val="28"/>
        </w:rPr>
      </w:pPr>
      <w:r w:rsidRPr="00DF575C">
        <w:rPr>
          <w:sz w:val="28"/>
          <w:szCs w:val="28"/>
        </w:rPr>
        <w:t xml:space="preserve">   Earnings per Share</w:t>
      </w:r>
    </w:p>
    <w:p w:rsidR="007F618F" w:rsidRPr="00DF575C" w:rsidRDefault="007F618F" w:rsidP="007F618F">
      <w:pPr>
        <w:spacing w:line="360" w:lineRule="auto"/>
        <w:rPr>
          <w:sz w:val="28"/>
          <w:szCs w:val="28"/>
        </w:rPr>
      </w:pPr>
    </w:p>
    <w:p w:rsidR="007F618F" w:rsidRPr="00DF575C" w:rsidRDefault="007F618F" w:rsidP="007F618F">
      <w:pPr>
        <w:spacing w:line="360" w:lineRule="auto"/>
        <w:rPr>
          <w:sz w:val="28"/>
          <w:szCs w:val="28"/>
        </w:rPr>
      </w:pPr>
      <w:r w:rsidRPr="00DF575C">
        <w:rPr>
          <w:sz w:val="28"/>
          <w:szCs w:val="28"/>
        </w:rPr>
        <w:t>8.  Debt Assets Ratio</w:t>
      </w:r>
      <w:r w:rsidRPr="00DF575C">
        <w:rPr>
          <w:sz w:val="28"/>
          <w:szCs w:val="28"/>
        </w:rPr>
        <w:tab/>
      </w:r>
      <w:r w:rsidRPr="00DF575C">
        <w:rPr>
          <w:sz w:val="28"/>
          <w:szCs w:val="28"/>
        </w:rPr>
        <w:tab/>
        <w:t>:</w:t>
      </w:r>
      <w:r w:rsidRPr="00DF575C">
        <w:rPr>
          <w:sz w:val="28"/>
          <w:szCs w:val="28"/>
        </w:rPr>
        <w:tab/>
      </w:r>
      <w:r w:rsidRPr="00DF575C">
        <w:rPr>
          <w:sz w:val="28"/>
          <w:szCs w:val="28"/>
        </w:rPr>
        <w:tab/>
      </w:r>
      <w:r w:rsidR="001B4107" w:rsidRPr="00DF575C">
        <w:rPr>
          <w:sz w:val="28"/>
          <w:szCs w:val="28"/>
        </w:rPr>
        <w:tab/>
      </w:r>
      <w:r w:rsidRPr="00DF575C">
        <w:rPr>
          <w:sz w:val="28"/>
          <w:szCs w:val="28"/>
          <w:u w:val="single"/>
        </w:rPr>
        <w:t>Debit</w:t>
      </w:r>
    </w:p>
    <w:p w:rsidR="00BE77B9" w:rsidRPr="00DF575C" w:rsidRDefault="007F618F" w:rsidP="007F618F">
      <w:pPr>
        <w:spacing w:line="360" w:lineRule="auto"/>
        <w:jc w:val="center"/>
        <w:rPr>
          <w:sz w:val="32"/>
          <w:szCs w:val="32"/>
        </w:rPr>
      </w:pPr>
      <w:r w:rsidRPr="00DF575C">
        <w:rPr>
          <w:sz w:val="28"/>
          <w:szCs w:val="28"/>
        </w:rPr>
        <w:t xml:space="preserve">                </w:t>
      </w:r>
      <w:r w:rsidR="001B4107" w:rsidRPr="00DF575C">
        <w:rPr>
          <w:sz w:val="28"/>
          <w:szCs w:val="28"/>
        </w:rPr>
        <w:tab/>
      </w:r>
      <w:r w:rsidR="001B4107" w:rsidRPr="00DF575C">
        <w:rPr>
          <w:sz w:val="28"/>
          <w:szCs w:val="28"/>
        </w:rPr>
        <w:tab/>
        <w:t xml:space="preserve">     </w:t>
      </w:r>
      <w:r w:rsidRPr="00DF575C">
        <w:rPr>
          <w:sz w:val="28"/>
          <w:szCs w:val="28"/>
        </w:rPr>
        <w:t xml:space="preserve"> Total Assets</w:t>
      </w:r>
      <w:r w:rsidR="00B67755" w:rsidRPr="0047351B">
        <w:rPr>
          <w:sz w:val="27"/>
          <w:szCs w:val="27"/>
        </w:rPr>
        <w:br w:type="page"/>
      </w:r>
      <w:r w:rsidR="00BE77B9" w:rsidRPr="00DF575C">
        <w:rPr>
          <w:b/>
          <w:bCs/>
          <w:color w:val="000000"/>
          <w:sz w:val="32"/>
          <w:szCs w:val="32"/>
        </w:rPr>
        <w:lastRenderedPageBreak/>
        <w:t>ORGANISATIONAL STRUCTURE</w:t>
      </w:r>
    </w:p>
    <w:p w:rsidR="009F4510" w:rsidRPr="00DF575C" w:rsidRDefault="009F4510" w:rsidP="00444311">
      <w:pPr>
        <w:spacing w:line="360" w:lineRule="auto"/>
        <w:jc w:val="center"/>
        <w:rPr>
          <w:b/>
          <w:sz w:val="32"/>
          <w:szCs w:val="32"/>
          <w:u w:val="single"/>
        </w:rPr>
      </w:pPr>
    </w:p>
    <w:p w:rsidR="00BE77B9" w:rsidRPr="00DF575C" w:rsidRDefault="0061568B" w:rsidP="00444311">
      <w:pPr>
        <w:shd w:val="clear" w:color="auto" w:fill="FFFFFF"/>
        <w:spacing w:line="360" w:lineRule="auto"/>
        <w:ind w:firstLine="720"/>
        <w:jc w:val="both"/>
        <w:rPr>
          <w:bCs/>
          <w:color w:val="000000"/>
        </w:rPr>
      </w:pPr>
      <w:r w:rsidRPr="00DF575C">
        <w:rPr>
          <w:bCs/>
          <w:color w:val="000000"/>
        </w:rPr>
        <w:t>ICICI Bank’s organization structure is designed to be flexible and customer focused, while seeking while seeking to ensure effective control and supervision and consistency in standards across the organization and align all areas of operations to overall organizational objectives. The organization structure is divided into six principal groups Retail Banking, Wholesale Banking, International Banking, Rural (Micro-Banking) and Agriculture Banking, Government Banking and Corporate Center.</w:t>
      </w:r>
    </w:p>
    <w:p w:rsidR="0061568B" w:rsidRPr="00DF575C" w:rsidRDefault="0061568B" w:rsidP="00444311">
      <w:pPr>
        <w:shd w:val="clear" w:color="auto" w:fill="FFFFFF"/>
        <w:spacing w:line="360" w:lineRule="auto"/>
        <w:ind w:firstLine="720"/>
        <w:jc w:val="both"/>
        <w:rPr>
          <w:bCs/>
          <w:color w:val="000000"/>
        </w:rPr>
      </w:pPr>
    </w:p>
    <w:p w:rsidR="00444311" w:rsidRPr="00DF575C" w:rsidRDefault="00BE77B9" w:rsidP="00444311">
      <w:pPr>
        <w:shd w:val="clear" w:color="auto" w:fill="FFFFFF"/>
        <w:spacing w:line="360" w:lineRule="auto"/>
        <w:jc w:val="both"/>
        <w:rPr>
          <w:b/>
          <w:bCs/>
          <w:color w:val="000000"/>
        </w:rPr>
      </w:pPr>
      <w:r w:rsidRPr="00DF575C">
        <w:rPr>
          <w:b/>
          <w:bCs/>
          <w:color w:val="000000"/>
        </w:rPr>
        <w:t xml:space="preserve">RETAIL </w:t>
      </w:r>
      <w:r w:rsidR="00B73947" w:rsidRPr="00DF575C">
        <w:rPr>
          <w:b/>
          <w:bCs/>
          <w:color w:val="000000"/>
        </w:rPr>
        <w:t>BANKING:</w:t>
      </w:r>
    </w:p>
    <w:p w:rsidR="00BE77B9" w:rsidRPr="00DF575C" w:rsidRDefault="0061568B" w:rsidP="00444311">
      <w:pPr>
        <w:shd w:val="clear" w:color="auto" w:fill="FFFFFF"/>
        <w:spacing w:line="360" w:lineRule="auto"/>
        <w:ind w:firstLine="720"/>
        <w:jc w:val="both"/>
        <w:rPr>
          <w:color w:val="000000"/>
          <w:shd w:val="clear" w:color="auto" w:fill="F6F6F6"/>
        </w:rPr>
      </w:pPr>
      <w:r w:rsidRPr="00DF575C">
        <w:rPr>
          <w:color w:val="000000"/>
          <w:shd w:val="clear" w:color="auto" w:fill="F6F6F6"/>
        </w:rPr>
        <w:t>The Retail Banking Group is responsible for products and services for retail customers and small enterprises including various credit products, liability products, Distribution of third party investment and insurance products and transaction banking services.</w:t>
      </w:r>
    </w:p>
    <w:p w:rsidR="00BE77B9" w:rsidRPr="00DF575C" w:rsidRDefault="00914E4C" w:rsidP="00444311">
      <w:pPr>
        <w:shd w:val="clear" w:color="auto" w:fill="FFFFFF"/>
        <w:tabs>
          <w:tab w:val="left" w:pos="3270"/>
        </w:tabs>
        <w:spacing w:line="360" w:lineRule="auto"/>
        <w:jc w:val="both"/>
        <w:rPr>
          <w:b/>
          <w:bCs/>
          <w:color w:val="000000"/>
        </w:rPr>
      </w:pPr>
      <w:r w:rsidRPr="00DF575C">
        <w:rPr>
          <w:b/>
          <w:bCs/>
          <w:color w:val="000000"/>
        </w:rPr>
        <w:tab/>
      </w:r>
    </w:p>
    <w:p w:rsidR="00444311" w:rsidRPr="00DF575C" w:rsidRDefault="00BE77B9" w:rsidP="00444311">
      <w:pPr>
        <w:shd w:val="clear" w:color="auto" w:fill="FFFFFF"/>
        <w:spacing w:line="360" w:lineRule="auto"/>
        <w:jc w:val="both"/>
        <w:rPr>
          <w:b/>
          <w:bCs/>
          <w:color w:val="000000"/>
        </w:rPr>
      </w:pPr>
      <w:r w:rsidRPr="00DF575C">
        <w:rPr>
          <w:b/>
          <w:bCs/>
          <w:color w:val="000000"/>
        </w:rPr>
        <w:t xml:space="preserve">WHOLESALE </w:t>
      </w:r>
      <w:r w:rsidR="00B73947" w:rsidRPr="00DF575C">
        <w:rPr>
          <w:b/>
          <w:bCs/>
          <w:color w:val="000000"/>
        </w:rPr>
        <w:t>BANKING:</w:t>
      </w:r>
    </w:p>
    <w:p w:rsidR="00BE77B9" w:rsidRPr="00DF575C" w:rsidRDefault="0061568B" w:rsidP="00DF575C">
      <w:pPr>
        <w:shd w:val="clear" w:color="auto" w:fill="FFFFFF"/>
        <w:spacing w:line="360" w:lineRule="auto"/>
        <w:ind w:firstLine="720"/>
        <w:jc w:val="both"/>
        <w:rPr>
          <w:bCs/>
          <w:color w:val="000000"/>
        </w:rPr>
      </w:pPr>
      <w:r w:rsidRPr="00DF575C">
        <w:rPr>
          <w:bCs/>
          <w:color w:val="000000"/>
        </w:rPr>
        <w:t>The Wholesale Banking Group is responsible for products and services for large and medium-sized corporate clients, including credit and treasury products, investment banking, project finance, structured finance and transaction banking services.</w:t>
      </w:r>
    </w:p>
    <w:p w:rsidR="0061568B" w:rsidRPr="00DF575C" w:rsidRDefault="0061568B" w:rsidP="00DF575C">
      <w:pPr>
        <w:shd w:val="clear" w:color="auto" w:fill="FFFFFF"/>
        <w:spacing w:line="360" w:lineRule="auto"/>
        <w:jc w:val="both"/>
        <w:rPr>
          <w:b/>
          <w:bCs/>
          <w:color w:val="000000"/>
        </w:rPr>
      </w:pPr>
    </w:p>
    <w:p w:rsidR="00444311" w:rsidRPr="00DF575C" w:rsidRDefault="00BE77B9" w:rsidP="00DF575C">
      <w:pPr>
        <w:shd w:val="clear" w:color="auto" w:fill="FFFFFF"/>
        <w:spacing w:line="360" w:lineRule="auto"/>
        <w:jc w:val="both"/>
        <w:rPr>
          <w:b/>
          <w:bCs/>
          <w:color w:val="000000"/>
        </w:rPr>
      </w:pPr>
      <w:r w:rsidRPr="00DF575C">
        <w:rPr>
          <w:b/>
          <w:bCs/>
          <w:color w:val="000000"/>
        </w:rPr>
        <w:t xml:space="preserve">INTERNATIONAL </w:t>
      </w:r>
      <w:r w:rsidR="00B73947" w:rsidRPr="00DF575C">
        <w:rPr>
          <w:b/>
          <w:bCs/>
          <w:color w:val="000000"/>
        </w:rPr>
        <w:t>BANKING:</w:t>
      </w:r>
    </w:p>
    <w:p w:rsidR="00BE77B9" w:rsidRPr="00DF575C" w:rsidRDefault="0061568B" w:rsidP="00DF575C">
      <w:pPr>
        <w:shd w:val="clear" w:color="auto" w:fill="FFFFFF"/>
        <w:spacing w:line="360" w:lineRule="auto"/>
        <w:ind w:firstLine="720"/>
        <w:jc w:val="both"/>
        <w:rPr>
          <w:color w:val="000000"/>
          <w:shd w:val="clear" w:color="auto" w:fill="F6F6F6"/>
        </w:rPr>
      </w:pPr>
      <w:r w:rsidRPr="00DF575C">
        <w:rPr>
          <w:color w:val="000000"/>
          <w:shd w:val="clear" w:color="auto" w:fill="F6F6F6"/>
        </w:rPr>
        <w:t xml:space="preserve">The International Banking Group is responsible for its international operations, including operations in various overseas markets as well as its products and services for </w:t>
      </w:r>
      <w:proofErr w:type="spellStart"/>
      <w:r w:rsidRPr="00DF575C">
        <w:rPr>
          <w:color w:val="000000"/>
          <w:shd w:val="clear" w:color="auto" w:fill="F6F6F6"/>
        </w:rPr>
        <w:t>non resident</w:t>
      </w:r>
      <w:proofErr w:type="spellEnd"/>
      <w:r w:rsidRPr="00DF575C">
        <w:rPr>
          <w:color w:val="000000"/>
          <w:shd w:val="clear" w:color="auto" w:fill="F6F6F6"/>
        </w:rPr>
        <w:t xml:space="preserve"> Indians and its international trade finance and correspondent banking relationships.</w:t>
      </w:r>
      <w:r w:rsidR="00BE77B9" w:rsidRPr="00DF575C">
        <w:rPr>
          <w:color w:val="000000"/>
          <w:shd w:val="clear" w:color="auto" w:fill="F6F6F6"/>
        </w:rPr>
        <w:t> </w:t>
      </w:r>
    </w:p>
    <w:p w:rsidR="0061568B" w:rsidRPr="00DF575C" w:rsidRDefault="0061568B" w:rsidP="00DF575C">
      <w:pPr>
        <w:shd w:val="clear" w:color="auto" w:fill="FFFFFF"/>
        <w:spacing w:line="360" w:lineRule="auto"/>
        <w:ind w:firstLine="720"/>
        <w:jc w:val="both"/>
        <w:rPr>
          <w:color w:val="000000"/>
          <w:shd w:val="clear" w:color="auto" w:fill="F6F6F6"/>
        </w:rPr>
      </w:pPr>
    </w:p>
    <w:p w:rsidR="00444311" w:rsidRPr="00DF575C" w:rsidRDefault="00BE77B9" w:rsidP="00DF575C">
      <w:pPr>
        <w:shd w:val="clear" w:color="auto" w:fill="FFFFFF"/>
        <w:spacing w:line="360" w:lineRule="auto"/>
        <w:jc w:val="both"/>
        <w:rPr>
          <w:b/>
          <w:bCs/>
          <w:color w:val="000000"/>
        </w:rPr>
      </w:pPr>
      <w:r w:rsidRPr="00DF575C">
        <w:rPr>
          <w:b/>
          <w:bCs/>
          <w:color w:val="000000"/>
        </w:rPr>
        <w:t>RURAL AND AGRICULTURAL BANKING</w:t>
      </w:r>
      <w:r w:rsidR="00B73947" w:rsidRPr="00DF575C">
        <w:rPr>
          <w:b/>
          <w:bCs/>
          <w:color w:val="000000"/>
        </w:rPr>
        <w:t>:</w:t>
      </w:r>
    </w:p>
    <w:p w:rsidR="00BE77B9" w:rsidRPr="00DF575C" w:rsidRDefault="0061568B" w:rsidP="00DF575C">
      <w:pPr>
        <w:shd w:val="clear" w:color="auto" w:fill="FFFFFF"/>
        <w:spacing w:line="360" w:lineRule="auto"/>
        <w:ind w:firstLine="720"/>
        <w:jc w:val="both"/>
        <w:rPr>
          <w:bCs/>
          <w:color w:val="000000"/>
        </w:rPr>
      </w:pPr>
      <w:r w:rsidRPr="00DF575C">
        <w:rPr>
          <w:bCs/>
          <w:color w:val="000000"/>
        </w:rPr>
        <w:t xml:space="preserve">The Rural, Micro-Banking &amp; </w:t>
      </w:r>
      <w:proofErr w:type="spellStart"/>
      <w:r w:rsidRPr="00DF575C">
        <w:rPr>
          <w:bCs/>
          <w:color w:val="000000"/>
        </w:rPr>
        <w:t>Agri</w:t>
      </w:r>
      <w:proofErr w:type="spellEnd"/>
      <w:r w:rsidRPr="00DF575C">
        <w:rPr>
          <w:bCs/>
          <w:color w:val="000000"/>
        </w:rPr>
        <w:t xml:space="preserve"> Business Group is responsible for envisioning and implementing rural banking strategy, including agricultural banking and micro-finance.</w:t>
      </w:r>
    </w:p>
    <w:p w:rsidR="0061568B" w:rsidRPr="00DF575C" w:rsidRDefault="0061568B" w:rsidP="00DF575C">
      <w:pPr>
        <w:shd w:val="clear" w:color="auto" w:fill="FFFFFF"/>
        <w:spacing w:line="360" w:lineRule="auto"/>
        <w:jc w:val="both"/>
        <w:rPr>
          <w:b/>
          <w:bCs/>
          <w:color w:val="000000"/>
        </w:rPr>
      </w:pPr>
    </w:p>
    <w:p w:rsidR="00444311" w:rsidRPr="00DF575C" w:rsidRDefault="00BE77B9" w:rsidP="00DF575C">
      <w:pPr>
        <w:shd w:val="clear" w:color="auto" w:fill="FFFFFF"/>
        <w:spacing w:line="360" w:lineRule="auto"/>
        <w:jc w:val="both"/>
        <w:rPr>
          <w:b/>
          <w:bCs/>
          <w:color w:val="000000"/>
        </w:rPr>
      </w:pPr>
      <w:r w:rsidRPr="00DF575C">
        <w:rPr>
          <w:b/>
          <w:bCs/>
          <w:color w:val="000000"/>
        </w:rPr>
        <w:t>GOVERNMENT BANKING</w:t>
      </w:r>
      <w:r w:rsidR="00B73947" w:rsidRPr="00DF575C">
        <w:rPr>
          <w:b/>
          <w:bCs/>
          <w:color w:val="000000"/>
        </w:rPr>
        <w:t>:</w:t>
      </w:r>
    </w:p>
    <w:p w:rsidR="00BE77B9" w:rsidRPr="00DF575C" w:rsidRDefault="006108FD" w:rsidP="00DF575C">
      <w:pPr>
        <w:shd w:val="clear" w:color="auto" w:fill="FFFFFF"/>
        <w:spacing w:line="360" w:lineRule="auto"/>
        <w:ind w:firstLine="720"/>
        <w:rPr>
          <w:color w:val="000000"/>
          <w:shd w:val="clear" w:color="auto" w:fill="F6F6F6"/>
        </w:rPr>
      </w:pPr>
      <w:r w:rsidRPr="00DF575C">
        <w:rPr>
          <w:color w:val="000000"/>
          <w:shd w:val="clear" w:color="auto" w:fill="F6F6F6"/>
        </w:rPr>
        <w:t>The Government Banking Group is responsible for government banking initiatives.</w:t>
      </w:r>
    </w:p>
    <w:p w:rsidR="006108FD" w:rsidRPr="00DF575C" w:rsidRDefault="006108FD" w:rsidP="00DF575C">
      <w:pPr>
        <w:shd w:val="clear" w:color="auto" w:fill="FFFFFF"/>
        <w:spacing w:line="360" w:lineRule="auto"/>
        <w:rPr>
          <w:b/>
          <w:bCs/>
          <w:color w:val="000000"/>
        </w:rPr>
      </w:pPr>
    </w:p>
    <w:p w:rsidR="00444311" w:rsidRPr="0047351B" w:rsidRDefault="00444311" w:rsidP="00DF575C">
      <w:pPr>
        <w:spacing w:line="360" w:lineRule="auto"/>
        <w:rPr>
          <w:b/>
          <w:bCs/>
          <w:color w:val="000000"/>
          <w:sz w:val="23"/>
          <w:szCs w:val="23"/>
        </w:rPr>
      </w:pPr>
      <w:r w:rsidRPr="0047351B">
        <w:rPr>
          <w:b/>
          <w:bCs/>
          <w:color w:val="000000"/>
          <w:sz w:val="23"/>
          <w:szCs w:val="23"/>
        </w:rPr>
        <w:br w:type="page"/>
      </w:r>
    </w:p>
    <w:p w:rsidR="00B55EA8" w:rsidRPr="00DF575C" w:rsidRDefault="00BE77B9" w:rsidP="00DF575C">
      <w:pPr>
        <w:shd w:val="clear" w:color="auto" w:fill="FFFFFF"/>
        <w:spacing w:line="360" w:lineRule="auto"/>
        <w:rPr>
          <w:b/>
          <w:bCs/>
          <w:color w:val="000000"/>
        </w:rPr>
      </w:pPr>
      <w:r w:rsidRPr="00DF575C">
        <w:rPr>
          <w:b/>
          <w:bCs/>
          <w:color w:val="000000"/>
        </w:rPr>
        <w:lastRenderedPageBreak/>
        <w:t>CORPORATE BANKING</w:t>
      </w:r>
      <w:r w:rsidR="00B73947" w:rsidRPr="00DF575C">
        <w:rPr>
          <w:b/>
          <w:bCs/>
          <w:color w:val="000000"/>
        </w:rPr>
        <w:t>:</w:t>
      </w:r>
    </w:p>
    <w:p w:rsidR="00B55EA8" w:rsidRPr="00DF575C" w:rsidRDefault="00B55EA8" w:rsidP="00DF575C">
      <w:pPr>
        <w:shd w:val="clear" w:color="auto" w:fill="FFFFFF"/>
        <w:spacing w:line="360" w:lineRule="auto"/>
        <w:rPr>
          <w:b/>
          <w:bCs/>
          <w:color w:val="000000"/>
        </w:rPr>
      </w:pPr>
    </w:p>
    <w:p w:rsidR="00BE77B9" w:rsidRPr="00DF575C" w:rsidRDefault="006108FD" w:rsidP="00DF575C">
      <w:pPr>
        <w:shd w:val="clear" w:color="auto" w:fill="FFFFFF"/>
        <w:spacing w:line="360" w:lineRule="auto"/>
        <w:ind w:firstLine="720"/>
        <w:jc w:val="both"/>
        <w:rPr>
          <w:color w:val="000000"/>
          <w:shd w:val="clear" w:color="auto" w:fill="FFFFFF"/>
        </w:rPr>
      </w:pPr>
      <w:r w:rsidRPr="00DF575C">
        <w:rPr>
          <w:color w:val="000000"/>
          <w:shd w:val="clear" w:color="auto" w:fill="FFFFFF"/>
        </w:rPr>
        <w:t xml:space="preserve">Its corporate banking strategy is based on providing comprehensive and customized financial solutions to its corporate customers. It offer a complete range of corporate banking products including rupee and foreign currency debt, working capital credit, structured financing, syndication and transaction banking products and services. Fiscal </w:t>
      </w:r>
      <w:r w:rsidR="001C24F1">
        <w:rPr>
          <w:color w:val="000000"/>
          <w:shd w:val="clear" w:color="auto" w:fill="FFFFFF"/>
        </w:rPr>
        <w:t>2012</w:t>
      </w:r>
      <w:r w:rsidRPr="00DF575C">
        <w:rPr>
          <w:color w:val="000000"/>
          <w:shd w:val="clear" w:color="auto" w:fill="FFFFFF"/>
        </w:rPr>
        <w:t xml:space="preserve"> saw continued demand for credit from the corporate sector, with growth and additional investment demand across all sectors. We were able to leave rage our international presence and deep corporate relationships to work on overseas acquisitions made by Indian companies and infrastructure projects in India. During fiscal </w:t>
      </w:r>
      <w:r w:rsidR="001C24F1">
        <w:rPr>
          <w:color w:val="000000"/>
          <w:shd w:val="clear" w:color="auto" w:fill="FFFFFF"/>
        </w:rPr>
        <w:t>2012</w:t>
      </w:r>
      <w:r w:rsidRPr="00DF575C">
        <w:rPr>
          <w:color w:val="000000"/>
          <w:shd w:val="clear" w:color="auto" w:fill="FFFFFF"/>
        </w:rPr>
        <w:t xml:space="preserve"> we were involved in 75% of outbound mergers and acquisitions deals from India. We are now a preferred partner for Indian companies for syndication of external commercial borrowings and other fundraising in international markets and have been ranked number one in off shore loan syndications of Indian corporate in calendar year </w:t>
      </w:r>
      <w:r w:rsidR="001C24F1">
        <w:rPr>
          <w:color w:val="000000"/>
          <w:shd w:val="clear" w:color="auto" w:fill="FFFFFF"/>
        </w:rPr>
        <w:t>2011</w:t>
      </w:r>
      <w:r w:rsidRPr="00DF575C">
        <w:rPr>
          <w:color w:val="000000"/>
          <w:shd w:val="clear" w:color="auto" w:fill="FFFFFF"/>
        </w:rPr>
        <w:t>.</w:t>
      </w:r>
    </w:p>
    <w:p w:rsidR="00BE77B9" w:rsidRPr="00DF575C" w:rsidRDefault="00BE77B9" w:rsidP="00DF575C">
      <w:pPr>
        <w:shd w:val="clear" w:color="auto" w:fill="FFFFFF"/>
        <w:spacing w:line="360" w:lineRule="auto"/>
        <w:jc w:val="both"/>
        <w:rPr>
          <w:b/>
          <w:bCs/>
          <w:color w:val="000000"/>
        </w:rPr>
      </w:pPr>
    </w:p>
    <w:p w:rsidR="00444311" w:rsidRPr="00DF575C" w:rsidRDefault="00444311" w:rsidP="00DF575C">
      <w:pPr>
        <w:spacing w:line="360" w:lineRule="auto"/>
        <w:rPr>
          <w:b/>
          <w:bCs/>
          <w:color w:val="000000"/>
          <w:u w:val="single"/>
        </w:rPr>
      </w:pPr>
      <w:r w:rsidRPr="00DF575C">
        <w:rPr>
          <w:b/>
          <w:bCs/>
          <w:color w:val="000000"/>
          <w:u w:val="single"/>
        </w:rPr>
        <w:br w:type="page"/>
      </w:r>
    </w:p>
    <w:p w:rsidR="006108FD" w:rsidRPr="00DF575C" w:rsidRDefault="00BE77B9" w:rsidP="00444311">
      <w:pPr>
        <w:pStyle w:val="ListParagraph"/>
        <w:spacing w:after="0" w:line="360" w:lineRule="auto"/>
        <w:ind w:left="0"/>
        <w:jc w:val="center"/>
        <w:rPr>
          <w:rFonts w:ascii="Times New Roman" w:eastAsia="Times New Roman" w:hAnsi="Times New Roman" w:cs="Times New Roman"/>
          <w:b/>
          <w:bCs/>
          <w:color w:val="000000"/>
          <w:sz w:val="32"/>
          <w:szCs w:val="32"/>
        </w:rPr>
      </w:pPr>
      <w:r w:rsidRPr="00DF575C">
        <w:rPr>
          <w:rFonts w:ascii="Times New Roman" w:eastAsia="Times New Roman" w:hAnsi="Times New Roman" w:cs="Times New Roman"/>
          <w:b/>
          <w:bCs/>
          <w:color w:val="000000"/>
          <w:sz w:val="32"/>
          <w:szCs w:val="32"/>
        </w:rPr>
        <w:lastRenderedPageBreak/>
        <w:t>PRODUCTS AND SERVICES</w:t>
      </w:r>
      <w:r w:rsidR="006108FD" w:rsidRPr="00DF575C">
        <w:rPr>
          <w:rFonts w:ascii="Times New Roman" w:eastAsia="Times New Roman" w:hAnsi="Times New Roman" w:cs="Times New Roman"/>
          <w:b/>
          <w:bCs/>
          <w:color w:val="000000"/>
          <w:sz w:val="32"/>
          <w:szCs w:val="32"/>
        </w:rPr>
        <w:t xml:space="preserve"> OF ICICI</w:t>
      </w:r>
    </w:p>
    <w:p w:rsidR="009F4510" w:rsidRPr="00DF575C" w:rsidRDefault="009F4510" w:rsidP="00444311">
      <w:pPr>
        <w:pStyle w:val="ListParagraph"/>
        <w:spacing w:after="0" w:line="360" w:lineRule="auto"/>
        <w:ind w:left="0"/>
        <w:jc w:val="center"/>
        <w:rPr>
          <w:rFonts w:ascii="Times New Roman" w:eastAsia="Times New Roman" w:hAnsi="Times New Roman" w:cs="Times New Roman"/>
          <w:b/>
          <w:bCs/>
          <w:color w:val="000000"/>
          <w:sz w:val="24"/>
          <w:szCs w:val="24"/>
          <w:shd w:val="clear" w:color="auto" w:fill="FFFFFF"/>
        </w:rPr>
      </w:pPr>
    </w:p>
    <w:p w:rsidR="00BE77B9" w:rsidRPr="00DF575C" w:rsidRDefault="006108FD" w:rsidP="00444311">
      <w:pPr>
        <w:spacing w:line="360" w:lineRule="auto"/>
        <w:ind w:firstLine="720"/>
        <w:jc w:val="both"/>
      </w:pPr>
      <w:r w:rsidRPr="00DF575C">
        <w:t>ICICI Bank offers a wide range of banking accounts such as Current, Saving, Life Plus Senior, Recurring Deposit, Young Stars, Salary Account etc. tailor made for every customer segments, from children to senior citizens, Convenience and ease to access are the benefits of ICICI Bank accounts.</w:t>
      </w:r>
    </w:p>
    <w:p w:rsidR="006108FD" w:rsidRPr="00DF575C" w:rsidRDefault="006108FD" w:rsidP="00444311">
      <w:pPr>
        <w:spacing w:line="360" w:lineRule="auto"/>
        <w:ind w:firstLine="720"/>
        <w:jc w:val="both"/>
      </w:pPr>
    </w:p>
    <w:p w:rsidR="00BE77B9" w:rsidRPr="00DF575C" w:rsidRDefault="00BE77B9" w:rsidP="00444311">
      <w:pPr>
        <w:spacing w:line="360" w:lineRule="auto"/>
        <w:rPr>
          <w:b/>
          <w:bCs/>
          <w:color w:val="000000"/>
          <w:shd w:val="clear" w:color="auto" w:fill="FFFFFF"/>
        </w:rPr>
      </w:pPr>
      <w:r w:rsidRPr="00DF575C">
        <w:rPr>
          <w:b/>
          <w:bCs/>
          <w:color w:val="000000"/>
        </w:rPr>
        <w:t>YOUNG STARS ACCOUNT</w:t>
      </w:r>
      <w:r w:rsidR="00B73947" w:rsidRPr="00DF575C">
        <w:rPr>
          <w:b/>
          <w:bCs/>
          <w:color w:val="000000"/>
        </w:rPr>
        <w:t>:</w:t>
      </w:r>
      <w:r w:rsidRPr="00DF575C">
        <w:rPr>
          <w:b/>
          <w:bCs/>
          <w:color w:val="000000"/>
        </w:rPr>
        <w:t> </w:t>
      </w:r>
    </w:p>
    <w:p w:rsidR="00BE77B9" w:rsidRPr="00DF575C" w:rsidRDefault="006108FD" w:rsidP="00444311">
      <w:pPr>
        <w:spacing w:line="360" w:lineRule="auto"/>
        <w:ind w:firstLine="720"/>
        <w:jc w:val="both"/>
        <w:rPr>
          <w:color w:val="000000"/>
          <w:shd w:val="clear" w:color="auto" w:fill="FFFFFF"/>
        </w:rPr>
      </w:pPr>
      <w:r w:rsidRPr="00DF575C">
        <w:rPr>
          <w:color w:val="000000"/>
          <w:shd w:val="clear" w:color="auto" w:fill="FFFFFF"/>
        </w:rPr>
        <w:t>A special portal for children to learn banking basics, manage personal finances and have a lot of fun.</w:t>
      </w:r>
    </w:p>
    <w:p w:rsidR="006108FD" w:rsidRPr="00DF575C" w:rsidRDefault="006108FD" w:rsidP="00444311">
      <w:pPr>
        <w:spacing w:line="360" w:lineRule="auto"/>
        <w:ind w:firstLine="720"/>
        <w:jc w:val="both"/>
        <w:rPr>
          <w:color w:val="000000"/>
          <w:shd w:val="clear" w:color="auto" w:fill="FFFFFF"/>
        </w:rPr>
      </w:pPr>
    </w:p>
    <w:p w:rsidR="00BE77B9" w:rsidRPr="00DF575C" w:rsidRDefault="00BE77B9" w:rsidP="00444311">
      <w:pPr>
        <w:spacing w:line="360" w:lineRule="auto"/>
        <w:rPr>
          <w:b/>
          <w:bCs/>
          <w:color w:val="000000"/>
          <w:shd w:val="clear" w:color="auto" w:fill="FFFFFF"/>
        </w:rPr>
      </w:pPr>
      <w:r w:rsidRPr="00DF575C">
        <w:rPr>
          <w:b/>
          <w:bCs/>
          <w:color w:val="000000"/>
        </w:rPr>
        <w:t>BANK@CAMPUS</w:t>
      </w:r>
      <w:r w:rsidR="00B73947" w:rsidRPr="00DF575C">
        <w:rPr>
          <w:b/>
          <w:bCs/>
          <w:color w:val="000000"/>
        </w:rPr>
        <w:t>:</w:t>
      </w:r>
    </w:p>
    <w:p w:rsidR="00BE77B9" w:rsidRPr="00DF575C" w:rsidRDefault="006108FD" w:rsidP="00444311">
      <w:pPr>
        <w:spacing w:line="360" w:lineRule="auto"/>
        <w:ind w:firstLine="720"/>
        <w:jc w:val="both"/>
        <w:rPr>
          <w:color w:val="000000"/>
          <w:shd w:val="clear" w:color="auto" w:fill="FFFFFF"/>
        </w:rPr>
      </w:pPr>
      <w:r w:rsidRPr="00DF575C">
        <w:rPr>
          <w:color w:val="000000"/>
          <w:shd w:val="clear" w:color="auto" w:fill="FFFFFF"/>
        </w:rPr>
        <w:t>This student banking services gives students access to their account details at the click of a mouse. Plus, the student gets a cheque book, debit card and annual statements.</w:t>
      </w:r>
    </w:p>
    <w:p w:rsidR="006108FD" w:rsidRPr="00DF575C" w:rsidRDefault="006108FD" w:rsidP="00444311">
      <w:pPr>
        <w:spacing w:line="360" w:lineRule="auto"/>
        <w:ind w:firstLine="720"/>
        <w:rPr>
          <w:color w:val="000000"/>
          <w:shd w:val="clear" w:color="auto" w:fill="FFFFFF"/>
        </w:rPr>
      </w:pPr>
    </w:p>
    <w:p w:rsidR="00BE77B9" w:rsidRPr="00DF575C" w:rsidRDefault="00BE77B9" w:rsidP="00444311">
      <w:pPr>
        <w:spacing w:line="360" w:lineRule="auto"/>
        <w:rPr>
          <w:b/>
          <w:bCs/>
          <w:color w:val="000000"/>
          <w:shd w:val="clear" w:color="auto" w:fill="FFFFFF"/>
        </w:rPr>
      </w:pPr>
      <w:r w:rsidRPr="00DF575C">
        <w:rPr>
          <w:b/>
          <w:bCs/>
          <w:color w:val="000000"/>
        </w:rPr>
        <w:t>SAVINGS ACCOUNTS</w:t>
      </w:r>
      <w:r w:rsidR="00B73947" w:rsidRPr="00DF575C">
        <w:rPr>
          <w:b/>
          <w:bCs/>
          <w:color w:val="000000"/>
        </w:rPr>
        <w:t>:</w:t>
      </w:r>
    </w:p>
    <w:p w:rsidR="00BE77B9" w:rsidRPr="00DF575C" w:rsidRDefault="006108FD" w:rsidP="00444311">
      <w:pPr>
        <w:spacing w:line="360" w:lineRule="auto"/>
        <w:ind w:firstLine="720"/>
        <w:jc w:val="both"/>
        <w:rPr>
          <w:color w:val="000000"/>
          <w:shd w:val="clear" w:color="auto" w:fill="FFFFFF"/>
        </w:rPr>
      </w:pPr>
      <w:r w:rsidRPr="00DF575C">
        <w:rPr>
          <w:color w:val="000000"/>
          <w:shd w:val="clear" w:color="auto" w:fill="FFFFFF"/>
        </w:rPr>
        <w:t>Convenience is the name of the game with ICICI bank’s savings account. Whether it is an ATM/debit card, easy withdrawal, easy loan options or internet banking, ICICI bank’s saving account always keep you in touch of money.</w:t>
      </w:r>
    </w:p>
    <w:p w:rsidR="006108FD" w:rsidRPr="00DF575C" w:rsidRDefault="006108FD" w:rsidP="00444311">
      <w:pPr>
        <w:spacing w:line="360" w:lineRule="auto"/>
        <w:ind w:firstLine="720"/>
        <w:jc w:val="both"/>
        <w:rPr>
          <w:color w:val="000000"/>
          <w:shd w:val="clear" w:color="auto" w:fill="FFFFFF"/>
        </w:rPr>
      </w:pPr>
    </w:p>
    <w:p w:rsidR="00BE77B9" w:rsidRPr="00DF575C" w:rsidRDefault="00BE77B9" w:rsidP="00444311">
      <w:pPr>
        <w:spacing w:line="360" w:lineRule="auto"/>
        <w:rPr>
          <w:b/>
          <w:bCs/>
          <w:color w:val="000000"/>
          <w:shd w:val="clear" w:color="auto" w:fill="FFFFFF"/>
        </w:rPr>
      </w:pPr>
      <w:r w:rsidRPr="00DF575C">
        <w:rPr>
          <w:b/>
          <w:bCs/>
          <w:color w:val="000000"/>
        </w:rPr>
        <w:t>FIXED DEPOSITS</w:t>
      </w:r>
      <w:r w:rsidR="00B73947" w:rsidRPr="00DF575C">
        <w:rPr>
          <w:b/>
          <w:bCs/>
          <w:color w:val="000000"/>
        </w:rPr>
        <w:t>:</w:t>
      </w:r>
    </w:p>
    <w:p w:rsidR="00BE77B9" w:rsidRPr="00DF575C" w:rsidRDefault="006108FD" w:rsidP="00444311">
      <w:pPr>
        <w:spacing w:line="360" w:lineRule="auto"/>
        <w:ind w:firstLine="720"/>
        <w:jc w:val="both"/>
        <w:rPr>
          <w:bCs/>
          <w:color w:val="000000"/>
        </w:rPr>
      </w:pPr>
      <w:r w:rsidRPr="00DF575C">
        <w:rPr>
          <w:bCs/>
          <w:color w:val="000000"/>
        </w:rPr>
        <w:t>ICICI Bank offers a range of deposit solutions to meet varying needs at every stage of life. It offers a range of tenures and other features to suit all requirements.</w:t>
      </w:r>
    </w:p>
    <w:p w:rsidR="006108FD" w:rsidRPr="00DF575C" w:rsidRDefault="006108FD" w:rsidP="00444311">
      <w:pPr>
        <w:spacing w:line="360" w:lineRule="auto"/>
        <w:rPr>
          <w:b/>
          <w:bCs/>
          <w:color w:val="000000"/>
        </w:rPr>
      </w:pPr>
    </w:p>
    <w:p w:rsidR="00BE77B9" w:rsidRPr="00DF575C" w:rsidRDefault="00BE77B9" w:rsidP="00444311">
      <w:pPr>
        <w:spacing w:line="360" w:lineRule="auto"/>
        <w:rPr>
          <w:b/>
          <w:bCs/>
          <w:color w:val="000000"/>
          <w:shd w:val="clear" w:color="auto" w:fill="FFFFFF"/>
        </w:rPr>
      </w:pPr>
      <w:r w:rsidRPr="00DF575C">
        <w:rPr>
          <w:b/>
          <w:bCs/>
          <w:color w:val="000000"/>
        </w:rPr>
        <w:t>INSURANCE</w:t>
      </w:r>
      <w:r w:rsidR="00B73947" w:rsidRPr="00DF575C">
        <w:rPr>
          <w:b/>
          <w:bCs/>
          <w:color w:val="000000"/>
        </w:rPr>
        <w:t>:</w:t>
      </w:r>
    </w:p>
    <w:p w:rsidR="00BE77B9" w:rsidRPr="00DF575C" w:rsidRDefault="006108FD" w:rsidP="00444311">
      <w:pPr>
        <w:shd w:val="clear" w:color="auto" w:fill="FFFFFF"/>
        <w:spacing w:line="360" w:lineRule="auto"/>
        <w:ind w:firstLine="720"/>
        <w:jc w:val="both"/>
        <w:rPr>
          <w:color w:val="000000"/>
          <w:shd w:val="clear" w:color="auto" w:fill="F6F6F6"/>
        </w:rPr>
      </w:pPr>
      <w:r w:rsidRPr="00DF575C">
        <w:rPr>
          <w:color w:val="000000"/>
          <w:shd w:val="clear" w:color="auto" w:fill="F6F6F6"/>
        </w:rPr>
        <w:t>The ICICI group offers a range of insurance products to cover varying needs ranging from life, pensions and health, to home, motor and travel insurance. The products are made accessible to customers through a wide network of advisors, banking partners, corporate agents and brokers with the added convenience of being able to buy online.</w:t>
      </w:r>
    </w:p>
    <w:p w:rsidR="006108FD" w:rsidRPr="00DF575C" w:rsidRDefault="006108FD" w:rsidP="00444311">
      <w:pPr>
        <w:shd w:val="clear" w:color="auto" w:fill="FFFFFF"/>
        <w:spacing w:line="360" w:lineRule="auto"/>
        <w:jc w:val="both"/>
        <w:rPr>
          <w:b/>
          <w:bCs/>
          <w:color w:val="000000"/>
        </w:rPr>
      </w:pPr>
    </w:p>
    <w:p w:rsidR="00BE77B9" w:rsidRPr="00DF575C" w:rsidRDefault="00BE77B9" w:rsidP="00444311">
      <w:pPr>
        <w:shd w:val="clear" w:color="auto" w:fill="FFFFFF"/>
        <w:spacing w:line="360" w:lineRule="auto"/>
        <w:jc w:val="both"/>
        <w:rPr>
          <w:b/>
          <w:bCs/>
          <w:color w:val="000000"/>
          <w:shd w:val="clear" w:color="auto" w:fill="F6F6F6"/>
        </w:rPr>
      </w:pPr>
      <w:r w:rsidRPr="00DF575C">
        <w:rPr>
          <w:b/>
          <w:bCs/>
          <w:color w:val="000000"/>
        </w:rPr>
        <w:t>LIFE INSURANCE</w:t>
      </w:r>
      <w:r w:rsidR="00B73947" w:rsidRPr="00DF575C">
        <w:rPr>
          <w:b/>
          <w:bCs/>
          <w:color w:val="000000"/>
        </w:rPr>
        <w:t>:</w:t>
      </w:r>
    </w:p>
    <w:p w:rsidR="00BE77B9" w:rsidRPr="0047351B" w:rsidRDefault="00BE77B9" w:rsidP="00444311">
      <w:pPr>
        <w:shd w:val="clear" w:color="auto" w:fill="FFFFFF"/>
        <w:spacing w:line="360" w:lineRule="auto"/>
        <w:ind w:firstLine="720"/>
        <w:jc w:val="both"/>
        <w:rPr>
          <w:color w:val="000000"/>
          <w:sz w:val="23"/>
          <w:szCs w:val="23"/>
          <w:shd w:val="clear" w:color="auto" w:fill="F6F6F6"/>
        </w:rPr>
      </w:pPr>
      <w:r w:rsidRPr="00DF575C">
        <w:rPr>
          <w:color w:val="000000"/>
        </w:rPr>
        <w:t xml:space="preserve">The ICICI group provides the many life insurance </w:t>
      </w:r>
      <w:r w:rsidR="00851C10" w:rsidRPr="00DF575C">
        <w:rPr>
          <w:color w:val="000000"/>
        </w:rPr>
        <w:t>products</w:t>
      </w:r>
      <w:r w:rsidRPr="00DF575C">
        <w:rPr>
          <w:color w:val="000000"/>
        </w:rPr>
        <w:t xml:space="preserve"> through ICICI </w:t>
      </w:r>
      <w:r w:rsidRPr="00DF575C">
        <w:rPr>
          <w:color w:val="000000"/>
          <w:spacing w:val="-15"/>
        </w:rPr>
        <w:t>Prudential Life Insurance Company</w:t>
      </w:r>
      <w:r w:rsidRPr="0047351B">
        <w:rPr>
          <w:color w:val="000000"/>
          <w:spacing w:val="-15"/>
          <w:sz w:val="23"/>
          <w:szCs w:val="23"/>
        </w:rPr>
        <w:t>.</w:t>
      </w:r>
    </w:p>
    <w:p w:rsidR="0041038B" w:rsidRDefault="0041038B">
      <w:pPr>
        <w:rPr>
          <w:b/>
          <w:bCs/>
          <w:color w:val="000000"/>
          <w:sz w:val="23"/>
          <w:szCs w:val="23"/>
        </w:rPr>
      </w:pPr>
      <w:r>
        <w:rPr>
          <w:b/>
          <w:bCs/>
          <w:color w:val="000000"/>
          <w:sz w:val="23"/>
          <w:szCs w:val="23"/>
        </w:rPr>
        <w:br w:type="page"/>
      </w:r>
    </w:p>
    <w:p w:rsidR="00BE77B9" w:rsidRPr="00DF575C" w:rsidRDefault="00BE77B9" w:rsidP="00444311">
      <w:pPr>
        <w:shd w:val="clear" w:color="auto" w:fill="FFFFFF"/>
        <w:spacing w:line="360" w:lineRule="auto"/>
        <w:rPr>
          <w:b/>
          <w:bCs/>
          <w:color w:val="000000"/>
          <w:shd w:val="clear" w:color="auto" w:fill="F6F6F6"/>
        </w:rPr>
      </w:pPr>
      <w:r w:rsidRPr="00DF575C">
        <w:rPr>
          <w:b/>
          <w:bCs/>
          <w:color w:val="000000"/>
        </w:rPr>
        <w:lastRenderedPageBreak/>
        <w:t>GENERAL INSURANCE</w:t>
      </w:r>
      <w:r w:rsidR="00B73947" w:rsidRPr="00DF575C">
        <w:rPr>
          <w:b/>
          <w:bCs/>
          <w:color w:val="000000"/>
        </w:rPr>
        <w:t>:</w:t>
      </w:r>
    </w:p>
    <w:p w:rsidR="00BE77B9" w:rsidRPr="00DF575C" w:rsidRDefault="006108FD" w:rsidP="00444311">
      <w:pPr>
        <w:shd w:val="clear" w:color="auto" w:fill="FFFFFF"/>
        <w:spacing w:line="360" w:lineRule="auto"/>
        <w:ind w:firstLine="720"/>
        <w:jc w:val="both"/>
        <w:rPr>
          <w:bCs/>
          <w:color w:val="000000"/>
        </w:rPr>
      </w:pPr>
      <w:r w:rsidRPr="00DF575C">
        <w:rPr>
          <w:bCs/>
          <w:color w:val="000000"/>
        </w:rPr>
        <w:t>The ICICI group provides the many general insurance products like motor, travel and home insurance through ICICI Lombard General Insurance Company.</w:t>
      </w:r>
    </w:p>
    <w:p w:rsidR="006108FD" w:rsidRPr="00DF575C" w:rsidRDefault="006108FD" w:rsidP="00444311">
      <w:pPr>
        <w:shd w:val="clear" w:color="auto" w:fill="FFFFFF"/>
        <w:spacing w:line="360" w:lineRule="auto"/>
        <w:rPr>
          <w:b/>
          <w:bCs/>
          <w:color w:val="000000"/>
        </w:rPr>
      </w:pPr>
    </w:p>
    <w:p w:rsidR="00BE77B9" w:rsidRPr="00DF575C" w:rsidRDefault="00BE77B9" w:rsidP="00444311">
      <w:pPr>
        <w:shd w:val="clear" w:color="auto" w:fill="FFFFFF"/>
        <w:spacing w:line="360" w:lineRule="auto"/>
        <w:rPr>
          <w:b/>
          <w:bCs/>
          <w:color w:val="000000"/>
          <w:shd w:val="clear" w:color="auto" w:fill="F6F6F6"/>
        </w:rPr>
      </w:pPr>
      <w:r w:rsidRPr="00DF575C">
        <w:rPr>
          <w:b/>
          <w:bCs/>
          <w:color w:val="000000"/>
        </w:rPr>
        <w:t>LOANS</w:t>
      </w:r>
      <w:r w:rsidR="00B73947" w:rsidRPr="00DF575C">
        <w:rPr>
          <w:b/>
          <w:bCs/>
          <w:color w:val="000000"/>
        </w:rPr>
        <w:t>:</w:t>
      </w:r>
    </w:p>
    <w:p w:rsidR="00BE77B9" w:rsidRPr="00DF575C" w:rsidRDefault="006108FD" w:rsidP="00444311">
      <w:pPr>
        <w:shd w:val="clear" w:color="auto" w:fill="FFFFFF"/>
        <w:spacing w:line="360" w:lineRule="auto"/>
        <w:ind w:firstLine="720"/>
        <w:jc w:val="both"/>
        <w:rPr>
          <w:color w:val="000000"/>
          <w:shd w:val="clear" w:color="auto" w:fill="F6F6F6"/>
        </w:rPr>
      </w:pPr>
      <w:r w:rsidRPr="00DF575C">
        <w:rPr>
          <w:color w:val="000000"/>
          <w:shd w:val="clear" w:color="auto" w:fill="F6F6F6"/>
        </w:rPr>
        <w:t>ICICI bank offers a range of deposits solutions to meet varying needs at every stage of life. It offers a range of tenures and other features to suit all requirements.</w:t>
      </w:r>
    </w:p>
    <w:p w:rsidR="00BE77B9" w:rsidRPr="00DF575C" w:rsidRDefault="00BE77B9" w:rsidP="00444311">
      <w:pPr>
        <w:shd w:val="clear" w:color="auto" w:fill="FFFFFF"/>
        <w:spacing w:line="360" w:lineRule="auto"/>
        <w:rPr>
          <w:color w:val="000000"/>
          <w:shd w:val="clear" w:color="auto" w:fill="F6F6F6"/>
        </w:rPr>
      </w:pPr>
      <w:r w:rsidRPr="00DF575C">
        <w:rPr>
          <w:color w:val="000000"/>
        </w:rPr>
        <w:t xml:space="preserve"> </w:t>
      </w:r>
    </w:p>
    <w:p w:rsidR="00BE77B9" w:rsidRPr="00DF575C" w:rsidRDefault="00BE77B9" w:rsidP="00444311">
      <w:pPr>
        <w:shd w:val="clear" w:color="auto" w:fill="FFFFFF"/>
        <w:spacing w:line="360" w:lineRule="auto"/>
        <w:rPr>
          <w:b/>
          <w:bCs/>
          <w:color w:val="000000"/>
          <w:shd w:val="clear" w:color="auto" w:fill="F6F6F6"/>
        </w:rPr>
      </w:pPr>
      <w:r w:rsidRPr="00DF575C">
        <w:rPr>
          <w:b/>
          <w:bCs/>
          <w:color w:val="000000"/>
        </w:rPr>
        <w:t>HOME LOAN</w:t>
      </w:r>
      <w:r w:rsidR="00B73947" w:rsidRPr="00DF575C">
        <w:rPr>
          <w:b/>
          <w:bCs/>
          <w:color w:val="000000"/>
        </w:rPr>
        <w:t>:</w:t>
      </w:r>
    </w:p>
    <w:p w:rsidR="006108FD" w:rsidRPr="00DF575C" w:rsidRDefault="006108FD" w:rsidP="00444311">
      <w:pPr>
        <w:shd w:val="clear" w:color="auto" w:fill="FFFFFF"/>
        <w:spacing w:line="360" w:lineRule="auto"/>
        <w:ind w:firstLine="720"/>
        <w:jc w:val="both"/>
        <w:rPr>
          <w:bCs/>
          <w:color w:val="000000"/>
        </w:rPr>
      </w:pPr>
      <w:r w:rsidRPr="00DF575C">
        <w:rPr>
          <w:bCs/>
          <w:color w:val="000000"/>
        </w:rPr>
        <w:t>The No. 1 Home Loans Provider in the country, ICICI Bank Home Loans offers some unbeatable benefits to its customers Doorstep Service, Simplified Documentation and Guidance throughout the Process. It's really easy!</w:t>
      </w:r>
    </w:p>
    <w:p w:rsidR="006108FD" w:rsidRPr="00DF575C" w:rsidRDefault="006108FD" w:rsidP="00444311">
      <w:pPr>
        <w:shd w:val="clear" w:color="auto" w:fill="FFFFFF"/>
        <w:spacing w:line="360" w:lineRule="auto"/>
        <w:rPr>
          <w:b/>
          <w:bCs/>
          <w:color w:val="000000"/>
        </w:rPr>
      </w:pPr>
    </w:p>
    <w:p w:rsidR="00BE77B9" w:rsidRPr="00DF575C" w:rsidRDefault="00BE77B9" w:rsidP="00444311">
      <w:pPr>
        <w:shd w:val="clear" w:color="auto" w:fill="FFFFFF"/>
        <w:spacing w:line="360" w:lineRule="auto"/>
        <w:rPr>
          <w:b/>
          <w:bCs/>
          <w:color w:val="000000"/>
          <w:shd w:val="clear" w:color="auto" w:fill="F6F6F6"/>
        </w:rPr>
      </w:pPr>
      <w:r w:rsidRPr="00DF575C">
        <w:rPr>
          <w:b/>
          <w:bCs/>
          <w:color w:val="000000"/>
        </w:rPr>
        <w:t>PERSONAL LOAN</w:t>
      </w:r>
      <w:r w:rsidR="00B73947" w:rsidRPr="00DF575C">
        <w:rPr>
          <w:b/>
          <w:bCs/>
          <w:color w:val="000000"/>
        </w:rPr>
        <w:t>:</w:t>
      </w:r>
    </w:p>
    <w:p w:rsidR="00BE77B9" w:rsidRPr="00DF575C" w:rsidRDefault="00BE77B9" w:rsidP="00444311">
      <w:pPr>
        <w:shd w:val="clear" w:color="auto" w:fill="FFFFFF"/>
        <w:spacing w:line="360" w:lineRule="auto"/>
        <w:ind w:firstLine="720"/>
        <w:jc w:val="both"/>
        <w:rPr>
          <w:color w:val="000000"/>
          <w:shd w:val="clear" w:color="auto" w:fill="F6F6F6"/>
        </w:rPr>
      </w:pPr>
      <w:r w:rsidRPr="00DF575C">
        <w:rPr>
          <w:color w:val="000000"/>
          <w:spacing w:val="15"/>
        </w:rPr>
        <w:t xml:space="preserve">ICICI Bank Personal Loans are easy to get and absolutely hassle free. </w:t>
      </w:r>
      <w:r w:rsidRPr="00DF575C">
        <w:rPr>
          <w:color w:val="000000"/>
        </w:rPr>
        <w:t xml:space="preserve">With minimum documentation you can now secure a loan for an amount </w:t>
      </w:r>
      <w:r w:rsidR="00444311" w:rsidRPr="00DF575C">
        <w:rPr>
          <w:color w:val="000000"/>
          <w:spacing w:val="-15"/>
        </w:rPr>
        <w:t>up to</w:t>
      </w:r>
      <w:r w:rsidRPr="00DF575C">
        <w:rPr>
          <w:color w:val="000000"/>
          <w:spacing w:val="-15"/>
        </w:rPr>
        <w:t xml:space="preserve"> Rs. </w:t>
      </w:r>
      <w:r w:rsidR="00B67490" w:rsidRPr="00DF575C">
        <w:rPr>
          <w:color w:val="000000"/>
          <w:spacing w:val="-15"/>
        </w:rPr>
        <w:t>15 lakhs</w:t>
      </w:r>
      <w:r w:rsidRPr="00DF575C">
        <w:rPr>
          <w:color w:val="000000"/>
          <w:spacing w:val="-15"/>
        </w:rPr>
        <w:t>.</w:t>
      </w:r>
    </w:p>
    <w:p w:rsidR="00BE77B9" w:rsidRPr="00DF575C" w:rsidRDefault="00BE77B9" w:rsidP="00444311">
      <w:pPr>
        <w:shd w:val="clear" w:color="auto" w:fill="FFFFFF"/>
        <w:spacing w:line="360" w:lineRule="auto"/>
        <w:jc w:val="both"/>
        <w:rPr>
          <w:b/>
          <w:bCs/>
          <w:color w:val="000000"/>
        </w:rPr>
      </w:pPr>
    </w:p>
    <w:p w:rsidR="00BE77B9" w:rsidRPr="00DF575C" w:rsidRDefault="00BE77B9" w:rsidP="00444311">
      <w:pPr>
        <w:shd w:val="clear" w:color="auto" w:fill="FFFFFF"/>
        <w:spacing w:line="360" w:lineRule="auto"/>
        <w:rPr>
          <w:b/>
          <w:bCs/>
          <w:color w:val="000000"/>
          <w:shd w:val="clear" w:color="auto" w:fill="F6F6F6"/>
        </w:rPr>
      </w:pPr>
      <w:r w:rsidRPr="00DF575C">
        <w:rPr>
          <w:b/>
          <w:bCs/>
          <w:color w:val="000000"/>
        </w:rPr>
        <w:t>VEHICLE LOANS</w:t>
      </w:r>
      <w:r w:rsidR="00B73947" w:rsidRPr="00DF575C">
        <w:rPr>
          <w:b/>
          <w:bCs/>
          <w:color w:val="000000"/>
        </w:rPr>
        <w:t>:</w:t>
      </w:r>
    </w:p>
    <w:p w:rsidR="00BE77B9" w:rsidRPr="00DF575C" w:rsidRDefault="00BE77B9" w:rsidP="00444311">
      <w:pPr>
        <w:shd w:val="clear" w:color="auto" w:fill="FFFFFF"/>
        <w:spacing w:line="360" w:lineRule="auto"/>
        <w:rPr>
          <w:color w:val="000000"/>
          <w:shd w:val="clear" w:color="auto" w:fill="F6F6F6"/>
        </w:rPr>
      </w:pPr>
      <w:r w:rsidRPr="00DF575C">
        <w:rPr>
          <w:color w:val="000000"/>
        </w:rPr>
        <w:t xml:space="preserve">The No. 1 financier </w:t>
      </w:r>
      <w:r w:rsidR="009F4510" w:rsidRPr="00DF575C">
        <w:rPr>
          <w:color w:val="000000"/>
        </w:rPr>
        <w:t>for:</w:t>
      </w:r>
      <w:r w:rsidR="00444311" w:rsidRPr="00DF575C">
        <w:rPr>
          <w:color w:val="000000"/>
          <w:shd w:val="clear" w:color="auto" w:fill="F6F6F6"/>
        </w:rPr>
        <w:t>-</w:t>
      </w:r>
    </w:p>
    <w:p w:rsidR="00B55EA8" w:rsidRPr="00DF575C" w:rsidRDefault="00B55EA8" w:rsidP="00444311">
      <w:pPr>
        <w:shd w:val="clear" w:color="auto" w:fill="FFFFFF"/>
        <w:spacing w:line="360" w:lineRule="auto"/>
        <w:jc w:val="both"/>
        <w:rPr>
          <w:b/>
          <w:bCs/>
          <w:color w:val="000000"/>
          <w:spacing w:val="15"/>
        </w:rPr>
      </w:pPr>
    </w:p>
    <w:p w:rsidR="00BE77B9" w:rsidRPr="00DF575C" w:rsidRDefault="00BE77B9" w:rsidP="00444311">
      <w:pPr>
        <w:shd w:val="clear" w:color="auto" w:fill="FFFFFF"/>
        <w:spacing w:line="360" w:lineRule="auto"/>
        <w:jc w:val="both"/>
        <w:rPr>
          <w:b/>
          <w:bCs/>
          <w:color w:val="000000"/>
          <w:shd w:val="clear" w:color="auto" w:fill="F6F6F6"/>
        </w:rPr>
      </w:pPr>
      <w:proofErr w:type="gramStart"/>
      <w:r w:rsidRPr="00DF575C">
        <w:rPr>
          <w:b/>
          <w:bCs/>
          <w:color w:val="000000"/>
          <w:spacing w:val="15"/>
        </w:rPr>
        <w:t>Car loans</w:t>
      </w:r>
      <w:r w:rsidR="00493D28" w:rsidRPr="00DF575C">
        <w:rPr>
          <w:b/>
          <w:bCs/>
          <w:color w:val="000000"/>
          <w:shd w:val="clear" w:color="auto" w:fill="F6F6F6"/>
        </w:rPr>
        <w:t xml:space="preserve"> </w:t>
      </w:r>
      <w:r w:rsidR="006108FD" w:rsidRPr="00DF575C">
        <w:rPr>
          <w:bCs/>
          <w:color w:val="000000"/>
          <w:shd w:val="clear" w:color="auto" w:fill="F6F6F6"/>
        </w:rPr>
        <w:t>in the country.</w:t>
      </w:r>
      <w:proofErr w:type="gramEnd"/>
      <w:r w:rsidR="006108FD" w:rsidRPr="00DF575C">
        <w:rPr>
          <w:bCs/>
          <w:color w:val="000000"/>
          <w:shd w:val="clear" w:color="auto" w:fill="F6F6F6"/>
        </w:rPr>
        <w:t xml:space="preserve"> </w:t>
      </w:r>
      <w:proofErr w:type="gramStart"/>
      <w:r w:rsidR="006108FD" w:rsidRPr="00DF575C">
        <w:rPr>
          <w:bCs/>
          <w:color w:val="000000"/>
          <w:shd w:val="clear" w:color="auto" w:fill="F6F6F6"/>
        </w:rPr>
        <w:t>Network of more than2500 channel partners in over 1000 locations.</w:t>
      </w:r>
      <w:proofErr w:type="gramEnd"/>
      <w:r w:rsidR="006108FD" w:rsidRPr="00DF575C">
        <w:rPr>
          <w:bCs/>
          <w:color w:val="000000"/>
          <w:shd w:val="clear" w:color="auto" w:fill="F6F6F6"/>
        </w:rPr>
        <w:t xml:space="preserve"> </w:t>
      </w:r>
      <w:proofErr w:type="gramStart"/>
      <w:r w:rsidR="006108FD" w:rsidRPr="00DF575C">
        <w:rPr>
          <w:bCs/>
          <w:color w:val="000000"/>
          <w:shd w:val="clear" w:color="auto" w:fill="F6F6F6"/>
        </w:rPr>
        <w:t>Tie-ups with all leading automobile manufacturers to ensure the best deals.</w:t>
      </w:r>
      <w:proofErr w:type="gramEnd"/>
      <w:r w:rsidR="006108FD" w:rsidRPr="00DF575C">
        <w:rPr>
          <w:bCs/>
          <w:color w:val="000000"/>
          <w:shd w:val="clear" w:color="auto" w:fill="F6F6F6"/>
        </w:rPr>
        <w:t xml:space="preserve"> Flexible schemes &amp; quick processing are the main advantages are here. Avail attractive schemes at competitive interest rates from the No 1 Financier for</w:t>
      </w:r>
    </w:p>
    <w:p w:rsidR="00BE77B9" w:rsidRPr="00DF575C" w:rsidRDefault="00BE77B9" w:rsidP="00444311">
      <w:pPr>
        <w:shd w:val="clear" w:color="auto" w:fill="FFFFFF"/>
        <w:spacing w:line="360" w:lineRule="auto"/>
        <w:jc w:val="both"/>
        <w:rPr>
          <w:b/>
          <w:bCs/>
          <w:color w:val="000000"/>
        </w:rPr>
      </w:pPr>
    </w:p>
    <w:p w:rsidR="00BE77B9" w:rsidRPr="00DF575C" w:rsidRDefault="00BE77B9" w:rsidP="00444311">
      <w:pPr>
        <w:shd w:val="clear" w:color="auto" w:fill="FFFFFF"/>
        <w:spacing w:line="360" w:lineRule="auto"/>
        <w:jc w:val="both"/>
        <w:rPr>
          <w:bCs/>
          <w:color w:val="000000"/>
        </w:rPr>
      </w:pPr>
      <w:r w:rsidRPr="00DF575C">
        <w:rPr>
          <w:b/>
          <w:bCs/>
          <w:color w:val="000000"/>
        </w:rPr>
        <w:t xml:space="preserve">Two </w:t>
      </w:r>
      <w:r w:rsidRPr="00DF575C">
        <w:rPr>
          <w:b/>
          <w:bCs/>
          <w:color w:val="000000"/>
          <w:spacing w:val="15"/>
        </w:rPr>
        <w:t>Wheeler Loans</w:t>
      </w:r>
      <w:r w:rsidR="00493D28" w:rsidRPr="00DF575C">
        <w:rPr>
          <w:b/>
          <w:bCs/>
          <w:color w:val="000000"/>
          <w:shd w:val="clear" w:color="auto" w:fill="F6F6F6"/>
        </w:rPr>
        <w:t xml:space="preserve"> </w:t>
      </w:r>
      <w:r w:rsidR="006108FD" w:rsidRPr="00DF575C">
        <w:rPr>
          <w:bCs/>
          <w:color w:val="000000"/>
          <w:shd w:val="clear" w:color="auto" w:fill="F6F6F6"/>
        </w:rPr>
        <w:t xml:space="preserve">in the </w:t>
      </w:r>
      <w:r w:rsidR="00F2218A" w:rsidRPr="00DF575C">
        <w:rPr>
          <w:bCs/>
          <w:color w:val="000000"/>
          <w:shd w:val="clear" w:color="auto" w:fill="F6F6F6"/>
        </w:rPr>
        <w:t xml:space="preserve">country. </w:t>
      </w:r>
      <w:r w:rsidR="006108FD" w:rsidRPr="00DF575C">
        <w:rPr>
          <w:bCs/>
          <w:color w:val="000000"/>
          <w:shd w:val="clear" w:color="auto" w:fill="F6F6F6"/>
        </w:rPr>
        <w:t>Finance facility up to 90% of the On Road Cost of the vehicle, repayable in convenient repayment options and comfortable tenors from 6 months to 36 months</w:t>
      </w:r>
      <w:r w:rsidR="00DF575C">
        <w:rPr>
          <w:bCs/>
          <w:color w:val="000000"/>
          <w:shd w:val="clear" w:color="auto" w:fill="F6F6F6"/>
        </w:rPr>
        <w:t>.</w:t>
      </w:r>
    </w:p>
    <w:p w:rsidR="00F2218A" w:rsidRPr="0047351B" w:rsidRDefault="00F2218A" w:rsidP="00444311">
      <w:pPr>
        <w:shd w:val="clear" w:color="auto" w:fill="FFFFFF"/>
        <w:spacing w:line="360" w:lineRule="auto"/>
        <w:rPr>
          <w:b/>
          <w:bCs/>
          <w:color w:val="000000"/>
          <w:sz w:val="23"/>
          <w:szCs w:val="23"/>
        </w:rPr>
      </w:pPr>
    </w:p>
    <w:p w:rsidR="001025CF" w:rsidRPr="0047351B" w:rsidRDefault="001025CF">
      <w:pPr>
        <w:rPr>
          <w:b/>
          <w:bCs/>
          <w:color w:val="000000"/>
          <w:sz w:val="23"/>
          <w:szCs w:val="23"/>
        </w:rPr>
      </w:pPr>
      <w:r w:rsidRPr="0047351B">
        <w:rPr>
          <w:b/>
          <w:bCs/>
          <w:color w:val="000000"/>
          <w:sz w:val="23"/>
          <w:szCs w:val="23"/>
        </w:rPr>
        <w:br w:type="page"/>
      </w:r>
    </w:p>
    <w:p w:rsidR="00BE77B9" w:rsidRPr="00DF575C" w:rsidRDefault="00BE77B9" w:rsidP="00444311">
      <w:pPr>
        <w:shd w:val="clear" w:color="auto" w:fill="FFFFFF"/>
        <w:spacing w:line="360" w:lineRule="auto"/>
        <w:rPr>
          <w:b/>
          <w:bCs/>
          <w:color w:val="000000"/>
          <w:shd w:val="clear" w:color="auto" w:fill="F6F6F6"/>
        </w:rPr>
      </w:pPr>
      <w:r w:rsidRPr="00DF575C">
        <w:rPr>
          <w:b/>
          <w:bCs/>
          <w:color w:val="000000"/>
        </w:rPr>
        <w:lastRenderedPageBreak/>
        <w:t>CARDS</w:t>
      </w:r>
      <w:r w:rsidR="00B73947" w:rsidRPr="00DF575C">
        <w:rPr>
          <w:b/>
          <w:bCs/>
          <w:color w:val="000000"/>
        </w:rPr>
        <w:t>:</w:t>
      </w:r>
    </w:p>
    <w:p w:rsidR="00BE77B9" w:rsidRPr="00DF575C" w:rsidRDefault="00F2218A" w:rsidP="00444311">
      <w:pPr>
        <w:shd w:val="clear" w:color="auto" w:fill="FFFFFF"/>
        <w:spacing w:line="360" w:lineRule="auto"/>
        <w:ind w:firstLine="720"/>
        <w:jc w:val="both"/>
        <w:rPr>
          <w:color w:val="000000"/>
          <w:shd w:val="clear" w:color="auto" w:fill="F6F6F6"/>
        </w:rPr>
      </w:pPr>
      <w:r w:rsidRPr="00DF575C">
        <w:rPr>
          <w:color w:val="000000"/>
          <w:shd w:val="clear" w:color="auto" w:fill="F6F6F6"/>
        </w:rPr>
        <w:t>ICICI Bank offers a variety of cards to suit different transactional needs. Its range includes Credit Cards, Debit Cards and Prepaid cards. These cards offer you convenience for financial transactions like cash Withdrawal, shopping and travel. These cards are widely accepted both in India and abroad.</w:t>
      </w:r>
    </w:p>
    <w:p w:rsidR="00F2218A" w:rsidRPr="00DF575C" w:rsidRDefault="00F2218A" w:rsidP="00444311">
      <w:pPr>
        <w:shd w:val="clear" w:color="auto" w:fill="FFFFFF"/>
        <w:spacing w:line="360" w:lineRule="auto"/>
        <w:rPr>
          <w:b/>
          <w:bCs/>
          <w:color w:val="000000"/>
        </w:rPr>
      </w:pPr>
    </w:p>
    <w:p w:rsidR="00444311" w:rsidRPr="00DF575C" w:rsidRDefault="00444311" w:rsidP="00444311">
      <w:pPr>
        <w:shd w:val="clear" w:color="auto" w:fill="FFFFFF"/>
        <w:spacing w:line="360" w:lineRule="auto"/>
        <w:rPr>
          <w:b/>
          <w:bCs/>
          <w:color w:val="000000"/>
        </w:rPr>
      </w:pPr>
    </w:p>
    <w:p w:rsidR="00BE77B9" w:rsidRPr="00DF575C" w:rsidRDefault="00BE77B9" w:rsidP="00444311">
      <w:pPr>
        <w:shd w:val="clear" w:color="auto" w:fill="FFFFFF"/>
        <w:spacing w:line="360" w:lineRule="auto"/>
        <w:rPr>
          <w:b/>
          <w:bCs/>
          <w:color w:val="000000"/>
          <w:shd w:val="clear" w:color="auto" w:fill="F6F6F6"/>
        </w:rPr>
      </w:pPr>
      <w:r w:rsidRPr="00DF575C">
        <w:rPr>
          <w:b/>
          <w:bCs/>
          <w:color w:val="000000"/>
        </w:rPr>
        <w:t>CREDIT CARD</w:t>
      </w:r>
      <w:r w:rsidR="00B73947" w:rsidRPr="00DF575C">
        <w:rPr>
          <w:b/>
          <w:bCs/>
          <w:color w:val="000000"/>
        </w:rPr>
        <w:t>:</w:t>
      </w:r>
    </w:p>
    <w:p w:rsidR="00F2218A" w:rsidRPr="00DF575C" w:rsidRDefault="00F2218A" w:rsidP="00444311">
      <w:pPr>
        <w:spacing w:line="360" w:lineRule="auto"/>
        <w:ind w:firstLine="720"/>
        <w:jc w:val="both"/>
        <w:rPr>
          <w:bCs/>
          <w:color w:val="000000"/>
        </w:rPr>
      </w:pPr>
      <w:r w:rsidRPr="00DF575C">
        <w:rPr>
          <w:bCs/>
          <w:color w:val="000000"/>
        </w:rPr>
        <w:t>ICICI Bank Credit Cards give you the facility of cash, convenience and a range of benefits, anywhere in the world. These benefits range from lifetime free cards, Insurance benefits, global emergency assistance service, discounts, utility payments, travel discounts and much more.</w:t>
      </w:r>
    </w:p>
    <w:p w:rsidR="00F2218A" w:rsidRPr="00DF575C" w:rsidRDefault="00F2218A" w:rsidP="00444311">
      <w:pPr>
        <w:shd w:val="clear" w:color="auto" w:fill="FFFFFF"/>
        <w:spacing w:line="360" w:lineRule="auto"/>
        <w:rPr>
          <w:b/>
          <w:bCs/>
          <w:color w:val="000000"/>
        </w:rPr>
      </w:pPr>
    </w:p>
    <w:p w:rsidR="00BE77B9" w:rsidRPr="00DF575C" w:rsidRDefault="00BE77B9" w:rsidP="00444311">
      <w:pPr>
        <w:shd w:val="clear" w:color="auto" w:fill="FFFFFF"/>
        <w:spacing w:line="360" w:lineRule="auto"/>
        <w:rPr>
          <w:b/>
          <w:bCs/>
          <w:color w:val="000000"/>
          <w:shd w:val="clear" w:color="auto" w:fill="F6F6F6"/>
        </w:rPr>
      </w:pPr>
      <w:r w:rsidRPr="00DF575C">
        <w:rPr>
          <w:b/>
          <w:bCs/>
          <w:color w:val="000000"/>
        </w:rPr>
        <w:t>DEBIT CARD</w:t>
      </w:r>
      <w:r w:rsidR="00B73947" w:rsidRPr="00DF575C">
        <w:rPr>
          <w:b/>
          <w:bCs/>
          <w:color w:val="000000"/>
        </w:rPr>
        <w:t>:</w:t>
      </w:r>
    </w:p>
    <w:p w:rsidR="00BE77B9" w:rsidRPr="00DF575C" w:rsidRDefault="00F2218A" w:rsidP="00444311">
      <w:pPr>
        <w:shd w:val="clear" w:color="auto" w:fill="FFFFFF"/>
        <w:spacing w:line="360" w:lineRule="auto"/>
        <w:ind w:firstLine="720"/>
        <w:jc w:val="both"/>
        <w:rPr>
          <w:color w:val="000000"/>
          <w:shd w:val="clear" w:color="auto" w:fill="F6F6F6"/>
        </w:rPr>
      </w:pPr>
      <w:r w:rsidRPr="00DF575C">
        <w:rPr>
          <w:color w:val="000000"/>
          <w:shd w:val="clear" w:color="auto" w:fill="F6F6F6"/>
        </w:rPr>
        <w:t>The ICICI Bank Debit Card is a revolutionary form of cash that allows customers to access their bank account around the clock, around the world. The ICICI Bank Debit Card can be used for shopping at more than 3.5 Lakh merchants in India and 24 million merchants worldwide.</w:t>
      </w:r>
    </w:p>
    <w:p w:rsidR="00F2218A" w:rsidRPr="00DF575C" w:rsidRDefault="00F2218A" w:rsidP="00444311">
      <w:pPr>
        <w:shd w:val="clear" w:color="auto" w:fill="FFFFFF"/>
        <w:spacing w:line="360" w:lineRule="auto"/>
        <w:ind w:firstLine="720"/>
        <w:jc w:val="both"/>
        <w:rPr>
          <w:color w:val="000000"/>
          <w:shd w:val="clear" w:color="auto" w:fill="F6F6F6"/>
        </w:rPr>
      </w:pPr>
    </w:p>
    <w:p w:rsidR="00BE77B9" w:rsidRPr="00DF575C" w:rsidRDefault="00BE77B9" w:rsidP="00444311">
      <w:pPr>
        <w:shd w:val="clear" w:color="auto" w:fill="FFFFFF"/>
        <w:spacing w:line="360" w:lineRule="auto"/>
        <w:rPr>
          <w:b/>
          <w:bCs/>
          <w:color w:val="000000"/>
          <w:shd w:val="clear" w:color="auto" w:fill="F6F6F6"/>
        </w:rPr>
      </w:pPr>
      <w:r w:rsidRPr="00DF575C">
        <w:rPr>
          <w:b/>
          <w:bCs/>
          <w:color w:val="000000"/>
        </w:rPr>
        <w:t>TRAVEL CARD</w:t>
      </w:r>
      <w:r w:rsidR="00B73947" w:rsidRPr="00DF575C">
        <w:rPr>
          <w:b/>
          <w:bCs/>
          <w:color w:val="000000"/>
        </w:rPr>
        <w:t>:</w:t>
      </w:r>
    </w:p>
    <w:p w:rsidR="00F2218A" w:rsidRPr="00DF575C" w:rsidRDefault="00F2218A" w:rsidP="00444311">
      <w:pPr>
        <w:shd w:val="clear" w:color="auto" w:fill="FFFFFF"/>
        <w:spacing w:line="360" w:lineRule="auto"/>
        <w:ind w:firstLine="720"/>
        <w:jc w:val="both"/>
        <w:rPr>
          <w:color w:val="000000"/>
          <w:shd w:val="clear" w:color="auto" w:fill="F6F6F6"/>
        </w:rPr>
      </w:pPr>
      <w:r w:rsidRPr="00DF575C">
        <w:rPr>
          <w:color w:val="000000"/>
          <w:shd w:val="clear" w:color="auto" w:fill="F6F6F6"/>
        </w:rPr>
        <w:t xml:space="preserve">ICICI Bank Travel Card. The Hassle Free way to </w:t>
      </w:r>
      <w:r w:rsidR="009F4510" w:rsidRPr="00DF575C">
        <w:rPr>
          <w:color w:val="000000"/>
          <w:shd w:val="clear" w:color="auto" w:fill="F6F6F6"/>
        </w:rPr>
        <w:t>Travel</w:t>
      </w:r>
      <w:r w:rsidRPr="00DF575C">
        <w:rPr>
          <w:color w:val="000000"/>
          <w:shd w:val="clear" w:color="auto" w:fill="F6F6F6"/>
        </w:rPr>
        <w:t xml:space="preserve"> the world. Traveling with US Dollar, Euro, Pound Sterling or Swiss Francs; Looking for security and convenience; take ICICI Bank Travel Card. Issued in duplicate. Offers the Pin based security. Has the convenience of usage of Credit or Debit card.</w:t>
      </w:r>
      <w:r w:rsidR="00BE77B9" w:rsidRPr="00DF575C">
        <w:rPr>
          <w:color w:val="000000"/>
          <w:shd w:val="clear" w:color="auto" w:fill="F6F6F6"/>
        </w:rPr>
        <w:t> </w:t>
      </w:r>
    </w:p>
    <w:p w:rsidR="00BE77B9" w:rsidRPr="00DF575C" w:rsidRDefault="00BE77B9" w:rsidP="00444311">
      <w:pPr>
        <w:shd w:val="clear" w:color="auto" w:fill="FFFFFF"/>
        <w:spacing w:line="360" w:lineRule="auto"/>
        <w:ind w:firstLine="720"/>
        <w:rPr>
          <w:color w:val="000000"/>
          <w:shd w:val="clear" w:color="auto" w:fill="F6F6F6"/>
        </w:rPr>
      </w:pPr>
    </w:p>
    <w:p w:rsidR="00BE77B9" w:rsidRPr="00DF575C" w:rsidRDefault="00BE77B9" w:rsidP="00444311">
      <w:pPr>
        <w:shd w:val="clear" w:color="auto" w:fill="FFFFFF"/>
        <w:spacing w:line="360" w:lineRule="auto"/>
        <w:rPr>
          <w:b/>
          <w:bCs/>
          <w:color w:val="000000"/>
          <w:shd w:val="clear" w:color="auto" w:fill="F6F6F6"/>
        </w:rPr>
      </w:pPr>
      <w:r w:rsidRPr="00DF575C">
        <w:rPr>
          <w:b/>
          <w:bCs/>
          <w:color w:val="000000"/>
        </w:rPr>
        <w:t>MOBILE BANKING</w:t>
      </w:r>
      <w:r w:rsidR="00B73947" w:rsidRPr="00DF575C">
        <w:rPr>
          <w:b/>
          <w:bCs/>
          <w:color w:val="000000"/>
        </w:rPr>
        <w:t>:</w:t>
      </w:r>
    </w:p>
    <w:p w:rsidR="00BE77B9" w:rsidRPr="00DF575C" w:rsidRDefault="00F2218A" w:rsidP="00444311">
      <w:pPr>
        <w:shd w:val="clear" w:color="auto" w:fill="FFFFFF"/>
        <w:spacing w:line="360" w:lineRule="auto"/>
        <w:ind w:firstLine="720"/>
        <w:jc w:val="both"/>
        <w:rPr>
          <w:color w:val="000000"/>
          <w:shd w:val="clear" w:color="auto" w:fill="F6F6F6"/>
        </w:rPr>
      </w:pPr>
      <w:r w:rsidRPr="00DF575C">
        <w:rPr>
          <w:color w:val="000000"/>
          <w:shd w:val="clear" w:color="auto" w:fill="F6F6F6"/>
        </w:rPr>
        <w:t>Bank on the move with ICICI Bank Mobile Banking. With ICICI Bank, Banking is no longer what it used to be. ICICI Bank offers Mobile Banking facility to all its Bank, Credit Card, Demat and Loan customers. ICICI Bank Mobile Banking can be divided into two broad categories of facilities:</w:t>
      </w:r>
    </w:p>
    <w:p w:rsidR="00F2218A" w:rsidRPr="00DF575C" w:rsidRDefault="00F2218A" w:rsidP="00444311">
      <w:pPr>
        <w:shd w:val="clear" w:color="auto" w:fill="FFFFFF"/>
        <w:spacing w:line="360" w:lineRule="auto"/>
        <w:ind w:firstLine="720"/>
        <w:jc w:val="both"/>
        <w:rPr>
          <w:color w:val="000000"/>
          <w:shd w:val="clear" w:color="auto" w:fill="F6F6F6"/>
        </w:rPr>
      </w:pPr>
    </w:p>
    <w:p w:rsidR="00BE77B9" w:rsidRPr="00DF575C" w:rsidRDefault="00BE77B9" w:rsidP="00444311">
      <w:pPr>
        <w:shd w:val="clear" w:color="auto" w:fill="FFFFFF"/>
        <w:spacing w:line="360" w:lineRule="auto"/>
        <w:rPr>
          <w:b/>
          <w:bCs/>
          <w:color w:val="000000"/>
          <w:shd w:val="clear" w:color="auto" w:fill="F6F6F6"/>
        </w:rPr>
      </w:pPr>
      <w:r w:rsidRPr="00DF575C">
        <w:rPr>
          <w:b/>
          <w:bCs/>
          <w:color w:val="000000"/>
        </w:rPr>
        <w:t xml:space="preserve">Alert </w:t>
      </w:r>
      <w:r w:rsidR="00B67490" w:rsidRPr="00DF575C">
        <w:rPr>
          <w:b/>
          <w:bCs/>
          <w:color w:val="000000"/>
        </w:rPr>
        <w:t>facility:</w:t>
      </w:r>
    </w:p>
    <w:p w:rsidR="00DF575C" w:rsidRDefault="00F2218A" w:rsidP="00DF575C">
      <w:pPr>
        <w:shd w:val="clear" w:color="auto" w:fill="FFFFFF"/>
        <w:spacing w:line="360" w:lineRule="auto"/>
        <w:ind w:firstLine="720"/>
        <w:jc w:val="both"/>
        <w:rPr>
          <w:color w:val="000000"/>
          <w:sz w:val="23"/>
          <w:szCs w:val="23"/>
          <w:shd w:val="clear" w:color="auto" w:fill="F6F6F6"/>
        </w:rPr>
      </w:pPr>
      <w:r w:rsidRPr="00DF575C">
        <w:rPr>
          <w:color w:val="000000"/>
          <w:shd w:val="clear" w:color="auto" w:fill="F6F6F6"/>
        </w:rPr>
        <w:t>ICICI Bank Mobile Banking Alerts facility keeps you informed about the significant transactions in its Accounts. It keeps you updated wherever you go.</w:t>
      </w:r>
    </w:p>
    <w:p w:rsidR="00DF575C" w:rsidRPr="00DF575C" w:rsidRDefault="00DF575C" w:rsidP="00DF575C">
      <w:pPr>
        <w:spacing w:line="360" w:lineRule="auto"/>
        <w:rPr>
          <w:b/>
          <w:bCs/>
          <w:color w:val="000000"/>
          <w:shd w:val="clear" w:color="auto" w:fill="F6F6F6"/>
        </w:rPr>
      </w:pPr>
      <w:r>
        <w:rPr>
          <w:color w:val="000000"/>
          <w:sz w:val="23"/>
          <w:szCs w:val="23"/>
          <w:shd w:val="clear" w:color="auto" w:fill="F6F6F6"/>
        </w:rPr>
        <w:br w:type="page"/>
      </w:r>
      <w:r w:rsidR="00BE77B9" w:rsidRPr="00DF575C">
        <w:rPr>
          <w:b/>
          <w:bCs/>
          <w:color w:val="000000"/>
          <w:spacing w:val="15"/>
        </w:rPr>
        <w:lastRenderedPageBreak/>
        <w:t xml:space="preserve">Request </w:t>
      </w:r>
      <w:r w:rsidR="00B67490" w:rsidRPr="00DF575C">
        <w:rPr>
          <w:b/>
          <w:bCs/>
          <w:color w:val="000000"/>
          <w:spacing w:val="15"/>
        </w:rPr>
        <w:t>facility</w:t>
      </w:r>
      <w:r w:rsidR="00B67490" w:rsidRPr="00DF575C">
        <w:rPr>
          <w:b/>
          <w:bCs/>
          <w:color w:val="000000"/>
          <w:shd w:val="clear" w:color="auto" w:fill="F6F6F6"/>
        </w:rPr>
        <w:t>:</w:t>
      </w:r>
    </w:p>
    <w:p w:rsidR="00444311" w:rsidRPr="00DF575C" w:rsidRDefault="00F2218A" w:rsidP="00DF575C">
      <w:pPr>
        <w:shd w:val="clear" w:color="auto" w:fill="FFFFFF"/>
        <w:spacing w:line="360" w:lineRule="auto"/>
        <w:ind w:firstLine="720"/>
        <w:jc w:val="both"/>
        <w:rPr>
          <w:bCs/>
          <w:color w:val="000000"/>
        </w:rPr>
      </w:pPr>
      <w:r w:rsidRPr="00DF575C">
        <w:rPr>
          <w:bCs/>
          <w:color w:val="000000"/>
        </w:rPr>
        <w:t>ICICI Bank Mobile Banking Requests facility enables you to query for its account balance.</w:t>
      </w:r>
    </w:p>
    <w:p w:rsidR="001025CF" w:rsidRPr="0047351B" w:rsidRDefault="001025CF" w:rsidP="001B4107">
      <w:pPr>
        <w:shd w:val="clear" w:color="auto" w:fill="FFFFFF"/>
        <w:spacing w:line="360" w:lineRule="auto"/>
        <w:ind w:firstLine="720"/>
        <w:jc w:val="both"/>
        <w:rPr>
          <w:bCs/>
          <w:color w:val="000000"/>
          <w:sz w:val="23"/>
          <w:szCs w:val="23"/>
        </w:rPr>
      </w:pPr>
    </w:p>
    <w:p w:rsidR="00BE77B9" w:rsidRPr="00DF575C" w:rsidRDefault="00BE77B9" w:rsidP="001B4107">
      <w:pPr>
        <w:spacing w:line="360" w:lineRule="auto"/>
        <w:rPr>
          <w:b/>
          <w:bCs/>
          <w:color w:val="000000"/>
        </w:rPr>
      </w:pPr>
      <w:r w:rsidRPr="00DF575C">
        <w:rPr>
          <w:b/>
          <w:bCs/>
          <w:color w:val="000000"/>
        </w:rPr>
        <w:t>INVESTMENT PRODUCTS:</w:t>
      </w:r>
    </w:p>
    <w:p w:rsidR="00BE77B9" w:rsidRPr="00DF575C" w:rsidRDefault="00BE77B9" w:rsidP="001B4107">
      <w:pPr>
        <w:shd w:val="clear" w:color="auto" w:fill="FFFFFF"/>
        <w:spacing w:line="360" w:lineRule="auto"/>
        <w:ind w:firstLine="720"/>
        <w:jc w:val="both"/>
        <w:rPr>
          <w:bCs/>
          <w:color w:val="000000"/>
          <w:shd w:val="clear" w:color="auto" w:fill="F6F6F6"/>
        </w:rPr>
      </w:pPr>
      <w:r w:rsidRPr="00DF575C">
        <w:rPr>
          <w:bCs/>
          <w:color w:val="000000"/>
        </w:rPr>
        <w:t> </w:t>
      </w:r>
      <w:r w:rsidR="00F2218A" w:rsidRPr="00DF575C">
        <w:rPr>
          <w:bCs/>
          <w:color w:val="000000"/>
        </w:rPr>
        <w:t>Along with Deposit products and Loan offerings, ICICI Bank assists you to manage its finances by providing various investment options ranging from ICICI Bank Tax Saving Bonds to Equity Investments through Initial Public Offers and Investment in Pure Gold. ICICI Bank facilitates following investment products:</w:t>
      </w:r>
    </w:p>
    <w:p w:rsidR="00F2218A" w:rsidRPr="00DF575C" w:rsidRDefault="00F2218A" w:rsidP="00444311">
      <w:pPr>
        <w:shd w:val="clear" w:color="auto" w:fill="FFFFFF"/>
        <w:spacing w:line="360" w:lineRule="auto"/>
        <w:rPr>
          <w:color w:val="000000"/>
        </w:rPr>
      </w:pPr>
    </w:p>
    <w:p w:rsidR="00F2218A" w:rsidRPr="00DF575C" w:rsidRDefault="00F2218A" w:rsidP="00444311">
      <w:pPr>
        <w:shd w:val="clear" w:color="auto" w:fill="FFFFFF"/>
        <w:spacing w:line="360" w:lineRule="auto"/>
        <w:jc w:val="both"/>
        <w:rPr>
          <w:color w:val="000000"/>
        </w:rPr>
      </w:pPr>
      <w:r w:rsidRPr="00DF575C">
        <w:rPr>
          <w:color w:val="000000"/>
        </w:rPr>
        <w:t>• ICICI Bank Tax Saving Bonds</w:t>
      </w:r>
    </w:p>
    <w:p w:rsidR="00F2218A" w:rsidRPr="00DF575C" w:rsidRDefault="00F2218A" w:rsidP="00444311">
      <w:pPr>
        <w:shd w:val="clear" w:color="auto" w:fill="FFFFFF"/>
        <w:spacing w:line="360" w:lineRule="auto"/>
        <w:jc w:val="both"/>
        <w:rPr>
          <w:color w:val="000000"/>
        </w:rPr>
      </w:pPr>
      <w:r w:rsidRPr="00DF575C">
        <w:rPr>
          <w:color w:val="000000"/>
        </w:rPr>
        <w:t>• Government of India Bonds</w:t>
      </w:r>
    </w:p>
    <w:p w:rsidR="00F2218A" w:rsidRPr="00DF575C" w:rsidRDefault="00F2218A" w:rsidP="00444311">
      <w:pPr>
        <w:shd w:val="clear" w:color="auto" w:fill="FFFFFF"/>
        <w:spacing w:line="360" w:lineRule="auto"/>
        <w:jc w:val="both"/>
        <w:rPr>
          <w:color w:val="000000"/>
        </w:rPr>
      </w:pPr>
      <w:r w:rsidRPr="00DF575C">
        <w:rPr>
          <w:color w:val="000000"/>
        </w:rPr>
        <w:t>• Investment in Mutual Funds</w:t>
      </w:r>
    </w:p>
    <w:p w:rsidR="00F2218A" w:rsidRPr="00DF575C" w:rsidRDefault="00F2218A" w:rsidP="00444311">
      <w:pPr>
        <w:shd w:val="clear" w:color="auto" w:fill="FFFFFF"/>
        <w:spacing w:line="360" w:lineRule="auto"/>
        <w:jc w:val="both"/>
        <w:rPr>
          <w:color w:val="000000"/>
        </w:rPr>
      </w:pPr>
      <w:r w:rsidRPr="00DF575C">
        <w:rPr>
          <w:color w:val="000000"/>
        </w:rPr>
        <w:t>• Initial Public Offers by Corporate</w:t>
      </w:r>
    </w:p>
    <w:p w:rsidR="00F2218A" w:rsidRPr="00DF575C" w:rsidRDefault="00F2218A" w:rsidP="00444311">
      <w:pPr>
        <w:shd w:val="clear" w:color="auto" w:fill="FFFFFF"/>
        <w:spacing w:line="360" w:lineRule="auto"/>
        <w:jc w:val="both"/>
        <w:rPr>
          <w:color w:val="000000"/>
        </w:rPr>
      </w:pPr>
      <w:r w:rsidRPr="00DF575C">
        <w:rPr>
          <w:color w:val="000000"/>
        </w:rPr>
        <w:t>• Investment in "Pure Gold"</w:t>
      </w:r>
    </w:p>
    <w:p w:rsidR="00F2218A" w:rsidRPr="00DF575C" w:rsidRDefault="00F2218A" w:rsidP="00444311">
      <w:pPr>
        <w:shd w:val="clear" w:color="auto" w:fill="FFFFFF"/>
        <w:spacing w:line="360" w:lineRule="auto"/>
        <w:jc w:val="both"/>
        <w:rPr>
          <w:color w:val="000000"/>
        </w:rPr>
      </w:pPr>
      <w:r w:rsidRPr="00DF575C">
        <w:rPr>
          <w:color w:val="000000"/>
        </w:rPr>
        <w:t>• Foreign Exchange Services</w:t>
      </w:r>
    </w:p>
    <w:p w:rsidR="00BE77B9" w:rsidRPr="00DF575C" w:rsidRDefault="00F2218A" w:rsidP="00444311">
      <w:pPr>
        <w:shd w:val="clear" w:color="auto" w:fill="FFFFFF"/>
        <w:spacing w:line="360" w:lineRule="auto"/>
        <w:jc w:val="both"/>
        <w:rPr>
          <w:color w:val="000000"/>
        </w:rPr>
      </w:pPr>
      <w:r w:rsidRPr="00DF575C">
        <w:rPr>
          <w:color w:val="000000"/>
        </w:rPr>
        <w:t>• Senior Citizens Savings Scheme,</w:t>
      </w:r>
    </w:p>
    <w:p w:rsidR="00BE77B9" w:rsidRPr="00DF575C" w:rsidRDefault="00BE77B9" w:rsidP="00444311">
      <w:pPr>
        <w:shd w:val="clear" w:color="auto" w:fill="FFFFFF"/>
        <w:spacing w:line="360" w:lineRule="auto"/>
        <w:jc w:val="both"/>
        <w:rPr>
          <w:b/>
          <w:bCs/>
          <w:color w:val="000000"/>
          <w:shd w:val="clear" w:color="auto" w:fill="F6F6F6"/>
        </w:rPr>
      </w:pPr>
      <w:r w:rsidRPr="00DF575C">
        <w:rPr>
          <w:b/>
          <w:bCs/>
          <w:color w:val="000000"/>
        </w:rPr>
        <w:t> </w:t>
      </w:r>
    </w:p>
    <w:p w:rsidR="00BE77B9" w:rsidRPr="00DF575C" w:rsidRDefault="00BC4E3F" w:rsidP="00444311">
      <w:pPr>
        <w:shd w:val="clear" w:color="auto" w:fill="FFFFFF"/>
        <w:spacing w:line="360" w:lineRule="auto"/>
        <w:rPr>
          <w:b/>
          <w:bCs/>
          <w:color w:val="000000"/>
          <w:shd w:val="clear" w:color="auto" w:fill="FFFFFF"/>
        </w:rPr>
      </w:pPr>
      <w:r w:rsidRPr="00DF575C">
        <w:rPr>
          <w:b/>
          <w:bCs/>
          <w:color w:val="000000"/>
        </w:rPr>
        <w:t>BANKING</w:t>
      </w:r>
      <w:r w:rsidRPr="00DF575C">
        <w:rPr>
          <w:b/>
          <w:bCs/>
          <w:color w:val="000000"/>
          <w:shd w:val="clear" w:color="auto" w:fill="FFFFFF"/>
        </w:rPr>
        <w:t>:</w:t>
      </w:r>
    </w:p>
    <w:p w:rsidR="00BE77B9" w:rsidRPr="00DF575C" w:rsidRDefault="00F2218A" w:rsidP="00444311">
      <w:pPr>
        <w:shd w:val="clear" w:color="auto" w:fill="FFFFFF"/>
        <w:spacing w:line="360" w:lineRule="auto"/>
        <w:jc w:val="both"/>
        <w:rPr>
          <w:bCs/>
          <w:color w:val="000000"/>
        </w:rPr>
      </w:pPr>
      <w:r w:rsidRPr="00DF575C">
        <w:rPr>
          <w:b/>
          <w:bCs/>
          <w:color w:val="000000"/>
        </w:rPr>
        <w:tab/>
      </w:r>
      <w:r w:rsidRPr="00DF575C">
        <w:rPr>
          <w:bCs/>
          <w:color w:val="000000"/>
        </w:rPr>
        <w:t>Internet banking is available to all ICICI bank savings and deposit account holders, credit card, demat and loan customers. Internet banking service offers customers a world of convenience with services such as balance enquiry, transaction history, account statement, bill payments, and fund transfers and accounts related service requests.</w:t>
      </w:r>
    </w:p>
    <w:p w:rsidR="00F2218A" w:rsidRPr="00DF575C" w:rsidRDefault="00F2218A" w:rsidP="00444311">
      <w:pPr>
        <w:shd w:val="clear" w:color="auto" w:fill="FFFFFF"/>
        <w:spacing w:line="360" w:lineRule="auto"/>
        <w:rPr>
          <w:b/>
          <w:bCs/>
          <w:color w:val="000000"/>
        </w:rPr>
      </w:pPr>
    </w:p>
    <w:p w:rsidR="00BE77B9" w:rsidRPr="00DF575C" w:rsidRDefault="00BC4E3F" w:rsidP="00444311">
      <w:pPr>
        <w:shd w:val="clear" w:color="auto" w:fill="FFFFFF"/>
        <w:spacing w:line="360" w:lineRule="auto"/>
        <w:rPr>
          <w:b/>
          <w:bCs/>
          <w:color w:val="000000"/>
          <w:shd w:val="clear" w:color="auto" w:fill="FFFFFF"/>
        </w:rPr>
      </w:pPr>
      <w:r w:rsidRPr="00DF575C">
        <w:rPr>
          <w:b/>
          <w:bCs/>
          <w:color w:val="000000"/>
        </w:rPr>
        <w:t>ATMs</w:t>
      </w:r>
      <w:r w:rsidRPr="00DF575C">
        <w:rPr>
          <w:b/>
          <w:bCs/>
          <w:color w:val="000000"/>
          <w:shd w:val="clear" w:color="auto" w:fill="FFFFFF"/>
        </w:rPr>
        <w:t>:</w:t>
      </w:r>
    </w:p>
    <w:p w:rsidR="00BE77B9" w:rsidRPr="00DF575C" w:rsidRDefault="00F2218A" w:rsidP="00444311">
      <w:pPr>
        <w:shd w:val="clear" w:color="auto" w:fill="FFFFFF"/>
        <w:spacing w:line="360" w:lineRule="auto"/>
        <w:jc w:val="both"/>
        <w:rPr>
          <w:bCs/>
          <w:color w:val="000000"/>
          <w:spacing w:val="15"/>
        </w:rPr>
      </w:pPr>
      <w:r w:rsidRPr="00DF575C">
        <w:rPr>
          <w:bCs/>
          <w:color w:val="000000"/>
          <w:spacing w:val="15"/>
        </w:rPr>
        <w:tab/>
        <w:t>With more than 2500 ATMs across the country, ICICI Bank has one of the largest ATM networks in India.</w:t>
      </w:r>
    </w:p>
    <w:p w:rsidR="00F2218A" w:rsidRPr="00DF575C" w:rsidRDefault="00F2218A" w:rsidP="00444311">
      <w:pPr>
        <w:shd w:val="clear" w:color="auto" w:fill="FFFFFF"/>
        <w:spacing w:line="360" w:lineRule="auto"/>
        <w:jc w:val="both"/>
        <w:rPr>
          <w:bCs/>
          <w:color w:val="000000"/>
          <w:spacing w:val="15"/>
        </w:rPr>
      </w:pPr>
    </w:p>
    <w:p w:rsidR="00BE77B9" w:rsidRPr="00DF575C" w:rsidRDefault="00BE77B9" w:rsidP="00444311">
      <w:pPr>
        <w:shd w:val="clear" w:color="auto" w:fill="FFFFFF"/>
        <w:spacing w:line="360" w:lineRule="auto"/>
        <w:rPr>
          <w:b/>
          <w:bCs/>
          <w:color w:val="000000"/>
          <w:shd w:val="clear" w:color="auto" w:fill="FFFFFF"/>
        </w:rPr>
      </w:pPr>
      <w:r w:rsidRPr="00DF575C">
        <w:rPr>
          <w:b/>
          <w:bCs/>
          <w:color w:val="000000"/>
          <w:spacing w:val="15"/>
        </w:rPr>
        <w:t>PHONE BANKING</w:t>
      </w:r>
      <w:r w:rsidRPr="00DF575C">
        <w:rPr>
          <w:b/>
          <w:bCs/>
          <w:color w:val="000000"/>
          <w:shd w:val="clear" w:color="auto" w:fill="FFFFFF"/>
        </w:rPr>
        <w:t>:</w:t>
      </w:r>
    </w:p>
    <w:p w:rsidR="00BE77B9" w:rsidRPr="00DF575C" w:rsidRDefault="00BE77B9" w:rsidP="00444311">
      <w:pPr>
        <w:shd w:val="clear" w:color="auto" w:fill="FFFFFF"/>
        <w:spacing w:line="360" w:lineRule="auto"/>
        <w:jc w:val="both"/>
        <w:rPr>
          <w:color w:val="000000"/>
          <w:shd w:val="clear" w:color="auto" w:fill="FFFFFF"/>
        </w:rPr>
      </w:pPr>
      <w:r w:rsidRPr="00DF575C">
        <w:rPr>
          <w:color w:val="000000"/>
          <w:shd w:val="clear" w:color="auto" w:fill="FFFFFF"/>
        </w:rPr>
        <w:t> </w:t>
      </w:r>
      <w:r w:rsidR="00F2218A" w:rsidRPr="00DF575C">
        <w:rPr>
          <w:color w:val="000000"/>
          <w:shd w:val="clear" w:color="auto" w:fill="FFFFFF"/>
        </w:rPr>
        <w:tab/>
        <w:t>Phone banking offers 24*7 service across liability, asset and investment products to both retail and corporate customers.</w:t>
      </w:r>
    </w:p>
    <w:p w:rsidR="00F2218A" w:rsidRPr="00DF575C" w:rsidRDefault="00F2218A" w:rsidP="00444311">
      <w:pPr>
        <w:shd w:val="clear" w:color="auto" w:fill="FFFFFF"/>
        <w:spacing w:line="360" w:lineRule="auto"/>
        <w:jc w:val="both"/>
        <w:rPr>
          <w:color w:val="000000"/>
          <w:shd w:val="clear" w:color="auto" w:fill="FFFFFF"/>
        </w:rPr>
      </w:pPr>
    </w:p>
    <w:p w:rsidR="00DF575C" w:rsidRDefault="00DF575C">
      <w:pPr>
        <w:rPr>
          <w:b/>
          <w:bCs/>
          <w:color w:val="000000"/>
        </w:rPr>
      </w:pPr>
      <w:r>
        <w:rPr>
          <w:b/>
          <w:bCs/>
          <w:color w:val="000000"/>
        </w:rPr>
        <w:br w:type="page"/>
      </w:r>
    </w:p>
    <w:p w:rsidR="00BE77B9" w:rsidRPr="00DF575C" w:rsidRDefault="00BE77B9" w:rsidP="00DF575C">
      <w:pPr>
        <w:shd w:val="clear" w:color="auto" w:fill="FFFFFF"/>
        <w:spacing w:line="360" w:lineRule="auto"/>
        <w:rPr>
          <w:b/>
          <w:bCs/>
          <w:color w:val="000000"/>
          <w:shd w:val="clear" w:color="auto" w:fill="FFFFFF"/>
        </w:rPr>
      </w:pPr>
      <w:r w:rsidRPr="00DF575C">
        <w:rPr>
          <w:b/>
          <w:bCs/>
          <w:color w:val="000000"/>
        </w:rPr>
        <w:lastRenderedPageBreak/>
        <w:t>NRI-BANKING:</w:t>
      </w:r>
    </w:p>
    <w:p w:rsidR="00BE77B9" w:rsidRPr="00DF575C" w:rsidRDefault="00BE77B9" w:rsidP="00DF575C">
      <w:pPr>
        <w:shd w:val="clear" w:color="auto" w:fill="FFFFFF"/>
        <w:spacing w:line="360" w:lineRule="auto"/>
        <w:jc w:val="both"/>
        <w:rPr>
          <w:bCs/>
          <w:color w:val="000000"/>
        </w:rPr>
      </w:pPr>
      <w:r w:rsidRPr="00DF575C">
        <w:rPr>
          <w:b/>
          <w:bCs/>
          <w:color w:val="000000"/>
        </w:rPr>
        <w:t> </w:t>
      </w:r>
      <w:r w:rsidR="00F2218A" w:rsidRPr="00DF575C">
        <w:rPr>
          <w:b/>
          <w:bCs/>
          <w:color w:val="000000"/>
        </w:rPr>
        <w:tab/>
      </w:r>
      <w:r w:rsidR="00F2218A" w:rsidRPr="00DF575C">
        <w:rPr>
          <w:bCs/>
          <w:color w:val="000000"/>
        </w:rPr>
        <w:t>A gamut of services to take care of all NRI banking needs including deposits, money transfers and private banking.</w:t>
      </w:r>
    </w:p>
    <w:p w:rsidR="00BE77B9" w:rsidRPr="00DF575C" w:rsidRDefault="00BE77B9" w:rsidP="00DF575C">
      <w:pPr>
        <w:shd w:val="clear" w:color="auto" w:fill="FFFFFF"/>
        <w:spacing w:line="360" w:lineRule="auto"/>
        <w:jc w:val="both"/>
        <w:rPr>
          <w:b/>
          <w:bCs/>
          <w:color w:val="000000"/>
          <w:shd w:val="clear" w:color="auto" w:fill="FFFFFF"/>
        </w:rPr>
      </w:pPr>
      <w:r w:rsidRPr="00DF575C">
        <w:rPr>
          <w:b/>
          <w:bCs/>
          <w:color w:val="000000"/>
        </w:rPr>
        <w:t>MONEY2INDIA:</w:t>
      </w:r>
    </w:p>
    <w:p w:rsidR="00BE77B9" w:rsidRPr="00DF575C" w:rsidRDefault="00BE77B9" w:rsidP="00DF575C">
      <w:pPr>
        <w:shd w:val="clear" w:color="auto" w:fill="FFFFFF"/>
        <w:spacing w:line="360" w:lineRule="auto"/>
        <w:jc w:val="both"/>
        <w:rPr>
          <w:bCs/>
          <w:color w:val="000000"/>
          <w:shd w:val="clear" w:color="auto" w:fill="FFFFFF"/>
        </w:rPr>
      </w:pPr>
      <w:r w:rsidRPr="00DF575C">
        <w:rPr>
          <w:b/>
          <w:bCs/>
          <w:color w:val="000000"/>
        </w:rPr>
        <w:t> </w:t>
      </w:r>
      <w:r w:rsidR="00F2218A" w:rsidRPr="00DF575C">
        <w:rPr>
          <w:b/>
          <w:bCs/>
          <w:color w:val="000000"/>
        </w:rPr>
        <w:tab/>
      </w:r>
      <w:r w:rsidR="00F2218A" w:rsidRPr="00DF575C">
        <w:rPr>
          <w:bCs/>
          <w:color w:val="000000"/>
        </w:rPr>
        <w:t>A complete range of online and offline money transfer solutions to send money to India Requirements.</w:t>
      </w:r>
    </w:p>
    <w:p w:rsidR="00BE77B9" w:rsidRPr="00DF575C" w:rsidRDefault="00BE77B9" w:rsidP="00DF575C">
      <w:pPr>
        <w:shd w:val="clear" w:color="auto" w:fill="FFFFFF"/>
        <w:spacing w:line="360" w:lineRule="auto"/>
        <w:rPr>
          <w:b/>
          <w:bCs/>
          <w:color w:val="000000"/>
        </w:rPr>
      </w:pPr>
    </w:p>
    <w:p w:rsidR="00BE77B9" w:rsidRPr="00DF575C" w:rsidRDefault="00BE77B9" w:rsidP="00DF575C">
      <w:pPr>
        <w:shd w:val="clear" w:color="auto" w:fill="FFFFFF"/>
        <w:spacing w:line="360" w:lineRule="auto"/>
        <w:rPr>
          <w:b/>
          <w:bCs/>
          <w:color w:val="000000"/>
          <w:shd w:val="clear" w:color="auto" w:fill="FFFFFF"/>
        </w:rPr>
      </w:pPr>
      <w:r w:rsidRPr="00DF575C">
        <w:rPr>
          <w:b/>
          <w:bCs/>
          <w:color w:val="000000"/>
        </w:rPr>
        <w:t>BRANCHES:</w:t>
      </w:r>
    </w:p>
    <w:p w:rsidR="00BE77B9" w:rsidRPr="00DF575C" w:rsidRDefault="00BE77B9" w:rsidP="00DF575C">
      <w:pPr>
        <w:spacing w:line="360" w:lineRule="auto"/>
        <w:jc w:val="both"/>
        <w:rPr>
          <w:color w:val="000000"/>
          <w:shd w:val="clear" w:color="auto" w:fill="FFFFFF"/>
        </w:rPr>
      </w:pPr>
      <w:r w:rsidRPr="00DF575C">
        <w:rPr>
          <w:color w:val="000000"/>
          <w:shd w:val="clear" w:color="auto" w:fill="FFFFFF"/>
        </w:rPr>
        <w:t> </w:t>
      </w:r>
      <w:r w:rsidR="00F2218A" w:rsidRPr="00DF575C">
        <w:rPr>
          <w:color w:val="000000"/>
          <w:shd w:val="clear" w:color="auto" w:fill="FFFFFF"/>
        </w:rPr>
        <w:tab/>
        <w:t>ICICI Bank has a network of over 630 branches (of which 51are extension counters) across the country. The network puts a wide range of banking products and financial services within easy reach of retail and corporate customers.</w:t>
      </w:r>
    </w:p>
    <w:p w:rsidR="00F2218A" w:rsidRPr="00DF575C" w:rsidRDefault="00F2218A" w:rsidP="00DF575C">
      <w:pPr>
        <w:spacing w:line="360" w:lineRule="auto"/>
        <w:jc w:val="both"/>
        <w:rPr>
          <w:color w:val="000000"/>
          <w:shd w:val="clear" w:color="auto" w:fill="FFFFFF"/>
        </w:rPr>
      </w:pPr>
    </w:p>
    <w:p w:rsidR="009F4510" w:rsidRPr="00DF575C" w:rsidRDefault="009F4510" w:rsidP="00DF575C">
      <w:pPr>
        <w:spacing w:line="360" w:lineRule="auto"/>
        <w:jc w:val="both"/>
        <w:rPr>
          <w:color w:val="000000"/>
          <w:shd w:val="clear" w:color="auto" w:fill="FFFFFF"/>
        </w:rPr>
      </w:pPr>
    </w:p>
    <w:p w:rsidR="00510EA7" w:rsidRPr="0047351B" w:rsidRDefault="00BE77B9" w:rsidP="001025CF">
      <w:pPr>
        <w:tabs>
          <w:tab w:val="left" w:pos="2250"/>
          <w:tab w:val="left" w:pos="3600"/>
        </w:tabs>
        <w:spacing w:line="360" w:lineRule="auto"/>
        <w:ind w:left="-90"/>
        <w:jc w:val="center"/>
        <w:rPr>
          <w:sz w:val="42"/>
          <w:szCs w:val="42"/>
        </w:rPr>
      </w:pPr>
      <w:r w:rsidRPr="0047351B">
        <w:rPr>
          <w:noProof/>
          <w:sz w:val="42"/>
          <w:szCs w:val="42"/>
        </w:rPr>
        <w:drawing>
          <wp:inline distT="0" distB="0" distL="0" distR="0" wp14:anchorId="4AE01356" wp14:editId="1152A9A1">
            <wp:extent cx="5981700" cy="4352925"/>
            <wp:effectExtent l="19050" t="0" r="0" b="0"/>
            <wp:docPr id="103" name="Picture 48" descr="http://htmlimg2.scribdassets.com/8w6q5euxmoe7zwv/images/14-79a85205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htmlimg2.scribdassets.com/8w6q5euxmoe7zwv/images/14-79a85205f3.jpg"/>
                    <pic:cNvPicPr>
                      <a:picLocks noChangeAspect="1" noChangeArrowheads="1"/>
                    </pic:cNvPicPr>
                  </pic:nvPicPr>
                  <pic:blipFill>
                    <a:blip r:embed="rId9"/>
                    <a:srcRect/>
                    <a:stretch>
                      <a:fillRect/>
                    </a:stretch>
                  </pic:blipFill>
                  <pic:spPr bwMode="auto">
                    <a:xfrm>
                      <a:off x="0" y="0"/>
                      <a:ext cx="5981700" cy="4352925"/>
                    </a:xfrm>
                    <a:prstGeom prst="rect">
                      <a:avLst/>
                    </a:prstGeom>
                    <a:noFill/>
                    <a:ln w="9525">
                      <a:noFill/>
                      <a:miter lim="800000"/>
                      <a:headEnd/>
                      <a:tailEnd/>
                    </a:ln>
                  </pic:spPr>
                </pic:pic>
              </a:graphicData>
            </a:graphic>
          </wp:inline>
        </w:drawing>
      </w:r>
    </w:p>
    <w:p w:rsidR="00510EA7" w:rsidRPr="0047351B" w:rsidRDefault="00510EA7" w:rsidP="00510EA7">
      <w:pPr>
        <w:rPr>
          <w:sz w:val="42"/>
          <w:szCs w:val="42"/>
        </w:rPr>
      </w:pPr>
    </w:p>
    <w:p w:rsidR="00DF575C" w:rsidRDefault="00510EA7" w:rsidP="00DF575C">
      <w:pPr>
        <w:tabs>
          <w:tab w:val="left" w:pos="2250"/>
          <w:tab w:val="left" w:pos="3600"/>
          <w:tab w:val="left" w:pos="3960"/>
        </w:tabs>
        <w:spacing w:line="360" w:lineRule="auto"/>
        <w:rPr>
          <w:sz w:val="42"/>
          <w:szCs w:val="42"/>
        </w:rPr>
      </w:pPr>
      <w:r w:rsidRPr="0047351B">
        <w:rPr>
          <w:sz w:val="42"/>
          <w:szCs w:val="42"/>
        </w:rPr>
        <w:tab/>
      </w:r>
    </w:p>
    <w:p w:rsidR="00DF575C" w:rsidRDefault="00DF575C" w:rsidP="00DF575C">
      <w:pPr>
        <w:tabs>
          <w:tab w:val="left" w:pos="2250"/>
          <w:tab w:val="left" w:pos="3600"/>
          <w:tab w:val="left" w:pos="3960"/>
        </w:tabs>
        <w:spacing w:line="360" w:lineRule="auto"/>
        <w:ind w:left="-90"/>
        <w:rPr>
          <w:b/>
          <w:sz w:val="31"/>
          <w:szCs w:val="31"/>
        </w:rPr>
      </w:pPr>
    </w:p>
    <w:p w:rsidR="00971178" w:rsidRPr="00DF575C" w:rsidRDefault="00971178" w:rsidP="00DF575C">
      <w:pPr>
        <w:tabs>
          <w:tab w:val="left" w:pos="2250"/>
          <w:tab w:val="left" w:pos="3600"/>
          <w:tab w:val="left" w:pos="3960"/>
        </w:tabs>
        <w:spacing w:line="360" w:lineRule="auto"/>
        <w:ind w:left="-90"/>
        <w:jc w:val="center"/>
        <w:rPr>
          <w:sz w:val="32"/>
          <w:szCs w:val="32"/>
        </w:rPr>
      </w:pPr>
      <w:r w:rsidRPr="00DF575C">
        <w:rPr>
          <w:b/>
          <w:sz w:val="32"/>
          <w:szCs w:val="32"/>
        </w:rPr>
        <w:lastRenderedPageBreak/>
        <w:t>Financial Statement Analysis</w:t>
      </w:r>
    </w:p>
    <w:p w:rsidR="009F4510" w:rsidRPr="00DF575C" w:rsidRDefault="009F4510" w:rsidP="00444311">
      <w:pPr>
        <w:tabs>
          <w:tab w:val="left" w:pos="3600"/>
        </w:tabs>
        <w:spacing w:line="360" w:lineRule="auto"/>
        <w:ind w:left="-90"/>
        <w:jc w:val="center"/>
      </w:pPr>
    </w:p>
    <w:p w:rsidR="00971178" w:rsidRPr="00DF575C" w:rsidRDefault="00971178" w:rsidP="00444311">
      <w:pPr>
        <w:spacing w:line="360" w:lineRule="auto"/>
        <w:ind w:firstLine="720"/>
        <w:jc w:val="both"/>
      </w:pPr>
      <w:r w:rsidRPr="00DF575C">
        <w:t>A financial statement analysis consists of the application of analytical tools and techniques to the data in financial statements in order to derive from them measurements and relationships that are significant and useful for decision making.</w:t>
      </w:r>
    </w:p>
    <w:p w:rsidR="00971178" w:rsidRPr="00DF575C" w:rsidRDefault="00971178" w:rsidP="00444311">
      <w:pPr>
        <w:spacing w:line="360" w:lineRule="auto"/>
        <w:jc w:val="both"/>
        <w:rPr>
          <w:sz w:val="28"/>
          <w:szCs w:val="28"/>
        </w:rPr>
      </w:pPr>
      <w:bookmarkStart w:id="0" w:name="_GoBack"/>
      <w:bookmarkEnd w:id="0"/>
    </w:p>
    <w:p w:rsidR="00971178" w:rsidRPr="00DF575C" w:rsidRDefault="00971178" w:rsidP="00444311">
      <w:pPr>
        <w:spacing w:line="360" w:lineRule="auto"/>
        <w:jc w:val="both"/>
        <w:rPr>
          <w:b/>
          <w:sz w:val="28"/>
          <w:szCs w:val="28"/>
        </w:rPr>
      </w:pPr>
      <w:r w:rsidRPr="00DF575C">
        <w:rPr>
          <w:b/>
          <w:sz w:val="28"/>
          <w:szCs w:val="28"/>
        </w:rPr>
        <w:t>Uses of Financial Statement Analysis</w:t>
      </w:r>
      <w:r w:rsidR="00B73947" w:rsidRPr="00DF575C">
        <w:rPr>
          <w:b/>
          <w:sz w:val="28"/>
          <w:szCs w:val="28"/>
        </w:rPr>
        <w:t>:</w:t>
      </w:r>
    </w:p>
    <w:p w:rsidR="00971178" w:rsidRPr="00DF575C" w:rsidRDefault="00971178" w:rsidP="00444311">
      <w:pPr>
        <w:spacing w:line="360" w:lineRule="auto"/>
        <w:ind w:firstLine="720"/>
        <w:jc w:val="both"/>
      </w:pPr>
      <w:r w:rsidRPr="00DF575C">
        <w:t xml:space="preserve">Financial Statement Analysis can be used as a preliminary screening tool in the selection of stocks in the secondary market. It can be used as a forecasting tool of future financial conditions and results. It may be used as process of evaluation and diagnosis of managerial, operating </w:t>
      </w:r>
      <w:r w:rsidR="00AD6931" w:rsidRPr="00DF575C">
        <w:t>or other problem areas.</w:t>
      </w:r>
    </w:p>
    <w:p w:rsidR="009F3980" w:rsidRPr="00DF575C" w:rsidRDefault="009F3980" w:rsidP="00444311">
      <w:pPr>
        <w:spacing w:line="360" w:lineRule="auto"/>
        <w:jc w:val="both"/>
        <w:rPr>
          <w:sz w:val="28"/>
          <w:szCs w:val="28"/>
        </w:rPr>
      </w:pPr>
    </w:p>
    <w:p w:rsidR="009F3980" w:rsidRPr="00DF575C" w:rsidRDefault="009F3980" w:rsidP="00444311">
      <w:pPr>
        <w:spacing w:line="360" w:lineRule="auto"/>
        <w:jc w:val="both"/>
        <w:rPr>
          <w:b/>
          <w:sz w:val="28"/>
          <w:szCs w:val="28"/>
        </w:rPr>
      </w:pPr>
      <w:r w:rsidRPr="00DF575C">
        <w:rPr>
          <w:b/>
          <w:sz w:val="28"/>
          <w:szCs w:val="28"/>
        </w:rPr>
        <w:t>Sources of Financial Information</w:t>
      </w:r>
      <w:r w:rsidR="00B73947" w:rsidRPr="00DF575C">
        <w:rPr>
          <w:b/>
          <w:sz w:val="28"/>
          <w:szCs w:val="28"/>
        </w:rPr>
        <w:t>:</w:t>
      </w:r>
    </w:p>
    <w:p w:rsidR="009F3980" w:rsidRPr="00DF575C" w:rsidRDefault="009F3980" w:rsidP="00444311">
      <w:pPr>
        <w:spacing w:line="360" w:lineRule="auto"/>
        <w:ind w:firstLine="720"/>
        <w:jc w:val="both"/>
      </w:pPr>
      <w:r w:rsidRPr="00DF575C">
        <w:t>The financial data needed in the financial analysis come from many sources. The primary source is the data provided by the company itself in its annual report and required disclosures. The annual report comprises of the income statement, the balance sheet, and the statement of cash flows.</w:t>
      </w:r>
    </w:p>
    <w:p w:rsidR="009F3980" w:rsidRPr="00DF575C" w:rsidRDefault="009F3980" w:rsidP="00444311">
      <w:pPr>
        <w:spacing w:line="360" w:lineRule="auto"/>
        <w:jc w:val="both"/>
        <w:rPr>
          <w:b/>
          <w:sz w:val="28"/>
          <w:szCs w:val="28"/>
        </w:rPr>
      </w:pPr>
    </w:p>
    <w:p w:rsidR="009F3980" w:rsidRPr="00DF575C" w:rsidRDefault="009F3980" w:rsidP="00444311">
      <w:pPr>
        <w:spacing w:line="360" w:lineRule="auto"/>
        <w:jc w:val="both"/>
        <w:rPr>
          <w:b/>
          <w:sz w:val="28"/>
          <w:szCs w:val="28"/>
        </w:rPr>
      </w:pPr>
      <w:r w:rsidRPr="00DF575C">
        <w:rPr>
          <w:b/>
          <w:sz w:val="28"/>
          <w:szCs w:val="28"/>
        </w:rPr>
        <w:t>Tools of Financial Analysis</w:t>
      </w:r>
      <w:r w:rsidR="00B73947" w:rsidRPr="00DF575C">
        <w:rPr>
          <w:b/>
          <w:sz w:val="28"/>
          <w:szCs w:val="28"/>
        </w:rPr>
        <w:t>:</w:t>
      </w:r>
    </w:p>
    <w:p w:rsidR="00FB4A95" w:rsidRPr="00DF575C" w:rsidRDefault="009F3980" w:rsidP="00444311">
      <w:pPr>
        <w:spacing w:line="360" w:lineRule="auto"/>
        <w:ind w:firstLine="720"/>
        <w:jc w:val="both"/>
      </w:pPr>
      <w:r w:rsidRPr="00DF575C">
        <w:t>In the analysis of financial</w:t>
      </w:r>
      <w:r w:rsidR="00FB4A95" w:rsidRPr="00DF575C">
        <w:t xml:space="preserve"> statements, the analyst has a variety of tools available to choose the best that suits his specific purpose. In this report we will confine ourselves to Ratio Analysis based on information provided from financial statements such as Balance Sheet and Profit &amp; Loss Account.</w:t>
      </w:r>
    </w:p>
    <w:p w:rsidR="008C2B96" w:rsidRPr="00DF575C" w:rsidRDefault="008C2B96" w:rsidP="00444311">
      <w:pPr>
        <w:spacing w:line="360" w:lineRule="auto"/>
        <w:jc w:val="both"/>
      </w:pPr>
    </w:p>
    <w:p w:rsidR="008C2B96" w:rsidRPr="00DF575C" w:rsidRDefault="008C2B96" w:rsidP="00444311">
      <w:pPr>
        <w:spacing w:line="360" w:lineRule="auto"/>
        <w:jc w:val="both"/>
      </w:pPr>
    </w:p>
    <w:p w:rsidR="008C2B96" w:rsidRPr="00DF575C" w:rsidRDefault="008C2B96" w:rsidP="00444311">
      <w:pPr>
        <w:spacing w:line="360" w:lineRule="auto"/>
        <w:jc w:val="both"/>
      </w:pPr>
    </w:p>
    <w:p w:rsidR="000E2C37" w:rsidRPr="0047351B" w:rsidRDefault="000E2C37">
      <w:pPr>
        <w:rPr>
          <w:sz w:val="23"/>
          <w:szCs w:val="23"/>
        </w:rPr>
      </w:pPr>
      <w:r w:rsidRPr="0047351B">
        <w:rPr>
          <w:sz w:val="23"/>
          <w:szCs w:val="23"/>
        </w:rPr>
        <w:br w:type="page"/>
      </w:r>
    </w:p>
    <w:p w:rsidR="000E2C37" w:rsidRPr="00DF575C" w:rsidRDefault="000E2C37" w:rsidP="000E2C37">
      <w:pPr>
        <w:spacing w:line="360" w:lineRule="auto"/>
        <w:jc w:val="center"/>
        <w:rPr>
          <w:b/>
          <w:color w:val="000000"/>
          <w:sz w:val="32"/>
          <w:szCs w:val="32"/>
          <w:shd w:val="clear" w:color="auto" w:fill="FFFFFF"/>
        </w:rPr>
      </w:pPr>
      <w:r w:rsidRPr="00DF575C">
        <w:rPr>
          <w:b/>
          <w:color w:val="000000"/>
          <w:sz w:val="32"/>
          <w:szCs w:val="32"/>
          <w:shd w:val="clear" w:color="auto" w:fill="FFFFFF"/>
        </w:rPr>
        <w:lastRenderedPageBreak/>
        <w:t>Profit</w:t>
      </w:r>
      <w:r w:rsidRPr="00DF575C">
        <w:rPr>
          <w:color w:val="000000"/>
          <w:sz w:val="32"/>
          <w:szCs w:val="32"/>
          <w:shd w:val="clear" w:color="auto" w:fill="FFFFFF"/>
        </w:rPr>
        <w:t xml:space="preserve"> </w:t>
      </w:r>
      <w:r w:rsidRPr="00DF575C">
        <w:rPr>
          <w:b/>
          <w:color w:val="000000"/>
          <w:sz w:val="32"/>
          <w:szCs w:val="32"/>
          <w:shd w:val="clear" w:color="auto" w:fill="FFFFFF"/>
        </w:rPr>
        <w:t>loss account</w:t>
      </w:r>
    </w:p>
    <w:p w:rsidR="000E2C37" w:rsidRPr="0047351B" w:rsidRDefault="000E2C37" w:rsidP="000E2C37">
      <w:pPr>
        <w:spacing w:line="360" w:lineRule="auto"/>
        <w:jc w:val="center"/>
        <w:rPr>
          <w:sz w:val="42"/>
          <w:szCs w:val="42"/>
          <w:u w:val="single"/>
        </w:rPr>
      </w:pPr>
    </w:p>
    <w:tbl>
      <w:tblPr>
        <w:tblW w:w="9540" w:type="dxa"/>
        <w:tblInd w:w="-90" w:type="dxa"/>
        <w:tblCellMar>
          <w:top w:w="15" w:type="dxa"/>
          <w:left w:w="15" w:type="dxa"/>
          <w:bottom w:w="15" w:type="dxa"/>
          <w:right w:w="15" w:type="dxa"/>
        </w:tblCellMar>
        <w:tblLook w:val="04A0" w:firstRow="1" w:lastRow="0" w:firstColumn="1" w:lastColumn="0" w:noHBand="0" w:noVBand="1"/>
      </w:tblPr>
      <w:tblGrid>
        <w:gridCol w:w="2790"/>
        <w:gridCol w:w="1393"/>
        <w:gridCol w:w="1393"/>
        <w:gridCol w:w="1393"/>
        <w:gridCol w:w="1302"/>
        <w:gridCol w:w="1269"/>
      </w:tblGrid>
      <w:tr w:rsidR="000E2C37" w:rsidRPr="0047351B" w:rsidTr="00DF575C">
        <w:trPr>
          <w:tblHeader/>
        </w:trPr>
        <w:tc>
          <w:tcPr>
            <w:tcW w:w="2790" w:type="dxa"/>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0E2C37" w:rsidP="00CB002E">
            <w:pPr>
              <w:spacing w:line="360" w:lineRule="auto"/>
              <w:rPr>
                <w:b/>
                <w:bCs/>
              </w:rPr>
            </w:pPr>
            <w:r w:rsidRPr="0041038B">
              <w:rPr>
                <w:b/>
                <w:bCs/>
              </w:rPr>
              <w:t> </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24183B" w:rsidP="00CB002E">
            <w:pPr>
              <w:spacing w:line="360" w:lineRule="auto"/>
              <w:jc w:val="right"/>
              <w:rPr>
                <w:b/>
                <w:bCs/>
              </w:rPr>
            </w:pPr>
            <w:r>
              <w:rPr>
                <w:b/>
                <w:bCs/>
              </w:rPr>
              <w:t>Mar ‘ 14</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24183B" w:rsidP="00CB002E">
            <w:pPr>
              <w:spacing w:line="360" w:lineRule="auto"/>
              <w:jc w:val="right"/>
              <w:rPr>
                <w:b/>
                <w:bCs/>
              </w:rPr>
            </w:pPr>
            <w:r>
              <w:rPr>
                <w:b/>
                <w:bCs/>
              </w:rPr>
              <w:t>Mar ‘ 13</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24183B" w:rsidP="00CB002E">
            <w:pPr>
              <w:spacing w:line="360" w:lineRule="auto"/>
              <w:jc w:val="right"/>
              <w:rPr>
                <w:b/>
                <w:bCs/>
              </w:rPr>
            </w:pPr>
            <w:r>
              <w:rPr>
                <w:b/>
                <w:bCs/>
              </w:rPr>
              <w:t>Mar ‘ 12</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24183B" w:rsidP="00CB002E">
            <w:pPr>
              <w:spacing w:line="360" w:lineRule="auto"/>
              <w:jc w:val="right"/>
              <w:rPr>
                <w:b/>
                <w:bCs/>
              </w:rPr>
            </w:pPr>
            <w:r>
              <w:rPr>
                <w:b/>
                <w:bCs/>
              </w:rPr>
              <w:t>Mar ‘ 11</w:t>
            </w:r>
          </w:p>
        </w:tc>
        <w:tc>
          <w:tcPr>
            <w:tcW w:w="1269" w:type="dxa"/>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24183B" w:rsidP="00CB002E">
            <w:pPr>
              <w:spacing w:line="360" w:lineRule="auto"/>
              <w:jc w:val="right"/>
              <w:rPr>
                <w:b/>
                <w:bCs/>
              </w:rPr>
            </w:pPr>
            <w:r>
              <w:rPr>
                <w:b/>
                <w:bCs/>
              </w:rPr>
              <w:t>Mar ‘ 10</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pStyle w:val="Heading3"/>
              <w:spacing w:before="0" w:beforeAutospacing="0" w:after="0" w:afterAutospacing="0" w:line="360" w:lineRule="auto"/>
              <w:rPr>
                <w:sz w:val="24"/>
                <w:szCs w:val="24"/>
              </w:rPr>
            </w:pPr>
            <w:r w:rsidRPr="0041038B">
              <w:rPr>
                <w:sz w:val="24"/>
                <w:szCs w:val="24"/>
              </w:rPr>
              <w:t>Income</w:t>
            </w:r>
          </w:p>
        </w:tc>
        <w:tc>
          <w:tcPr>
            <w:tcW w:w="0" w:type="auto"/>
            <w:vAlign w:val="center"/>
            <w:hideMark/>
          </w:tcPr>
          <w:p w:rsidR="000E2C37" w:rsidRPr="0041038B" w:rsidRDefault="000E2C37" w:rsidP="00CB002E">
            <w:pPr>
              <w:spacing w:line="360" w:lineRule="auto"/>
            </w:pPr>
          </w:p>
        </w:tc>
        <w:tc>
          <w:tcPr>
            <w:tcW w:w="0" w:type="auto"/>
            <w:vAlign w:val="center"/>
            <w:hideMark/>
          </w:tcPr>
          <w:p w:rsidR="000E2C37" w:rsidRPr="0041038B" w:rsidRDefault="000E2C37" w:rsidP="00CB002E">
            <w:pPr>
              <w:spacing w:line="360" w:lineRule="auto"/>
            </w:pPr>
          </w:p>
        </w:tc>
        <w:tc>
          <w:tcPr>
            <w:tcW w:w="0" w:type="auto"/>
            <w:vAlign w:val="center"/>
            <w:hideMark/>
          </w:tcPr>
          <w:p w:rsidR="000E2C37" w:rsidRPr="0041038B" w:rsidRDefault="000E2C37" w:rsidP="00CB002E">
            <w:pPr>
              <w:spacing w:line="360" w:lineRule="auto"/>
            </w:pPr>
          </w:p>
        </w:tc>
        <w:tc>
          <w:tcPr>
            <w:tcW w:w="0" w:type="auto"/>
            <w:vAlign w:val="center"/>
            <w:hideMark/>
          </w:tcPr>
          <w:p w:rsidR="000E2C37" w:rsidRPr="0041038B" w:rsidRDefault="000E2C37" w:rsidP="00CB002E">
            <w:pPr>
              <w:spacing w:line="360" w:lineRule="auto"/>
            </w:pPr>
          </w:p>
        </w:tc>
        <w:tc>
          <w:tcPr>
            <w:tcW w:w="1269" w:type="dxa"/>
            <w:vAlign w:val="center"/>
            <w:hideMark/>
          </w:tcPr>
          <w:p w:rsidR="000E2C37" w:rsidRPr="0041038B" w:rsidRDefault="000E2C37" w:rsidP="00CB002E">
            <w:pPr>
              <w:spacing w:line="360" w:lineRule="auto"/>
            </w:pP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Operating income</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32,369.69</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32,747.36</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38,250.39</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39,467.92</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28,457.13</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pStyle w:val="Heading3"/>
              <w:spacing w:before="0" w:beforeAutospacing="0" w:after="0" w:afterAutospacing="0" w:line="360" w:lineRule="auto"/>
              <w:rPr>
                <w:sz w:val="24"/>
                <w:szCs w:val="24"/>
              </w:rPr>
            </w:pPr>
            <w:r w:rsidRPr="0041038B">
              <w:rPr>
                <w:sz w:val="24"/>
                <w:szCs w:val="24"/>
              </w:rPr>
              <w:t>Expenses</w:t>
            </w:r>
          </w:p>
        </w:tc>
        <w:tc>
          <w:tcPr>
            <w:tcW w:w="0" w:type="auto"/>
            <w:vAlign w:val="center"/>
            <w:hideMark/>
          </w:tcPr>
          <w:p w:rsidR="000E2C37" w:rsidRPr="0041038B" w:rsidRDefault="000E2C37" w:rsidP="00CB002E">
            <w:pPr>
              <w:spacing w:line="360" w:lineRule="auto"/>
            </w:pPr>
          </w:p>
        </w:tc>
        <w:tc>
          <w:tcPr>
            <w:tcW w:w="0" w:type="auto"/>
            <w:vAlign w:val="center"/>
            <w:hideMark/>
          </w:tcPr>
          <w:p w:rsidR="000E2C37" w:rsidRPr="0041038B" w:rsidRDefault="000E2C37" w:rsidP="00CB002E">
            <w:pPr>
              <w:spacing w:line="360" w:lineRule="auto"/>
            </w:pPr>
          </w:p>
        </w:tc>
        <w:tc>
          <w:tcPr>
            <w:tcW w:w="0" w:type="auto"/>
            <w:vAlign w:val="center"/>
            <w:hideMark/>
          </w:tcPr>
          <w:p w:rsidR="000E2C37" w:rsidRPr="0041038B" w:rsidRDefault="000E2C37" w:rsidP="00CB002E">
            <w:pPr>
              <w:spacing w:line="360" w:lineRule="auto"/>
            </w:pPr>
          </w:p>
        </w:tc>
        <w:tc>
          <w:tcPr>
            <w:tcW w:w="0" w:type="auto"/>
            <w:vAlign w:val="center"/>
            <w:hideMark/>
          </w:tcPr>
          <w:p w:rsidR="000E2C37" w:rsidRPr="0041038B" w:rsidRDefault="000E2C37" w:rsidP="00CB002E">
            <w:pPr>
              <w:spacing w:line="360" w:lineRule="auto"/>
            </w:pPr>
          </w:p>
        </w:tc>
        <w:tc>
          <w:tcPr>
            <w:tcW w:w="1269" w:type="dxa"/>
            <w:vAlign w:val="center"/>
            <w:hideMark/>
          </w:tcPr>
          <w:p w:rsidR="000E2C37" w:rsidRPr="0041038B" w:rsidRDefault="000E2C37" w:rsidP="00CB002E">
            <w:pPr>
              <w:spacing w:line="360" w:lineRule="auto"/>
            </w:pP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Material consumed</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Manufacturing expenses </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r>
      <w:tr w:rsidR="000E2C37" w:rsidRPr="0047351B" w:rsidTr="00DF575C">
        <w:trPr>
          <w:trHeight w:val="414"/>
        </w:trPr>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Personnel expenses</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2,816.93</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1,925.79</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1,971.70</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2,078.90</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1,616.75</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Selling expenses</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305.79</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236.28</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669.21</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1,750.60</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1,741.63</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Administrative expenses</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4,909.00</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7,440.42</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7,475.63</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6,447.32</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4,946.69</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Expenses capitalized</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Cost of sales</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8,031.72</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9,602.49</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10,116.54</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10,276.82</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8,305.07</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Operating profit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7,380.82</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5,552.30</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5,407.91</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5,706.85</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3,793.56</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Other recurring income</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7.26</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305.36</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330.64</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65.58</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309.17</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Adjusted PBDIT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7,388.08</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5,857.66</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5,738.55</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5,772.43</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ind w:left="-15" w:firstLine="15"/>
              <w:jc w:val="right"/>
            </w:pPr>
            <w:r w:rsidRPr="0041038B">
              <w:t>4,102.73</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Financial expenses</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16,957.15</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17,592.57</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22,725.93</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23,484.24</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16,358.50</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Depreciation </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562.44</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619.50</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678.60</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578.35</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544.78</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Other write offs</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Adjusted PBT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-10,131.51</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-12,354.42</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-17,665.98</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5,194.08</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3,557.95</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Tax charges </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1,609.33</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1,600.78</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1,830.51</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1,611.73</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984.25</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Adjusted PAT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5,110.21</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3,890.47</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3,740.62</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4,092.12</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2,995.00</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Nonrecurring items</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41.17</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134.52</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17.51</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65.61</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115.22</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lastRenderedPageBreak/>
              <w:t xml:space="preserve">Other </w:t>
            </w:r>
            <w:proofErr w:type="spellStart"/>
            <w:r w:rsidRPr="0041038B">
              <w:t>non cash</w:t>
            </w:r>
            <w:proofErr w:type="spellEnd"/>
            <w:r w:rsidRPr="0041038B">
              <w:t xml:space="preserve"> adjustments</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-2.17</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-0.58</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Reported net profit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5,149.21</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4,024.98</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3,757.55</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4,157.73</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3,110.22</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Earnings before appropriation</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8,613.59</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6,834.63</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6,193.87</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5,156.00</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3,403.66</w:t>
            </w:r>
          </w:p>
        </w:tc>
      </w:tr>
      <w:tr w:rsidR="000E2C37" w:rsidRPr="0047351B" w:rsidTr="00DF575C">
        <w:tc>
          <w:tcPr>
            <w:tcW w:w="2790" w:type="dxa"/>
            <w:tcBorders>
              <w:bottom w:val="single" w:sz="6" w:space="0" w:color="E5E5E5"/>
            </w:tcBorders>
            <w:shd w:val="clear" w:color="auto" w:fill="E5F5F5"/>
            <w:tcMar>
              <w:top w:w="90" w:type="dxa"/>
              <w:left w:w="90" w:type="dxa"/>
              <w:bottom w:w="90" w:type="dxa"/>
              <w:right w:w="90" w:type="dxa"/>
            </w:tcMar>
            <w:vAlign w:val="bottom"/>
            <w:hideMark/>
          </w:tcPr>
          <w:p w:rsidR="000E2C37" w:rsidRPr="0041038B" w:rsidRDefault="000E2C37" w:rsidP="00CB002E">
            <w:pPr>
              <w:spacing w:line="360" w:lineRule="auto"/>
            </w:pPr>
            <w:r w:rsidRPr="0041038B">
              <w:t>Equity dividend</w:t>
            </w:r>
          </w:p>
        </w:tc>
        <w:tc>
          <w:tcPr>
            <w:tcW w:w="0" w:type="auto"/>
            <w:tcBorders>
              <w:bottom w:val="single" w:sz="6" w:space="0" w:color="E5E5E5"/>
            </w:tcBorders>
            <w:shd w:val="clear" w:color="auto" w:fill="E5F5F5"/>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1,612.58</w:t>
            </w:r>
          </w:p>
        </w:tc>
        <w:tc>
          <w:tcPr>
            <w:tcW w:w="0" w:type="auto"/>
            <w:tcBorders>
              <w:bottom w:val="single" w:sz="6" w:space="0" w:color="E5E5E5"/>
            </w:tcBorders>
            <w:shd w:val="clear" w:color="auto" w:fill="E5F5F5"/>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1,337.95</w:t>
            </w:r>
          </w:p>
        </w:tc>
        <w:tc>
          <w:tcPr>
            <w:tcW w:w="0" w:type="auto"/>
            <w:tcBorders>
              <w:bottom w:val="single" w:sz="6" w:space="0" w:color="E5E5E5"/>
            </w:tcBorders>
            <w:shd w:val="clear" w:color="auto" w:fill="E5F5F5"/>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1,224.58</w:t>
            </w:r>
          </w:p>
        </w:tc>
        <w:tc>
          <w:tcPr>
            <w:tcW w:w="0" w:type="auto"/>
            <w:tcBorders>
              <w:bottom w:val="single" w:sz="6" w:space="0" w:color="E5E5E5"/>
            </w:tcBorders>
            <w:shd w:val="clear" w:color="auto" w:fill="E5F5F5"/>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1,227.70</w:t>
            </w:r>
          </w:p>
        </w:tc>
        <w:tc>
          <w:tcPr>
            <w:tcW w:w="1269" w:type="dxa"/>
            <w:tcBorders>
              <w:bottom w:val="single" w:sz="6" w:space="0" w:color="E5E5E5"/>
            </w:tcBorders>
            <w:shd w:val="clear" w:color="auto" w:fill="E5F5F5"/>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901.17</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Preference dividend</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Dividend tax</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202.28</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164.04</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151.21</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149.67</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153.10</w:t>
            </w:r>
          </w:p>
        </w:tc>
      </w:tr>
      <w:tr w:rsidR="000E2C37" w:rsidRPr="0047351B" w:rsidTr="00DF575C">
        <w:tc>
          <w:tcPr>
            <w:tcW w:w="279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Retained earnings</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6,798.73</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5,332.63</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4,818.07</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3,778.63</w:t>
            </w:r>
          </w:p>
        </w:tc>
        <w:tc>
          <w:tcPr>
            <w:tcW w:w="1269"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2,349.39</w:t>
            </w:r>
          </w:p>
        </w:tc>
      </w:tr>
    </w:tbl>
    <w:p w:rsidR="000E2C37" w:rsidRPr="0047351B" w:rsidRDefault="000E2C37" w:rsidP="000E2C37">
      <w:pPr>
        <w:pStyle w:val="Heading2"/>
        <w:spacing w:before="0" w:beforeAutospacing="0" w:after="0" w:afterAutospacing="0" w:line="360" w:lineRule="auto"/>
        <w:rPr>
          <w:color w:val="000000"/>
          <w:sz w:val="23"/>
          <w:szCs w:val="23"/>
          <w:shd w:val="clear" w:color="auto" w:fill="FFFFFF"/>
        </w:rPr>
      </w:pPr>
    </w:p>
    <w:p w:rsidR="001B4107" w:rsidRPr="0047351B" w:rsidRDefault="001B4107" w:rsidP="001B4107">
      <w:pPr>
        <w:pStyle w:val="Heading2"/>
        <w:spacing w:before="0" w:beforeAutospacing="0" w:after="0" w:afterAutospacing="0" w:line="360" w:lineRule="auto"/>
        <w:rPr>
          <w:color w:val="000000"/>
          <w:sz w:val="23"/>
          <w:szCs w:val="23"/>
          <w:shd w:val="clear" w:color="auto" w:fill="FFFFFF"/>
        </w:rPr>
      </w:pPr>
    </w:p>
    <w:p w:rsidR="00DF575C" w:rsidRDefault="00DF575C">
      <w:pPr>
        <w:rPr>
          <w:b/>
          <w:bCs/>
          <w:color w:val="252525"/>
          <w:sz w:val="31"/>
          <w:szCs w:val="31"/>
          <w:shd w:val="clear" w:color="auto" w:fill="FFFFFF"/>
        </w:rPr>
      </w:pPr>
      <w:r>
        <w:rPr>
          <w:color w:val="252525"/>
          <w:sz w:val="31"/>
          <w:szCs w:val="31"/>
          <w:shd w:val="clear" w:color="auto" w:fill="FFFFFF"/>
        </w:rPr>
        <w:br w:type="page"/>
      </w:r>
    </w:p>
    <w:p w:rsidR="000E2C37" w:rsidRDefault="000E2C37" w:rsidP="00DF575C">
      <w:pPr>
        <w:pStyle w:val="Heading2"/>
        <w:spacing w:before="0" w:beforeAutospacing="0" w:after="0" w:afterAutospacing="0" w:line="360" w:lineRule="auto"/>
        <w:jc w:val="center"/>
        <w:rPr>
          <w:color w:val="252525"/>
          <w:sz w:val="32"/>
          <w:szCs w:val="32"/>
          <w:shd w:val="clear" w:color="auto" w:fill="FFFFFF"/>
        </w:rPr>
      </w:pPr>
      <w:r w:rsidRPr="00DF575C">
        <w:rPr>
          <w:color w:val="252525"/>
          <w:sz w:val="32"/>
          <w:szCs w:val="32"/>
          <w:shd w:val="clear" w:color="auto" w:fill="FFFFFF"/>
        </w:rPr>
        <w:lastRenderedPageBreak/>
        <w:t>Cash Flow</w:t>
      </w:r>
    </w:p>
    <w:p w:rsidR="00DF575C" w:rsidRPr="00DF575C" w:rsidRDefault="00DF575C" w:rsidP="00DF575C">
      <w:pPr>
        <w:pStyle w:val="Heading2"/>
        <w:spacing w:before="0" w:beforeAutospacing="0" w:after="0" w:afterAutospacing="0" w:line="360" w:lineRule="auto"/>
        <w:jc w:val="center"/>
        <w:rPr>
          <w:color w:val="252525"/>
          <w:sz w:val="32"/>
          <w:szCs w:val="32"/>
          <w:shd w:val="clear" w:color="auto" w:fill="FFFFFF"/>
        </w:rPr>
      </w:pPr>
    </w:p>
    <w:tbl>
      <w:tblPr>
        <w:tblW w:w="9741" w:type="dxa"/>
        <w:tblInd w:w="-90" w:type="dxa"/>
        <w:tblCellMar>
          <w:top w:w="15" w:type="dxa"/>
          <w:left w:w="15" w:type="dxa"/>
          <w:bottom w:w="15" w:type="dxa"/>
          <w:right w:w="15" w:type="dxa"/>
        </w:tblCellMar>
        <w:tblLook w:val="04A0" w:firstRow="1" w:lastRow="0" w:firstColumn="1" w:lastColumn="0" w:noHBand="0" w:noVBand="1"/>
      </w:tblPr>
      <w:tblGrid>
        <w:gridCol w:w="3330"/>
        <w:gridCol w:w="1230"/>
        <w:gridCol w:w="1230"/>
        <w:gridCol w:w="1317"/>
        <w:gridCol w:w="1317"/>
        <w:gridCol w:w="1317"/>
      </w:tblGrid>
      <w:tr w:rsidR="000E2C37" w:rsidRPr="0047351B" w:rsidTr="00393C15">
        <w:trPr>
          <w:tblHeader/>
        </w:trPr>
        <w:tc>
          <w:tcPr>
            <w:tcW w:w="3330" w:type="dxa"/>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0E2C37" w:rsidP="00CB002E">
            <w:pPr>
              <w:spacing w:line="360" w:lineRule="auto"/>
              <w:rPr>
                <w:b/>
                <w:bCs/>
              </w:rPr>
            </w:pPr>
            <w:r w:rsidRPr="0041038B">
              <w:rPr>
                <w:b/>
                <w:bCs/>
              </w:rPr>
              <w:t> </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24183B" w:rsidP="00CB002E">
            <w:pPr>
              <w:spacing w:line="360" w:lineRule="auto"/>
              <w:jc w:val="right"/>
              <w:rPr>
                <w:b/>
                <w:bCs/>
              </w:rPr>
            </w:pPr>
            <w:r>
              <w:rPr>
                <w:b/>
                <w:bCs/>
              </w:rPr>
              <w:t>Mar ‘ 14</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24183B" w:rsidP="00CB002E">
            <w:pPr>
              <w:spacing w:line="360" w:lineRule="auto"/>
              <w:jc w:val="right"/>
              <w:rPr>
                <w:b/>
                <w:bCs/>
              </w:rPr>
            </w:pPr>
            <w:r>
              <w:rPr>
                <w:b/>
                <w:bCs/>
              </w:rPr>
              <w:t>Mar ‘ 13</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24183B" w:rsidP="00CB002E">
            <w:pPr>
              <w:spacing w:line="360" w:lineRule="auto"/>
              <w:jc w:val="right"/>
              <w:rPr>
                <w:b/>
                <w:bCs/>
              </w:rPr>
            </w:pPr>
            <w:r>
              <w:rPr>
                <w:b/>
                <w:bCs/>
              </w:rPr>
              <w:t>Mar ‘ 12</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24183B" w:rsidP="00CB002E">
            <w:pPr>
              <w:spacing w:line="360" w:lineRule="auto"/>
              <w:jc w:val="right"/>
              <w:rPr>
                <w:b/>
                <w:bCs/>
              </w:rPr>
            </w:pPr>
            <w:r>
              <w:rPr>
                <w:b/>
                <w:bCs/>
              </w:rPr>
              <w:t>Mar ‘ 11</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0E2C37" w:rsidRPr="0041038B" w:rsidRDefault="0024183B" w:rsidP="00CB002E">
            <w:pPr>
              <w:spacing w:line="360" w:lineRule="auto"/>
              <w:jc w:val="right"/>
              <w:rPr>
                <w:b/>
                <w:bCs/>
              </w:rPr>
            </w:pPr>
            <w:r>
              <w:rPr>
                <w:b/>
                <w:bCs/>
              </w:rPr>
              <w:t>Mar ‘ 10</w:t>
            </w:r>
          </w:p>
        </w:tc>
      </w:tr>
      <w:tr w:rsidR="000E2C37" w:rsidRPr="0047351B" w:rsidTr="00393C15">
        <w:tc>
          <w:tcPr>
            <w:tcW w:w="333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Profit before tax</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ind w:left="-270" w:firstLine="270"/>
              <w:jc w:val="right"/>
            </w:pPr>
            <w:r w:rsidRPr="0041038B">
              <w:t>6,760.70</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5,345.32</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5,116.97</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5,056.10</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3,648.04</w:t>
            </w:r>
          </w:p>
        </w:tc>
      </w:tr>
      <w:tr w:rsidR="000E2C37" w:rsidRPr="0047351B" w:rsidTr="00393C15">
        <w:tc>
          <w:tcPr>
            <w:tcW w:w="333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Net cash flow-operating activity</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-6,908.92</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1,869.21</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-14,188.49</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-11,631.15</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23,061.95</w:t>
            </w:r>
          </w:p>
        </w:tc>
      </w:tr>
      <w:tr w:rsidR="000E2C37" w:rsidRPr="0047351B" w:rsidTr="00393C15">
        <w:tc>
          <w:tcPr>
            <w:tcW w:w="333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Net cash used in investing activity</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-2,108.82</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6,150.73</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3,857.88</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-17,561.11</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-18,362.67</w:t>
            </w:r>
          </w:p>
        </w:tc>
      </w:tr>
      <w:tr w:rsidR="000E2C37" w:rsidRPr="0047351B" w:rsidTr="00393C15">
        <w:tc>
          <w:tcPr>
            <w:tcW w:w="333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Net cash used in fin. Activity</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4,283.20</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1,382.62</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1,625.36</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29,964.82</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15,414.58</w:t>
            </w:r>
          </w:p>
        </w:tc>
      </w:tr>
      <w:tr w:rsidR="000E2C37" w:rsidRPr="0047351B" w:rsidTr="00393C15">
        <w:tc>
          <w:tcPr>
            <w:tcW w:w="333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 xml:space="preserve">Net </w:t>
            </w:r>
            <w:proofErr w:type="spellStart"/>
            <w:r w:rsidRPr="0041038B">
              <w:t>inc</w:t>
            </w:r>
            <w:proofErr w:type="spellEnd"/>
            <w:r w:rsidRPr="0041038B">
              <w:t>/</w:t>
            </w:r>
            <w:proofErr w:type="spellStart"/>
            <w:r w:rsidRPr="0041038B">
              <w:t>dec</w:t>
            </w:r>
            <w:proofErr w:type="spellEnd"/>
            <w:r w:rsidRPr="0041038B">
              <w:t xml:space="preserve"> in cash and equivalent</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-4,783.61</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8,907.13</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-8,074.57</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683.55</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20,081.10</w:t>
            </w:r>
          </w:p>
        </w:tc>
      </w:tr>
      <w:tr w:rsidR="000E2C37" w:rsidRPr="0047351B" w:rsidTr="00393C15">
        <w:tc>
          <w:tcPr>
            <w:tcW w:w="333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Cash and equivalent begin of year</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38,873.69</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29,966.56</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38,041.13</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37,357.58</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17,040.22</w:t>
            </w:r>
          </w:p>
        </w:tc>
      </w:tr>
      <w:tr w:rsidR="000E2C37" w:rsidRPr="0047351B" w:rsidTr="00393C15">
        <w:tc>
          <w:tcPr>
            <w:tcW w:w="3330" w:type="dxa"/>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pPr>
            <w:r w:rsidRPr="0041038B">
              <w:t>Cash and equivalent end of year</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34,090.08</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38,873.69</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29,966.56</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38,041.13</w:t>
            </w:r>
          </w:p>
        </w:tc>
        <w:tc>
          <w:tcPr>
            <w:tcW w:w="0" w:type="auto"/>
            <w:tcBorders>
              <w:bottom w:val="single" w:sz="6" w:space="0" w:color="E5E5E5"/>
            </w:tcBorders>
            <w:tcMar>
              <w:top w:w="90" w:type="dxa"/>
              <w:left w:w="90" w:type="dxa"/>
              <w:bottom w:w="90" w:type="dxa"/>
              <w:right w:w="90" w:type="dxa"/>
            </w:tcMar>
            <w:vAlign w:val="bottom"/>
            <w:hideMark/>
          </w:tcPr>
          <w:p w:rsidR="000E2C37" w:rsidRPr="0041038B" w:rsidRDefault="000E2C37" w:rsidP="00CB002E">
            <w:pPr>
              <w:spacing w:line="360" w:lineRule="auto"/>
              <w:jc w:val="right"/>
            </w:pPr>
            <w:r w:rsidRPr="0041038B">
              <w:t>37,121.32</w:t>
            </w:r>
          </w:p>
        </w:tc>
      </w:tr>
    </w:tbl>
    <w:p w:rsidR="000E2C37" w:rsidRPr="0047351B" w:rsidRDefault="000E2C37" w:rsidP="000E2C37">
      <w:pPr>
        <w:pStyle w:val="Heading2"/>
        <w:tabs>
          <w:tab w:val="left" w:pos="0"/>
        </w:tabs>
        <w:spacing w:before="0" w:beforeAutospacing="0" w:after="0" w:afterAutospacing="0" w:line="360" w:lineRule="auto"/>
        <w:ind w:left="-180" w:firstLine="180"/>
        <w:rPr>
          <w:color w:val="000000"/>
          <w:sz w:val="23"/>
          <w:szCs w:val="23"/>
          <w:shd w:val="clear" w:color="auto" w:fill="FFFFFF"/>
        </w:rPr>
      </w:pPr>
    </w:p>
    <w:p w:rsidR="000E2C37" w:rsidRPr="0047351B" w:rsidRDefault="000E2C37" w:rsidP="000E2C37">
      <w:pPr>
        <w:pStyle w:val="Heading2"/>
        <w:tabs>
          <w:tab w:val="left" w:pos="0"/>
        </w:tabs>
        <w:spacing w:before="0" w:beforeAutospacing="0" w:after="0" w:afterAutospacing="0" w:line="360" w:lineRule="auto"/>
        <w:ind w:left="-180" w:firstLine="180"/>
        <w:rPr>
          <w:color w:val="000000"/>
          <w:sz w:val="23"/>
          <w:szCs w:val="23"/>
          <w:shd w:val="clear" w:color="auto" w:fill="FFFFFF"/>
        </w:rPr>
      </w:pPr>
    </w:p>
    <w:p w:rsidR="000E2C37" w:rsidRPr="0047351B" w:rsidRDefault="000E2C37" w:rsidP="000E2C37">
      <w:pPr>
        <w:pStyle w:val="Heading2"/>
        <w:tabs>
          <w:tab w:val="left" w:pos="0"/>
        </w:tabs>
        <w:spacing w:before="0" w:beforeAutospacing="0" w:after="0" w:afterAutospacing="0" w:line="360" w:lineRule="auto"/>
        <w:ind w:left="-180" w:firstLine="180"/>
        <w:jc w:val="center"/>
        <w:rPr>
          <w:color w:val="000000"/>
          <w:sz w:val="31"/>
          <w:szCs w:val="31"/>
        </w:rPr>
      </w:pPr>
      <w:r w:rsidRPr="0047351B">
        <w:rPr>
          <w:color w:val="000000"/>
          <w:sz w:val="23"/>
          <w:szCs w:val="23"/>
          <w:shd w:val="clear" w:color="auto" w:fill="FFFFFF"/>
        </w:rPr>
        <w:br w:type="page"/>
      </w:r>
      <w:r w:rsidRPr="0047351B">
        <w:rPr>
          <w:color w:val="000000"/>
          <w:sz w:val="31"/>
          <w:szCs w:val="31"/>
        </w:rPr>
        <w:lastRenderedPageBreak/>
        <w:t>BALANCE SHEET</w:t>
      </w:r>
    </w:p>
    <w:p w:rsidR="000E2C37" w:rsidRPr="0047351B" w:rsidRDefault="000E2C37" w:rsidP="000E2C37">
      <w:pPr>
        <w:pStyle w:val="Heading2"/>
        <w:tabs>
          <w:tab w:val="left" w:pos="0"/>
        </w:tabs>
        <w:spacing w:before="0" w:beforeAutospacing="0" w:after="0" w:afterAutospacing="0" w:line="360" w:lineRule="auto"/>
        <w:ind w:left="-180" w:firstLine="180"/>
        <w:jc w:val="center"/>
        <w:rPr>
          <w:color w:val="000000"/>
          <w:sz w:val="38"/>
          <w:szCs w:val="38"/>
          <w:u w:val="single"/>
        </w:rPr>
      </w:pPr>
    </w:p>
    <w:tbl>
      <w:tblPr>
        <w:tblW w:w="9630" w:type="dxa"/>
        <w:tblCellSpacing w:w="0" w:type="dxa"/>
        <w:tblInd w:w="-45" w:type="dxa"/>
        <w:shd w:val="clear" w:color="auto" w:fill="FFFFFF"/>
        <w:tblCellMar>
          <w:left w:w="0" w:type="dxa"/>
          <w:right w:w="0" w:type="dxa"/>
        </w:tblCellMar>
        <w:tblLook w:val="04A0" w:firstRow="1" w:lastRow="0" w:firstColumn="1" w:lastColumn="0" w:noHBand="0" w:noVBand="1"/>
      </w:tblPr>
      <w:tblGrid>
        <w:gridCol w:w="3240"/>
        <w:gridCol w:w="6390"/>
      </w:tblGrid>
      <w:tr w:rsidR="000E2C37" w:rsidRPr="00DF575C" w:rsidTr="00496719">
        <w:trPr>
          <w:trHeight w:val="375"/>
          <w:tblCellSpacing w:w="0" w:type="dxa"/>
        </w:trPr>
        <w:tc>
          <w:tcPr>
            <w:tcW w:w="1682" w:type="pct"/>
            <w:shd w:val="clear" w:color="auto" w:fill="E8EBEF"/>
            <w:tcMar>
              <w:top w:w="30" w:type="dxa"/>
              <w:left w:w="45" w:type="dxa"/>
              <w:bottom w:w="30" w:type="dxa"/>
              <w:right w:w="45" w:type="dxa"/>
            </w:tcMar>
            <w:vAlign w:val="center"/>
            <w:hideMark/>
          </w:tcPr>
          <w:p w:rsidR="000E2C37" w:rsidRPr="00DF575C" w:rsidRDefault="000E2C37" w:rsidP="00CB002E">
            <w:pPr>
              <w:shd w:val="clear" w:color="auto" w:fill="E8EBEF"/>
              <w:spacing w:line="360" w:lineRule="auto"/>
              <w:ind w:left="315" w:hanging="315"/>
              <w:outlineLvl w:val="1"/>
              <w:rPr>
                <w:b/>
                <w:bCs/>
                <w:color w:val="000000"/>
              </w:rPr>
            </w:pPr>
            <w:r w:rsidRPr="00DF575C">
              <w:rPr>
                <w:b/>
                <w:bCs/>
                <w:color w:val="000000"/>
              </w:rPr>
              <w:t>Balance Sheet of ICICI Bank</w:t>
            </w:r>
          </w:p>
        </w:tc>
        <w:tc>
          <w:tcPr>
            <w:tcW w:w="3318" w:type="pct"/>
            <w:shd w:val="clear" w:color="auto" w:fill="E8EBEF"/>
            <w:tcMar>
              <w:top w:w="30" w:type="dxa"/>
              <w:left w:w="45" w:type="dxa"/>
              <w:bottom w:w="30" w:type="dxa"/>
              <w:right w:w="45" w:type="dxa"/>
            </w:tcMar>
            <w:vAlign w:val="center"/>
            <w:hideMark/>
          </w:tcPr>
          <w:p w:rsidR="000E2C37" w:rsidRPr="00DF575C" w:rsidRDefault="000E2C37" w:rsidP="00B55EA8">
            <w:pPr>
              <w:spacing w:line="360" w:lineRule="auto"/>
              <w:ind w:left="-135" w:firstLine="135"/>
              <w:jc w:val="center"/>
              <w:rPr>
                <w:b/>
                <w:bCs/>
                <w:color w:val="000000"/>
              </w:rPr>
            </w:pPr>
            <w:r w:rsidRPr="00DF575C">
              <w:rPr>
                <w:b/>
                <w:bCs/>
                <w:color w:val="000000"/>
              </w:rPr>
              <w:t>------------------- in Rs. Cr. -------------------</w:t>
            </w:r>
          </w:p>
        </w:tc>
      </w:tr>
    </w:tbl>
    <w:p w:rsidR="000E2C37" w:rsidRPr="00DF575C" w:rsidRDefault="000E2C37" w:rsidP="000E2C37">
      <w:pPr>
        <w:spacing w:line="360" w:lineRule="auto"/>
        <w:rPr>
          <w:vanish/>
          <w:color w:val="303030"/>
        </w:rPr>
      </w:pPr>
    </w:p>
    <w:tbl>
      <w:tblPr>
        <w:tblW w:w="10202" w:type="dxa"/>
        <w:tblCellSpacing w:w="0" w:type="dxa"/>
        <w:tblInd w:w="-45" w:type="dxa"/>
        <w:shd w:val="clear" w:color="auto" w:fill="FFFFFF"/>
        <w:tblCellMar>
          <w:left w:w="0" w:type="dxa"/>
          <w:right w:w="0" w:type="dxa"/>
        </w:tblCellMar>
        <w:tblLook w:val="04A0" w:firstRow="1" w:lastRow="0" w:firstColumn="1" w:lastColumn="0" w:noHBand="0" w:noVBand="1"/>
      </w:tblPr>
      <w:tblGrid>
        <w:gridCol w:w="3062"/>
        <w:gridCol w:w="482"/>
        <w:gridCol w:w="206"/>
        <w:gridCol w:w="572"/>
        <w:gridCol w:w="359"/>
        <w:gridCol w:w="861"/>
        <w:gridCol w:w="373"/>
        <w:gridCol w:w="192"/>
        <w:gridCol w:w="628"/>
        <w:gridCol w:w="437"/>
        <w:gridCol w:w="82"/>
        <w:gridCol w:w="698"/>
        <w:gridCol w:w="479"/>
        <w:gridCol w:w="27"/>
        <w:gridCol w:w="263"/>
        <w:gridCol w:w="214"/>
        <w:gridCol w:w="214"/>
        <w:gridCol w:w="214"/>
        <w:gridCol w:w="247"/>
        <w:gridCol w:w="8"/>
        <w:gridCol w:w="8"/>
        <w:gridCol w:w="6"/>
        <w:gridCol w:w="6"/>
        <w:gridCol w:w="6"/>
        <w:gridCol w:w="14"/>
        <w:gridCol w:w="12"/>
        <w:gridCol w:w="6"/>
        <w:gridCol w:w="6"/>
        <w:gridCol w:w="6"/>
        <w:gridCol w:w="6"/>
        <w:gridCol w:w="6"/>
        <w:gridCol w:w="29"/>
        <w:gridCol w:w="6"/>
        <w:gridCol w:w="151"/>
        <w:gridCol w:w="171"/>
        <w:gridCol w:w="145"/>
      </w:tblGrid>
      <w:tr w:rsidR="00496719" w:rsidRPr="00DF575C" w:rsidTr="00496719">
        <w:trPr>
          <w:gridAfter w:val="17"/>
          <w:wAfter w:w="292" w:type="pct"/>
          <w:tblCellSpacing w:w="0" w:type="dxa"/>
        </w:trPr>
        <w:tc>
          <w:tcPr>
            <w:tcW w:w="1500" w:type="pct"/>
            <w:shd w:val="clear" w:color="auto" w:fill="FFFFFF"/>
            <w:tcMar>
              <w:top w:w="30" w:type="dxa"/>
              <w:left w:w="45" w:type="dxa"/>
              <w:bottom w:w="30" w:type="dxa"/>
              <w:right w:w="45" w:type="dxa"/>
            </w:tcMar>
            <w:vAlign w:val="center"/>
            <w:hideMark/>
          </w:tcPr>
          <w:p w:rsidR="000E2C37" w:rsidRDefault="000E2C37" w:rsidP="00496719">
            <w:pPr>
              <w:spacing w:line="360" w:lineRule="auto"/>
              <w:rPr>
                <w:b/>
                <w:bCs/>
              </w:rPr>
            </w:pPr>
          </w:p>
          <w:p w:rsidR="00DF575C" w:rsidRPr="00DF575C" w:rsidRDefault="00DF575C" w:rsidP="00496719">
            <w:pPr>
              <w:spacing w:line="360" w:lineRule="auto"/>
              <w:rPr>
                <w:b/>
                <w:bCs/>
              </w:rPr>
            </w:pP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BC4478">
            <w:pPr>
              <w:spacing w:line="360" w:lineRule="auto"/>
              <w:jc w:val="right"/>
              <w:rPr>
                <w:b/>
                <w:bCs/>
              </w:rPr>
            </w:pPr>
            <w:r w:rsidRPr="00DF575C">
              <w:rPr>
                <w:b/>
                <w:bCs/>
              </w:rPr>
              <w:t>Mar '1</w:t>
            </w:r>
            <w:r w:rsidR="00BC4478">
              <w:rPr>
                <w:b/>
                <w:bCs/>
              </w:rPr>
              <w:t>4</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Mar '1</w:t>
            </w:r>
            <w:r w:rsidR="00BC4478">
              <w:rPr>
                <w:b/>
                <w:bCs/>
              </w:rPr>
              <w:t>3</w:t>
            </w:r>
          </w:p>
        </w:tc>
        <w:tc>
          <w:tcPr>
            <w:tcW w:w="616" w:type="pct"/>
            <w:gridSpan w:val="3"/>
            <w:shd w:val="clear" w:color="auto" w:fill="FFFFFF"/>
            <w:tcMar>
              <w:top w:w="30" w:type="dxa"/>
              <w:left w:w="45" w:type="dxa"/>
              <w:bottom w:w="30" w:type="dxa"/>
              <w:right w:w="45" w:type="dxa"/>
            </w:tcMar>
            <w:vAlign w:val="center"/>
            <w:hideMark/>
          </w:tcPr>
          <w:p w:rsidR="000E2C37" w:rsidRPr="00DF575C" w:rsidRDefault="00BC4478" w:rsidP="00496719">
            <w:pPr>
              <w:spacing w:line="360" w:lineRule="auto"/>
              <w:jc w:val="right"/>
              <w:rPr>
                <w:b/>
                <w:bCs/>
              </w:rPr>
            </w:pPr>
            <w:r>
              <w:rPr>
                <w:b/>
                <w:bCs/>
              </w:rPr>
              <w:t>Mar '12</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Mar '</w:t>
            </w:r>
            <w:r w:rsidR="00BC4478">
              <w:rPr>
                <w:b/>
                <w:bCs/>
              </w:rPr>
              <w:t>11</w:t>
            </w:r>
          </w:p>
        </w:tc>
        <w:tc>
          <w:tcPr>
            <w:tcW w:w="578" w:type="pct"/>
            <w:gridSpan w:val="6"/>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Mar '</w:t>
            </w:r>
            <w:r w:rsidR="00BC4478">
              <w:rPr>
                <w:b/>
                <w:bCs/>
              </w:rPr>
              <w:t>10</w:t>
            </w:r>
          </w:p>
        </w:tc>
      </w:tr>
      <w:tr w:rsidR="000E2C37" w:rsidRPr="00DF575C" w:rsidTr="00496719">
        <w:trPr>
          <w:gridAfter w:val="17"/>
          <w:wAfter w:w="292" w:type="pct"/>
          <w:tblCellSpacing w:w="0" w:type="dxa"/>
        </w:trPr>
        <w:tc>
          <w:tcPr>
            <w:tcW w:w="4708" w:type="pct"/>
            <w:gridSpan w:val="19"/>
            <w:shd w:val="clear" w:color="auto" w:fill="E8EBEF"/>
            <w:tcMar>
              <w:top w:w="30" w:type="dxa"/>
              <w:left w:w="45" w:type="dxa"/>
              <w:bottom w:w="30" w:type="dxa"/>
              <w:right w:w="45" w:type="dxa"/>
            </w:tcMar>
            <w:vAlign w:val="center"/>
            <w:hideMark/>
          </w:tcPr>
          <w:p w:rsidR="000E2C37" w:rsidRPr="00DF575C" w:rsidRDefault="000E2C37" w:rsidP="00496719">
            <w:pPr>
              <w:spacing w:line="360" w:lineRule="auto"/>
              <w:rPr>
                <w:b/>
                <w:bCs/>
              </w:rPr>
            </w:pPr>
            <w:r w:rsidRPr="00DF575C">
              <w:rPr>
                <w:b/>
                <w:bCs/>
                <w:noProof/>
              </w:rPr>
              <w:drawing>
                <wp:inline distT="0" distB="0" distL="0" distR="0" wp14:anchorId="2200A479" wp14:editId="0DB284A3">
                  <wp:extent cx="76200" cy="76200"/>
                  <wp:effectExtent l="0" t="0" r="0" b="0"/>
                  <wp:docPr id="2" name="Picture 3" descr="http://img1.moneycontrol.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moneycontrol.com/images/blank.gif"/>
                          <pic:cNvPicPr>
                            <a:picLocks noChangeAspect="1" noChangeArrowheads="1"/>
                          </pic:cNvPicPr>
                        </pic:nvPicPr>
                        <pic:blipFill>
                          <a:blip r:embed="rId10"/>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496719" w:rsidRPr="00DF575C" w:rsidTr="00496719">
        <w:trPr>
          <w:gridAfter w:val="12"/>
          <w:wAfter w:w="274"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pP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 xml:space="preserve">12 </w:t>
            </w:r>
            <w:proofErr w:type="spellStart"/>
            <w:r w:rsidRPr="00DF575C">
              <w:t>mths</w:t>
            </w:r>
            <w:proofErr w:type="spellEnd"/>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 xml:space="preserve">12 </w:t>
            </w:r>
            <w:proofErr w:type="spellStart"/>
            <w:r w:rsidRPr="00DF575C">
              <w:t>mths</w:t>
            </w:r>
            <w:proofErr w:type="spellEnd"/>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 xml:space="preserve">12 </w:t>
            </w:r>
            <w:proofErr w:type="spellStart"/>
            <w:r w:rsidRPr="00DF575C">
              <w:t>mths</w:t>
            </w:r>
            <w:proofErr w:type="spellEnd"/>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 xml:space="preserve">12 </w:t>
            </w:r>
            <w:proofErr w:type="spellStart"/>
            <w:r w:rsidRPr="00DF575C">
              <w:t>mths</w:t>
            </w:r>
            <w:proofErr w:type="spellEnd"/>
          </w:p>
        </w:tc>
        <w:tc>
          <w:tcPr>
            <w:tcW w:w="578" w:type="pct"/>
            <w:gridSpan w:val="6"/>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 xml:space="preserve">12 </w:t>
            </w:r>
            <w:proofErr w:type="spellStart"/>
            <w:r w:rsidRPr="00DF575C">
              <w:t>mths</w:t>
            </w:r>
            <w:proofErr w:type="spellEnd"/>
          </w:p>
        </w:tc>
        <w:tc>
          <w:tcPr>
            <w:tcW w:w="4" w:type="pct"/>
            <w:shd w:val="clear" w:color="auto" w:fill="FFFFFF"/>
            <w:vAlign w:val="center"/>
            <w:hideMark/>
          </w:tcPr>
          <w:p w:rsidR="000E2C37" w:rsidRPr="00DF575C" w:rsidRDefault="000E2C37" w:rsidP="00496719">
            <w:pPr>
              <w:spacing w:line="360" w:lineRule="auto"/>
            </w:pPr>
          </w:p>
        </w:tc>
        <w:tc>
          <w:tcPr>
            <w:tcW w:w="4"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r w:rsidR="000E2C37" w:rsidRPr="00DF575C" w:rsidTr="00496719">
        <w:trPr>
          <w:gridAfter w:val="17"/>
          <w:wAfter w:w="292" w:type="pct"/>
          <w:tblCellSpacing w:w="0" w:type="dxa"/>
        </w:trPr>
        <w:tc>
          <w:tcPr>
            <w:tcW w:w="4708" w:type="pct"/>
            <w:gridSpan w:val="19"/>
            <w:shd w:val="clear" w:color="auto" w:fill="E8EBEF"/>
            <w:tcMar>
              <w:top w:w="30" w:type="dxa"/>
              <w:left w:w="45" w:type="dxa"/>
              <w:bottom w:w="30" w:type="dxa"/>
              <w:right w:w="45" w:type="dxa"/>
            </w:tcMar>
            <w:vAlign w:val="center"/>
            <w:hideMark/>
          </w:tcPr>
          <w:p w:rsidR="000E2C37" w:rsidRPr="00DF575C" w:rsidRDefault="000E2C37" w:rsidP="00496719">
            <w:pPr>
              <w:spacing w:line="360" w:lineRule="auto"/>
              <w:rPr>
                <w:b/>
                <w:bCs/>
              </w:rPr>
            </w:pPr>
            <w:r w:rsidRPr="00DF575C">
              <w:rPr>
                <w:b/>
                <w:bCs/>
                <w:noProof/>
              </w:rPr>
              <w:drawing>
                <wp:inline distT="0" distB="0" distL="0" distR="0" wp14:anchorId="14970A0E" wp14:editId="01696E57">
                  <wp:extent cx="76200" cy="76200"/>
                  <wp:effectExtent l="0" t="0" r="0" b="0"/>
                  <wp:docPr id="8" name="Picture 4" descr="http://img1.moneycontrol.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moneycontrol.com/images/blank.gif"/>
                          <pic:cNvPicPr>
                            <a:picLocks noChangeAspect="1" noChangeArrowheads="1"/>
                          </pic:cNvPicPr>
                        </pic:nvPicPr>
                        <pic:blipFill>
                          <a:blip r:embed="rId10"/>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496719" w:rsidRPr="00DF575C" w:rsidTr="00496719">
        <w:trPr>
          <w:gridAfter w:val="15"/>
          <w:wAfter w:w="284" w:type="pct"/>
          <w:tblCellSpacing w:w="0" w:type="dxa"/>
        </w:trPr>
        <w:tc>
          <w:tcPr>
            <w:tcW w:w="1736" w:type="pct"/>
            <w:gridSpan w:val="2"/>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rPr>
                <w:b/>
                <w:bCs/>
              </w:rPr>
            </w:pPr>
            <w:r w:rsidRPr="00DF575C">
              <w:rPr>
                <w:b/>
                <w:bCs/>
              </w:rPr>
              <w:t>Capital and Liabilities:</w:t>
            </w:r>
          </w:p>
        </w:tc>
        <w:tc>
          <w:tcPr>
            <w:tcW w:w="979" w:type="pct"/>
            <w:gridSpan w:val="4"/>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p>
        </w:tc>
        <w:tc>
          <w:tcPr>
            <w:tcW w:w="585"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p>
        </w:tc>
        <w:tc>
          <w:tcPr>
            <w:tcW w:w="59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p>
        </w:tc>
        <w:tc>
          <w:tcPr>
            <w:tcW w:w="37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p>
        </w:tc>
        <w:tc>
          <w:tcPr>
            <w:tcW w:w="105" w:type="pct"/>
            <w:shd w:val="clear" w:color="auto" w:fill="FFFFFF"/>
            <w:vAlign w:val="center"/>
            <w:hideMark/>
          </w:tcPr>
          <w:p w:rsidR="000E2C37" w:rsidRPr="00DF575C" w:rsidRDefault="000E2C37" w:rsidP="00496719">
            <w:pPr>
              <w:spacing w:line="360" w:lineRule="auto"/>
            </w:pPr>
          </w:p>
        </w:tc>
        <w:tc>
          <w:tcPr>
            <w:tcW w:w="105" w:type="pct"/>
            <w:shd w:val="clear" w:color="auto" w:fill="FFFFFF"/>
            <w:vAlign w:val="center"/>
            <w:hideMark/>
          </w:tcPr>
          <w:p w:rsidR="000E2C37" w:rsidRPr="00DF575C" w:rsidRDefault="000E2C37" w:rsidP="00496719">
            <w:pPr>
              <w:spacing w:line="360" w:lineRule="auto"/>
            </w:pPr>
          </w:p>
        </w:tc>
        <w:tc>
          <w:tcPr>
            <w:tcW w:w="105" w:type="pct"/>
            <w:shd w:val="clear" w:color="auto" w:fill="FFFFFF"/>
            <w:vAlign w:val="center"/>
            <w:hideMark/>
          </w:tcPr>
          <w:p w:rsidR="000E2C37" w:rsidRPr="00DF575C" w:rsidRDefault="000E2C37" w:rsidP="00496719">
            <w:pPr>
              <w:spacing w:line="360" w:lineRule="auto"/>
            </w:pPr>
          </w:p>
        </w:tc>
        <w:tc>
          <w:tcPr>
            <w:tcW w:w="121" w:type="pct"/>
            <w:shd w:val="clear" w:color="auto" w:fill="FFFFFF"/>
            <w:vAlign w:val="center"/>
            <w:hideMark/>
          </w:tcPr>
          <w:p w:rsidR="000E2C37" w:rsidRPr="00DF575C" w:rsidRDefault="000E2C37" w:rsidP="00496719">
            <w:pPr>
              <w:spacing w:line="360" w:lineRule="auto"/>
            </w:pPr>
          </w:p>
        </w:tc>
        <w:tc>
          <w:tcPr>
            <w:tcW w:w="8" w:type="pct"/>
            <w:gridSpan w:val="2"/>
            <w:shd w:val="clear" w:color="auto" w:fill="FFFFFF"/>
            <w:vAlign w:val="center"/>
            <w:hideMark/>
          </w:tcPr>
          <w:p w:rsidR="000E2C37" w:rsidRPr="00DF575C" w:rsidRDefault="000E2C37" w:rsidP="00496719">
            <w:pPr>
              <w:spacing w:line="360" w:lineRule="auto"/>
            </w:pPr>
          </w:p>
        </w:tc>
      </w:tr>
      <w:tr w:rsidR="00DF575C" w:rsidRPr="00DF575C" w:rsidTr="00496719">
        <w:trPr>
          <w:tblCellSpacing w:w="0" w:type="dxa"/>
        </w:trPr>
        <w:tc>
          <w:tcPr>
            <w:tcW w:w="183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ind w:left="45"/>
            </w:pPr>
            <w:r w:rsidRPr="00DF575C">
              <w:t>Total Share Capital</w:t>
            </w:r>
          </w:p>
        </w:tc>
        <w:tc>
          <w:tcPr>
            <w:tcW w:w="456" w:type="pct"/>
            <w:gridSpan w:val="2"/>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1,151.82</w:t>
            </w:r>
          </w:p>
        </w:tc>
        <w:tc>
          <w:tcPr>
            <w:tcW w:w="699"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1,114.89</w:t>
            </w:r>
          </w:p>
        </w:tc>
        <w:tc>
          <w:tcPr>
            <w:tcW w:w="562"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1,463.29</w:t>
            </w:r>
          </w:p>
        </w:tc>
        <w:tc>
          <w:tcPr>
            <w:tcW w:w="590"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1,462.68</w:t>
            </w:r>
          </w:p>
        </w:tc>
        <w:tc>
          <w:tcPr>
            <w:tcW w:w="589" w:type="pct"/>
            <w:gridSpan w:val="11"/>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1,249.34</w:t>
            </w:r>
          </w:p>
        </w:tc>
        <w:tc>
          <w:tcPr>
            <w:tcW w:w="35" w:type="pct"/>
            <w:gridSpan w:val="7"/>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74" w:type="pct"/>
            <w:shd w:val="clear" w:color="auto" w:fill="FFFFFF"/>
            <w:vAlign w:val="center"/>
            <w:hideMark/>
          </w:tcPr>
          <w:p w:rsidR="000E2C37" w:rsidRPr="00DF575C" w:rsidRDefault="000E2C37" w:rsidP="00496719">
            <w:pPr>
              <w:spacing w:line="360" w:lineRule="auto"/>
            </w:pPr>
          </w:p>
        </w:tc>
        <w:tc>
          <w:tcPr>
            <w:tcW w:w="84" w:type="pct"/>
            <w:shd w:val="clear" w:color="auto" w:fill="FFFFFF"/>
            <w:vAlign w:val="center"/>
            <w:hideMark/>
          </w:tcPr>
          <w:p w:rsidR="000E2C37" w:rsidRPr="00DF575C" w:rsidRDefault="000E2C37" w:rsidP="00496719">
            <w:pPr>
              <w:spacing w:line="360" w:lineRule="auto"/>
            </w:pPr>
          </w:p>
        </w:tc>
        <w:tc>
          <w:tcPr>
            <w:tcW w:w="72" w:type="pct"/>
            <w:shd w:val="clear" w:color="auto" w:fill="FFFFFF"/>
            <w:vAlign w:val="center"/>
            <w:hideMark/>
          </w:tcPr>
          <w:p w:rsidR="000E2C37" w:rsidRPr="00DF575C" w:rsidRDefault="000E2C37" w:rsidP="00496719">
            <w:pPr>
              <w:spacing w:line="360" w:lineRule="auto"/>
            </w:pPr>
          </w:p>
        </w:tc>
      </w:tr>
      <w:tr w:rsidR="00496719" w:rsidRPr="00DF575C" w:rsidTr="00496719">
        <w:trPr>
          <w:gridAfter w:val="5"/>
          <w:wAfter w:w="247"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ind w:left="-46" w:firstLine="46"/>
            </w:pPr>
            <w:r w:rsidRPr="00DF575C">
              <w:t>Equity Share Capital</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1,151.82</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1,114.89</w:t>
            </w:r>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1,113.29</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1,112.68</w:t>
            </w:r>
          </w:p>
        </w:tc>
        <w:tc>
          <w:tcPr>
            <w:tcW w:w="608" w:type="pct"/>
            <w:gridSpan w:val="1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899.34</w:t>
            </w: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r w:rsidR="00496719" w:rsidRPr="00DF575C" w:rsidTr="00496719">
        <w:trPr>
          <w:gridAfter w:val="5"/>
          <w:wAfter w:w="247"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pPr>
            <w:r w:rsidRPr="00DF575C">
              <w:t>Share Application Money</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0.29</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0.00</w:t>
            </w:r>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0.00</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0.00</w:t>
            </w:r>
          </w:p>
        </w:tc>
        <w:tc>
          <w:tcPr>
            <w:tcW w:w="608" w:type="pct"/>
            <w:gridSpan w:val="1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0.00</w:t>
            </w: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r w:rsidR="00496719" w:rsidRPr="00DF575C" w:rsidTr="00496719">
        <w:trPr>
          <w:gridAfter w:val="5"/>
          <w:wAfter w:w="247"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pPr>
            <w:r w:rsidRPr="00DF575C">
              <w:t>Preference Share Capital</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0.00</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0.00</w:t>
            </w:r>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350.00</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350.00</w:t>
            </w:r>
          </w:p>
        </w:tc>
        <w:tc>
          <w:tcPr>
            <w:tcW w:w="608" w:type="pct"/>
            <w:gridSpan w:val="1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350.00</w:t>
            </w: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r w:rsidR="00496719" w:rsidRPr="00DF575C" w:rsidTr="00496719">
        <w:trPr>
          <w:gridAfter w:val="5"/>
          <w:wAfter w:w="247"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pPr>
            <w:r w:rsidRPr="00DF575C">
              <w:t>Reserves</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53,938.82</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50,503.48</w:t>
            </w:r>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48,419.73</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45,357.53</w:t>
            </w:r>
          </w:p>
        </w:tc>
        <w:tc>
          <w:tcPr>
            <w:tcW w:w="608" w:type="pct"/>
            <w:gridSpan w:val="1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23,413.92</w:t>
            </w: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r w:rsidR="00496719" w:rsidRPr="00DF575C" w:rsidTr="00496719">
        <w:trPr>
          <w:gridAfter w:val="5"/>
          <w:wAfter w:w="247"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pPr>
            <w:r w:rsidRPr="00DF575C">
              <w:t>Revaluation Reserves</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0.00</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0.00</w:t>
            </w:r>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0.00</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0.00</w:t>
            </w:r>
          </w:p>
        </w:tc>
        <w:tc>
          <w:tcPr>
            <w:tcW w:w="608" w:type="pct"/>
            <w:gridSpan w:val="1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0.00</w:t>
            </w: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r w:rsidR="00496719" w:rsidRPr="00DF575C" w:rsidTr="00496719">
        <w:trPr>
          <w:gridAfter w:val="5"/>
          <w:wAfter w:w="247"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rPr>
                <w:b/>
                <w:bCs/>
              </w:rPr>
            </w:pPr>
            <w:r w:rsidRPr="00DF575C">
              <w:rPr>
                <w:b/>
                <w:bCs/>
              </w:rPr>
              <w:t>Net Worth</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55,090.93</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51,618.37</w:t>
            </w:r>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49,883.02</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46,820.21</w:t>
            </w:r>
          </w:p>
        </w:tc>
        <w:tc>
          <w:tcPr>
            <w:tcW w:w="608" w:type="pct"/>
            <w:gridSpan w:val="1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24,663.26</w:t>
            </w: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r w:rsidR="00496719" w:rsidRPr="00DF575C" w:rsidTr="00496719">
        <w:trPr>
          <w:gridAfter w:val="5"/>
          <w:wAfter w:w="247"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pPr>
            <w:r w:rsidRPr="00DF575C">
              <w:t>Deposits</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225,602.11</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202,016.60</w:t>
            </w:r>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218,347.82</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244,431.05</w:t>
            </w:r>
          </w:p>
        </w:tc>
        <w:tc>
          <w:tcPr>
            <w:tcW w:w="608" w:type="pct"/>
            <w:gridSpan w:val="1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230,510.19</w:t>
            </w: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r w:rsidR="00496719" w:rsidRPr="00DF575C" w:rsidTr="00496719">
        <w:trPr>
          <w:gridAfter w:val="5"/>
          <w:wAfter w:w="247"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pPr>
            <w:r w:rsidRPr="00DF575C">
              <w:t>Borrowings</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109,554.28</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94,263.57</w:t>
            </w:r>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67,323.69</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65,648.43</w:t>
            </w:r>
          </w:p>
        </w:tc>
        <w:tc>
          <w:tcPr>
            <w:tcW w:w="608" w:type="pct"/>
            <w:gridSpan w:val="1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51,256.03</w:t>
            </w: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r w:rsidR="00496719" w:rsidRPr="00DF575C" w:rsidTr="00496719">
        <w:trPr>
          <w:gridAfter w:val="5"/>
          <w:wAfter w:w="247"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rPr>
                <w:b/>
                <w:bCs/>
              </w:rPr>
            </w:pPr>
            <w:r w:rsidRPr="00DF575C">
              <w:rPr>
                <w:b/>
                <w:bCs/>
              </w:rPr>
              <w:t>Total Debt</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335,156.39</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296,280.17</w:t>
            </w:r>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285,671.51</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310,079.48</w:t>
            </w:r>
          </w:p>
        </w:tc>
        <w:tc>
          <w:tcPr>
            <w:tcW w:w="608" w:type="pct"/>
            <w:gridSpan w:val="1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281,766.22</w:t>
            </w: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r w:rsidR="00496719" w:rsidRPr="00DF575C" w:rsidTr="00496719">
        <w:trPr>
          <w:gridAfter w:val="5"/>
          <w:wAfter w:w="247"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pPr>
            <w:r w:rsidRPr="00DF575C">
              <w:t>Other Liabilities &amp; Provisions</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15,986.35</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15,501.18</w:t>
            </w:r>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43,746.43</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42,895.39</w:t>
            </w:r>
          </w:p>
        </w:tc>
        <w:tc>
          <w:tcPr>
            <w:tcW w:w="608" w:type="pct"/>
            <w:gridSpan w:val="1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pPr>
            <w:r w:rsidRPr="00DF575C">
              <w:t>38,228.64</w:t>
            </w: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r w:rsidR="00496719" w:rsidRPr="00DF575C" w:rsidTr="00496719">
        <w:trPr>
          <w:gridAfter w:val="5"/>
          <w:wAfter w:w="247" w:type="pct"/>
          <w:tblCellSpacing w:w="0" w:type="dxa"/>
        </w:trPr>
        <w:tc>
          <w:tcPr>
            <w:tcW w:w="1500" w:type="pct"/>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rPr>
                <w:b/>
                <w:bCs/>
              </w:rPr>
            </w:pPr>
            <w:r w:rsidRPr="00DF575C">
              <w:rPr>
                <w:b/>
                <w:bCs/>
              </w:rPr>
              <w:t>Total Liabilities</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406,233.67</w:t>
            </w:r>
          </w:p>
        </w:tc>
        <w:tc>
          <w:tcPr>
            <w:tcW w:w="781"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363,399.72</w:t>
            </w:r>
          </w:p>
        </w:tc>
        <w:tc>
          <w:tcPr>
            <w:tcW w:w="616"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379,300.96</w:t>
            </w:r>
          </w:p>
        </w:tc>
        <w:tc>
          <w:tcPr>
            <w:tcW w:w="617" w:type="pct"/>
            <w:gridSpan w:val="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399,795.08</w:t>
            </w:r>
          </w:p>
        </w:tc>
        <w:tc>
          <w:tcPr>
            <w:tcW w:w="608" w:type="pct"/>
            <w:gridSpan w:val="13"/>
            <w:shd w:val="clear" w:color="auto" w:fill="FFFFFF"/>
            <w:tcMar>
              <w:top w:w="30" w:type="dxa"/>
              <w:left w:w="45" w:type="dxa"/>
              <w:bottom w:w="30" w:type="dxa"/>
              <w:right w:w="45" w:type="dxa"/>
            </w:tcMar>
            <w:vAlign w:val="center"/>
            <w:hideMark/>
          </w:tcPr>
          <w:p w:rsidR="000E2C37" w:rsidRPr="00DF575C" w:rsidRDefault="000E2C37" w:rsidP="00496719">
            <w:pPr>
              <w:spacing w:line="360" w:lineRule="auto"/>
              <w:jc w:val="right"/>
              <w:rPr>
                <w:b/>
                <w:bCs/>
              </w:rPr>
            </w:pPr>
            <w:r w:rsidRPr="00DF575C">
              <w:rPr>
                <w:b/>
                <w:bCs/>
              </w:rPr>
              <w:t>344,658.12</w:t>
            </w: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c>
          <w:tcPr>
            <w:tcW w:w="3" w:type="pct"/>
            <w:shd w:val="clear" w:color="auto" w:fill="FFFFFF"/>
            <w:vAlign w:val="center"/>
            <w:hideMark/>
          </w:tcPr>
          <w:p w:rsidR="000E2C37" w:rsidRPr="00DF575C" w:rsidRDefault="000E2C37" w:rsidP="00496719">
            <w:pPr>
              <w:spacing w:line="360" w:lineRule="auto"/>
            </w:pPr>
          </w:p>
        </w:tc>
      </w:tr>
    </w:tbl>
    <w:p w:rsidR="00496719" w:rsidRDefault="00496719" w:rsidP="00496719">
      <w:pPr>
        <w:spacing w:line="360" w:lineRule="auto"/>
      </w:pPr>
      <w:r>
        <w:br w:type="page"/>
      </w:r>
    </w:p>
    <w:tbl>
      <w:tblPr>
        <w:tblW w:w="9607" w:type="dxa"/>
        <w:tblCellSpacing w:w="0" w:type="dxa"/>
        <w:tblInd w:w="-135" w:type="dxa"/>
        <w:shd w:val="clear" w:color="auto" w:fill="FFFFFF"/>
        <w:tblCellMar>
          <w:left w:w="0" w:type="dxa"/>
          <w:right w:w="0" w:type="dxa"/>
        </w:tblCellMar>
        <w:tblLook w:val="04A0" w:firstRow="1" w:lastRow="0" w:firstColumn="1" w:lastColumn="0" w:noHBand="0" w:noVBand="1"/>
      </w:tblPr>
      <w:tblGrid>
        <w:gridCol w:w="2968"/>
        <w:gridCol w:w="1256"/>
        <w:gridCol w:w="1592"/>
        <w:gridCol w:w="1256"/>
        <w:gridCol w:w="1258"/>
        <w:gridCol w:w="1178"/>
        <w:gridCol w:w="8"/>
        <w:gridCol w:w="8"/>
        <w:gridCol w:w="8"/>
        <w:gridCol w:w="6"/>
        <w:gridCol w:w="6"/>
        <w:gridCol w:w="31"/>
        <w:gridCol w:w="6"/>
        <w:gridCol w:w="6"/>
        <w:gridCol w:w="6"/>
        <w:gridCol w:w="6"/>
        <w:gridCol w:w="8"/>
      </w:tblGrid>
      <w:tr w:rsidR="00496719" w:rsidRPr="00DF575C" w:rsidTr="00496719">
        <w:trPr>
          <w:tblCellSpacing w:w="0" w:type="dxa"/>
        </w:trPr>
        <w:tc>
          <w:tcPr>
            <w:tcW w:w="1545" w:type="pct"/>
            <w:shd w:val="clear" w:color="auto" w:fill="FFFFFF"/>
            <w:tcMar>
              <w:top w:w="30" w:type="dxa"/>
              <w:left w:w="45" w:type="dxa"/>
              <w:bottom w:w="30" w:type="dxa"/>
              <w:right w:w="45" w:type="dxa"/>
            </w:tcMar>
            <w:vAlign w:val="center"/>
            <w:hideMark/>
          </w:tcPr>
          <w:p w:rsidR="00DF575C" w:rsidRPr="00DF575C" w:rsidRDefault="00DF575C" w:rsidP="00CB002E">
            <w:pPr>
              <w:spacing w:line="360" w:lineRule="auto"/>
              <w:rPr>
                <w:b/>
                <w:bCs/>
              </w:rPr>
            </w:pPr>
          </w:p>
        </w:tc>
        <w:tc>
          <w:tcPr>
            <w:tcW w:w="654" w:type="pct"/>
            <w:shd w:val="clear" w:color="auto" w:fill="FFFFFF"/>
            <w:tcMar>
              <w:top w:w="30" w:type="dxa"/>
              <w:left w:w="45" w:type="dxa"/>
              <w:bottom w:w="30" w:type="dxa"/>
              <w:right w:w="45" w:type="dxa"/>
            </w:tcMar>
            <w:vAlign w:val="center"/>
            <w:hideMark/>
          </w:tcPr>
          <w:p w:rsidR="000E2C37" w:rsidRPr="00DF575C" w:rsidRDefault="000E2C37" w:rsidP="000405BC">
            <w:pPr>
              <w:spacing w:line="360" w:lineRule="auto"/>
              <w:jc w:val="right"/>
              <w:rPr>
                <w:b/>
                <w:bCs/>
              </w:rPr>
            </w:pPr>
            <w:r w:rsidRPr="00DF575C">
              <w:rPr>
                <w:b/>
                <w:bCs/>
              </w:rPr>
              <w:t>Mar '1</w:t>
            </w:r>
            <w:r w:rsidR="000405BC">
              <w:rPr>
                <w:b/>
                <w:bCs/>
              </w:rPr>
              <w:t>4</w:t>
            </w:r>
          </w:p>
        </w:tc>
        <w:tc>
          <w:tcPr>
            <w:tcW w:w="829" w:type="pct"/>
            <w:shd w:val="clear" w:color="auto" w:fill="FFFFFF"/>
            <w:tcMar>
              <w:top w:w="30" w:type="dxa"/>
              <w:left w:w="45" w:type="dxa"/>
              <w:bottom w:w="30" w:type="dxa"/>
              <w:right w:w="45" w:type="dxa"/>
            </w:tcMar>
            <w:vAlign w:val="center"/>
            <w:hideMark/>
          </w:tcPr>
          <w:p w:rsidR="000E2C37" w:rsidRPr="00DF575C" w:rsidRDefault="000E2C37" w:rsidP="000405BC">
            <w:pPr>
              <w:spacing w:line="360" w:lineRule="auto"/>
              <w:jc w:val="right"/>
              <w:rPr>
                <w:b/>
                <w:bCs/>
              </w:rPr>
            </w:pPr>
            <w:r w:rsidRPr="00DF575C">
              <w:rPr>
                <w:b/>
                <w:bCs/>
              </w:rPr>
              <w:t>Mar '1</w:t>
            </w:r>
            <w:r w:rsidR="000405BC">
              <w:rPr>
                <w:b/>
                <w:bCs/>
              </w:rPr>
              <w:t>3</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Mar '</w:t>
            </w:r>
            <w:r w:rsidR="000405BC">
              <w:rPr>
                <w:b/>
                <w:bCs/>
              </w:rPr>
              <w:t>12</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Mar '</w:t>
            </w:r>
            <w:r w:rsidR="000405BC">
              <w:rPr>
                <w:b/>
                <w:bCs/>
              </w:rPr>
              <w:t>11</w:t>
            </w:r>
          </w:p>
        </w:tc>
        <w:tc>
          <w:tcPr>
            <w:tcW w:w="647" w:type="pct"/>
            <w:gridSpan w:val="7"/>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Mar '</w:t>
            </w:r>
            <w:r w:rsidR="000405BC">
              <w:rPr>
                <w:b/>
                <w:bCs/>
              </w:rPr>
              <w:t>10</w:t>
            </w: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r>
      <w:tr w:rsidR="000E2C37" w:rsidRPr="00DF575C" w:rsidTr="00496719">
        <w:trPr>
          <w:gridAfter w:val="11"/>
          <w:wAfter w:w="50" w:type="pct"/>
          <w:tblCellSpacing w:w="0" w:type="dxa"/>
        </w:trPr>
        <w:tc>
          <w:tcPr>
            <w:tcW w:w="4950" w:type="pct"/>
            <w:gridSpan w:val="6"/>
            <w:shd w:val="clear" w:color="auto" w:fill="E8EBEF"/>
            <w:tcMar>
              <w:top w:w="30" w:type="dxa"/>
              <w:left w:w="45" w:type="dxa"/>
              <w:bottom w:w="30" w:type="dxa"/>
              <w:right w:w="45" w:type="dxa"/>
            </w:tcMar>
            <w:vAlign w:val="center"/>
            <w:hideMark/>
          </w:tcPr>
          <w:p w:rsidR="000E2C37" w:rsidRPr="00DF575C" w:rsidRDefault="000E2C37" w:rsidP="00CB002E">
            <w:pPr>
              <w:spacing w:line="360" w:lineRule="auto"/>
              <w:rPr>
                <w:b/>
                <w:bCs/>
              </w:rPr>
            </w:pPr>
            <w:r w:rsidRPr="00DF575C">
              <w:rPr>
                <w:b/>
                <w:bCs/>
                <w:noProof/>
              </w:rPr>
              <w:drawing>
                <wp:inline distT="0" distB="0" distL="0" distR="0" wp14:anchorId="0E7FAABE" wp14:editId="52C5E402">
                  <wp:extent cx="76200" cy="76200"/>
                  <wp:effectExtent l="0" t="0" r="0" b="0"/>
                  <wp:docPr id="9" name="Picture 5" descr="http://img1.moneycontrol.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1.moneycontrol.com/images/blank.gif"/>
                          <pic:cNvPicPr>
                            <a:picLocks noChangeAspect="1" noChangeArrowheads="1"/>
                          </pic:cNvPicPr>
                        </pic:nvPicPr>
                        <pic:blipFill>
                          <a:blip r:embed="rId10"/>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pP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 xml:space="preserve">12 </w:t>
            </w:r>
            <w:proofErr w:type="spellStart"/>
            <w:r w:rsidRPr="00DF575C">
              <w:t>mths</w:t>
            </w:r>
            <w:proofErr w:type="spellEnd"/>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 xml:space="preserve">12 </w:t>
            </w:r>
            <w:proofErr w:type="spellStart"/>
            <w:r w:rsidRPr="00DF575C">
              <w:t>mths</w:t>
            </w:r>
            <w:proofErr w:type="spellEnd"/>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 xml:space="preserve">12 </w:t>
            </w:r>
            <w:proofErr w:type="spellStart"/>
            <w:r w:rsidRPr="00DF575C">
              <w:t>mths</w:t>
            </w:r>
            <w:proofErr w:type="spellEnd"/>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 xml:space="preserve">12 </w:t>
            </w:r>
            <w:proofErr w:type="spellStart"/>
            <w:r w:rsidRPr="00DF575C">
              <w:t>mths</w:t>
            </w:r>
            <w:proofErr w:type="spellEnd"/>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 xml:space="preserve">12 </w:t>
            </w:r>
            <w:proofErr w:type="spellStart"/>
            <w:r w:rsidRPr="00DF575C">
              <w:t>mths</w:t>
            </w:r>
            <w:proofErr w:type="spellEnd"/>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0E2C37" w:rsidRPr="00DF575C" w:rsidTr="00496719">
        <w:trPr>
          <w:gridAfter w:val="11"/>
          <w:wAfter w:w="50" w:type="pct"/>
          <w:tblCellSpacing w:w="0" w:type="dxa"/>
        </w:trPr>
        <w:tc>
          <w:tcPr>
            <w:tcW w:w="4950" w:type="pct"/>
            <w:gridSpan w:val="6"/>
            <w:shd w:val="clear" w:color="auto" w:fill="E8EBEF"/>
            <w:tcMar>
              <w:top w:w="30" w:type="dxa"/>
              <w:left w:w="45" w:type="dxa"/>
              <w:bottom w:w="30" w:type="dxa"/>
              <w:right w:w="45" w:type="dxa"/>
            </w:tcMar>
            <w:vAlign w:val="center"/>
            <w:hideMark/>
          </w:tcPr>
          <w:p w:rsidR="000E2C37" w:rsidRPr="00DF575C" w:rsidRDefault="000E2C37" w:rsidP="00CB002E">
            <w:pPr>
              <w:spacing w:line="360" w:lineRule="auto"/>
              <w:rPr>
                <w:b/>
                <w:bCs/>
              </w:rPr>
            </w:pPr>
            <w:r w:rsidRPr="00DF575C">
              <w:rPr>
                <w:b/>
                <w:bCs/>
                <w:noProof/>
              </w:rPr>
              <w:drawing>
                <wp:inline distT="0" distB="0" distL="0" distR="0" wp14:anchorId="0CC90848" wp14:editId="174F66AF">
                  <wp:extent cx="76200" cy="76200"/>
                  <wp:effectExtent l="0" t="0" r="0" b="0"/>
                  <wp:docPr id="10" name="Picture 6" descr="http://img1.moneycontrol.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1.moneycontrol.com/images/blank.gif"/>
                          <pic:cNvPicPr>
                            <a:picLocks noChangeAspect="1" noChangeArrowheads="1"/>
                          </pic:cNvPicPr>
                        </pic:nvPicPr>
                        <pic:blipFill>
                          <a:blip r:embed="rId10"/>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496719" w:rsidRPr="00DF575C" w:rsidTr="00496719">
        <w:trPr>
          <w:gridAfter w:val="6"/>
          <w:wAfter w:w="32" w:type="pct"/>
          <w:tblCellSpacing w:w="0" w:type="dxa"/>
        </w:trPr>
        <w:tc>
          <w:tcPr>
            <w:tcW w:w="2199" w:type="pct"/>
            <w:gridSpan w:val="2"/>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rPr>
                <w:b/>
                <w:bCs/>
              </w:rPr>
            </w:pPr>
            <w:r w:rsidRPr="00DF575C">
              <w:rPr>
                <w:b/>
                <w:bCs/>
              </w:rPr>
              <w:t>Assets</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pPr>
            <w:r w:rsidRPr="00DF575C">
              <w:t>Cash &amp; Balances with RBI</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20,906.97</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27,514.29</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17,536.33</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29,377.53</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18,706.88</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pPr>
            <w:r w:rsidRPr="00DF575C">
              <w:t>Balance with Banks, Money at Call</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13,183.11</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11,359.40</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12,430.23</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8,663.60</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18,414.45</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rPr>
                <w:b/>
                <w:bCs/>
              </w:rPr>
            </w:pPr>
            <w:r w:rsidRPr="00DF575C">
              <w:rPr>
                <w:b/>
                <w:bCs/>
              </w:rPr>
              <w:t>Advances</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216,365.90</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181,205.60</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218,310.85</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225,616.08</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195,865.60</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rPr>
                <w:b/>
                <w:bCs/>
              </w:rPr>
            </w:pPr>
            <w:r w:rsidRPr="00DF575C">
              <w:rPr>
                <w:b/>
                <w:bCs/>
              </w:rPr>
              <w:t>Investments</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134,685.96</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120,892.80</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103,058.31</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111,454.34</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91,257.84</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pPr>
            <w:r w:rsidRPr="00DF575C">
              <w:t>Gross Block</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9,107.47</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7,114.12</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7,443.71</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7,036.00</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6,298.56</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pPr>
            <w:r w:rsidRPr="00DF575C">
              <w:t>Accumulated Depreciation</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4,363.21</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3,901.43</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3,642.09</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2,927.11</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2,375.14</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rPr>
                <w:b/>
                <w:bCs/>
              </w:rPr>
            </w:pPr>
            <w:r w:rsidRPr="00DF575C">
              <w:rPr>
                <w:b/>
                <w:bCs/>
              </w:rPr>
              <w:t>Net Block</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4,744.26</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3,212.69</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3,801.62</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4,108.89</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3,923.42</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pPr>
            <w:r w:rsidRPr="00DF575C">
              <w:t>Capital Work In Progress</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0.00</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0.00</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0.00</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0.00</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189.66</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pPr>
            <w:r w:rsidRPr="00DF575C">
              <w:t>Other Assets</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16,347.47</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19,214.93</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24,163.62</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20,574.63</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16,300.26</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rPr>
                <w:b/>
                <w:bCs/>
              </w:rPr>
            </w:pPr>
            <w:r w:rsidRPr="00DF575C">
              <w:rPr>
                <w:b/>
                <w:bCs/>
              </w:rPr>
              <w:t>Total Assets</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406,233.67</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363,399.71</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379,300.96</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399,795.07</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rPr>
                <w:b/>
                <w:bCs/>
              </w:rPr>
            </w:pPr>
            <w:r w:rsidRPr="00DF575C">
              <w:rPr>
                <w:b/>
                <w:bCs/>
              </w:rPr>
              <w:t>344,658.11</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0E2C37" w:rsidRPr="00DF575C" w:rsidTr="00496719">
        <w:trPr>
          <w:gridAfter w:val="11"/>
          <w:wAfter w:w="50" w:type="pct"/>
          <w:tblCellSpacing w:w="0" w:type="dxa"/>
        </w:trPr>
        <w:tc>
          <w:tcPr>
            <w:tcW w:w="4950" w:type="pct"/>
            <w:gridSpan w:val="6"/>
            <w:tcBorders>
              <w:bottom w:val="single" w:sz="6" w:space="0" w:color="EEEEEE"/>
            </w:tcBorders>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pPr>
            <w:r w:rsidRPr="00DF575C">
              <w:rPr>
                <w:noProof/>
              </w:rPr>
              <w:drawing>
                <wp:inline distT="0" distB="0" distL="0" distR="0" wp14:anchorId="5C2307B6" wp14:editId="46EBBD8A">
                  <wp:extent cx="76200" cy="76200"/>
                  <wp:effectExtent l="0" t="0" r="0" b="0"/>
                  <wp:docPr id="11" name="Picture 7" descr="http://img1.moneycontrol.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moneycontrol.com/images/blank.gif"/>
                          <pic:cNvPicPr>
                            <a:picLocks noChangeAspect="1" noChangeArrowheads="1"/>
                          </pic:cNvPicPr>
                        </pic:nvPicPr>
                        <pic:blipFill>
                          <a:blip r:embed="rId10"/>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pPr>
            <w:r w:rsidRPr="00DF575C">
              <w:t>Contingent Liabilities</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883,774.77</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694,948.84</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803,991.92</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371,737.36</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177,054.18</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r w:rsidR="00496719" w:rsidRPr="00DF575C" w:rsidTr="00496719">
        <w:trPr>
          <w:gridAfter w:val="6"/>
          <w:wAfter w:w="32" w:type="pct"/>
          <w:tblCellSpacing w:w="0" w:type="dxa"/>
        </w:trPr>
        <w:tc>
          <w:tcPr>
            <w:tcW w:w="154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pPr>
            <w:r w:rsidRPr="00DF575C">
              <w:t>Bills for collection</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47,864.06</w:t>
            </w:r>
          </w:p>
        </w:tc>
        <w:tc>
          <w:tcPr>
            <w:tcW w:w="829"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38,597.36</w:t>
            </w:r>
          </w:p>
        </w:tc>
        <w:tc>
          <w:tcPr>
            <w:tcW w:w="654"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36,678.71</w:t>
            </w:r>
          </w:p>
        </w:tc>
        <w:tc>
          <w:tcPr>
            <w:tcW w:w="655"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29,377.55</w:t>
            </w:r>
          </w:p>
        </w:tc>
        <w:tc>
          <w:tcPr>
            <w:tcW w:w="613" w:type="pct"/>
            <w:shd w:val="clear" w:color="auto" w:fill="FFFFFF"/>
            <w:tcMar>
              <w:top w:w="30" w:type="dxa"/>
              <w:left w:w="45" w:type="dxa"/>
              <w:bottom w:w="30" w:type="dxa"/>
              <w:right w:w="45" w:type="dxa"/>
            </w:tcMar>
            <w:vAlign w:val="center"/>
            <w:hideMark/>
          </w:tcPr>
          <w:p w:rsidR="000E2C37" w:rsidRPr="00DF575C" w:rsidRDefault="000E2C37" w:rsidP="00CB002E">
            <w:pPr>
              <w:spacing w:line="360" w:lineRule="auto"/>
              <w:jc w:val="right"/>
            </w:pPr>
            <w:r w:rsidRPr="00DF575C">
              <w:t>22,717.23</w:t>
            </w: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4"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c>
          <w:tcPr>
            <w:tcW w:w="3" w:type="pct"/>
            <w:shd w:val="clear" w:color="auto" w:fill="FFFFFF"/>
            <w:vAlign w:val="center"/>
            <w:hideMark/>
          </w:tcPr>
          <w:p w:rsidR="000E2C37" w:rsidRPr="00DF575C" w:rsidRDefault="000E2C37" w:rsidP="00CB002E">
            <w:pPr>
              <w:spacing w:line="360" w:lineRule="auto"/>
            </w:pPr>
          </w:p>
        </w:tc>
      </w:tr>
    </w:tbl>
    <w:p w:rsidR="00FC43D6" w:rsidRPr="00DF575C" w:rsidRDefault="00FC43D6" w:rsidP="000E2C37">
      <w:pPr>
        <w:jc w:val="center"/>
        <w:rPr>
          <w:b/>
          <w:u w:val="single"/>
        </w:rPr>
      </w:pPr>
    </w:p>
    <w:p w:rsidR="008C2B96" w:rsidRPr="00DF575C" w:rsidRDefault="00FC43D6" w:rsidP="00FC43D6">
      <w:pPr>
        <w:jc w:val="center"/>
        <w:rPr>
          <w:b/>
          <w:sz w:val="32"/>
          <w:szCs w:val="32"/>
        </w:rPr>
      </w:pPr>
      <w:r w:rsidRPr="0047351B">
        <w:rPr>
          <w:b/>
          <w:sz w:val="38"/>
          <w:szCs w:val="38"/>
          <w:u w:val="single"/>
        </w:rPr>
        <w:br w:type="page"/>
      </w:r>
      <w:r w:rsidR="00D953D8" w:rsidRPr="00DF575C">
        <w:rPr>
          <w:b/>
          <w:sz w:val="32"/>
          <w:szCs w:val="32"/>
        </w:rPr>
        <w:lastRenderedPageBreak/>
        <w:t>Ratio Analysis</w:t>
      </w:r>
    </w:p>
    <w:p w:rsidR="00175A40" w:rsidRPr="0047351B" w:rsidRDefault="00175A40" w:rsidP="00175A40">
      <w:pPr>
        <w:rPr>
          <w:b/>
          <w:color w:val="000000"/>
          <w:sz w:val="27"/>
          <w:szCs w:val="27"/>
        </w:rPr>
      </w:pPr>
    </w:p>
    <w:p w:rsidR="007F618F" w:rsidRPr="00DF575C" w:rsidRDefault="007F618F" w:rsidP="00175A40">
      <w:pPr>
        <w:rPr>
          <w:b/>
          <w:sz w:val="28"/>
          <w:szCs w:val="28"/>
        </w:rPr>
      </w:pPr>
    </w:p>
    <w:p w:rsidR="00280DDE" w:rsidRPr="00DF575C" w:rsidRDefault="00175A40" w:rsidP="00280DDE">
      <w:pPr>
        <w:pStyle w:val="Default"/>
        <w:jc w:val="both"/>
        <w:rPr>
          <w:rFonts w:ascii="Arial" w:hAnsi="Arial" w:cs="Arial"/>
          <w:sz w:val="28"/>
          <w:szCs w:val="28"/>
        </w:rPr>
      </w:pPr>
      <w:r w:rsidRPr="00DF575C">
        <w:rPr>
          <w:rFonts w:ascii="Times New Roman" w:hAnsi="Times New Roman" w:cs="Times New Roman"/>
          <w:b/>
          <w:sz w:val="28"/>
          <w:szCs w:val="28"/>
        </w:rPr>
        <w:t>Capital Adequacy Ratio</w:t>
      </w:r>
      <w:r w:rsidR="00280DDE" w:rsidRPr="00DF575C">
        <w:rPr>
          <w:rFonts w:ascii="Times New Roman" w:hAnsi="Times New Roman" w:cs="Times New Roman"/>
          <w:b/>
          <w:sz w:val="28"/>
          <w:szCs w:val="28"/>
        </w:rPr>
        <w:t>:</w:t>
      </w:r>
      <w:r w:rsidR="00280DDE" w:rsidRPr="00DF575C">
        <w:rPr>
          <w:rFonts w:ascii="Arial" w:hAnsi="Arial" w:cs="Arial"/>
          <w:sz w:val="28"/>
          <w:szCs w:val="28"/>
        </w:rPr>
        <w:t xml:space="preserve"> </w:t>
      </w:r>
    </w:p>
    <w:p w:rsidR="00280DDE" w:rsidRPr="0047351B" w:rsidRDefault="00280DDE" w:rsidP="00280DDE">
      <w:pPr>
        <w:pStyle w:val="Default"/>
        <w:jc w:val="both"/>
        <w:rPr>
          <w:rFonts w:ascii="Arial" w:hAnsi="Arial" w:cs="Arial"/>
          <w:sz w:val="19"/>
          <w:szCs w:val="19"/>
        </w:rPr>
      </w:pPr>
    </w:p>
    <w:p w:rsidR="00175A40" w:rsidRPr="00DF575C" w:rsidRDefault="00280DDE" w:rsidP="00280DDE">
      <w:pPr>
        <w:pStyle w:val="Default"/>
        <w:ind w:firstLine="720"/>
        <w:jc w:val="both"/>
        <w:rPr>
          <w:rFonts w:ascii="Times New Roman" w:hAnsi="Times New Roman" w:cs="Times New Roman"/>
          <w:b/>
        </w:rPr>
      </w:pPr>
      <w:proofErr w:type="gramStart"/>
      <w:r w:rsidRPr="00DF575C">
        <w:rPr>
          <w:rStyle w:val="apple-style-span"/>
          <w:rFonts w:ascii="Times New Roman" w:hAnsi="Times New Roman" w:cs="Times New Roman"/>
        </w:rPr>
        <w:t>A measure of a bank's capital.</w:t>
      </w:r>
      <w:proofErr w:type="gramEnd"/>
      <w:r w:rsidRPr="00DF575C">
        <w:rPr>
          <w:rStyle w:val="apple-style-span"/>
          <w:rFonts w:ascii="Times New Roman" w:hAnsi="Times New Roman" w:cs="Times New Roman"/>
        </w:rPr>
        <w:t xml:space="preserve"> It is expressed as a percentage of a bank's risk weighted credit exposures.</w:t>
      </w:r>
      <w:r w:rsidRPr="00DF575C">
        <w:rPr>
          <w:rStyle w:val="apple-converted-space"/>
          <w:rFonts w:ascii="Times New Roman" w:hAnsi="Times New Roman" w:cs="Times New Roman"/>
        </w:rPr>
        <w:t> </w:t>
      </w:r>
      <w:r w:rsidRPr="00DF575C">
        <w:rPr>
          <w:rStyle w:val="apple-converted-space"/>
          <w:rFonts w:ascii="Times New Roman" w:hAnsi="Times New Roman" w:cs="Times New Roman"/>
        </w:rPr>
        <w:tab/>
      </w:r>
      <w:r w:rsidRPr="00DF575C">
        <w:rPr>
          <w:rFonts w:ascii="Times New Roman" w:hAnsi="Times New Roman" w:cs="Times New Roman"/>
        </w:rPr>
        <w:br/>
      </w:r>
    </w:p>
    <w:p w:rsidR="001303B9" w:rsidRPr="0047351B" w:rsidRDefault="001303B9" w:rsidP="001303B9">
      <w:pPr>
        <w:pStyle w:val="Default"/>
        <w:tabs>
          <w:tab w:val="left" w:pos="360"/>
        </w:tabs>
        <w:jc w:val="center"/>
        <w:rPr>
          <w:rFonts w:ascii="Times New Roman" w:hAnsi="Times New Roman" w:cs="Times New Roman"/>
          <w:sz w:val="23"/>
          <w:szCs w:val="23"/>
        </w:rPr>
      </w:pPr>
    </w:p>
    <w:p w:rsidR="007F618F" w:rsidRPr="00DF575C" w:rsidRDefault="007F618F" w:rsidP="00280DDE">
      <w:pPr>
        <w:pStyle w:val="Default"/>
        <w:tabs>
          <w:tab w:val="left" w:pos="270"/>
          <w:tab w:val="left" w:pos="1080"/>
        </w:tabs>
        <w:jc w:val="center"/>
        <w:rPr>
          <w:rFonts w:ascii="Times New Roman" w:hAnsi="Times New Roman" w:cs="Times New Roman"/>
          <w:sz w:val="28"/>
          <w:szCs w:val="28"/>
        </w:rPr>
      </w:pPr>
      <w:r w:rsidRPr="00DF575C">
        <w:rPr>
          <w:rFonts w:ascii="Times New Roman" w:hAnsi="Times New Roman" w:cs="Times New Roman"/>
          <w:sz w:val="28"/>
          <w:szCs w:val="28"/>
        </w:rPr>
        <w:t>Table:</w:t>
      </w:r>
      <w:r w:rsidRPr="00DF575C">
        <w:rPr>
          <w:rFonts w:ascii="Times New Roman" w:hAnsi="Times New Roman" w:cs="Times New Roman"/>
          <w:sz w:val="28"/>
          <w:szCs w:val="28"/>
        </w:rPr>
        <w:tab/>
        <w:t>1.1</w:t>
      </w:r>
    </w:p>
    <w:tbl>
      <w:tblPr>
        <w:tblStyle w:val="TableGrid"/>
        <w:tblW w:w="0" w:type="auto"/>
        <w:tblInd w:w="648" w:type="dxa"/>
        <w:tblLook w:val="04A0" w:firstRow="1" w:lastRow="0" w:firstColumn="1" w:lastColumn="0" w:noHBand="0" w:noVBand="1"/>
      </w:tblPr>
      <w:tblGrid>
        <w:gridCol w:w="1574"/>
        <w:gridCol w:w="1657"/>
        <w:gridCol w:w="1864"/>
        <w:gridCol w:w="1864"/>
        <w:gridCol w:w="1553"/>
      </w:tblGrid>
      <w:tr w:rsidR="00175A40" w:rsidRPr="0047351B" w:rsidTr="00280DDE">
        <w:trPr>
          <w:trHeight w:val="711"/>
        </w:trPr>
        <w:tc>
          <w:tcPr>
            <w:tcW w:w="1574" w:type="dxa"/>
          </w:tcPr>
          <w:p w:rsidR="00175A40" w:rsidRPr="00DF575C" w:rsidRDefault="00175A40" w:rsidP="001303B9">
            <w:pPr>
              <w:pStyle w:val="Default"/>
              <w:jc w:val="center"/>
              <w:rPr>
                <w:rFonts w:ascii="Times New Roman" w:hAnsi="Times New Roman" w:cs="Times New Roman"/>
                <w:sz w:val="28"/>
                <w:szCs w:val="28"/>
              </w:rPr>
            </w:pPr>
          </w:p>
          <w:p w:rsidR="00175A40" w:rsidRPr="00DF575C" w:rsidRDefault="00175A40" w:rsidP="001303B9">
            <w:pPr>
              <w:pStyle w:val="Default"/>
              <w:jc w:val="center"/>
              <w:rPr>
                <w:rFonts w:ascii="Times New Roman" w:hAnsi="Times New Roman" w:cs="Times New Roman"/>
                <w:sz w:val="28"/>
                <w:szCs w:val="28"/>
              </w:rPr>
            </w:pPr>
            <w:r w:rsidRPr="00DF575C">
              <w:rPr>
                <w:rFonts w:ascii="Times New Roman" w:hAnsi="Times New Roman" w:cs="Times New Roman"/>
                <w:sz w:val="28"/>
                <w:szCs w:val="28"/>
              </w:rPr>
              <w:t xml:space="preserve">Mar’ </w:t>
            </w:r>
            <w:r w:rsidR="000405BC">
              <w:rPr>
                <w:rFonts w:ascii="Times New Roman" w:hAnsi="Times New Roman" w:cs="Times New Roman"/>
                <w:sz w:val="28"/>
                <w:szCs w:val="28"/>
              </w:rPr>
              <w:t>10</w:t>
            </w:r>
          </w:p>
        </w:tc>
        <w:tc>
          <w:tcPr>
            <w:tcW w:w="1657" w:type="dxa"/>
          </w:tcPr>
          <w:p w:rsidR="00175A40" w:rsidRPr="00DF575C" w:rsidRDefault="00175A40" w:rsidP="001303B9">
            <w:pPr>
              <w:pStyle w:val="Default"/>
              <w:jc w:val="center"/>
              <w:rPr>
                <w:rFonts w:ascii="Times New Roman" w:hAnsi="Times New Roman" w:cs="Times New Roman"/>
                <w:sz w:val="28"/>
                <w:szCs w:val="28"/>
              </w:rPr>
            </w:pPr>
          </w:p>
          <w:tbl>
            <w:tblPr>
              <w:tblW w:w="1246" w:type="dxa"/>
              <w:tblInd w:w="16" w:type="dxa"/>
              <w:tblBorders>
                <w:top w:val="nil"/>
                <w:left w:val="nil"/>
                <w:bottom w:val="nil"/>
                <w:right w:val="nil"/>
              </w:tblBorders>
              <w:tblLook w:val="0000" w:firstRow="0" w:lastRow="0" w:firstColumn="0" w:lastColumn="0" w:noHBand="0" w:noVBand="0"/>
            </w:tblPr>
            <w:tblGrid>
              <w:gridCol w:w="1246"/>
            </w:tblGrid>
            <w:tr w:rsidR="00175A40" w:rsidRPr="00DF575C" w:rsidTr="00280DDE">
              <w:trPr>
                <w:trHeight w:val="386"/>
              </w:trPr>
              <w:tc>
                <w:tcPr>
                  <w:tcW w:w="0" w:type="auto"/>
                </w:tcPr>
                <w:p w:rsidR="00175A40" w:rsidRPr="00DF575C" w:rsidRDefault="00175A40" w:rsidP="001303B9">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sidR="000405BC">
                    <w:rPr>
                      <w:rFonts w:ascii="Times New Roman" w:hAnsi="Times New Roman" w:cs="Times New Roman"/>
                      <w:sz w:val="28"/>
                      <w:szCs w:val="28"/>
                    </w:rPr>
                    <w:t>11</w:t>
                  </w:r>
                </w:p>
              </w:tc>
            </w:tr>
          </w:tbl>
          <w:p w:rsidR="00175A40" w:rsidRPr="00DF575C" w:rsidRDefault="00175A40" w:rsidP="001303B9">
            <w:pPr>
              <w:pStyle w:val="Default"/>
              <w:jc w:val="center"/>
              <w:rPr>
                <w:rFonts w:ascii="Times New Roman" w:hAnsi="Times New Roman" w:cs="Times New Roman"/>
                <w:sz w:val="28"/>
                <w:szCs w:val="28"/>
              </w:rPr>
            </w:pPr>
          </w:p>
        </w:tc>
        <w:tc>
          <w:tcPr>
            <w:tcW w:w="1864" w:type="dxa"/>
          </w:tcPr>
          <w:p w:rsidR="00175A40" w:rsidRPr="00DF575C" w:rsidRDefault="00175A40" w:rsidP="001303B9">
            <w:pPr>
              <w:pStyle w:val="Default"/>
              <w:jc w:val="center"/>
              <w:rPr>
                <w:rFonts w:ascii="Times New Roman" w:hAnsi="Times New Roman" w:cs="Times New Roman"/>
                <w:sz w:val="28"/>
                <w:szCs w:val="28"/>
              </w:rPr>
            </w:pPr>
          </w:p>
          <w:tbl>
            <w:tblPr>
              <w:tblW w:w="1501" w:type="dxa"/>
              <w:tblInd w:w="16" w:type="dxa"/>
              <w:tblBorders>
                <w:top w:val="nil"/>
                <w:left w:val="nil"/>
                <w:bottom w:val="nil"/>
                <w:right w:val="nil"/>
              </w:tblBorders>
              <w:tblLook w:val="0000" w:firstRow="0" w:lastRow="0" w:firstColumn="0" w:lastColumn="0" w:noHBand="0" w:noVBand="0"/>
            </w:tblPr>
            <w:tblGrid>
              <w:gridCol w:w="1246"/>
              <w:gridCol w:w="255"/>
            </w:tblGrid>
            <w:tr w:rsidR="00175A40" w:rsidRPr="00DF575C" w:rsidTr="00280DDE">
              <w:trPr>
                <w:trHeight w:val="386"/>
              </w:trPr>
              <w:tc>
                <w:tcPr>
                  <w:tcW w:w="0" w:type="auto"/>
                </w:tcPr>
                <w:p w:rsidR="00175A40" w:rsidRPr="00DF575C" w:rsidRDefault="00175A40" w:rsidP="001303B9">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sidR="000405BC">
                    <w:rPr>
                      <w:rFonts w:ascii="Times New Roman" w:hAnsi="Times New Roman" w:cs="Times New Roman"/>
                      <w:sz w:val="28"/>
                      <w:szCs w:val="28"/>
                    </w:rPr>
                    <w:t>12</w:t>
                  </w:r>
                </w:p>
              </w:tc>
              <w:tc>
                <w:tcPr>
                  <w:tcW w:w="0" w:type="auto"/>
                </w:tcPr>
                <w:p w:rsidR="00175A40" w:rsidRPr="00DF575C" w:rsidRDefault="00175A40" w:rsidP="001303B9">
                  <w:pPr>
                    <w:pStyle w:val="Default"/>
                    <w:jc w:val="center"/>
                    <w:rPr>
                      <w:rFonts w:ascii="Times New Roman" w:hAnsi="Times New Roman" w:cs="Times New Roman"/>
                      <w:sz w:val="28"/>
                      <w:szCs w:val="28"/>
                    </w:rPr>
                  </w:pPr>
                </w:p>
              </w:tc>
            </w:tr>
          </w:tbl>
          <w:p w:rsidR="00175A40" w:rsidRPr="00DF575C" w:rsidRDefault="00175A40" w:rsidP="001303B9">
            <w:pPr>
              <w:pStyle w:val="Default"/>
              <w:jc w:val="center"/>
              <w:rPr>
                <w:rFonts w:ascii="Times New Roman" w:hAnsi="Times New Roman" w:cs="Times New Roman"/>
                <w:sz w:val="28"/>
                <w:szCs w:val="28"/>
              </w:rPr>
            </w:pPr>
          </w:p>
        </w:tc>
        <w:tc>
          <w:tcPr>
            <w:tcW w:w="1864" w:type="dxa"/>
          </w:tcPr>
          <w:p w:rsidR="00175A40" w:rsidRPr="00DF575C" w:rsidRDefault="00175A40" w:rsidP="001303B9">
            <w:pPr>
              <w:pStyle w:val="Default"/>
              <w:jc w:val="center"/>
              <w:rPr>
                <w:rFonts w:ascii="Times New Roman" w:hAnsi="Times New Roman" w:cs="Times New Roman"/>
                <w:sz w:val="28"/>
                <w:szCs w:val="28"/>
              </w:rPr>
            </w:pPr>
          </w:p>
          <w:p w:rsidR="00175A40" w:rsidRPr="00DF575C" w:rsidRDefault="00175A40" w:rsidP="000405BC">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sidR="000405BC">
              <w:rPr>
                <w:rFonts w:ascii="Times New Roman" w:hAnsi="Times New Roman" w:cs="Times New Roman"/>
                <w:sz w:val="28"/>
                <w:szCs w:val="28"/>
              </w:rPr>
              <w:t>13</w:t>
            </w:r>
          </w:p>
        </w:tc>
        <w:tc>
          <w:tcPr>
            <w:tcW w:w="1553" w:type="dxa"/>
          </w:tcPr>
          <w:p w:rsidR="001303B9" w:rsidRPr="00DF575C" w:rsidRDefault="001303B9" w:rsidP="001303B9">
            <w:pPr>
              <w:pStyle w:val="Default"/>
              <w:jc w:val="center"/>
              <w:rPr>
                <w:rFonts w:ascii="Times New Roman" w:hAnsi="Times New Roman" w:cs="Times New Roman"/>
                <w:sz w:val="28"/>
                <w:szCs w:val="28"/>
              </w:rPr>
            </w:pPr>
          </w:p>
          <w:p w:rsidR="00175A40" w:rsidRPr="00DF575C" w:rsidRDefault="00175A40" w:rsidP="001303B9">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'1</w:t>
            </w:r>
            <w:r w:rsidR="000405BC">
              <w:rPr>
                <w:rFonts w:ascii="Times New Roman" w:hAnsi="Times New Roman" w:cs="Times New Roman"/>
                <w:sz w:val="28"/>
                <w:szCs w:val="28"/>
              </w:rPr>
              <w:t>4</w:t>
            </w:r>
          </w:p>
        </w:tc>
      </w:tr>
      <w:tr w:rsidR="00175A40" w:rsidRPr="0047351B" w:rsidTr="00280DDE">
        <w:trPr>
          <w:trHeight w:val="420"/>
        </w:trPr>
        <w:tc>
          <w:tcPr>
            <w:tcW w:w="1574" w:type="dxa"/>
          </w:tcPr>
          <w:p w:rsidR="00175A40" w:rsidRPr="00DF575C" w:rsidRDefault="001303B9" w:rsidP="001303B9">
            <w:pPr>
              <w:pStyle w:val="Default"/>
              <w:jc w:val="center"/>
              <w:rPr>
                <w:rFonts w:ascii="Times New Roman" w:hAnsi="Times New Roman" w:cs="Times New Roman"/>
                <w:sz w:val="28"/>
                <w:szCs w:val="28"/>
              </w:rPr>
            </w:pPr>
            <w:r w:rsidRPr="00DF575C">
              <w:rPr>
                <w:rFonts w:ascii="Times New Roman" w:hAnsi="Times New Roman" w:cs="Times New Roman"/>
                <w:sz w:val="28"/>
                <w:szCs w:val="28"/>
              </w:rPr>
              <w:t>11.12</w:t>
            </w:r>
          </w:p>
        </w:tc>
        <w:tc>
          <w:tcPr>
            <w:tcW w:w="1657" w:type="dxa"/>
          </w:tcPr>
          <w:p w:rsidR="00175A40" w:rsidRPr="00DF575C" w:rsidRDefault="001303B9" w:rsidP="001303B9">
            <w:pPr>
              <w:pStyle w:val="Default"/>
              <w:jc w:val="center"/>
              <w:rPr>
                <w:rFonts w:ascii="Times New Roman" w:hAnsi="Times New Roman" w:cs="Times New Roman"/>
                <w:sz w:val="28"/>
                <w:szCs w:val="28"/>
              </w:rPr>
            </w:pPr>
            <w:r w:rsidRPr="00DF575C">
              <w:rPr>
                <w:rFonts w:ascii="Times New Roman" w:hAnsi="Times New Roman" w:cs="Times New Roman"/>
                <w:sz w:val="28"/>
                <w:szCs w:val="28"/>
              </w:rPr>
              <w:t>11.56</w:t>
            </w:r>
          </w:p>
        </w:tc>
        <w:tc>
          <w:tcPr>
            <w:tcW w:w="1864" w:type="dxa"/>
          </w:tcPr>
          <w:p w:rsidR="00175A40" w:rsidRPr="00DF575C" w:rsidRDefault="001303B9" w:rsidP="001303B9">
            <w:pPr>
              <w:pStyle w:val="Default"/>
              <w:jc w:val="center"/>
              <w:rPr>
                <w:rFonts w:ascii="Times New Roman" w:hAnsi="Times New Roman" w:cs="Times New Roman"/>
                <w:sz w:val="28"/>
                <w:szCs w:val="28"/>
              </w:rPr>
            </w:pPr>
            <w:r w:rsidRPr="00DF575C">
              <w:rPr>
                <w:rFonts w:ascii="Times New Roman" w:hAnsi="Times New Roman" w:cs="Times New Roman"/>
                <w:sz w:val="28"/>
                <w:szCs w:val="28"/>
              </w:rPr>
              <w:t>10.09</w:t>
            </w:r>
          </w:p>
        </w:tc>
        <w:tc>
          <w:tcPr>
            <w:tcW w:w="1864" w:type="dxa"/>
          </w:tcPr>
          <w:p w:rsidR="00175A40" w:rsidRPr="00DF575C" w:rsidRDefault="001303B9" w:rsidP="001303B9">
            <w:pPr>
              <w:pStyle w:val="Default"/>
              <w:jc w:val="center"/>
              <w:rPr>
                <w:rFonts w:ascii="Times New Roman" w:hAnsi="Times New Roman" w:cs="Times New Roman"/>
                <w:sz w:val="28"/>
                <w:szCs w:val="28"/>
              </w:rPr>
            </w:pPr>
            <w:r w:rsidRPr="00DF575C">
              <w:rPr>
                <w:rFonts w:ascii="Times New Roman" w:hAnsi="Times New Roman" w:cs="Times New Roman"/>
                <w:sz w:val="28"/>
                <w:szCs w:val="28"/>
              </w:rPr>
              <w:t>11.93</w:t>
            </w:r>
          </w:p>
        </w:tc>
        <w:tc>
          <w:tcPr>
            <w:tcW w:w="1553" w:type="dxa"/>
          </w:tcPr>
          <w:p w:rsidR="00175A40" w:rsidRPr="00DF575C" w:rsidRDefault="001303B9" w:rsidP="001303B9">
            <w:pPr>
              <w:pStyle w:val="Default"/>
              <w:jc w:val="center"/>
              <w:rPr>
                <w:rFonts w:ascii="Times New Roman" w:hAnsi="Times New Roman" w:cs="Times New Roman"/>
                <w:sz w:val="28"/>
                <w:szCs w:val="28"/>
              </w:rPr>
            </w:pPr>
            <w:r w:rsidRPr="00DF575C">
              <w:rPr>
                <w:rFonts w:ascii="Times New Roman" w:hAnsi="Times New Roman" w:cs="Times New Roman"/>
                <w:sz w:val="28"/>
                <w:szCs w:val="28"/>
              </w:rPr>
              <w:t>13.21</w:t>
            </w:r>
          </w:p>
        </w:tc>
      </w:tr>
    </w:tbl>
    <w:p w:rsidR="00496719" w:rsidRDefault="00496719" w:rsidP="00496719">
      <w:pPr>
        <w:pStyle w:val="Default"/>
        <w:jc w:val="center"/>
        <w:rPr>
          <w:rFonts w:ascii="Times New Roman" w:hAnsi="Times New Roman" w:cs="Times New Roman"/>
          <w:sz w:val="28"/>
          <w:szCs w:val="28"/>
        </w:rPr>
      </w:pPr>
    </w:p>
    <w:p w:rsidR="00496719" w:rsidRDefault="00496719" w:rsidP="00496719">
      <w:pPr>
        <w:pStyle w:val="Default"/>
        <w:jc w:val="center"/>
        <w:rPr>
          <w:rFonts w:ascii="Times New Roman" w:hAnsi="Times New Roman" w:cs="Times New Roman"/>
          <w:sz w:val="23"/>
          <w:szCs w:val="23"/>
        </w:rPr>
      </w:pPr>
      <w:r w:rsidRPr="00DF575C">
        <w:rPr>
          <w:rFonts w:ascii="Times New Roman" w:hAnsi="Times New Roman" w:cs="Times New Roman"/>
          <w:sz w:val="28"/>
          <w:szCs w:val="28"/>
        </w:rPr>
        <w:t>Figures: 1.1</w:t>
      </w:r>
    </w:p>
    <w:p w:rsidR="00280DDE" w:rsidRPr="0047351B" w:rsidRDefault="000F241C" w:rsidP="00496719">
      <w:pPr>
        <w:pStyle w:val="Default"/>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5486400" cy="3200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03B9" w:rsidRPr="0047351B" w:rsidRDefault="001303B9" w:rsidP="001303B9">
      <w:pPr>
        <w:pStyle w:val="Default"/>
        <w:jc w:val="center"/>
        <w:rPr>
          <w:rFonts w:ascii="Times New Roman" w:hAnsi="Times New Roman" w:cs="Times New Roman"/>
          <w:sz w:val="23"/>
          <w:szCs w:val="23"/>
        </w:rPr>
      </w:pPr>
    </w:p>
    <w:p w:rsidR="003641F9" w:rsidRPr="0047351B" w:rsidRDefault="003641F9" w:rsidP="003641F9">
      <w:pPr>
        <w:pStyle w:val="Default"/>
        <w:jc w:val="center"/>
        <w:rPr>
          <w:rFonts w:ascii="Times New Roman" w:hAnsi="Times New Roman" w:cs="Times New Roman"/>
          <w:sz w:val="27"/>
          <w:szCs w:val="27"/>
        </w:rPr>
      </w:pPr>
    </w:p>
    <w:p w:rsidR="00FC43D6" w:rsidRPr="00DF575C" w:rsidRDefault="003641F9" w:rsidP="00496719">
      <w:pPr>
        <w:pStyle w:val="Default"/>
        <w:spacing w:line="360" w:lineRule="auto"/>
        <w:rPr>
          <w:rFonts w:ascii="Times New Roman" w:hAnsi="Times New Roman" w:cs="Times New Roman"/>
        </w:rPr>
      </w:pPr>
      <w:r w:rsidRPr="00DF575C">
        <w:rPr>
          <w:rFonts w:ascii="Times New Roman" w:hAnsi="Times New Roman" w:cs="Times New Roman"/>
        </w:rPr>
        <w:t>(Source: Calculated from the annual report of ICICI Bank.)</w:t>
      </w:r>
    </w:p>
    <w:p w:rsidR="003641F9" w:rsidRPr="00DF575C" w:rsidRDefault="003641F9" w:rsidP="00DF575C">
      <w:pPr>
        <w:pStyle w:val="Default"/>
        <w:spacing w:line="360" w:lineRule="auto"/>
        <w:rPr>
          <w:rFonts w:ascii="Times New Roman" w:hAnsi="Times New Roman" w:cs="Times New Roman"/>
        </w:rPr>
      </w:pPr>
    </w:p>
    <w:p w:rsidR="001303B9" w:rsidRPr="00DF575C" w:rsidRDefault="001303B9" w:rsidP="00015735">
      <w:pPr>
        <w:pStyle w:val="Default"/>
        <w:spacing w:line="360" w:lineRule="auto"/>
        <w:ind w:firstLine="720"/>
        <w:jc w:val="both"/>
        <w:rPr>
          <w:rFonts w:ascii="Times New Roman" w:hAnsi="Times New Roman" w:cs="Times New Roman"/>
        </w:rPr>
      </w:pPr>
      <w:r w:rsidRPr="00DF575C">
        <w:rPr>
          <w:rFonts w:ascii="Times New Roman" w:hAnsi="Times New Roman" w:cs="Times New Roman"/>
        </w:rPr>
        <w:t xml:space="preserve">Capital adequacy ratio (CAR) is a ratio of a bank's capital to its risk. National regulators track a bank's CAR to ensure that it can absorb a reasonable amount of loss and are complying with their statutory Capital requirements. The formula for Capital Adequacy Ratio is, (Tier 1 Capital + Tier 2 Capital)/Risk Weighted Assets. Capital adequacy ratio is the ratio which determines the capacity of the bank in terms of meeting the time liabilities and other risks such as credit risk, operational risk, etc. In the simplest formulation, a bank's capital is the "cushion" for potential losses, which protects the bank's depositors or other lenders. Here, </w:t>
      </w:r>
      <w:r w:rsidR="00FC43D6" w:rsidRPr="00DF575C">
        <w:rPr>
          <w:rFonts w:ascii="Times New Roman" w:hAnsi="Times New Roman" w:cs="Times New Roman"/>
        </w:rPr>
        <w:t>in case</w:t>
      </w:r>
      <w:r w:rsidR="00036905" w:rsidRPr="00DF575C">
        <w:rPr>
          <w:rFonts w:ascii="Times New Roman" w:hAnsi="Times New Roman" w:cs="Times New Roman"/>
        </w:rPr>
        <w:t xml:space="preserve"> of ICICI</w:t>
      </w:r>
      <w:r w:rsidRPr="00DF575C">
        <w:rPr>
          <w:rFonts w:ascii="Times New Roman" w:hAnsi="Times New Roman" w:cs="Times New Roman"/>
        </w:rPr>
        <w:t xml:space="preserve"> Bank we can see </w:t>
      </w:r>
      <w:r w:rsidRPr="00DF575C">
        <w:rPr>
          <w:rFonts w:ascii="Times New Roman" w:hAnsi="Times New Roman" w:cs="Times New Roman"/>
        </w:rPr>
        <w:lastRenderedPageBreak/>
        <w:t xml:space="preserve">that its CAR showed a sudden dip in the year </w:t>
      </w:r>
      <w:r w:rsidR="001C24F1">
        <w:rPr>
          <w:rFonts w:ascii="Times New Roman" w:hAnsi="Times New Roman" w:cs="Times New Roman"/>
        </w:rPr>
        <w:t>2012</w:t>
      </w:r>
      <w:r w:rsidRPr="00DF575C">
        <w:rPr>
          <w:rFonts w:ascii="Times New Roman" w:hAnsi="Times New Roman" w:cs="Times New Roman"/>
        </w:rPr>
        <w:t xml:space="preserve"> but after that it has shown a steady rise for the next 2 years which is a good sign for its depositors and investors. </w:t>
      </w:r>
    </w:p>
    <w:p w:rsidR="001303B9" w:rsidRPr="0047351B" w:rsidRDefault="001303B9" w:rsidP="00015735">
      <w:pPr>
        <w:pStyle w:val="ListParagraph"/>
        <w:spacing w:line="360" w:lineRule="auto"/>
        <w:ind w:left="0"/>
        <w:jc w:val="both"/>
        <w:rPr>
          <w:rFonts w:ascii="Times New Roman" w:hAnsi="Times New Roman" w:cs="Times New Roman"/>
          <w:b/>
          <w:sz w:val="27"/>
          <w:szCs w:val="27"/>
        </w:rPr>
      </w:pPr>
      <w:r w:rsidRPr="0047351B">
        <w:rPr>
          <w:sz w:val="21"/>
          <w:szCs w:val="21"/>
        </w:rPr>
        <w:br w:type="page"/>
      </w:r>
      <w:r w:rsidRPr="00DF575C">
        <w:rPr>
          <w:rFonts w:ascii="Times New Roman" w:hAnsi="Times New Roman" w:cs="Times New Roman"/>
          <w:b/>
          <w:sz w:val="28"/>
          <w:szCs w:val="28"/>
        </w:rPr>
        <w:lastRenderedPageBreak/>
        <w:t>Debt-Equity Ratio</w:t>
      </w:r>
      <w:r w:rsidR="00280DDE" w:rsidRPr="0047351B">
        <w:rPr>
          <w:rFonts w:ascii="Times New Roman" w:hAnsi="Times New Roman" w:cs="Times New Roman"/>
          <w:b/>
          <w:sz w:val="27"/>
          <w:szCs w:val="27"/>
        </w:rPr>
        <w:t>:</w:t>
      </w:r>
    </w:p>
    <w:p w:rsidR="00280DDE" w:rsidRPr="0047351B" w:rsidRDefault="00280DDE" w:rsidP="00280DDE">
      <w:pPr>
        <w:pStyle w:val="ListParagraph"/>
        <w:ind w:left="0"/>
        <w:jc w:val="both"/>
        <w:rPr>
          <w:rFonts w:ascii="Times New Roman" w:hAnsi="Times New Roman" w:cs="Times New Roman"/>
          <w:b/>
          <w:sz w:val="27"/>
          <w:szCs w:val="27"/>
        </w:rPr>
      </w:pPr>
    </w:p>
    <w:p w:rsidR="00280DDE" w:rsidRPr="00DF575C" w:rsidRDefault="00280DDE" w:rsidP="00665CEB">
      <w:pPr>
        <w:pStyle w:val="ListParagraph"/>
        <w:spacing w:line="360" w:lineRule="auto"/>
        <w:ind w:left="0"/>
        <w:jc w:val="both"/>
        <w:rPr>
          <w:rFonts w:ascii="Times New Roman" w:hAnsi="Times New Roman" w:cs="Times New Roman"/>
          <w:b/>
          <w:sz w:val="24"/>
          <w:szCs w:val="24"/>
        </w:rPr>
      </w:pPr>
      <w:r w:rsidRPr="0047351B">
        <w:rPr>
          <w:rFonts w:ascii="Times New Roman" w:hAnsi="Times New Roman" w:cs="Times New Roman"/>
          <w:b/>
          <w:sz w:val="27"/>
          <w:szCs w:val="27"/>
        </w:rPr>
        <w:tab/>
      </w:r>
      <w:proofErr w:type="gramStart"/>
      <w:r w:rsidRPr="00DF575C">
        <w:rPr>
          <w:rStyle w:val="apple-style-span"/>
          <w:rFonts w:ascii="Times New Roman" w:hAnsi="Times New Roman" w:cs="Times New Roman"/>
          <w:color w:val="000000"/>
          <w:sz w:val="24"/>
          <w:szCs w:val="24"/>
        </w:rPr>
        <w:t>A measure of a company's financial leverage calculated by dividing its total liabilities by stockholders' equity.</w:t>
      </w:r>
      <w:proofErr w:type="gramEnd"/>
      <w:r w:rsidRPr="00DF575C">
        <w:rPr>
          <w:rStyle w:val="apple-style-span"/>
          <w:rFonts w:ascii="Times New Roman" w:hAnsi="Times New Roman" w:cs="Times New Roman"/>
          <w:color w:val="000000"/>
          <w:sz w:val="24"/>
          <w:szCs w:val="24"/>
        </w:rPr>
        <w:t xml:space="preserve"> It indicates what proportion of equity and debt the company is using to finance its assets.</w:t>
      </w:r>
      <w:r w:rsidRPr="00DF575C">
        <w:rPr>
          <w:rStyle w:val="apple-style-span"/>
          <w:rFonts w:ascii="Times New Roman" w:hAnsi="Times New Roman" w:cs="Times New Roman"/>
          <w:color w:val="000000"/>
          <w:sz w:val="24"/>
          <w:szCs w:val="24"/>
        </w:rPr>
        <w:tab/>
      </w:r>
      <w:r w:rsidRPr="00DF575C">
        <w:rPr>
          <w:rFonts w:ascii="Times New Roman" w:hAnsi="Times New Roman" w:cs="Times New Roman"/>
          <w:color w:val="000000"/>
          <w:sz w:val="24"/>
          <w:szCs w:val="24"/>
        </w:rPr>
        <w:br/>
      </w:r>
    </w:p>
    <w:p w:rsidR="00401F6E" w:rsidRPr="00015735" w:rsidRDefault="007F618F" w:rsidP="00280DDE">
      <w:pPr>
        <w:pStyle w:val="Default"/>
        <w:tabs>
          <w:tab w:val="left" w:pos="630"/>
          <w:tab w:val="left" w:pos="810"/>
        </w:tabs>
        <w:jc w:val="center"/>
        <w:rPr>
          <w:rFonts w:ascii="Times New Roman" w:hAnsi="Times New Roman" w:cs="Times New Roman"/>
          <w:sz w:val="28"/>
          <w:szCs w:val="28"/>
        </w:rPr>
      </w:pPr>
      <w:r w:rsidRPr="00015735">
        <w:rPr>
          <w:rFonts w:ascii="Times New Roman" w:hAnsi="Times New Roman" w:cs="Times New Roman"/>
          <w:sz w:val="28"/>
          <w:szCs w:val="28"/>
        </w:rPr>
        <w:t>Table: 1.2</w:t>
      </w:r>
    </w:p>
    <w:tbl>
      <w:tblPr>
        <w:tblStyle w:val="TableGrid"/>
        <w:tblW w:w="0" w:type="auto"/>
        <w:tblInd w:w="468" w:type="dxa"/>
        <w:tblLook w:val="04A0" w:firstRow="1" w:lastRow="0" w:firstColumn="1" w:lastColumn="0" w:noHBand="0" w:noVBand="1"/>
      </w:tblPr>
      <w:tblGrid>
        <w:gridCol w:w="1483"/>
        <w:gridCol w:w="1667"/>
        <w:gridCol w:w="1733"/>
        <w:gridCol w:w="1890"/>
        <w:gridCol w:w="1710"/>
      </w:tblGrid>
      <w:tr w:rsidR="000405BC" w:rsidRPr="00015735" w:rsidTr="00401F6E">
        <w:trPr>
          <w:trHeight w:val="755"/>
        </w:trPr>
        <w:tc>
          <w:tcPr>
            <w:tcW w:w="1483"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 xml:space="preserve">Mar’ </w:t>
            </w:r>
            <w:r>
              <w:rPr>
                <w:rFonts w:ascii="Times New Roman" w:hAnsi="Times New Roman" w:cs="Times New Roman"/>
                <w:sz w:val="28"/>
                <w:szCs w:val="28"/>
              </w:rPr>
              <w:t>10</w:t>
            </w:r>
          </w:p>
        </w:tc>
        <w:tc>
          <w:tcPr>
            <w:tcW w:w="1667" w:type="dxa"/>
          </w:tcPr>
          <w:p w:rsidR="000405BC" w:rsidRPr="00DF575C" w:rsidRDefault="000405BC" w:rsidP="0090368E">
            <w:pPr>
              <w:pStyle w:val="Default"/>
              <w:jc w:val="center"/>
              <w:rPr>
                <w:rFonts w:ascii="Times New Roman" w:hAnsi="Times New Roman" w:cs="Times New Roman"/>
                <w:sz w:val="28"/>
                <w:szCs w:val="28"/>
              </w:rPr>
            </w:pPr>
          </w:p>
          <w:tbl>
            <w:tblPr>
              <w:tblW w:w="1246" w:type="dxa"/>
              <w:tblInd w:w="16" w:type="dxa"/>
              <w:tblBorders>
                <w:top w:val="nil"/>
                <w:left w:val="nil"/>
                <w:bottom w:val="nil"/>
                <w:right w:val="nil"/>
              </w:tblBorders>
              <w:tblLook w:val="0000" w:firstRow="0" w:lastRow="0" w:firstColumn="0" w:lastColumn="0" w:noHBand="0" w:noVBand="0"/>
            </w:tblPr>
            <w:tblGrid>
              <w:gridCol w:w="1246"/>
            </w:tblGrid>
            <w:tr w:rsidR="000405BC" w:rsidRPr="00DF575C" w:rsidTr="0090368E">
              <w:trPr>
                <w:trHeight w:val="386"/>
              </w:trPr>
              <w:tc>
                <w:tcPr>
                  <w:tcW w:w="0" w:type="auto"/>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11</w:t>
                  </w:r>
                </w:p>
              </w:tc>
            </w:tr>
          </w:tbl>
          <w:p w:rsidR="000405BC" w:rsidRPr="00DF575C" w:rsidRDefault="000405BC" w:rsidP="0090368E">
            <w:pPr>
              <w:pStyle w:val="Default"/>
              <w:jc w:val="center"/>
              <w:rPr>
                <w:rFonts w:ascii="Times New Roman" w:hAnsi="Times New Roman" w:cs="Times New Roman"/>
                <w:sz w:val="28"/>
                <w:szCs w:val="28"/>
              </w:rPr>
            </w:pPr>
          </w:p>
        </w:tc>
        <w:tc>
          <w:tcPr>
            <w:tcW w:w="1710" w:type="dxa"/>
          </w:tcPr>
          <w:p w:rsidR="000405BC" w:rsidRPr="00DF575C" w:rsidRDefault="000405BC" w:rsidP="0090368E">
            <w:pPr>
              <w:pStyle w:val="Default"/>
              <w:jc w:val="center"/>
              <w:rPr>
                <w:rFonts w:ascii="Times New Roman" w:hAnsi="Times New Roman" w:cs="Times New Roman"/>
                <w:sz w:val="28"/>
                <w:szCs w:val="28"/>
              </w:rPr>
            </w:pPr>
          </w:p>
          <w:tbl>
            <w:tblPr>
              <w:tblW w:w="1501" w:type="dxa"/>
              <w:tblInd w:w="16" w:type="dxa"/>
              <w:tblBorders>
                <w:top w:val="nil"/>
                <w:left w:val="nil"/>
                <w:bottom w:val="nil"/>
                <w:right w:val="nil"/>
              </w:tblBorders>
              <w:tblLook w:val="0000" w:firstRow="0" w:lastRow="0" w:firstColumn="0" w:lastColumn="0" w:noHBand="0" w:noVBand="0"/>
            </w:tblPr>
            <w:tblGrid>
              <w:gridCol w:w="1246"/>
              <w:gridCol w:w="255"/>
            </w:tblGrid>
            <w:tr w:rsidR="000405BC" w:rsidRPr="00DF575C" w:rsidTr="0090368E">
              <w:trPr>
                <w:trHeight w:val="386"/>
              </w:trPr>
              <w:tc>
                <w:tcPr>
                  <w:tcW w:w="0" w:type="auto"/>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12</w:t>
                  </w:r>
                </w:p>
              </w:tc>
              <w:tc>
                <w:tcPr>
                  <w:tcW w:w="0" w:type="auto"/>
                </w:tcPr>
                <w:p w:rsidR="000405BC" w:rsidRPr="00DF575C" w:rsidRDefault="000405BC" w:rsidP="0090368E">
                  <w:pPr>
                    <w:pStyle w:val="Default"/>
                    <w:jc w:val="center"/>
                    <w:rPr>
                      <w:rFonts w:ascii="Times New Roman" w:hAnsi="Times New Roman" w:cs="Times New Roman"/>
                      <w:sz w:val="28"/>
                      <w:szCs w:val="28"/>
                    </w:rPr>
                  </w:pPr>
                </w:p>
              </w:tc>
            </w:tr>
          </w:tbl>
          <w:p w:rsidR="000405BC" w:rsidRPr="00DF575C" w:rsidRDefault="000405BC" w:rsidP="0090368E">
            <w:pPr>
              <w:pStyle w:val="Default"/>
              <w:jc w:val="center"/>
              <w:rPr>
                <w:rFonts w:ascii="Times New Roman" w:hAnsi="Times New Roman" w:cs="Times New Roman"/>
                <w:sz w:val="28"/>
                <w:szCs w:val="28"/>
              </w:rPr>
            </w:pPr>
          </w:p>
        </w:tc>
        <w:tc>
          <w:tcPr>
            <w:tcW w:w="189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13</w:t>
            </w:r>
          </w:p>
        </w:tc>
        <w:tc>
          <w:tcPr>
            <w:tcW w:w="171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'1</w:t>
            </w:r>
            <w:r>
              <w:rPr>
                <w:rFonts w:ascii="Times New Roman" w:hAnsi="Times New Roman" w:cs="Times New Roman"/>
                <w:sz w:val="28"/>
                <w:szCs w:val="28"/>
              </w:rPr>
              <w:t>4</w:t>
            </w:r>
          </w:p>
        </w:tc>
      </w:tr>
      <w:tr w:rsidR="000405BC" w:rsidRPr="00015735" w:rsidTr="00401F6E">
        <w:trPr>
          <w:trHeight w:val="422"/>
        </w:trPr>
        <w:tc>
          <w:tcPr>
            <w:tcW w:w="1483" w:type="dxa"/>
          </w:tcPr>
          <w:p w:rsidR="000405BC" w:rsidRPr="00015735" w:rsidRDefault="000405BC" w:rsidP="001303B9">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69.93</w:t>
            </w:r>
          </w:p>
        </w:tc>
        <w:tc>
          <w:tcPr>
            <w:tcW w:w="1667" w:type="dxa"/>
          </w:tcPr>
          <w:p w:rsidR="000405BC" w:rsidRPr="00015735" w:rsidRDefault="000405BC" w:rsidP="001303B9">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84.22</w:t>
            </w:r>
          </w:p>
        </w:tc>
        <w:tc>
          <w:tcPr>
            <w:tcW w:w="1710" w:type="dxa"/>
          </w:tcPr>
          <w:p w:rsidR="000405BC" w:rsidRPr="00015735" w:rsidRDefault="000405BC" w:rsidP="001303B9">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102.11</w:t>
            </w:r>
          </w:p>
        </w:tc>
        <w:tc>
          <w:tcPr>
            <w:tcW w:w="1890" w:type="dxa"/>
          </w:tcPr>
          <w:p w:rsidR="000405BC" w:rsidRPr="00015735" w:rsidRDefault="000405BC" w:rsidP="001303B9">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186.19</w:t>
            </w:r>
          </w:p>
        </w:tc>
        <w:tc>
          <w:tcPr>
            <w:tcW w:w="1710" w:type="dxa"/>
          </w:tcPr>
          <w:p w:rsidR="000405BC" w:rsidRPr="00015735" w:rsidRDefault="000405BC" w:rsidP="001303B9">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234.24</w:t>
            </w:r>
          </w:p>
        </w:tc>
      </w:tr>
    </w:tbl>
    <w:p w:rsidR="00280DDE" w:rsidRPr="00015735" w:rsidRDefault="00280DDE" w:rsidP="00280DDE">
      <w:pPr>
        <w:pStyle w:val="Default"/>
        <w:jc w:val="center"/>
        <w:rPr>
          <w:rFonts w:ascii="Times New Roman" w:hAnsi="Times New Roman" w:cs="Times New Roman"/>
          <w:color w:val="auto"/>
          <w:sz w:val="28"/>
          <w:szCs w:val="28"/>
        </w:rPr>
      </w:pPr>
    </w:p>
    <w:p w:rsidR="001303B9" w:rsidRPr="00015735" w:rsidRDefault="00280DDE" w:rsidP="00280DDE">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Figure: 1.2</w:t>
      </w:r>
    </w:p>
    <w:p w:rsidR="001303B9" w:rsidRPr="0047351B" w:rsidRDefault="000F241C" w:rsidP="00401F6E">
      <w:pPr>
        <w:pStyle w:val="Default"/>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41F9" w:rsidRPr="0047351B" w:rsidRDefault="003641F9" w:rsidP="003641F9">
      <w:pPr>
        <w:pStyle w:val="Default"/>
        <w:jc w:val="center"/>
        <w:rPr>
          <w:rFonts w:ascii="Times New Roman" w:hAnsi="Times New Roman" w:cs="Times New Roman"/>
          <w:color w:val="auto"/>
          <w:sz w:val="27"/>
          <w:szCs w:val="27"/>
        </w:rPr>
      </w:pPr>
    </w:p>
    <w:p w:rsidR="003641F9" w:rsidRPr="00015735" w:rsidRDefault="003641F9" w:rsidP="00015735">
      <w:pPr>
        <w:pStyle w:val="Default"/>
        <w:spacing w:line="360" w:lineRule="auto"/>
        <w:rPr>
          <w:rFonts w:ascii="Times New Roman" w:hAnsi="Times New Roman" w:cs="Times New Roman"/>
        </w:rPr>
      </w:pPr>
      <w:r w:rsidRPr="00015735">
        <w:rPr>
          <w:rFonts w:ascii="Times New Roman" w:hAnsi="Times New Roman" w:cs="Times New Roman"/>
        </w:rPr>
        <w:t>(Source: Calculated from the annual report of ICICI Bank.)</w:t>
      </w:r>
    </w:p>
    <w:p w:rsidR="00FC43D6" w:rsidRPr="00015735" w:rsidRDefault="00FC43D6" w:rsidP="00015735">
      <w:pPr>
        <w:pStyle w:val="Default"/>
        <w:spacing w:line="360" w:lineRule="auto"/>
        <w:rPr>
          <w:rFonts w:ascii="Times New Roman" w:hAnsi="Times New Roman" w:cs="Times New Roman"/>
        </w:rPr>
      </w:pPr>
    </w:p>
    <w:p w:rsidR="00401F6E" w:rsidRPr="00015735" w:rsidRDefault="00401F6E" w:rsidP="00015735">
      <w:pPr>
        <w:pStyle w:val="Default"/>
        <w:spacing w:line="360" w:lineRule="auto"/>
        <w:ind w:firstLine="720"/>
        <w:jc w:val="both"/>
        <w:rPr>
          <w:rFonts w:ascii="Times New Roman" w:hAnsi="Times New Roman" w:cs="Times New Roman"/>
        </w:rPr>
      </w:pPr>
      <w:r w:rsidRPr="00015735">
        <w:rPr>
          <w:rFonts w:ascii="Times New Roman" w:hAnsi="Times New Roman" w:cs="Times New Roman"/>
        </w:rPr>
        <w:t xml:space="preserve">The debt-to-equity ratio (D/E) is a financial ratio indicating the relative proportion of shareholders' equity and debt used to finance a company's assets. Here, in case of </w:t>
      </w:r>
      <w:r w:rsidR="00036905" w:rsidRPr="00015735">
        <w:rPr>
          <w:rFonts w:ascii="Times New Roman" w:hAnsi="Times New Roman" w:cs="Times New Roman"/>
        </w:rPr>
        <w:t xml:space="preserve">ICICI </w:t>
      </w:r>
      <w:r w:rsidRPr="00015735">
        <w:rPr>
          <w:rFonts w:ascii="Times New Roman" w:hAnsi="Times New Roman" w:cs="Times New Roman"/>
        </w:rPr>
        <w:t xml:space="preserve">Bank we can see that the Debt-Equity ratio has increased over the years. This is because its equity capital showed no growth from the year </w:t>
      </w:r>
      <w:r w:rsidR="001C24F1">
        <w:rPr>
          <w:rFonts w:ascii="Times New Roman" w:hAnsi="Times New Roman" w:cs="Times New Roman"/>
        </w:rPr>
        <w:t>2010</w:t>
      </w:r>
      <w:r w:rsidRPr="00015735">
        <w:rPr>
          <w:rFonts w:ascii="Times New Roman" w:hAnsi="Times New Roman" w:cs="Times New Roman"/>
        </w:rPr>
        <w:t xml:space="preserve"> to </w:t>
      </w:r>
      <w:r w:rsidR="001C24F1">
        <w:rPr>
          <w:rFonts w:ascii="Times New Roman" w:hAnsi="Times New Roman" w:cs="Times New Roman"/>
        </w:rPr>
        <w:t>2012</w:t>
      </w:r>
      <w:r w:rsidRPr="00015735">
        <w:rPr>
          <w:rFonts w:ascii="Times New Roman" w:hAnsi="Times New Roman" w:cs="Times New Roman"/>
        </w:rPr>
        <w:t xml:space="preserve"> and it decreased by around Rs250 crore in </w:t>
      </w:r>
      <w:r w:rsidR="001C24F1">
        <w:rPr>
          <w:rFonts w:ascii="Times New Roman" w:hAnsi="Times New Roman" w:cs="Times New Roman"/>
        </w:rPr>
        <w:t>2013</w:t>
      </w:r>
      <w:r w:rsidRPr="00015735">
        <w:rPr>
          <w:rFonts w:ascii="Times New Roman" w:hAnsi="Times New Roman" w:cs="Times New Roman"/>
        </w:rPr>
        <w:t xml:space="preserve"> and remained the same for the year </w:t>
      </w:r>
      <w:r w:rsidR="001C24F1">
        <w:rPr>
          <w:rFonts w:ascii="Times New Roman" w:hAnsi="Times New Roman" w:cs="Times New Roman"/>
        </w:rPr>
        <w:t>2014</w:t>
      </w:r>
      <w:r w:rsidRPr="00015735">
        <w:rPr>
          <w:rFonts w:ascii="Times New Roman" w:hAnsi="Times New Roman" w:cs="Times New Roman"/>
        </w:rPr>
        <w:t xml:space="preserve">. But its debt capital has shown a steady increase over the past 5 years. From this we can infer that since </w:t>
      </w:r>
      <w:r w:rsidR="00036905" w:rsidRPr="00015735">
        <w:rPr>
          <w:rFonts w:ascii="Times New Roman" w:hAnsi="Times New Roman" w:cs="Times New Roman"/>
        </w:rPr>
        <w:t xml:space="preserve">ICICI </w:t>
      </w:r>
      <w:r w:rsidRPr="00015735">
        <w:rPr>
          <w:rFonts w:ascii="Times New Roman" w:hAnsi="Times New Roman" w:cs="Times New Roman"/>
        </w:rPr>
        <w:t xml:space="preserve">Bank is a public sector undertaking it depends much more on debt capital </w:t>
      </w:r>
      <w:r w:rsidR="00FC43D6" w:rsidRPr="00015735">
        <w:rPr>
          <w:rFonts w:ascii="Times New Roman" w:hAnsi="Times New Roman" w:cs="Times New Roman"/>
        </w:rPr>
        <w:t>rather</w:t>
      </w:r>
      <w:r w:rsidRPr="00015735">
        <w:rPr>
          <w:rFonts w:ascii="Times New Roman" w:hAnsi="Times New Roman" w:cs="Times New Roman"/>
        </w:rPr>
        <w:t xml:space="preserve"> than equity capital. </w:t>
      </w:r>
    </w:p>
    <w:p w:rsidR="00B8433A" w:rsidRPr="00015735" w:rsidRDefault="00401F6E" w:rsidP="00B8433A">
      <w:pPr>
        <w:rPr>
          <w:sz w:val="28"/>
          <w:szCs w:val="28"/>
        </w:rPr>
      </w:pPr>
      <w:r w:rsidRPr="0047351B">
        <w:rPr>
          <w:sz w:val="23"/>
          <w:szCs w:val="23"/>
        </w:rPr>
        <w:br w:type="page"/>
      </w:r>
      <w:r w:rsidR="00B8433A" w:rsidRPr="00015735">
        <w:rPr>
          <w:b/>
          <w:sz w:val="28"/>
          <w:szCs w:val="28"/>
        </w:rPr>
        <w:lastRenderedPageBreak/>
        <w:t>CURRENT RATIO:</w:t>
      </w:r>
    </w:p>
    <w:p w:rsidR="00B8433A" w:rsidRPr="00015735" w:rsidRDefault="00B8433A" w:rsidP="00B8433A">
      <w:pPr>
        <w:spacing w:line="360" w:lineRule="auto"/>
        <w:rPr>
          <w:color w:val="000000"/>
        </w:rPr>
      </w:pPr>
      <w:r w:rsidRPr="0047351B">
        <w:rPr>
          <w:color w:val="000000"/>
          <w:sz w:val="23"/>
          <w:szCs w:val="23"/>
        </w:rPr>
        <w:tab/>
      </w:r>
    </w:p>
    <w:p w:rsidR="00B8433A" w:rsidRPr="00015735" w:rsidRDefault="00B8433A" w:rsidP="00B8433A">
      <w:pPr>
        <w:spacing w:line="360" w:lineRule="auto"/>
        <w:ind w:firstLine="720"/>
        <w:jc w:val="both"/>
        <w:rPr>
          <w:color w:val="000000"/>
        </w:rPr>
      </w:pPr>
      <w:r w:rsidRPr="00015735">
        <w:rPr>
          <w:color w:val="000000"/>
        </w:rPr>
        <w:t>Current Ratio may be defined as the relationship between current assets and current liabilities.</w:t>
      </w:r>
    </w:p>
    <w:p w:rsidR="00B8433A" w:rsidRPr="00015735" w:rsidRDefault="00B8433A" w:rsidP="00B8433A">
      <w:pPr>
        <w:pStyle w:val="Default"/>
        <w:tabs>
          <w:tab w:val="left" w:pos="630"/>
          <w:tab w:val="left" w:pos="810"/>
        </w:tabs>
        <w:jc w:val="center"/>
        <w:rPr>
          <w:rFonts w:ascii="Times New Roman" w:hAnsi="Times New Roman" w:cs="Times New Roman"/>
          <w:sz w:val="28"/>
          <w:szCs w:val="28"/>
        </w:rPr>
      </w:pPr>
      <w:r w:rsidRPr="00015735">
        <w:rPr>
          <w:rFonts w:ascii="Times New Roman" w:hAnsi="Times New Roman" w:cs="Times New Roman"/>
          <w:sz w:val="28"/>
          <w:szCs w:val="28"/>
        </w:rPr>
        <w:t>Table: 1.3</w:t>
      </w:r>
    </w:p>
    <w:tbl>
      <w:tblPr>
        <w:tblStyle w:val="TableGrid"/>
        <w:tblW w:w="0" w:type="auto"/>
        <w:tblInd w:w="468" w:type="dxa"/>
        <w:tblLook w:val="04A0" w:firstRow="1" w:lastRow="0" w:firstColumn="1" w:lastColumn="0" w:noHBand="0" w:noVBand="1"/>
      </w:tblPr>
      <w:tblGrid>
        <w:gridCol w:w="1483"/>
        <w:gridCol w:w="1667"/>
        <w:gridCol w:w="1733"/>
        <w:gridCol w:w="1890"/>
        <w:gridCol w:w="1710"/>
      </w:tblGrid>
      <w:tr w:rsidR="000405BC" w:rsidRPr="00015735" w:rsidTr="00665CEB">
        <w:trPr>
          <w:trHeight w:val="755"/>
        </w:trPr>
        <w:tc>
          <w:tcPr>
            <w:tcW w:w="1483"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 xml:space="preserve">Mar’ </w:t>
            </w:r>
            <w:r>
              <w:rPr>
                <w:rFonts w:ascii="Times New Roman" w:hAnsi="Times New Roman" w:cs="Times New Roman"/>
                <w:sz w:val="28"/>
                <w:szCs w:val="28"/>
              </w:rPr>
              <w:t>10</w:t>
            </w:r>
          </w:p>
        </w:tc>
        <w:tc>
          <w:tcPr>
            <w:tcW w:w="1667" w:type="dxa"/>
          </w:tcPr>
          <w:p w:rsidR="000405BC" w:rsidRPr="00DF575C" w:rsidRDefault="000405BC" w:rsidP="0090368E">
            <w:pPr>
              <w:pStyle w:val="Default"/>
              <w:jc w:val="center"/>
              <w:rPr>
                <w:rFonts w:ascii="Times New Roman" w:hAnsi="Times New Roman" w:cs="Times New Roman"/>
                <w:sz w:val="28"/>
                <w:szCs w:val="28"/>
              </w:rPr>
            </w:pPr>
          </w:p>
          <w:tbl>
            <w:tblPr>
              <w:tblW w:w="1246" w:type="dxa"/>
              <w:tblInd w:w="16" w:type="dxa"/>
              <w:tblBorders>
                <w:top w:val="nil"/>
                <w:left w:val="nil"/>
                <w:bottom w:val="nil"/>
                <w:right w:val="nil"/>
              </w:tblBorders>
              <w:tblLook w:val="0000" w:firstRow="0" w:lastRow="0" w:firstColumn="0" w:lastColumn="0" w:noHBand="0" w:noVBand="0"/>
            </w:tblPr>
            <w:tblGrid>
              <w:gridCol w:w="1246"/>
            </w:tblGrid>
            <w:tr w:rsidR="000405BC" w:rsidRPr="00DF575C" w:rsidTr="0090368E">
              <w:trPr>
                <w:trHeight w:val="386"/>
              </w:trPr>
              <w:tc>
                <w:tcPr>
                  <w:tcW w:w="0" w:type="auto"/>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11</w:t>
                  </w:r>
                </w:p>
              </w:tc>
            </w:tr>
          </w:tbl>
          <w:p w:rsidR="000405BC" w:rsidRPr="00DF575C" w:rsidRDefault="000405BC" w:rsidP="0090368E">
            <w:pPr>
              <w:pStyle w:val="Default"/>
              <w:jc w:val="center"/>
              <w:rPr>
                <w:rFonts w:ascii="Times New Roman" w:hAnsi="Times New Roman" w:cs="Times New Roman"/>
                <w:sz w:val="28"/>
                <w:szCs w:val="28"/>
              </w:rPr>
            </w:pPr>
          </w:p>
        </w:tc>
        <w:tc>
          <w:tcPr>
            <w:tcW w:w="1710" w:type="dxa"/>
          </w:tcPr>
          <w:p w:rsidR="000405BC" w:rsidRPr="00DF575C" w:rsidRDefault="000405BC" w:rsidP="0090368E">
            <w:pPr>
              <w:pStyle w:val="Default"/>
              <w:jc w:val="center"/>
              <w:rPr>
                <w:rFonts w:ascii="Times New Roman" w:hAnsi="Times New Roman" w:cs="Times New Roman"/>
                <w:sz w:val="28"/>
                <w:szCs w:val="28"/>
              </w:rPr>
            </w:pPr>
          </w:p>
          <w:tbl>
            <w:tblPr>
              <w:tblW w:w="1501" w:type="dxa"/>
              <w:tblInd w:w="16" w:type="dxa"/>
              <w:tblBorders>
                <w:top w:val="nil"/>
                <w:left w:val="nil"/>
                <w:bottom w:val="nil"/>
                <w:right w:val="nil"/>
              </w:tblBorders>
              <w:tblLook w:val="0000" w:firstRow="0" w:lastRow="0" w:firstColumn="0" w:lastColumn="0" w:noHBand="0" w:noVBand="0"/>
            </w:tblPr>
            <w:tblGrid>
              <w:gridCol w:w="1246"/>
              <w:gridCol w:w="255"/>
            </w:tblGrid>
            <w:tr w:rsidR="000405BC" w:rsidRPr="00DF575C" w:rsidTr="0090368E">
              <w:trPr>
                <w:trHeight w:val="386"/>
              </w:trPr>
              <w:tc>
                <w:tcPr>
                  <w:tcW w:w="0" w:type="auto"/>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12</w:t>
                  </w:r>
                </w:p>
              </w:tc>
              <w:tc>
                <w:tcPr>
                  <w:tcW w:w="0" w:type="auto"/>
                </w:tcPr>
                <w:p w:rsidR="000405BC" w:rsidRPr="00DF575C" w:rsidRDefault="000405BC" w:rsidP="0090368E">
                  <w:pPr>
                    <w:pStyle w:val="Default"/>
                    <w:jc w:val="center"/>
                    <w:rPr>
                      <w:rFonts w:ascii="Times New Roman" w:hAnsi="Times New Roman" w:cs="Times New Roman"/>
                      <w:sz w:val="28"/>
                      <w:szCs w:val="28"/>
                    </w:rPr>
                  </w:pPr>
                </w:p>
              </w:tc>
            </w:tr>
          </w:tbl>
          <w:p w:rsidR="000405BC" w:rsidRPr="00DF575C" w:rsidRDefault="000405BC" w:rsidP="0090368E">
            <w:pPr>
              <w:pStyle w:val="Default"/>
              <w:jc w:val="center"/>
              <w:rPr>
                <w:rFonts w:ascii="Times New Roman" w:hAnsi="Times New Roman" w:cs="Times New Roman"/>
                <w:sz w:val="28"/>
                <w:szCs w:val="28"/>
              </w:rPr>
            </w:pPr>
          </w:p>
        </w:tc>
        <w:tc>
          <w:tcPr>
            <w:tcW w:w="189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13</w:t>
            </w:r>
          </w:p>
        </w:tc>
        <w:tc>
          <w:tcPr>
            <w:tcW w:w="171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'1</w:t>
            </w:r>
            <w:r>
              <w:rPr>
                <w:rFonts w:ascii="Times New Roman" w:hAnsi="Times New Roman" w:cs="Times New Roman"/>
                <w:sz w:val="28"/>
                <w:szCs w:val="28"/>
              </w:rPr>
              <w:t>4</w:t>
            </w:r>
          </w:p>
        </w:tc>
      </w:tr>
      <w:tr w:rsidR="000405BC" w:rsidRPr="00015735" w:rsidTr="00665CEB">
        <w:trPr>
          <w:trHeight w:val="422"/>
        </w:trPr>
        <w:tc>
          <w:tcPr>
            <w:tcW w:w="1483" w:type="dxa"/>
          </w:tcPr>
          <w:p w:rsidR="000405BC" w:rsidRPr="00015735" w:rsidRDefault="000405BC" w:rsidP="00665CEB">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65.17</w:t>
            </w:r>
          </w:p>
        </w:tc>
        <w:tc>
          <w:tcPr>
            <w:tcW w:w="1667" w:type="dxa"/>
          </w:tcPr>
          <w:p w:rsidR="000405BC" w:rsidRPr="00015735" w:rsidRDefault="000405BC" w:rsidP="00665CEB">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79.27</w:t>
            </w:r>
          </w:p>
        </w:tc>
        <w:tc>
          <w:tcPr>
            <w:tcW w:w="1710" w:type="dxa"/>
          </w:tcPr>
          <w:p w:rsidR="000405BC" w:rsidRPr="00015735" w:rsidRDefault="000405BC" w:rsidP="00665CEB">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98.16</w:t>
            </w:r>
          </w:p>
        </w:tc>
        <w:tc>
          <w:tcPr>
            <w:tcW w:w="1890" w:type="dxa"/>
          </w:tcPr>
          <w:p w:rsidR="000405BC" w:rsidRPr="00015735" w:rsidRDefault="000405BC" w:rsidP="00665CEB">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182.22</w:t>
            </w:r>
          </w:p>
        </w:tc>
        <w:tc>
          <w:tcPr>
            <w:tcW w:w="1710" w:type="dxa"/>
          </w:tcPr>
          <w:p w:rsidR="000405BC" w:rsidRPr="00015735" w:rsidRDefault="000405BC" w:rsidP="00665CEB">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238.24</w:t>
            </w:r>
          </w:p>
        </w:tc>
      </w:tr>
    </w:tbl>
    <w:p w:rsidR="00400707" w:rsidRPr="00015735" w:rsidRDefault="00400707" w:rsidP="00400707">
      <w:pPr>
        <w:pStyle w:val="Default"/>
        <w:jc w:val="center"/>
        <w:rPr>
          <w:rFonts w:ascii="Times New Roman" w:hAnsi="Times New Roman" w:cs="Times New Roman"/>
          <w:color w:val="auto"/>
          <w:sz w:val="28"/>
          <w:szCs w:val="28"/>
        </w:rPr>
      </w:pPr>
    </w:p>
    <w:p w:rsidR="00B8433A" w:rsidRPr="00015735" w:rsidRDefault="00373378" w:rsidP="00400707">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Figure: 1.3</w:t>
      </w:r>
    </w:p>
    <w:p w:rsidR="00B8433A" w:rsidRPr="0047351B" w:rsidRDefault="000F241C" w:rsidP="00400707">
      <w:pPr>
        <w:jc w:val="center"/>
        <w:rPr>
          <w:b/>
          <w:color w:val="000000"/>
          <w:sz w:val="27"/>
          <w:szCs w:val="27"/>
        </w:rPr>
      </w:pPr>
      <w:r>
        <w:rPr>
          <w:b/>
          <w:noProof/>
          <w:color w:val="000000"/>
          <w:sz w:val="27"/>
          <w:szCs w:val="27"/>
        </w:rPr>
        <w:drawing>
          <wp:inline distT="0" distB="0" distL="0" distR="0">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tblInd w:w="558" w:type="dxa"/>
        <w:tblBorders>
          <w:top w:val="single" w:sz="4" w:space="0" w:color="auto"/>
        </w:tblBorders>
        <w:tblLook w:val="0000" w:firstRow="0" w:lastRow="0" w:firstColumn="0" w:lastColumn="0" w:noHBand="0" w:noVBand="0"/>
      </w:tblPr>
      <w:tblGrid>
        <w:gridCol w:w="8760"/>
      </w:tblGrid>
      <w:tr w:rsidR="00373378" w:rsidRPr="0047351B" w:rsidTr="00496719">
        <w:trPr>
          <w:trHeight w:val="100"/>
        </w:trPr>
        <w:tc>
          <w:tcPr>
            <w:tcW w:w="8760" w:type="dxa"/>
          </w:tcPr>
          <w:p w:rsidR="00373378" w:rsidRPr="0047351B" w:rsidRDefault="00373378" w:rsidP="00496719">
            <w:pPr>
              <w:pStyle w:val="Default"/>
              <w:spacing w:line="360" w:lineRule="auto"/>
              <w:ind w:left="72"/>
              <w:rPr>
                <w:rFonts w:ascii="Times New Roman" w:hAnsi="Times New Roman" w:cs="Times New Roman"/>
                <w:sz w:val="27"/>
                <w:szCs w:val="27"/>
              </w:rPr>
            </w:pPr>
          </w:p>
        </w:tc>
      </w:tr>
    </w:tbl>
    <w:p w:rsidR="00373378" w:rsidRPr="00015735" w:rsidRDefault="00373378" w:rsidP="00496719">
      <w:pPr>
        <w:pStyle w:val="Default"/>
        <w:tabs>
          <w:tab w:val="left" w:pos="900"/>
        </w:tabs>
        <w:spacing w:line="360" w:lineRule="auto"/>
        <w:rPr>
          <w:rFonts w:ascii="Times New Roman" w:hAnsi="Times New Roman" w:cs="Times New Roman"/>
        </w:rPr>
      </w:pPr>
      <w:r w:rsidRPr="00015735">
        <w:rPr>
          <w:rFonts w:ascii="Times New Roman" w:hAnsi="Times New Roman" w:cs="Times New Roman"/>
        </w:rPr>
        <w:t>(Source: Calculated from the annual report of ICICI Bank.)</w:t>
      </w:r>
    </w:p>
    <w:p w:rsidR="00373378" w:rsidRPr="00015735" w:rsidRDefault="00373378" w:rsidP="00015735">
      <w:pPr>
        <w:pStyle w:val="Default"/>
        <w:spacing w:line="360" w:lineRule="auto"/>
        <w:rPr>
          <w:rFonts w:ascii="Times New Roman" w:hAnsi="Times New Roman" w:cs="Times New Roman"/>
          <w:b/>
        </w:rPr>
      </w:pPr>
    </w:p>
    <w:p w:rsidR="00373378" w:rsidRPr="00015735" w:rsidRDefault="00373378" w:rsidP="00015735">
      <w:pPr>
        <w:pStyle w:val="Default"/>
        <w:spacing w:line="360" w:lineRule="auto"/>
        <w:jc w:val="both"/>
        <w:rPr>
          <w:rFonts w:ascii="Times New Roman" w:hAnsi="Times New Roman" w:cs="Times New Roman"/>
        </w:rPr>
      </w:pPr>
      <w:r w:rsidRPr="00015735">
        <w:rPr>
          <w:rFonts w:ascii="Times New Roman" w:hAnsi="Times New Roman" w:cs="Times New Roman"/>
          <w:b/>
        </w:rPr>
        <w:tab/>
      </w:r>
      <w:r w:rsidRPr="00015735">
        <w:rPr>
          <w:rFonts w:ascii="Times New Roman" w:hAnsi="Times New Roman" w:cs="Times New Roman"/>
        </w:rPr>
        <w:t xml:space="preserve">A relatively high current ratio is an indication that the firm is liquid and has the ability to pay its current obligations in time as and when they become due. </w:t>
      </w:r>
      <w:proofErr w:type="gramStart"/>
      <w:r w:rsidRPr="00015735">
        <w:rPr>
          <w:rFonts w:ascii="Times New Roman" w:hAnsi="Times New Roman" w:cs="Times New Roman"/>
        </w:rPr>
        <w:t>An increase in the current ratio represent improvement in the liquidity position of the firm while a decrease in the current ratio indicates that there has been deterioration in the liquidity position of the firm.</w:t>
      </w:r>
      <w:proofErr w:type="gramEnd"/>
      <w:r w:rsidRPr="00015735">
        <w:rPr>
          <w:rFonts w:ascii="Times New Roman" w:hAnsi="Times New Roman" w:cs="Times New Roman"/>
        </w:rPr>
        <w:t xml:space="preserve">  </w:t>
      </w:r>
    </w:p>
    <w:p w:rsidR="00400707" w:rsidRPr="00015735" w:rsidRDefault="00400707" w:rsidP="00015735">
      <w:pPr>
        <w:pStyle w:val="Default"/>
        <w:spacing w:line="360" w:lineRule="auto"/>
        <w:rPr>
          <w:rFonts w:ascii="Times New Roman" w:hAnsi="Times New Roman" w:cs="Times New Roman"/>
          <w:b/>
        </w:rPr>
      </w:pPr>
    </w:p>
    <w:p w:rsidR="00373378" w:rsidRPr="00015735" w:rsidRDefault="00373378" w:rsidP="00371B45">
      <w:pPr>
        <w:spacing w:line="360" w:lineRule="auto"/>
        <w:rPr>
          <w:b/>
          <w:sz w:val="28"/>
          <w:szCs w:val="28"/>
        </w:rPr>
      </w:pPr>
      <w:r w:rsidRPr="0047351B">
        <w:rPr>
          <w:b/>
          <w:sz w:val="27"/>
          <w:szCs w:val="27"/>
        </w:rPr>
        <w:br w:type="page"/>
      </w:r>
      <w:r w:rsidRPr="00015735">
        <w:rPr>
          <w:b/>
          <w:sz w:val="28"/>
          <w:szCs w:val="28"/>
        </w:rPr>
        <w:lastRenderedPageBreak/>
        <w:t>QUICK RATIO:</w:t>
      </w:r>
    </w:p>
    <w:p w:rsidR="00373378" w:rsidRPr="00015735" w:rsidRDefault="00373378" w:rsidP="00371B45">
      <w:pPr>
        <w:spacing w:line="360" w:lineRule="auto"/>
        <w:rPr>
          <w:b/>
        </w:rPr>
      </w:pPr>
    </w:p>
    <w:p w:rsidR="00373378" w:rsidRPr="00015735" w:rsidRDefault="00373378" w:rsidP="00371B45">
      <w:pPr>
        <w:spacing w:line="360" w:lineRule="auto"/>
      </w:pPr>
      <w:r w:rsidRPr="00015735">
        <w:rPr>
          <w:b/>
        </w:rPr>
        <w:tab/>
      </w:r>
      <w:r w:rsidRPr="00015735">
        <w:t xml:space="preserve">Quick ratio also known as </w:t>
      </w:r>
      <w:r w:rsidR="00371B45" w:rsidRPr="00015735">
        <w:t>Acid test or Liquid Ratio is more rigorous test of liquidity than the current ratio.</w:t>
      </w:r>
    </w:p>
    <w:p w:rsidR="00371B45" w:rsidRPr="00015735" w:rsidRDefault="00371B45" w:rsidP="00371B45">
      <w:pPr>
        <w:pStyle w:val="Default"/>
        <w:tabs>
          <w:tab w:val="left" w:pos="630"/>
          <w:tab w:val="left" w:pos="810"/>
        </w:tabs>
        <w:jc w:val="center"/>
        <w:rPr>
          <w:rFonts w:ascii="Times New Roman" w:hAnsi="Times New Roman" w:cs="Times New Roman"/>
          <w:sz w:val="28"/>
          <w:szCs w:val="28"/>
        </w:rPr>
      </w:pPr>
      <w:r w:rsidRPr="00015735">
        <w:rPr>
          <w:rFonts w:ascii="Times New Roman" w:hAnsi="Times New Roman" w:cs="Times New Roman"/>
          <w:sz w:val="28"/>
          <w:szCs w:val="28"/>
        </w:rPr>
        <w:t>Table: 1.4</w:t>
      </w:r>
    </w:p>
    <w:tbl>
      <w:tblPr>
        <w:tblStyle w:val="TableGrid"/>
        <w:tblW w:w="0" w:type="auto"/>
        <w:tblInd w:w="468" w:type="dxa"/>
        <w:tblLook w:val="04A0" w:firstRow="1" w:lastRow="0" w:firstColumn="1" w:lastColumn="0" w:noHBand="0" w:noVBand="1"/>
      </w:tblPr>
      <w:tblGrid>
        <w:gridCol w:w="1483"/>
        <w:gridCol w:w="1667"/>
        <w:gridCol w:w="1733"/>
        <w:gridCol w:w="1890"/>
        <w:gridCol w:w="1710"/>
      </w:tblGrid>
      <w:tr w:rsidR="000405BC" w:rsidRPr="00015735" w:rsidTr="00665CEB">
        <w:trPr>
          <w:trHeight w:val="755"/>
        </w:trPr>
        <w:tc>
          <w:tcPr>
            <w:tcW w:w="1483"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 xml:space="preserve">Mar’ </w:t>
            </w:r>
            <w:r>
              <w:rPr>
                <w:rFonts w:ascii="Times New Roman" w:hAnsi="Times New Roman" w:cs="Times New Roman"/>
                <w:sz w:val="28"/>
                <w:szCs w:val="28"/>
              </w:rPr>
              <w:t>10</w:t>
            </w:r>
          </w:p>
        </w:tc>
        <w:tc>
          <w:tcPr>
            <w:tcW w:w="1667" w:type="dxa"/>
          </w:tcPr>
          <w:p w:rsidR="000405BC" w:rsidRPr="00DF575C" w:rsidRDefault="000405BC" w:rsidP="0090368E">
            <w:pPr>
              <w:pStyle w:val="Default"/>
              <w:jc w:val="center"/>
              <w:rPr>
                <w:rFonts w:ascii="Times New Roman" w:hAnsi="Times New Roman" w:cs="Times New Roman"/>
                <w:sz w:val="28"/>
                <w:szCs w:val="28"/>
              </w:rPr>
            </w:pPr>
          </w:p>
          <w:tbl>
            <w:tblPr>
              <w:tblW w:w="1246" w:type="dxa"/>
              <w:tblInd w:w="16" w:type="dxa"/>
              <w:tblBorders>
                <w:top w:val="nil"/>
                <w:left w:val="nil"/>
                <w:bottom w:val="nil"/>
                <w:right w:val="nil"/>
              </w:tblBorders>
              <w:tblLook w:val="0000" w:firstRow="0" w:lastRow="0" w:firstColumn="0" w:lastColumn="0" w:noHBand="0" w:noVBand="0"/>
            </w:tblPr>
            <w:tblGrid>
              <w:gridCol w:w="1246"/>
            </w:tblGrid>
            <w:tr w:rsidR="000405BC" w:rsidRPr="00DF575C" w:rsidTr="0090368E">
              <w:trPr>
                <w:trHeight w:val="386"/>
              </w:trPr>
              <w:tc>
                <w:tcPr>
                  <w:tcW w:w="0" w:type="auto"/>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11</w:t>
                  </w:r>
                </w:p>
              </w:tc>
            </w:tr>
          </w:tbl>
          <w:p w:rsidR="000405BC" w:rsidRPr="00DF575C" w:rsidRDefault="000405BC" w:rsidP="0090368E">
            <w:pPr>
              <w:pStyle w:val="Default"/>
              <w:jc w:val="center"/>
              <w:rPr>
                <w:rFonts w:ascii="Times New Roman" w:hAnsi="Times New Roman" w:cs="Times New Roman"/>
                <w:sz w:val="28"/>
                <w:szCs w:val="28"/>
              </w:rPr>
            </w:pPr>
          </w:p>
        </w:tc>
        <w:tc>
          <w:tcPr>
            <w:tcW w:w="1710" w:type="dxa"/>
          </w:tcPr>
          <w:p w:rsidR="000405BC" w:rsidRPr="00DF575C" w:rsidRDefault="000405BC" w:rsidP="0090368E">
            <w:pPr>
              <w:pStyle w:val="Default"/>
              <w:jc w:val="center"/>
              <w:rPr>
                <w:rFonts w:ascii="Times New Roman" w:hAnsi="Times New Roman" w:cs="Times New Roman"/>
                <w:sz w:val="28"/>
                <w:szCs w:val="28"/>
              </w:rPr>
            </w:pPr>
          </w:p>
          <w:tbl>
            <w:tblPr>
              <w:tblW w:w="1501" w:type="dxa"/>
              <w:tblInd w:w="16" w:type="dxa"/>
              <w:tblBorders>
                <w:top w:val="nil"/>
                <w:left w:val="nil"/>
                <w:bottom w:val="nil"/>
                <w:right w:val="nil"/>
              </w:tblBorders>
              <w:tblLook w:val="0000" w:firstRow="0" w:lastRow="0" w:firstColumn="0" w:lastColumn="0" w:noHBand="0" w:noVBand="0"/>
            </w:tblPr>
            <w:tblGrid>
              <w:gridCol w:w="1246"/>
              <w:gridCol w:w="255"/>
            </w:tblGrid>
            <w:tr w:rsidR="000405BC" w:rsidRPr="00DF575C" w:rsidTr="0090368E">
              <w:trPr>
                <w:trHeight w:val="386"/>
              </w:trPr>
              <w:tc>
                <w:tcPr>
                  <w:tcW w:w="0" w:type="auto"/>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12</w:t>
                  </w:r>
                </w:p>
              </w:tc>
              <w:tc>
                <w:tcPr>
                  <w:tcW w:w="0" w:type="auto"/>
                </w:tcPr>
                <w:p w:rsidR="000405BC" w:rsidRPr="00DF575C" w:rsidRDefault="000405BC" w:rsidP="0090368E">
                  <w:pPr>
                    <w:pStyle w:val="Default"/>
                    <w:jc w:val="center"/>
                    <w:rPr>
                      <w:rFonts w:ascii="Times New Roman" w:hAnsi="Times New Roman" w:cs="Times New Roman"/>
                      <w:sz w:val="28"/>
                      <w:szCs w:val="28"/>
                    </w:rPr>
                  </w:pPr>
                </w:p>
              </w:tc>
            </w:tr>
          </w:tbl>
          <w:p w:rsidR="000405BC" w:rsidRPr="00DF575C" w:rsidRDefault="000405BC" w:rsidP="0090368E">
            <w:pPr>
              <w:pStyle w:val="Default"/>
              <w:jc w:val="center"/>
              <w:rPr>
                <w:rFonts w:ascii="Times New Roman" w:hAnsi="Times New Roman" w:cs="Times New Roman"/>
                <w:sz w:val="28"/>
                <w:szCs w:val="28"/>
              </w:rPr>
            </w:pPr>
          </w:p>
        </w:tc>
        <w:tc>
          <w:tcPr>
            <w:tcW w:w="189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13</w:t>
            </w:r>
          </w:p>
        </w:tc>
        <w:tc>
          <w:tcPr>
            <w:tcW w:w="171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'1</w:t>
            </w:r>
            <w:r>
              <w:rPr>
                <w:rFonts w:ascii="Times New Roman" w:hAnsi="Times New Roman" w:cs="Times New Roman"/>
                <w:sz w:val="28"/>
                <w:szCs w:val="28"/>
              </w:rPr>
              <w:t>4</w:t>
            </w:r>
          </w:p>
        </w:tc>
      </w:tr>
      <w:tr w:rsidR="000405BC" w:rsidRPr="00015735" w:rsidTr="00665CEB">
        <w:trPr>
          <w:trHeight w:val="422"/>
        </w:trPr>
        <w:tc>
          <w:tcPr>
            <w:tcW w:w="1483" w:type="dxa"/>
          </w:tcPr>
          <w:p w:rsidR="000405BC" w:rsidRPr="00015735" w:rsidRDefault="000405BC" w:rsidP="00665CEB">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62.16</w:t>
            </w:r>
          </w:p>
        </w:tc>
        <w:tc>
          <w:tcPr>
            <w:tcW w:w="1667" w:type="dxa"/>
          </w:tcPr>
          <w:p w:rsidR="000405BC" w:rsidRPr="00015735" w:rsidRDefault="000405BC" w:rsidP="00665CEB">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72.37</w:t>
            </w:r>
          </w:p>
        </w:tc>
        <w:tc>
          <w:tcPr>
            <w:tcW w:w="1710" w:type="dxa"/>
          </w:tcPr>
          <w:p w:rsidR="000405BC" w:rsidRPr="00015735" w:rsidRDefault="000405BC" w:rsidP="00665CEB">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96.14</w:t>
            </w:r>
          </w:p>
        </w:tc>
        <w:tc>
          <w:tcPr>
            <w:tcW w:w="1890" w:type="dxa"/>
          </w:tcPr>
          <w:p w:rsidR="000405BC" w:rsidRPr="00015735" w:rsidRDefault="000405BC" w:rsidP="00665CEB">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165.46</w:t>
            </w:r>
          </w:p>
        </w:tc>
        <w:tc>
          <w:tcPr>
            <w:tcW w:w="1710" w:type="dxa"/>
          </w:tcPr>
          <w:p w:rsidR="000405BC" w:rsidRPr="00015735" w:rsidRDefault="000405BC" w:rsidP="00665CEB">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213.26</w:t>
            </w:r>
          </w:p>
        </w:tc>
      </w:tr>
    </w:tbl>
    <w:p w:rsidR="00371B45" w:rsidRPr="00015735" w:rsidRDefault="00371B45" w:rsidP="00371B45">
      <w:pPr>
        <w:pStyle w:val="Default"/>
        <w:rPr>
          <w:rFonts w:ascii="Times New Roman" w:hAnsi="Times New Roman" w:cs="Times New Roman"/>
          <w:color w:val="auto"/>
          <w:sz w:val="28"/>
          <w:szCs w:val="28"/>
        </w:rPr>
      </w:pPr>
    </w:p>
    <w:p w:rsidR="00371B45" w:rsidRPr="00015735" w:rsidRDefault="00371B45" w:rsidP="00371B45">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Figure: 1.4</w:t>
      </w:r>
    </w:p>
    <w:p w:rsidR="00371B45" w:rsidRPr="0047351B" w:rsidRDefault="0037760B" w:rsidP="00371B45">
      <w:pPr>
        <w:pStyle w:val="Default"/>
        <w:tabs>
          <w:tab w:val="left" w:pos="630"/>
          <w:tab w:val="left" w:pos="810"/>
        </w:tabs>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0" w:type="auto"/>
        <w:tblInd w:w="1008" w:type="dxa"/>
        <w:tblBorders>
          <w:top w:val="single" w:sz="4" w:space="0" w:color="auto"/>
        </w:tblBorders>
        <w:tblLook w:val="0000" w:firstRow="0" w:lastRow="0" w:firstColumn="0" w:lastColumn="0" w:noHBand="0" w:noVBand="0"/>
      </w:tblPr>
      <w:tblGrid>
        <w:gridCol w:w="7920"/>
      </w:tblGrid>
      <w:tr w:rsidR="00371B45" w:rsidRPr="00015735" w:rsidTr="00496719">
        <w:trPr>
          <w:trHeight w:val="350"/>
        </w:trPr>
        <w:tc>
          <w:tcPr>
            <w:tcW w:w="7920" w:type="dxa"/>
            <w:tcBorders>
              <w:top w:val="single" w:sz="4" w:space="0" w:color="auto"/>
            </w:tcBorders>
          </w:tcPr>
          <w:p w:rsidR="00371B45" w:rsidRPr="00015735" w:rsidRDefault="00371B45" w:rsidP="00015735">
            <w:pPr>
              <w:pStyle w:val="Default"/>
              <w:spacing w:line="360" w:lineRule="auto"/>
              <w:jc w:val="both"/>
              <w:rPr>
                <w:rFonts w:ascii="Times New Roman" w:hAnsi="Times New Roman" w:cs="Times New Roman"/>
              </w:rPr>
            </w:pPr>
          </w:p>
          <w:p w:rsidR="00371B45" w:rsidRPr="00015735" w:rsidRDefault="00371B45" w:rsidP="00496719">
            <w:pPr>
              <w:pStyle w:val="Default"/>
              <w:spacing w:line="360" w:lineRule="auto"/>
              <w:ind w:left="-108"/>
              <w:jc w:val="both"/>
              <w:rPr>
                <w:rFonts w:ascii="Times New Roman" w:hAnsi="Times New Roman" w:cs="Times New Roman"/>
              </w:rPr>
            </w:pPr>
            <w:r w:rsidRPr="00015735">
              <w:rPr>
                <w:rFonts w:ascii="Times New Roman" w:hAnsi="Times New Roman" w:cs="Times New Roman"/>
              </w:rPr>
              <w:t>(Source: Calculated from the annual report of ICICI Bank.)</w:t>
            </w:r>
          </w:p>
        </w:tc>
      </w:tr>
    </w:tbl>
    <w:p w:rsidR="00B8769A" w:rsidRPr="00015735" w:rsidRDefault="00B8769A" w:rsidP="00015735">
      <w:pPr>
        <w:spacing w:line="360" w:lineRule="auto"/>
        <w:ind w:firstLine="720"/>
        <w:rPr>
          <w:color w:val="000000"/>
        </w:rPr>
      </w:pPr>
    </w:p>
    <w:p w:rsidR="00373378" w:rsidRPr="00015735" w:rsidRDefault="00371B45" w:rsidP="00015735">
      <w:pPr>
        <w:spacing w:line="360" w:lineRule="auto"/>
        <w:ind w:firstLine="720"/>
        <w:rPr>
          <w:color w:val="000000"/>
        </w:rPr>
      </w:pPr>
      <w:r w:rsidRPr="00015735">
        <w:rPr>
          <w:color w:val="000000"/>
        </w:rPr>
        <w:t>Usually, a high test ratio is an indication that the firm is liquid and has the ability to meet its current or liquid liabilities in time and on the other hand a low quick ratio represent that the firm’s liquidity position is not good.</w:t>
      </w:r>
    </w:p>
    <w:p w:rsidR="00371B45" w:rsidRPr="0047351B" w:rsidRDefault="00371B45" w:rsidP="00665CEB">
      <w:pPr>
        <w:spacing w:line="360" w:lineRule="auto"/>
        <w:rPr>
          <w:b/>
          <w:color w:val="000000"/>
          <w:sz w:val="27"/>
          <w:szCs w:val="27"/>
        </w:rPr>
      </w:pPr>
    </w:p>
    <w:p w:rsidR="00B8769A" w:rsidRPr="0047351B" w:rsidRDefault="00B8769A" w:rsidP="00665CEB">
      <w:pPr>
        <w:spacing w:line="360" w:lineRule="auto"/>
        <w:rPr>
          <w:b/>
          <w:sz w:val="27"/>
          <w:szCs w:val="27"/>
        </w:rPr>
      </w:pPr>
      <w:r w:rsidRPr="0047351B">
        <w:rPr>
          <w:b/>
          <w:sz w:val="27"/>
          <w:szCs w:val="27"/>
        </w:rPr>
        <w:br w:type="page"/>
      </w:r>
    </w:p>
    <w:p w:rsidR="00B8769A" w:rsidRPr="00015735" w:rsidRDefault="00B8769A" w:rsidP="00665CEB">
      <w:pPr>
        <w:spacing w:line="360" w:lineRule="auto"/>
        <w:rPr>
          <w:b/>
          <w:sz w:val="28"/>
          <w:szCs w:val="28"/>
        </w:rPr>
      </w:pPr>
      <w:r w:rsidRPr="00015735">
        <w:rPr>
          <w:b/>
          <w:sz w:val="28"/>
          <w:szCs w:val="28"/>
        </w:rPr>
        <w:lastRenderedPageBreak/>
        <w:t>DEBT TURNOVER RATIO:</w:t>
      </w:r>
    </w:p>
    <w:p w:rsidR="00B8769A" w:rsidRPr="0047351B" w:rsidRDefault="00B8769A" w:rsidP="00665CEB">
      <w:pPr>
        <w:spacing w:line="360" w:lineRule="auto"/>
        <w:rPr>
          <w:b/>
          <w:sz w:val="27"/>
          <w:szCs w:val="27"/>
        </w:rPr>
      </w:pPr>
    </w:p>
    <w:p w:rsidR="00B8769A" w:rsidRPr="00015735" w:rsidRDefault="00B8769A" w:rsidP="00665CEB">
      <w:pPr>
        <w:spacing w:line="360" w:lineRule="auto"/>
        <w:jc w:val="both"/>
      </w:pPr>
      <w:r w:rsidRPr="00015735">
        <w:rPr>
          <w:b/>
        </w:rPr>
        <w:tab/>
      </w:r>
      <w:r w:rsidRPr="00015735">
        <w:t>Debt turnover ratio indicates the velocity of debt collection of firm. In simple words, it indicates the number of times average debtors are turnover during the year.</w:t>
      </w:r>
    </w:p>
    <w:p w:rsidR="00B8769A" w:rsidRPr="0047351B" w:rsidRDefault="00B8769A" w:rsidP="00B8769A">
      <w:pPr>
        <w:jc w:val="both"/>
        <w:rPr>
          <w:sz w:val="27"/>
          <w:szCs w:val="27"/>
        </w:rPr>
      </w:pPr>
    </w:p>
    <w:p w:rsidR="00B8769A" w:rsidRPr="00015735" w:rsidRDefault="00B8769A" w:rsidP="00B8769A">
      <w:pPr>
        <w:pStyle w:val="Default"/>
        <w:tabs>
          <w:tab w:val="left" w:pos="630"/>
          <w:tab w:val="left" w:pos="810"/>
        </w:tabs>
        <w:jc w:val="center"/>
        <w:rPr>
          <w:rFonts w:ascii="Times New Roman" w:hAnsi="Times New Roman" w:cs="Times New Roman"/>
          <w:sz w:val="28"/>
          <w:szCs w:val="28"/>
        </w:rPr>
      </w:pPr>
      <w:r w:rsidRPr="00015735">
        <w:rPr>
          <w:rFonts w:ascii="Times New Roman" w:hAnsi="Times New Roman" w:cs="Times New Roman"/>
          <w:sz w:val="28"/>
          <w:szCs w:val="28"/>
        </w:rPr>
        <w:t>Table: 1.4</w:t>
      </w:r>
    </w:p>
    <w:tbl>
      <w:tblPr>
        <w:tblStyle w:val="TableGrid"/>
        <w:tblW w:w="0" w:type="auto"/>
        <w:tblInd w:w="648" w:type="dxa"/>
        <w:tblLayout w:type="fixed"/>
        <w:tblLook w:val="04A0" w:firstRow="1" w:lastRow="0" w:firstColumn="1" w:lastColumn="0" w:noHBand="0" w:noVBand="1"/>
      </w:tblPr>
      <w:tblGrid>
        <w:gridCol w:w="1574"/>
        <w:gridCol w:w="1657"/>
        <w:gridCol w:w="1629"/>
        <w:gridCol w:w="1710"/>
        <w:gridCol w:w="1620"/>
      </w:tblGrid>
      <w:tr w:rsidR="000405BC" w:rsidRPr="00015735" w:rsidTr="00B8769A">
        <w:trPr>
          <w:trHeight w:val="711"/>
        </w:trPr>
        <w:tc>
          <w:tcPr>
            <w:tcW w:w="1574"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 xml:space="preserve">Mar’ </w:t>
            </w:r>
            <w:r>
              <w:rPr>
                <w:rFonts w:ascii="Times New Roman" w:hAnsi="Times New Roman" w:cs="Times New Roman"/>
                <w:sz w:val="28"/>
                <w:szCs w:val="28"/>
              </w:rPr>
              <w:t>10</w:t>
            </w:r>
          </w:p>
        </w:tc>
        <w:tc>
          <w:tcPr>
            <w:tcW w:w="1657" w:type="dxa"/>
          </w:tcPr>
          <w:p w:rsidR="000405BC" w:rsidRPr="00DF575C" w:rsidRDefault="000405BC" w:rsidP="0090368E">
            <w:pPr>
              <w:pStyle w:val="Default"/>
              <w:jc w:val="center"/>
              <w:rPr>
                <w:rFonts w:ascii="Times New Roman" w:hAnsi="Times New Roman" w:cs="Times New Roman"/>
                <w:sz w:val="28"/>
                <w:szCs w:val="28"/>
              </w:rPr>
            </w:pPr>
          </w:p>
          <w:tbl>
            <w:tblPr>
              <w:tblW w:w="1246" w:type="dxa"/>
              <w:tblInd w:w="16" w:type="dxa"/>
              <w:tblBorders>
                <w:top w:val="nil"/>
                <w:left w:val="nil"/>
                <w:bottom w:val="nil"/>
                <w:right w:val="nil"/>
              </w:tblBorders>
              <w:tblLayout w:type="fixed"/>
              <w:tblLook w:val="0000" w:firstRow="0" w:lastRow="0" w:firstColumn="0" w:lastColumn="0" w:noHBand="0" w:noVBand="0"/>
            </w:tblPr>
            <w:tblGrid>
              <w:gridCol w:w="1246"/>
            </w:tblGrid>
            <w:tr w:rsidR="000405BC" w:rsidRPr="00DF575C" w:rsidTr="0090368E">
              <w:trPr>
                <w:trHeight w:val="386"/>
              </w:trPr>
              <w:tc>
                <w:tcPr>
                  <w:tcW w:w="1246" w:type="dxa"/>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11</w:t>
                  </w:r>
                </w:p>
              </w:tc>
            </w:tr>
          </w:tbl>
          <w:p w:rsidR="000405BC" w:rsidRPr="00DF575C" w:rsidRDefault="000405BC" w:rsidP="0090368E">
            <w:pPr>
              <w:pStyle w:val="Default"/>
              <w:jc w:val="center"/>
              <w:rPr>
                <w:rFonts w:ascii="Times New Roman" w:hAnsi="Times New Roman" w:cs="Times New Roman"/>
                <w:sz w:val="28"/>
                <w:szCs w:val="28"/>
              </w:rPr>
            </w:pPr>
          </w:p>
        </w:tc>
        <w:tc>
          <w:tcPr>
            <w:tcW w:w="1629" w:type="dxa"/>
          </w:tcPr>
          <w:p w:rsidR="000405BC" w:rsidRPr="00DF575C" w:rsidRDefault="000405BC" w:rsidP="0090368E">
            <w:pPr>
              <w:pStyle w:val="Default"/>
              <w:jc w:val="center"/>
              <w:rPr>
                <w:rFonts w:ascii="Times New Roman" w:hAnsi="Times New Roman" w:cs="Times New Roman"/>
                <w:sz w:val="28"/>
                <w:szCs w:val="28"/>
              </w:rPr>
            </w:pPr>
          </w:p>
          <w:tbl>
            <w:tblPr>
              <w:tblW w:w="1501" w:type="dxa"/>
              <w:tblInd w:w="16" w:type="dxa"/>
              <w:tblBorders>
                <w:top w:val="nil"/>
                <w:left w:val="nil"/>
                <w:bottom w:val="nil"/>
                <w:right w:val="nil"/>
              </w:tblBorders>
              <w:tblLayout w:type="fixed"/>
              <w:tblLook w:val="0000" w:firstRow="0" w:lastRow="0" w:firstColumn="0" w:lastColumn="0" w:noHBand="0" w:noVBand="0"/>
            </w:tblPr>
            <w:tblGrid>
              <w:gridCol w:w="1246"/>
              <w:gridCol w:w="255"/>
            </w:tblGrid>
            <w:tr w:rsidR="000405BC" w:rsidRPr="00DF575C" w:rsidTr="0090368E">
              <w:trPr>
                <w:trHeight w:val="386"/>
              </w:trPr>
              <w:tc>
                <w:tcPr>
                  <w:tcW w:w="1246" w:type="dxa"/>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12</w:t>
                  </w:r>
                </w:p>
              </w:tc>
              <w:tc>
                <w:tcPr>
                  <w:tcW w:w="255" w:type="dxa"/>
                </w:tcPr>
                <w:p w:rsidR="000405BC" w:rsidRPr="00DF575C" w:rsidRDefault="000405BC" w:rsidP="0090368E">
                  <w:pPr>
                    <w:pStyle w:val="Default"/>
                    <w:jc w:val="center"/>
                    <w:rPr>
                      <w:rFonts w:ascii="Times New Roman" w:hAnsi="Times New Roman" w:cs="Times New Roman"/>
                      <w:sz w:val="28"/>
                      <w:szCs w:val="28"/>
                    </w:rPr>
                  </w:pPr>
                </w:p>
              </w:tc>
            </w:tr>
          </w:tbl>
          <w:p w:rsidR="000405BC" w:rsidRPr="00DF575C" w:rsidRDefault="000405BC" w:rsidP="0090368E">
            <w:pPr>
              <w:pStyle w:val="Default"/>
              <w:jc w:val="center"/>
              <w:rPr>
                <w:rFonts w:ascii="Times New Roman" w:hAnsi="Times New Roman" w:cs="Times New Roman"/>
                <w:sz w:val="28"/>
                <w:szCs w:val="28"/>
              </w:rPr>
            </w:pPr>
          </w:p>
        </w:tc>
        <w:tc>
          <w:tcPr>
            <w:tcW w:w="171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13</w:t>
            </w:r>
          </w:p>
        </w:tc>
        <w:tc>
          <w:tcPr>
            <w:tcW w:w="162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'1</w:t>
            </w:r>
            <w:r>
              <w:rPr>
                <w:rFonts w:ascii="Times New Roman" w:hAnsi="Times New Roman" w:cs="Times New Roman"/>
                <w:sz w:val="28"/>
                <w:szCs w:val="28"/>
              </w:rPr>
              <w:t>4</w:t>
            </w:r>
          </w:p>
        </w:tc>
      </w:tr>
      <w:tr w:rsidR="000405BC" w:rsidRPr="00015735" w:rsidTr="00B8769A">
        <w:trPr>
          <w:trHeight w:val="420"/>
        </w:trPr>
        <w:tc>
          <w:tcPr>
            <w:tcW w:w="1574" w:type="dxa"/>
          </w:tcPr>
          <w:p w:rsidR="000405BC" w:rsidRPr="00015735" w:rsidRDefault="000405BC" w:rsidP="00665CEB">
            <w:pPr>
              <w:pStyle w:val="Default"/>
              <w:jc w:val="center"/>
              <w:rPr>
                <w:rFonts w:ascii="Times New Roman" w:hAnsi="Times New Roman" w:cs="Times New Roman"/>
                <w:sz w:val="28"/>
                <w:szCs w:val="28"/>
              </w:rPr>
            </w:pPr>
            <w:r w:rsidRPr="00015735">
              <w:rPr>
                <w:rFonts w:ascii="Times New Roman" w:hAnsi="Times New Roman" w:cs="Times New Roman"/>
                <w:sz w:val="28"/>
                <w:szCs w:val="28"/>
              </w:rPr>
              <w:t>15.46</w:t>
            </w:r>
          </w:p>
        </w:tc>
        <w:tc>
          <w:tcPr>
            <w:tcW w:w="1657" w:type="dxa"/>
          </w:tcPr>
          <w:p w:rsidR="000405BC" w:rsidRPr="00015735" w:rsidRDefault="000405BC" w:rsidP="00665CEB">
            <w:pPr>
              <w:pStyle w:val="Default"/>
              <w:jc w:val="center"/>
              <w:rPr>
                <w:rFonts w:ascii="Times New Roman" w:hAnsi="Times New Roman" w:cs="Times New Roman"/>
                <w:sz w:val="28"/>
                <w:szCs w:val="28"/>
              </w:rPr>
            </w:pPr>
            <w:r w:rsidRPr="00015735">
              <w:rPr>
                <w:rFonts w:ascii="Times New Roman" w:hAnsi="Times New Roman" w:cs="Times New Roman"/>
                <w:sz w:val="28"/>
                <w:szCs w:val="28"/>
              </w:rPr>
              <w:t>16.45</w:t>
            </w:r>
          </w:p>
        </w:tc>
        <w:tc>
          <w:tcPr>
            <w:tcW w:w="1629" w:type="dxa"/>
          </w:tcPr>
          <w:p w:rsidR="000405BC" w:rsidRPr="00015735" w:rsidRDefault="000405BC" w:rsidP="00665CEB">
            <w:pPr>
              <w:pStyle w:val="Default"/>
              <w:jc w:val="center"/>
              <w:rPr>
                <w:rFonts w:ascii="Times New Roman" w:hAnsi="Times New Roman" w:cs="Times New Roman"/>
                <w:sz w:val="28"/>
                <w:szCs w:val="28"/>
              </w:rPr>
            </w:pPr>
            <w:r w:rsidRPr="00015735">
              <w:rPr>
                <w:rFonts w:ascii="Times New Roman" w:hAnsi="Times New Roman" w:cs="Times New Roman"/>
                <w:sz w:val="28"/>
                <w:szCs w:val="28"/>
              </w:rPr>
              <w:t>11.87</w:t>
            </w:r>
          </w:p>
        </w:tc>
        <w:tc>
          <w:tcPr>
            <w:tcW w:w="1710" w:type="dxa"/>
          </w:tcPr>
          <w:p w:rsidR="000405BC" w:rsidRPr="00015735" w:rsidRDefault="000405BC" w:rsidP="00665CEB">
            <w:pPr>
              <w:pStyle w:val="Default"/>
              <w:jc w:val="center"/>
              <w:rPr>
                <w:rFonts w:ascii="Times New Roman" w:hAnsi="Times New Roman" w:cs="Times New Roman"/>
                <w:sz w:val="28"/>
                <w:szCs w:val="28"/>
              </w:rPr>
            </w:pPr>
            <w:r w:rsidRPr="00015735">
              <w:rPr>
                <w:rFonts w:ascii="Times New Roman" w:hAnsi="Times New Roman" w:cs="Times New Roman"/>
                <w:sz w:val="28"/>
                <w:szCs w:val="28"/>
              </w:rPr>
              <w:t>17.46</w:t>
            </w:r>
          </w:p>
        </w:tc>
        <w:tc>
          <w:tcPr>
            <w:tcW w:w="1620" w:type="dxa"/>
          </w:tcPr>
          <w:p w:rsidR="000405BC" w:rsidRPr="00015735" w:rsidRDefault="000405BC" w:rsidP="00665CEB">
            <w:pPr>
              <w:pStyle w:val="Default"/>
              <w:jc w:val="center"/>
              <w:rPr>
                <w:rFonts w:ascii="Times New Roman" w:hAnsi="Times New Roman" w:cs="Times New Roman"/>
                <w:sz w:val="28"/>
                <w:szCs w:val="28"/>
              </w:rPr>
            </w:pPr>
            <w:r w:rsidRPr="00015735">
              <w:rPr>
                <w:rFonts w:ascii="Times New Roman" w:hAnsi="Times New Roman" w:cs="Times New Roman"/>
                <w:sz w:val="28"/>
                <w:szCs w:val="28"/>
              </w:rPr>
              <w:t>19.25</w:t>
            </w:r>
          </w:p>
        </w:tc>
      </w:tr>
    </w:tbl>
    <w:p w:rsidR="00B8769A" w:rsidRPr="00015735" w:rsidRDefault="00B8769A" w:rsidP="00B8769A">
      <w:pPr>
        <w:pStyle w:val="Default"/>
        <w:jc w:val="center"/>
        <w:rPr>
          <w:rFonts w:ascii="Times New Roman" w:hAnsi="Times New Roman" w:cs="Times New Roman"/>
          <w:color w:val="auto"/>
          <w:sz w:val="28"/>
          <w:szCs w:val="28"/>
        </w:rPr>
      </w:pPr>
    </w:p>
    <w:p w:rsidR="00B8769A" w:rsidRPr="00015735" w:rsidRDefault="00B8769A" w:rsidP="00B8769A">
      <w:pPr>
        <w:pStyle w:val="Default"/>
        <w:jc w:val="center"/>
        <w:rPr>
          <w:rFonts w:ascii="Times New Roman" w:hAnsi="Times New Roman" w:cs="Times New Roman"/>
          <w:color w:val="auto"/>
          <w:sz w:val="28"/>
          <w:szCs w:val="28"/>
        </w:rPr>
      </w:pPr>
      <w:r w:rsidRPr="00015735">
        <w:rPr>
          <w:rFonts w:ascii="Times New Roman" w:hAnsi="Times New Roman" w:cs="Times New Roman"/>
          <w:color w:val="auto"/>
          <w:sz w:val="28"/>
          <w:szCs w:val="28"/>
        </w:rPr>
        <w:t>Figure: 1.4</w:t>
      </w:r>
    </w:p>
    <w:p w:rsidR="00B8769A" w:rsidRPr="0047351B" w:rsidRDefault="0037760B" w:rsidP="00B8769A">
      <w:pPr>
        <w:pStyle w:val="Default"/>
        <w:tabs>
          <w:tab w:val="left" w:pos="630"/>
          <w:tab w:val="left" w:pos="810"/>
        </w:tabs>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0" w:type="auto"/>
        <w:tblInd w:w="738" w:type="dxa"/>
        <w:tblBorders>
          <w:top w:val="single" w:sz="4" w:space="0" w:color="auto"/>
        </w:tblBorders>
        <w:tblLook w:val="0000" w:firstRow="0" w:lastRow="0" w:firstColumn="0" w:lastColumn="0" w:noHBand="0" w:noVBand="0"/>
      </w:tblPr>
      <w:tblGrid>
        <w:gridCol w:w="8460"/>
      </w:tblGrid>
      <w:tr w:rsidR="00B8769A" w:rsidRPr="0047351B" w:rsidTr="00496719">
        <w:trPr>
          <w:trHeight w:val="100"/>
        </w:trPr>
        <w:tc>
          <w:tcPr>
            <w:tcW w:w="8460" w:type="dxa"/>
          </w:tcPr>
          <w:p w:rsidR="00B8769A" w:rsidRPr="0047351B" w:rsidRDefault="00B8769A" w:rsidP="00B8769A">
            <w:pPr>
              <w:pStyle w:val="Default"/>
              <w:tabs>
                <w:tab w:val="left" w:pos="630"/>
                <w:tab w:val="left" w:pos="810"/>
              </w:tabs>
              <w:jc w:val="center"/>
              <w:rPr>
                <w:rFonts w:ascii="Times New Roman" w:hAnsi="Times New Roman" w:cs="Times New Roman"/>
                <w:sz w:val="27"/>
                <w:szCs w:val="27"/>
              </w:rPr>
            </w:pPr>
          </w:p>
        </w:tc>
      </w:tr>
    </w:tbl>
    <w:p w:rsidR="00B8769A" w:rsidRPr="00015735" w:rsidRDefault="00B8769A" w:rsidP="00665CEB">
      <w:pPr>
        <w:pStyle w:val="Default"/>
        <w:spacing w:line="360" w:lineRule="auto"/>
        <w:ind w:left="540"/>
        <w:jc w:val="both"/>
        <w:rPr>
          <w:rFonts w:ascii="Times New Roman" w:hAnsi="Times New Roman" w:cs="Times New Roman"/>
        </w:rPr>
      </w:pPr>
      <w:r w:rsidRPr="00015735">
        <w:rPr>
          <w:rFonts w:ascii="Times New Roman" w:hAnsi="Times New Roman" w:cs="Times New Roman"/>
        </w:rPr>
        <w:t>(Source: Calculated from the annual report of ICICI Bank.)</w:t>
      </w:r>
    </w:p>
    <w:p w:rsidR="00665CEB" w:rsidRPr="00015735" w:rsidRDefault="00665CEB" w:rsidP="00665CEB">
      <w:pPr>
        <w:pStyle w:val="Default"/>
        <w:ind w:left="540"/>
        <w:jc w:val="both"/>
        <w:rPr>
          <w:rFonts w:ascii="Times New Roman" w:hAnsi="Times New Roman" w:cs="Times New Roman"/>
        </w:rPr>
      </w:pPr>
    </w:p>
    <w:p w:rsidR="00665CEB" w:rsidRPr="00015735" w:rsidRDefault="00665CEB" w:rsidP="00665CEB">
      <w:pPr>
        <w:pStyle w:val="Default"/>
        <w:ind w:left="540"/>
        <w:jc w:val="both"/>
        <w:rPr>
          <w:rFonts w:ascii="Times New Roman" w:hAnsi="Times New Roman" w:cs="Times New Roman"/>
        </w:rPr>
      </w:pPr>
    </w:p>
    <w:p w:rsidR="00B8769A" w:rsidRPr="00015735" w:rsidRDefault="00665CEB" w:rsidP="00496719">
      <w:pPr>
        <w:pStyle w:val="Default"/>
        <w:tabs>
          <w:tab w:val="left" w:pos="630"/>
          <w:tab w:val="left" w:pos="810"/>
        </w:tabs>
        <w:spacing w:line="360" w:lineRule="auto"/>
        <w:jc w:val="both"/>
        <w:rPr>
          <w:rFonts w:ascii="Times New Roman" w:hAnsi="Times New Roman" w:cs="Times New Roman"/>
        </w:rPr>
      </w:pPr>
      <w:r w:rsidRPr="00015735">
        <w:rPr>
          <w:rFonts w:ascii="Times New Roman" w:hAnsi="Times New Roman" w:cs="Times New Roman"/>
        </w:rPr>
        <w:tab/>
        <w:t xml:space="preserve">Debtors Turnover indicates the number of times the debtors are turned over during a year. Generally, the higher the value of </w:t>
      </w:r>
      <w:proofErr w:type="gramStart"/>
      <w:r w:rsidRPr="00015735">
        <w:rPr>
          <w:rFonts w:ascii="Times New Roman" w:hAnsi="Times New Roman" w:cs="Times New Roman"/>
        </w:rPr>
        <w:t>debtors</w:t>
      </w:r>
      <w:proofErr w:type="gramEnd"/>
      <w:r w:rsidRPr="00015735">
        <w:rPr>
          <w:rFonts w:ascii="Times New Roman" w:hAnsi="Times New Roman" w:cs="Times New Roman"/>
        </w:rPr>
        <w:t xml:space="preserve"> turnover the more efficient is the management of debtors and more liquid are the debtors.</w:t>
      </w:r>
    </w:p>
    <w:p w:rsidR="00B8769A" w:rsidRPr="00015735" w:rsidRDefault="00B8769A" w:rsidP="00496719">
      <w:pPr>
        <w:pStyle w:val="Default"/>
        <w:tabs>
          <w:tab w:val="left" w:pos="630"/>
          <w:tab w:val="left" w:pos="810"/>
        </w:tabs>
        <w:spacing w:line="360" w:lineRule="auto"/>
        <w:jc w:val="center"/>
        <w:rPr>
          <w:rFonts w:ascii="Times New Roman" w:hAnsi="Times New Roman" w:cs="Times New Roman"/>
        </w:rPr>
      </w:pPr>
    </w:p>
    <w:p w:rsidR="00B8769A" w:rsidRPr="00015735" w:rsidRDefault="00B8769A" w:rsidP="00B8769A">
      <w:pPr>
        <w:pStyle w:val="Default"/>
        <w:tabs>
          <w:tab w:val="left" w:pos="630"/>
          <w:tab w:val="left" w:pos="810"/>
        </w:tabs>
        <w:jc w:val="center"/>
        <w:rPr>
          <w:rFonts w:ascii="Times New Roman" w:hAnsi="Times New Roman" w:cs="Times New Roman"/>
        </w:rPr>
      </w:pPr>
    </w:p>
    <w:p w:rsidR="00665CEB" w:rsidRPr="00015735" w:rsidRDefault="00665CEB">
      <w:pPr>
        <w:rPr>
          <w:b/>
          <w:color w:val="000000"/>
        </w:rPr>
      </w:pPr>
      <w:r w:rsidRPr="00015735">
        <w:rPr>
          <w:b/>
        </w:rPr>
        <w:br w:type="page"/>
      </w:r>
    </w:p>
    <w:p w:rsidR="00FC43D6" w:rsidRPr="00015735" w:rsidRDefault="00401F6E" w:rsidP="00496719">
      <w:pPr>
        <w:pStyle w:val="Default"/>
        <w:spacing w:line="360" w:lineRule="auto"/>
        <w:rPr>
          <w:rFonts w:ascii="Times New Roman" w:hAnsi="Times New Roman" w:cs="Times New Roman"/>
          <w:b/>
          <w:sz w:val="28"/>
          <w:szCs w:val="28"/>
        </w:rPr>
      </w:pPr>
      <w:r w:rsidRPr="00015735">
        <w:rPr>
          <w:rFonts w:ascii="Times New Roman" w:hAnsi="Times New Roman" w:cs="Times New Roman"/>
          <w:b/>
          <w:sz w:val="28"/>
          <w:szCs w:val="28"/>
        </w:rPr>
        <w:lastRenderedPageBreak/>
        <w:t>Advances to Assets</w:t>
      </w:r>
      <w:r w:rsidR="005F36EF" w:rsidRPr="00015735">
        <w:rPr>
          <w:rFonts w:ascii="Times New Roman" w:hAnsi="Times New Roman" w:cs="Times New Roman"/>
          <w:b/>
          <w:sz w:val="28"/>
          <w:szCs w:val="28"/>
        </w:rPr>
        <w:t>:</w:t>
      </w:r>
    </w:p>
    <w:p w:rsidR="005F36EF" w:rsidRPr="00015735" w:rsidRDefault="005F36EF" w:rsidP="00496719">
      <w:pPr>
        <w:pStyle w:val="Default"/>
        <w:spacing w:line="360" w:lineRule="auto"/>
        <w:rPr>
          <w:rFonts w:ascii="Times New Roman" w:hAnsi="Times New Roman" w:cs="Times New Roman"/>
          <w:b/>
        </w:rPr>
      </w:pPr>
    </w:p>
    <w:p w:rsidR="005F36EF" w:rsidRPr="00015735" w:rsidRDefault="005F36EF" w:rsidP="00496719">
      <w:pPr>
        <w:pStyle w:val="Default"/>
        <w:spacing w:line="360" w:lineRule="auto"/>
        <w:jc w:val="both"/>
        <w:rPr>
          <w:rFonts w:ascii="Times New Roman" w:hAnsi="Times New Roman" w:cs="Times New Roman"/>
          <w:b/>
        </w:rPr>
      </w:pPr>
      <w:r w:rsidRPr="00015735">
        <w:rPr>
          <w:rFonts w:ascii="Times New Roman" w:hAnsi="Times New Roman" w:cs="Times New Roman"/>
          <w:b/>
        </w:rPr>
        <w:tab/>
      </w:r>
      <w:r w:rsidRPr="00015735">
        <w:rPr>
          <w:rFonts w:ascii="Times New Roman" w:hAnsi="Times New Roman" w:cs="Times New Roman"/>
        </w:rPr>
        <w:t xml:space="preserve">A high ratio of Advances to Assets would mean that the chances of </w:t>
      </w:r>
      <w:proofErr w:type="spellStart"/>
      <w:r w:rsidRPr="00015735">
        <w:rPr>
          <w:rFonts w:ascii="Times New Roman" w:hAnsi="Times New Roman" w:cs="Times New Roman"/>
        </w:rPr>
        <w:t>Non Performing</w:t>
      </w:r>
      <w:proofErr w:type="spellEnd"/>
      <w:r w:rsidRPr="00015735">
        <w:rPr>
          <w:rFonts w:ascii="Times New Roman" w:hAnsi="Times New Roman" w:cs="Times New Roman"/>
        </w:rPr>
        <w:t xml:space="preserve"> Assets formation are also high, which is not a good scenario for a bank.</w:t>
      </w:r>
    </w:p>
    <w:p w:rsidR="00700A7E" w:rsidRPr="00015735" w:rsidRDefault="00700A7E" w:rsidP="00015735">
      <w:pPr>
        <w:pStyle w:val="Default"/>
        <w:spacing w:line="360" w:lineRule="auto"/>
        <w:rPr>
          <w:rFonts w:ascii="Times New Roman" w:hAnsi="Times New Roman" w:cs="Times New Roman"/>
          <w:b/>
          <w:sz w:val="28"/>
          <w:szCs w:val="28"/>
        </w:rPr>
      </w:pPr>
    </w:p>
    <w:p w:rsidR="0028271F" w:rsidRPr="00015735" w:rsidRDefault="003641F9" w:rsidP="00015735">
      <w:pPr>
        <w:pStyle w:val="Default"/>
        <w:spacing w:line="360" w:lineRule="auto"/>
        <w:ind w:left="360"/>
        <w:jc w:val="center"/>
        <w:rPr>
          <w:rFonts w:ascii="Times New Roman" w:hAnsi="Times New Roman" w:cs="Times New Roman"/>
          <w:sz w:val="28"/>
          <w:szCs w:val="28"/>
        </w:rPr>
      </w:pPr>
      <w:r w:rsidRPr="00015735">
        <w:rPr>
          <w:rFonts w:ascii="Times New Roman" w:hAnsi="Times New Roman" w:cs="Times New Roman"/>
          <w:sz w:val="28"/>
          <w:szCs w:val="28"/>
        </w:rPr>
        <w:t>Table: 2.1</w:t>
      </w:r>
    </w:p>
    <w:tbl>
      <w:tblPr>
        <w:tblStyle w:val="TableGrid"/>
        <w:tblW w:w="0" w:type="auto"/>
        <w:tblInd w:w="468" w:type="dxa"/>
        <w:tblLook w:val="04A0" w:firstRow="1" w:lastRow="0" w:firstColumn="1" w:lastColumn="0" w:noHBand="0" w:noVBand="1"/>
      </w:tblPr>
      <w:tblGrid>
        <w:gridCol w:w="1483"/>
        <w:gridCol w:w="1667"/>
        <w:gridCol w:w="1800"/>
        <w:gridCol w:w="1710"/>
        <w:gridCol w:w="1800"/>
      </w:tblGrid>
      <w:tr w:rsidR="000405BC" w:rsidRPr="00015735" w:rsidTr="0028271F">
        <w:trPr>
          <w:trHeight w:val="602"/>
        </w:trPr>
        <w:tc>
          <w:tcPr>
            <w:tcW w:w="1483"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 xml:space="preserve">Mar’ </w:t>
            </w:r>
            <w:r>
              <w:rPr>
                <w:rFonts w:ascii="Times New Roman" w:hAnsi="Times New Roman" w:cs="Times New Roman"/>
                <w:sz w:val="28"/>
                <w:szCs w:val="28"/>
              </w:rPr>
              <w:t>10</w:t>
            </w:r>
          </w:p>
        </w:tc>
        <w:tc>
          <w:tcPr>
            <w:tcW w:w="1667" w:type="dxa"/>
          </w:tcPr>
          <w:p w:rsidR="000405BC" w:rsidRPr="00DF575C" w:rsidRDefault="000405BC" w:rsidP="0090368E">
            <w:pPr>
              <w:pStyle w:val="Default"/>
              <w:jc w:val="center"/>
              <w:rPr>
                <w:rFonts w:ascii="Times New Roman" w:hAnsi="Times New Roman" w:cs="Times New Roman"/>
                <w:sz w:val="28"/>
                <w:szCs w:val="28"/>
              </w:rPr>
            </w:pPr>
          </w:p>
          <w:tbl>
            <w:tblPr>
              <w:tblW w:w="1246" w:type="dxa"/>
              <w:tblInd w:w="16" w:type="dxa"/>
              <w:tblBorders>
                <w:top w:val="nil"/>
                <w:left w:val="nil"/>
                <w:bottom w:val="nil"/>
                <w:right w:val="nil"/>
              </w:tblBorders>
              <w:tblLook w:val="0000" w:firstRow="0" w:lastRow="0" w:firstColumn="0" w:lastColumn="0" w:noHBand="0" w:noVBand="0"/>
            </w:tblPr>
            <w:tblGrid>
              <w:gridCol w:w="1246"/>
            </w:tblGrid>
            <w:tr w:rsidR="000405BC" w:rsidRPr="00DF575C" w:rsidTr="0090368E">
              <w:trPr>
                <w:trHeight w:val="386"/>
              </w:trPr>
              <w:tc>
                <w:tcPr>
                  <w:tcW w:w="0" w:type="auto"/>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11</w:t>
                  </w:r>
                </w:p>
              </w:tc>
            </w:tr>
          </w:tbl>
          <w:p w:rsidR="000405BC" w:rsidRPr="00DF575C" w:rsidRDefault="000405BC" w:rsidP="0090368E">
            <w:pPr>
              <w:pStyle w:val="Default"/>
              <w:jc w:val="center"/>
              <w:rPr>
                <w:rFonts w:ascii="Times New Roman" w:hAnsi="Times New Roman" w:cs="Times New Roman"/>
                <w:sz w:val="28"/>
                <w:szCs w:val="28"/>
              </w:rPr>
            </w:pPr>
          </w:p>
        </w:tc>
        <w:tc>
          <w:tcPr>
            <w:tcW w:w="1800" w:type="dxa"/>
          </w:tcPr>
          <w:p w:rsidR="000405BC" w:rsidRPr="00DF575C" w:rsidRDefault="000405BC" w:rsidP="0090368E">
            <w:pPr>
              <w:pStyle w:val="Default"/>
              <w:jc w:val="center"/>
              <w:rPr>
                <w:rFonts w:ascii="Times New Roman" w:hAnsi="Times New Roman" w:cs="Times New Roman"/>
                <w:sz w:val="28"/>
                <w:szCs w:val="28"/>
              </w:rPr>
            </w:pPr>
          </w:p>
          <w:tbl>
            <w:tblPr>
              <w:tblW w:w="1501" w:type="dxa"/>
              <w:tblInd w:w="16" w:type="dxa"/>
              <w:tblBorders>
                <w:top w:val="nil"/>
                <w:left w:val="nil"/>
                <w:bottom w:val="nil"/>
                <w:right w:val="nil"/>
              </w:tblBorders>
              <w:tblLook w:val="0000" w:firstRow="0" w:lastRow="0" w:firstColumn="0" w:lastColumn="0" w:noHBand="0" w:noVBand="0"/>
            </w:tblPr>
            <w:tblGrid>
              <w:gridCol w:w="1246"/>
              <w:gridCol w:w="255"/>
            </w:tblGrid>
            <w:tr w:rsidR="000405BC" w:rsidRPr="00DF575C" w:rsidTr="0090368E">
              <w:trPr>
                <w:trHeight w:val="386"/>
              </w:trPr>
              <w:tc>
                <w:tcPr>
                  <w:tcW w:w="0" w:type="auto"/>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12</w:t>
                  </w:r>
                </w:p>
              </w:tc>
              <w:tc>
                <w:tcPr>
                  <w:tcW w:w="0" w:type="auto"/>
                </w:tcPr>
                <w:p w:rsidR="000405BC" w:rsidRPr="00DF575C" w:rsidRDefault="000405BC" w:rsidP="0090368E">
                  <w:pPr>
                    <w:pStyle w:val="Default"/>
                    <w:jc w:val="center"/>
                    <w:rPr>
                      <w:rFonts w:ascii="Times New Roman" w:hAnsi="Times New Roman" w:cs="Times New Roman"/>
                      <w:sz w:val="28"/>
                      <w:szCs w:val="28"/>
                    </w:rPr>
                  </w:pPr>
                </w:p>
              </w:tc>
            </w:tr>
          </w:tbl>
          <w:p w:rsidR="000405BC" w:rsidRPr="00DF575C" w:rsidRDefault="000405BC" w:rsidP="0090368E">
            <w:pPr>
              <w:pStyle w:val="Default"/>
              <w:jc w:val="center"/>
              <w:rPr>
                <w:rFonts w:ascii="Times New Roman" w:hAnsi="Times New Roman" w:cs="Times New Roman"/>
                <w:sz w:val="28"/>
                <w:szCs w:val="28"/>
              </w:rPr>
            </w:pPr>
          </w:p>
        </w:tc>
        <w:tc>
          <w:tcPr>
            <w:tcW w:w="171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13</w:t>
            </w:r>
          </w:p>
        </w:tc>
        <w:tc>
          <w:tcPr>
            <w:tcW w:w="180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'1</w:t>
            </w:r>
            <w:r>
              <w:rPr>
                <w:rFonts w:ascii="Times New Roman" w:hAnsi="Times New Roman" w:cs="Times New Roman"/>
                <w:sz w:val="28"/>
                <w:szCs w:val="28"/>
              </w:rPr>
              <w:t>4</w:t>
            </w:r>
          </w:p>
        </w:tc>
      </w:tr>
      <w:tr w:rsidR="000405BC" w:rsidRPr="00015735" w:rsidTr="0028271F">
        <w:trPr>
          <w:trHeight w:val="395"/>
        </w:trPr>
        <w:tc>
          <w:tcPr>
            <w:tcW w:w="1483" w:type="dxa"/>
          </w:tcPr>
          <w:p w:rsidR="000405BC" w:rsidRPr="00015735" w:rsidRDefault="000405BC"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0.60</w:t>
            </w:r>
          </w:p>
        </w:tc>
        <w:tc>
          <w:tcPr>
            <w:tcW w:w="1667" w:type="dxa"/>
          </w:tcPr>
          <w:p w:rsidR="000405BC" w:rsidRPr="00015735" w:rsidRDefault="000405BC"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0.63</w:t>
            </w:r>
          </w:p>
        </w:tc>
        <w:tc>
          <w:tcPr>
            <w:tcW w:w="1800" w:type="dxa"/>
          </w:tcPr>
          <w:p w:rsidR="000405BC" w:rsidRPr="00015735" w:rsidRDefault="000405BC"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0.61</w:t>
            </w:r>
          </w:p>
        </w:tc>
        <w:tc>
          <w:tcPr>
            <w:tcW w:w="1710" w:type="dxa"/>
          </w:tcPr>
          <w:p w:rsidR="000405BC" w:rsidRPr="00015735" w:rsidRDefault="000405BC"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0.62</w:t>
            </w:r>
          </w:p>
        </w:tc>
        <w:tc>
          <w:tcPr>
            <w:tcW w:w="1800" w:type="dxa"/>
          </w:tcPr>
          <w:p w:rsidR="000405BC" w:rsidRPr="00015735" w:rsidRDefault="000405BC"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0.60</w:t>
            </w:r>
          </w:p>
        </w:tc>
      </w:tr>
    </w:tbl>
    <w:p w:rsidR="005F36EF" w:rsidRPr="00015735" w:rsidRDefault="005F36EF" w:rsidP="00015735">
      <w:pPr>
        <w:pStyle w:val="Default"/>
        <w:spacing w:line="360" w:lineRule="auto"/>
        <w:jc w:val="center"/>
        <w:rPr>
          <w:rFonts w:ascii="Times New Roman" w:hAnsi="Times New Roman" w:cs="Times New Roman"/>
          <w:sz w:val="28"/>
          <w:szCs w:val="28"/>
        </w:rPr>
      </w:pPr>
    </w:p>
    <w:p w:rsidR="00401F6E" w:rsidRPr="00015735" w:rsidRDefault="005F36EF"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Figure: 2.1</w:t>
      </w:r>
    </w:p>
    <w:p w:rsidR="00401F6E" w:rsidRPr="0047351B" w:rsidRDefault="0090368E" w:rsidP="00401F6E">
      <w:pPr>
        <w:pStyle w:val="Default"/>
        <w:jc w:val="center"/>
        <w:rPr>
          <w:rFonts w:ascii="Times New Roman" w:hAnsi="Times New Roman" w:cs="Times New Roman"/>
          <w:b/>
          <w:sz w:val="35"/>
          <w:szCs w:val="35"/>
        </w:rPr>
      </w:pPr>
      <w:r>
        <w:rPr>
          <w:rFonts w:ascii="Times New Roman" w:hAnsi="Times New Roman" w:cs="Times New Roman"/>
          <w:b/>
          <w:noProof/>
          <w:sz w:val="35"/>
          <w:szCs w:val="35"/>
        </w:rPr>
        <w:drawing>
          <wp:inline distT="0" distB="0" distL="0" distR="0">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271F" w:rsidRPr="00015735" w:rsidRDefault="0028271F" w:rsidP="00015735">
      <w:pPr>
        <w:pStyle w:val="Default"/>
        <w:spacing w:line="360" w:lineRule="auto"/>
        <w:jc w:val="center"/>
        <w:rPr>
          <w:rFonts w:ascii="Times New Roman" w:hAnsi="Times New Roman" w:cs="Times New Roman"/>
          <w:b/>
        </w:rPr>
      </w:pPr>
    </w:p>
    <w:p w:rsidR="003641F9" w:rsidRPr="00015735" w:rsidRDefault="003641F9" w:rsidP="00015735">
      <w:pPr>
        <w:pStyle w:val="Default"/>
        <w:spacing w:line="360" w:lineRule="auto"/>
        <w:rPr>
          <w:rFonts w:ascii="Times New Roman" w:hAnsi="Times New Roman" w:cs="Times New Roman"/>
        </w:rPr>
      </w:pPr>
      <w:r w:rsidRPr="00015735">
        <w:rPr>
          <w:rFonts w:ascii="Times New Roman" w:hAnsi="Times New Roman" w:cs="Times New Roman"/>
        </w:rPr>
        <w:t>(Source: Calculated from the annual report of ICICI Bank.)</w:t>
      </w:r>
    </w:p>
    <w:p w:rsidR="003641F9" w:rsidRPr="00015735" w:rsidRDefault="003641F9" w:rsidP="00015735">
      <w:pPr>
        <w:pStyle w:val="Default"/>
        <w:spacing w:line="360" w:lineRule="auto"/>
        <w:rPr>
          <w:rFonts w:ascii="Times New Roman" w:hAnsi="Times New Roman" w:cs="Times New Roman"/>
        </w:rPr>
      </w:pPr>
    </w:p>
    <w:p w:rsidR="0028271F" w:rsidRPr="00015735" w:rsidRDefault="0028271F" w:rsidP="00015735">
      <w:pPr>
        <w:pStyle w:val="Default"/>
        <w:spacing w:line="360" w:lineRule="auto"/>
        <w:ind w:firstLine="720"/>
        <w:jc w:val="both"/>
        <w:rPr>
          <w:rFonts w:ascii="Times New Roman" w:hAnsi="Times New Roman" w:cs="Times New Roman"/>
        </w:rPr>
      </w:pPr>
      <w:r w:rsidRPr="00015735">
        <w:rPr>
          <w:rFonts w:ascii="Times New Roman" w:hAnsi="Times New Roman" w:cs="Times New Roman"/>
        </w:rPr>
        <w:t xml:space="preserve">“Advances to Asset” is also a good indicator of a firm’s Capital Adequacy. A high ratio of Advances to Assets would mean that the chances of </w:t>
      </w:r>
      <w:proofErr w:type="spellStart"/>
      <w:r w:rsidRPr="00015735">
        <w:rPr>
          <w:rFonts w:ascii="Times New Roman" w:hAnsi="Times New Roman" w:cs="Times New Roman"/>
        </w:rPr>
        <w:t>Non Performing</w:t>
      </w:r>
      <w:proofErr w:type="spellEnd"/>
      <w:r w:rsidRPr="00015735">
        <w:rPr>
          <w:rFonts w:ascii="Times New Roman" w:hAnsi="Times New Roman" w:cs="Times New Roman"/>
        </w:rPr>
        <w:t xml:space="preserve"> Assets formation are also high, which is not a good scenario for a bank. This would mean the credibility of its assets would go down. In case of </w:t>
      </w:r>
      <w:r w:rsidR="00036905" w:rsidRPr="00015735">
        <w:rPr>
          <w:rFonts w:ascii="Times New Roman" w:hAnsi="Times New Roman" w:cs="Times New Roman"/>
        </w:rPr>
        <w:t xml:space="preserve">ICICI </w:t>
      </w:r>
      <w:r w:rsidRPr="00015735">
        <w:rPr>
          <w:rFonts w:ascii="Times New Roman" w:hAnsi="Times New Roman" w:cs="Times New Roman"/>
        </w:rPr>
        <w:t xml:space="preserve">Bank we can see that it is able to maintain a pretty steady ratio of its Advances to Assets which means the credibility of its assets is good. </w:t>
      </w:r>
    </w:p>
    <w:p w:rsidR="0028271F" w:rsidRPr="00015735" w:rsidRDefault="0028271F" w:rsidP="00015735">
      <w:pPr>
        <w:spacing w:line="360" w:lineRule="auto"/>
        <w:rPr>
          <w:b/>
          <w:color w:val="000000"/>
        </w:rPr>
      </w:pPr>
      <w:r w:rsidRPr="00015735">
        <w:rPr>
          <w:b/>
        </w:rPr>
        <w:br w:type="page"/>
      </w:r>
    </w:p>
    <w:p w:rsidR="0028271F" w:rsidRPr="00015735" w:rsidRDefault="0028271F" w:rsidP="00700A7E">
      <w:pPr>
        <w:pStyle w:val="Default"/>
        <w:jc w:val="both"/>
        <w:rPr>
          <w:rFonts w:ascii="Times New Roman" w:hAnsi="Times New Roman" w:cs="Times New Roman"/>
          <w:b/>
          <w:sz w:val="28"/>
          <w:szCs w:val="28"/>
        </w:rPr>
      </w:pPr>
      <w:r w:rsidRPr="00015735">
        <w:rPr>
          <w:rFonts w:ascii="Times New Roman" w:hAnsi="Times New Roman" w:cs="Times New Roman"/>
          <w:b/>
          <w:sz w:val="28"/>
          <w:szCs w:val="28"/>
        </w:rPr>
        <w:lastRenderedPageBreak/>
        <w:t>Government Securities to Total Investments</w:t>
      </w:r>
      <w:r w:rsidR="00700A7E" w:rsidRPr="00015735">
        <w:rPr>
          <w:rFonts w:ascii="Times New Roman" w:hAnsi="Times New Roman" w:cs="Times New Roman"/>
          <w:b/>
          <w:sz w:val="28"/>
          <w:szCs w:val="28"/>
        </w:rPr>
        <w:t>:</w:t>
      </w:r>
    </w:p>
    <w:p w:rsidR="00700A7E" w:rsidRPr="00015735" w:rsidRDefault="00700A7E" w:rsidP="00015735">
      <w:pPr>
        <w:pStyle w:val="Default"/>
        <w:spacing w:line="360" w:lineRule="auto"/>
        <w:jc w:val="both"/>
        <w:rPr>
          <w:rFonts w:ascii="Times New Roman" w:hAnsi="Times New Roman" w:cs="Times New Roman"/>
          <w:b/>
        </w:rPr>
      </w:pPr>
    </w:p>
    <w:p w:rsidR="003641F9" w:rsidRPr="00015735" w:rsidRDefault="00700A7E" w:rsidP="00015735">
      <w:pPr>
        <w:pStyle w:val="Default"/>
        <w:spacing w:line="360" w:lineRule="auto"/>
        <w:jc w:val="both"/>
        <w:rPr>
          <w:rFonts w:ascii="Times New Roman" w:hAnsi="Times New Roman" w:cs="Times New Roman"/>
          <w:b/>
        </w:rPr>
      </w:pPr>
      <w:r w:rsidRPr="00015735">
        <w:rPr>
          <w:rFonts w:ascii="Times New Roman" w:hAnsi="Times New Roman" w:cs="Times New Roman"/>
          <w:b/>
        </w:rPr>
        <w:tab/>
      </w:r>
      <w:r w:rsidRPr="00015735">
        <w:rPr>
          <w:rFonts w:ascii="Times New Roman" w:hAnsi="Times New Roman" w:cs="Times New Roman"/>
        </w:rPr>
        <w:t>The ratio of Government Securities to Total investments shows how safe are the company’s investments.</w:t>
      </w:r>
    </w:p>
    <w:p w:rsidR="00700A7E" w:rsidRPr="00015735" w:rsidRDefault="00700A7E" w:rsidP="00015735">
      <w:pPr>
        <w:pStyle w:val="Default"/>
        <w:tabs>
          <w:tab w:val="left" w:pos="5370"/>
        </w:tabs>
        <w:spacing w:line="360" w:lineRule="auto"/>
        <w:rPr>
          <w:rFonts w:ascii="Times New Roman" w:hAnsi="Times New Roman" w:cs="Times New Roman"/>
          <w:b/>
          <w:sz w:val="28"/>
          <w:szCs w:val="28"/>
        </w:rPr>
      </w:pPr>
    </w:p>
    <w:p w:rsidR="0028271F" w:rsidRPr="00015735" w:rsidRDefault="003641F9" w:rsidP="00015735">
      <w:pPr>
        <w:pStyle w:val="Default"/>
        <w:spacing w:line="360" w:lineRule="auto"/>
        <w:ind w:left="270"/>
        <w:jc w:val="center"/>
        <w:rPr>
          <w:rFonts w:ascii="Times New Roman" w:hAnsi="Times New Roman" w:cs="Times New Roman"/>
          <w:sz w:val="28"/>
          <w:szCs w:val="28"/>
        </w:rPr>
      </w:pPr>
      <w:r w:rsidRPr="00015735">
        <w:rPr>
          <w:rFonts w:ascii="Times New Roman" w:hAnsi="Times New Roman" w:cs="Times New Roman"/>
          <w:sz w:val="28"/>
          <w:szCs w:val="28"/>
        </w:rPr>
        <w:t>Table: 2.2</w:t>
      </w:r>
    </w:p>
    <w:tbl>
      <w:tblPr>
        <w:tblStyle w:val="TableGrid"/>
        <w:tblW w:w="0" w:type="auto"/>
        <w:tblInd w:w="378" w:type="dxa"/>
        <w:tblLook w:val="04A0" w:firstRow="1" w:lastRow="0" w:firstColumn="1" w:lastColumn="0" w:noHBand="0" w:noVBand="1"/>
      </w:tblPr>
      <w:tblGrid>
        <w:gridCol w:w="1710"/>
        <w:gridCol w:w="1710"/>
        <w:gridCol w:w="1733"/>
        <w:gridCol w:w="1710"/>
        <w:gridCol w:w="1710"/>
      </w:tblGrid>
      <w:tr w:rsidR="000405BC" w:rsidRPr="00015735" w:rsidTr="0028271F">
        <w:tc>
          <w:tcPr>
            <w:tcW w:w="171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 xml:space="preserve">Mar’ </w:t>
            </w:r>
            <w:r>
              <w:rPr>
                <w:rFonts w:ascii="Times New Roman" w:hAnsi="Times New Roman" w:cs="Times New Roman"/>
                <w:sz w:val="28"/>
                <w:szCs w:val="28"/>
              </w:rPr>
              <w:t>10</w:t>
            </w:r>
          </w:p>
        </w:tc>
        <w:tc>
          <w:tcPr>
            <w:tcW w:w="1710" w:type="dxa"/>
          </w:tcPr>
          <w:p w:rsidR="000405BC" w:rsidRPr="00DF575C" w:rsidRDefault="000405BC" w:rsidP="0090368E">
            <w:pPr>
              <w:pStyle w:val="Default"/>
              <w:jc w:val="center"/>
              <w:rPr>
                <w:rFonts w:ascii="Times New Roman" w:hAnsi="Times New Roman" w:cs="Times New Roman"/>
                <w:sz w:val="28"/>
                <w:szCs w:val="28"/>
              </w:rPr>
            </w:pPr>
          </w:p>
          <w:tbl>
            <w:tblPr>
              <w:tblW w:w="1246" w:type="dxa"/>
              <w:tblInd w:w="16" w:type="dxa"/>
              <w:tblBorders>
                <w:top w:val="nil"/>
                <w:left w:val="nil"/>
                <w:bottom w:val="nil"/>
                <w:right w:val="nil"/>
              </w:tblBorders>
              <w:tblLook w:val="0000" w:firstRow="0" w:lastRow="0" w:firstColumn="0" w:lastColumn="0" w:noHBand="0" w:noVBand="0"/>
            </w:tblPr>
            <w:tblGrid>
              <w:gridCol w:w="1246"/>
            </w:tblGrid>
            <w:tr w:rsidR="000405BC" w:rsidRPr="00DF575C" w:rsidTr="0090368E">
              <w:trPr>
                <w:trHeight w:val="386"/>
              </w:trPr>
              <w:tc>
                <w:tcPr>
                  <w:tcW w:w="0" w:type="auto"/>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11</w:t>
                  </w:r>
                </w:p>
              </w:tc>
            </w:tr>
          </w:tbl>
          <w:p w:rsidR="000405BC" w:rsidRPr="00DF575C" w:rsidRDefault="000405BC" w:rsidP="0090368E">
            <w:pPr>
              <w:pStyle w:val="Default"/>
              <w:jc w:val="center"/>
              <w:rPr>
                <w:rFonts w:ascii="Times New Roman" w:hAnsi="Times New Roman" w:cs="Times New Roman"/>
                <w:sz w:val="28"/>
                <w:szCs w:val="28"/>
              </w:rPr>
            </w:pPr>
          </w:p>
        </w:tc>
        <w:tc>
          <w:tcPr>
            <w:tcW w:w="1710" w:type="dxa"/>
          </w:tcPr>
          <w:p w:rsidR="000405BC" w:rsidRPr="00DF575C" w:rsidRDefault="000405BC" w:rsidP="0090368E">
            <w:pPr>
              <w:pStyle w:val="Default"/>
              <w:jc w:val="center"/>
              <w:rPr>
                <w:rFonts w:ascii="Times New Roman" w:hAnsi="Times New Roman" w:cs="Times New Roman"/>
                <w:sz w:val="28"/>
                <w:szCs w:val="28"/>
              </w:rPr>
            </w:pPr>
          </w:p>
          <w:tbl>
            <w:tblPr>
              <w:tblW w:w="1501" w:type="dxa"/>
              <w:tblInd w:w="16" w:type="dxa"/>
              <w:tblBorders>
                <w:top w:val="nil"/>
                <w:left w:val="nil"/>
                <w:bottom w:val="nil"/>
                <w:right w:val="nil"/>
              </w:tblBorders>
              <w:tblLook w:val="0000" w:firstRow="0" w:lastRow="0" w:firstColumn="0" w:lastColumn="0" w:noHBand="0" w:noVBand="0"/>
            </w:tblPr>
            <w:tblGrid>
              <w:gridCol w:w="1246"/>
              <w:gridCol w:w="255"/>
            </w:tblGrid>
            <w:tr w:rsidR="000405BC" w:rsidRPr="00DF575C" w:rsidTr="0090368E">
              <w:trPr>
                <w:trHeight w:val="386"/>
              </w:trPr>
              <w:tc>
                <w:tcPr>
                  <w:tcW w:w="0" w:type="auto"/>
                </w:tcPr>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12</w:t>
                  </w:r>
                </w:p>
              </w:tc>
              <w:tc>
                <w:tcPr>
                  <w:tcW w:w="0" w:type="auto"/>
                </w:tcPr>
                <w:p w:rsidR="000405BC" w:rsidRPr="00DF575C" w:rsidRDefault="000405BC" w:rsidP="0090368E">
                  <w:pPr>
                    <w:pStyle w:val="Default"/>
                    <w:jc w:val="center"/>
                    <w:rPr>
                      <w:rFonts w:ascii="Times New Roman" w:hAnsi="Times New Roman" w:cs="Times New Roman"/>
                      <w:sz w:val="28"/>
                      <w:szCs w:val="28"/>
                    </w:rPr>
                  </w:pPr>
                </w:p>
              </w:tc>
            </w:tr>
          </w:tbl>
          <w:p w:rsidR="000405BC" w:rsidRPr="00DF575C" w:rsidRDefault="000405BC" w:rsidP="0090368E">
            <w:pPr>
              <w:pStyle w:val="Default"/>
              <w:jc w:val="center"/>
              <w:rPr>
                <w:rFonts w:ascii="Times New Roman" w:hAnsi="Times New Roman" w:cs="Times New Roman"/>
                <w:sz w:val="28"/>
                <w:szCs w:val="28"/>
              </w:rPr>
            </w:pPr>
          </w:p>
        </w:tc>
        <w:tc>
          <w:tcPr>
            <w:tcW w:w="171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w:t>
            </w:r>
            <w:r>
              <w:rPr>
                <w:rFonts w:ascii="Times New Roman" w:hAnsi="Times New Roman" w:cs="Times New Roman"/>
                <w:sz w:val="28"/>
                <w:szCs w:val="28"/>
              </w:rPr>
              <w:t>13</w:t>
            </w:r>
          </w:p>
        </w:tc>
        <w:tc>
          <w:tcPr>
            <w:tcW w:w="1710" w:type="dxa"/>
          </w:tcPr>
          <w:p w:rsidR="000405BC" w:rsidRPr="00DF575C" w:rsidRDefault="000405BC" w:rsidP="0090368E">
            <w:pPr>
              <w:pStyle w:val="Default"/>
              <w:jc w:val="center"/>
              <w:rPr>
                <w:rFonts w:ascii="Times New Roman" w:hAnsi="Times New Roman" w:cs="Times New Roman"/>
                <w:sz w:val="28"/>
                <w:szCs w:val="28"/>
              </w:rPr>
            </w:pPr>
          </w:p>
          <w:p w:rsidR="000405BC" w:rsidRPr="00DF575C" w:rsidRDefault="000405BC" w:rsidP="0090368E">
            <w:pPr>
              <w:pStyle w:val="Default"/>
              <w:jc w:val="center"/>
              <w:rPr>
                <w:rFonts w:ascii="Times New Roman" w:hAnsi="Times New Roman" w:cs="Times New Roman"/>
                <w:sz w:val="28"/>
                <w:szCs w:val="28"/>
              </w:rPr>
            </w:pPr>
            <w:r w:rsidRPr="00DF575C">
              <w:rPr>
                <w:rFonts w:ascii="Times New Roman" w:hAnsi="Times New Roman" w:cs="Times New Roman"/>
                <w:sz w:val="28"/>
                <w:szCs w:val="28"/>
              </w:rPr>
              <w:t>Mar '1</w:t>
            </w:r>
            <w:r>
              <w:rPr>
                <w:rFonts w:ascii="Times New Roman" w:hAnsi="Times New Roman" w:cs="Times New Roman"/>
                <w:sz w:val="28"/>
                <w:szCs w:val="28"/>
              </w:rPr>
              <w:t>4</w:t>
            </w:r>
          </w:p>
        </w:tc>
      </w:tr>
      <w:tr w:rsidR="000405BC" w:rsidRPr="00015735" w:rsidTr="0028271F">
        <w:trPr>
          <w:trHeight w:val="413"/>
        </w:trPr>
        <w:tc>
          <w:tcPr>
            <w:tcW w:w="1710" w:type="dxa"/>
          </w:tcPr>
          <w:p w:rsidR="000405BC" w:rsidRPr="00015735" w:rsidRDefault="000405BC"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0.81</w:t>
            </w:r>
          </w:p>
        </w:tc>
        <w:tc>
          <w:tcPr>
            <w:tcW w:w="1710" w:type="dxa"/>
          </w:tcPr>
          <w:p w:rsidR="000405BC" w:rsidRPr="00015735" w:rsidRDefault="000405BC"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0.83</w:t>
            </w:r>
          </w:p>
        </w:tc>
        <w:tc>
          <w:tcPr>
            <w:tcW w:w="1710" w:type="dxa"/>
          </w:tcPr>
          <w:p w:rsidR="000405BC" w:rsidRPr="00015735" w:rsidRDefault="000405BC"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0.83</w:t>
            </w:r>
          </w:p>
        </w:tc>
        <w:tc>
          <w:tcPr>
            <w:tcW w:w="1710" w:type="dxa"/>
          </w:tcPr>
          <w:p w:rsidR="000405BC" w:rsidRPr="00015735" w:rsidRDefault="000405BC"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0.86</w:t>
            </w:r>
          </w:p>
        </w:tc>
        <w:tc>
          <w:tcPr>
            <w:tcW w:w="1710" w:type="dxa"/>
          </w:tcPr>
          <w:p w:rsidR="000405BC" w:rsidRPr="00015735" w:rsidRDefault="000405BC"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0.86</w:t>
            </w:r>
          </w:p>
        </w:tc>
      </w:tr>
    </w:tbl>
    <w:p w:rsidR="005F36EF" w:rsidRPr="00015735" w:rsidRDefault="005F36EF" w:rsidP="00015735">
      <w:pPr>
        <w:pStyle w:val="Default"/>
        <w:spacing w:line="360" w:lineRule="auto"/>
        <w:jc w:val="center"/>
        <w:rPr>
          <w:rFonts w:ascii="Times New Roman" w:hAnsi="Times New Roman" w:cs="Times New Roman"/>
          <w:sz w:val="28"/>
          <w:szCs w:val="28"/>
        </w:rPr>
      </w:pPr>
    </w:p>
    <w:p w:rsidR="0028271F" w:rsidRPr="00015735" w:rsidRDefault="005F36EF" w:rsidP="00015735">
      <w:pPr>
        <w:pStyle w:val="Default"/>
        <w:spacing w:line="360" w:lineRule="auto"/>
        <w:jc w:val="center"/>
        <w:rPr>
          <w:rFonts w:ascii="Times New Roman" w:hAnsi="Times New Roman" w:cs="Times New Roman"/>
          <w:sz w:val="28"/>
          <w:szCs w:val="28"/>
        </w:rPr>
      </w:pPr>
      <w:r w:rsidRPr="00015735">
        <w:rPr>
          <w:rFonts w:ascii="Times New Roman" w:hAnsi="Times New Roman" w:cs="Times New Roman"/>
          <w:sz w:val="28"/>
          <w:szCs w:val="28"/>
        </w:rPr>
        <w:t>Figure: 2.2</w:t>
      </w:r>
    </w:p>
    <w:p w:rsidR="0028271F" w:rsidRPr="0047351B" w:rsidRDefault="0090368E" w:rsidP="0028271F">
      <w:pPr>
        <w:pStyle w:val="Default"/>
        <w:jc w:val="center"/>
        <w:rPr>
          <w:rFonts w:ascii="Times New Roman" w:hAnsi="Times New Roman" w:cs="Times New Roman"/>
          <w:color w:val="auto"/>
          <w:sz w:val="23"/>
          <w:szCs w:val="23"/>
        </w:rPr>
      </w:pPr>
      <w:r>
        <w:rPr>
          <w:rFonts w:ascii="Times New Roman" w:hAnsi="Times New Roman" w:cs="Times New Roman"/>
          <w:noProof/>
          <w:color w:val="auto"/>
          <w:sz w:val="23"/>
          <w:szCs w:val="23"/>
        </w:rPr>
        <w:drawing>
          <wp:inline distT="0" distB="0" distL="0" distR="0">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271F" w:rsidRPr="0047351B" w:rsidRDefault="0028271F" w:rsidP="0028271F">
      <w:pPr>
        <w:pStyle w:val="Default"/>
        <w:rPr>
          <w:rFonts w:ascii="Times New Roman" w:hAnsi="Times New Roman" w:cs="Times New Roman"/>
          <w:b/>
          <w:sz w:val="35"/>
          <w:szCs w:val="35"/>
        </w:rPr>
      </w:pPr>
    </w:p>
    <w:p w:rsidR="003641F9" w:rsidRPr="00015735" w:rsidRDefault="003641F9" w:rsidP="00015735">
      <w:pPr>
        <w:pStyle w:val="Default"/>
        <w:spacing w:line="360" w:lineRule="auto"/>
        <w:rPr>
          <w:rFonts w:ascii="Times New Roman" w:hAnsi="Times New Roman" w:cs="Times New Roman"/>
        </w:rPr>
      </w:pPr>
      <w:r w:rsidRPr="00015735">
        <w:rPr>
          <w:rFonts w:ascii="Times New Roman" w:hAnsi="Times New Roman" w:cs="Times New Roman"/>
        </w:rPr>
        <w:t>(Source: Calculated from the annual report of ICICI Bank.)</w:t>
      </w:r>
    </w:p>
    <w:p w:rsidR="009219FE" w:rsidRPr="00015735" w:rsidRDefault="009219FE" w:rsidP="00015735">
      <w:pPr>
        <w:pStyle w:val="Default"/>
        <w:spacing w:line="360" w:lineRule="auto"/>
        <w:rPr>
          <w:rFonts w:ascii="Times New Roman" w:hAnsi="Times New Roman" w:cs="Times New Roman"/>
          <w:b/>
        </w:rPr>
      </w:pPr>
    </w:p>
    <w:p w:rsidR="003641F9" w:rsidRPr="00015735" w:rsidRDefault="003641F9" w:rsidP="00015735">
      <w:pPr>
        <w:pStyle w:val="Default"/>
        <w:spacing w:line="360" w:lineRule="auto"/>
        <w:rPr>
          <w:rFonts w:ascii="Times New Roman" w:hAnsi="Times New Roman" w:cs="Times New Roman"/>
          <w:b/>
        </w:rPr>
      </w:pPr>
    </w:p>
    <w:p w:rsidR="0028271F" w:rsidRPr="00015735" w:rsidRDefault="0028271F" w:rsidP="00015735">
      <w:pPr>
        <w:pStyle w:val="Default"/>
        <w:spacing w:line="360" w:lineRule="auto"/>
        <w:ind w:firstLine="720"/>
        <w:jc w:val="both"/>
        <w:rPr>
          <w:rFonts w:ascii="Times New Roman" w:hAnsi="Times New Roman" w:cs="Times New Roman"/>
        </w:rPr>
      </w:pPr>
      <w:r w:rsidRPr="00015735">
        <w:rPr>
          <w:rFonts w:ascii="Times New Roman" w:hAnsi="Times New Roman" w:cs="Times New Roman"/>
        </w:rPr>
        <w:t xml:space="preserve">The ratio of Government Securities to Total investments shows how safe are the company’s investments. Here, in case of </w:t>
      </w:r>
      <w:r w:rsidR="00036905" w:rsidRPr="00015735">
        <w:rPr>
          <w:rFonts w:ascii="Times New Roman" w:hAnsi="Times New Roman" w:cs="Times New Roman"/>
        </w:rPr>
        <w:t xml:space="preserve">ICICI </w:t>
      </w:r>
      <w:r w:rsidRPr="00015735">
        <w:rPr>
          <w:rFonts w:ascii="Times New Roman" w:hAnsi="Times New Roman" w:cs="Times New Roman"/>
        </w:rPr>
        <w:t xml:space="preserve">Bank we can see that its ratio of investments in Government Securities to Total Investments is very high and it has remained quite steady over the years with minimal fluctuations. The high ratio tells that </w:t>
      </w:r>
      <w:r w:rsidR="00036905" w:rsidRPr="00015735">
        <w:rPr>
          <w:rFonts w:ascii="Times New Roman" w:hAnsi="Times New Roman" w:cs="Times New Roman"/>
        </w:rPr>
        <w:t xml:space="preserve">ICICI </w:t>
      </w:r>
      <w:r w:rsidRPr="00015735">
        <w:rPr>
          <w:rFonts w:ascii="Times New Roman" w:hAnsi="Times New Roman" w:cs="Times New Roman"/>
        </w:rPr>
        <w:t xml:space="preserve">Banks investment policy is conservative and their investments are safe. </w:t>
      </w:r>
    </w:p>
    <w:p w:rsidR="00B8433A" w:rsidRPr="0047351B" w:rsidRDefault="00B8433A" w:rsidP="00B8433A">
      <w:pPr>
        <w:spacing w:line="360" w:lineRule="auto"/>
        <w:rPr>
          <w:color w:val="000000"/>
          <w:sz w:val="23"/>
          <w:szCs w:val="23"/>
        </w:rPr>
      </w:pPr>
      <w:r w:rsidRPr="0047351B">
        <w:rPr>
          <w:b/>
          <w:sz w:val="35"/>
          <w:szCs w:val="35"/>
        </w:rPr>
        <w:br w:type="page"/>
      </w:r>
    </w:p>
    <w:p w:rsidR="0028271F" w:rsidRPr="0047351B" w:rsidRDefault="009219FE" w:rsidP="00B8433A">
      <w:pPr>
        <w:jc w:val="center"/>
        <w:rPr>
          <w:b/>
          <w:color w:val="000000"/>
          <w:sz w:val="31"/>
          <w:szCs w:val="31"/>
        </w:rPr>
      </w:pPr>
      <w:r w:rsidRPr="0047351B">
        <w:rPr>
          <w:b/>
          <w:sz w:val="31"/>
          <w:szCs w:val="31"/>
        </w:rPr>
        <w:lastRenderedPageBreak/>
        <w:t>Earning Quality</w:t>
      </w:r>
    </w:p>
    <w:p w:rsidR="009219FE" w:rsidRPr="0047351B" w:rsidRDefault="009219FE" w:rsidP="0028271F">
      <w:pPr>
        <w:pStyle w:val="Default"/>
        <w:jc w:val="both"/>
        <w:rPr>
          <w:rFonts w:ascii="Times New Roman" w:hAnsi="Times New Roman" w:cs="Times New Roman"/>
          <w:b/>
          <w:sz w:val="31"/>
          <w:szCs w:val="31"/>
        </w:rPr>
      </w:pPr>
    </w:p>
    <w:p w:rsidR="009219FE" w:rsidRPr="00015735" w:rsidRDefault="009219FE" w:rsidP="0028271F">
      <w:pPr>
        <w:pStyle w:val="Default"/>
        <w:jc w:val="both"/>
        <w:rPr>
          <w:rFonts w:ascii="Times New Roman" w:hAnsi="Times New Roman" w:cs="Times New Roman"/>
          <w:b/>
        </w:rPr>
      </w:pPr>
    </w:p>
    <w:p w:rsidR="009219FE" w:rsidRPr="00015735" w:rsidRDefault="009219FE" w:rsidP="009219FE">
      <w:pPr>
        <w:pStyle w:val="Default"/>
        <w:rPr>
          <w:rFonts w:ascii="Times New Roman" w:hAnsi="Times New Roman" w:cs="Times New Roman"/>
          <w:b/>
          <w:bCs/>
        </w:rPr>
      </w:pPr>
      <w:r w:rsidRPr="00015735">
        <w:rPr>
          <w:rFonts w:ascii="Times New Roman" w:hAnsi="Times New Roman" w:cs="Times New Roman"/>
          <w:b/>
          <w:bCs/>
        </w:rPr>
        <w:t xml:space="preserve">Percentage Growth in Net Profits </w:t>
      </w:r>
    </w:p>
    <w:p w:rsidR="003641F9" w:rsidRPr="0047351B" w:rsidRDefault="00700A7E" w:rsidP="00700A7E">
      <w:pPr>
        <w:pStyle w:val="Default"/>
        <w:tabs>
          <w:tab w:val="left" w:pos="5340"/>
        </w:tabs>
        <w:rPr>
          <w:rFonts w:ascii="Times New Roman" w:hAnsi="Times New Roman" w:cs="Times New Roman"/>
          <w:sz w:val="23"/>
          <w:szCs w:val="23"/>
        </w:rPr>
      </w:pPr>
      <w:r w:rsidRPr="0047351B">
        <w:rPr>
          <w:rFonts w:ascii="Times New Roman" w:hAnsi="Times New Roman" w:cs="Times New Roman"/>
          <w:sz w:val="23"/>
          <w:szCs w:val="23"/>
        </w:rPr>
        <w:tab/>
      </w:r>
    </w:p>
    <w:p w:rsidR="009219FE" w:rsidRPr="0047351B" w:rsidRDefault="003641F9" w:rsidP="00155280">
      <w:pPr>
        <w:pStyle w:val="Default"/>
        <w:rPr>
          <w:rFonts w:ascii="Times New Roman" w:hAnsi="Times New Roman" w:cs="Times New Roman"/>
          <w:sz w:val="27"/>
          <w:szCs w:val="27"/>
        </w:rPr>
      </w:pPr>
      <w:r w:rsidRPr="0047351B">
        <w:rPr>
          <w:rFonts w:ascii="Times New Roman" w:hAnsi="Times New Roman" w:cs="Times New Roman"/>
          <w:sz w:val="27"/>
          <w:szCs w:val="27"/>
        </w:rPr>
        <w:t>Table: 3.1</w:t>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t xml:space="preserve">  </w:t>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t xml:space="preserve">       (Per cent)</w:t>
      </w:r>
    </w:p>
    <w:tbl>
      <w:tblPr>
        <w:tblStyle w:val="TableGrid"/>
        <w:tblW w:w="0" w:type="auto"/>
        <w:tblInd w:w="108" w:type="dxa"/>
        <w:tblLook w:val="04A0" w:firstRow="1" w:lastRow="0" w:firstColumn="1" w:lastColumn="0" w:noHBand="0" w:noVBand="1"/>
      </w:tblPr>
      <w:tblGrid>
        <w:gridCol w:w="3690"/>
        <w:gridCol w:w="3690"/>
      </w:tblGrid>
      <w:tr w:rsidR="009219FE" w:rsidRPr="0047351B" w:rsidTr="00B763FB">
        <w:trPr>
          <w:trHeight w:val="422"/>
        </w:trPr>
        <w:tc>
          <w:tcPr>
            <w:tcW w:w="3690" w:type="dxa"/>
          </w:tcPr>
          <w:p w:rsidR="009219FE" w:rsidRPr="0047351B" w:rsidRDefault="001C24F1" w:rsidP="0028271F">
            <w:pPr>
              <w:pStyle w:val="Default"/>
              <w:jc w:val="both"/>
              <w:rPr>
                <w:rFonts w:ascii="Times New Roman" w:hAnsi="Times New Roman" w:cs="Times New Roman"/>
                <w:sz w:val="27"/>
                <w:szCs w:val="27"/>
              </w:rPr>
            </w:pPr>
            <w:r>
              <w:rPr>
                <w:rFonts w:ascii="Times New Roman" w:hAnsi="Times New Roman" w:cs="Times New Roman"/>
                <w:sz w:val="27"/>
                <w:szCs w:val="27"/>
              </w:rPr>
              <w:t>2011</w:t>
            </w:r>
          </w:p>
        </w:tc>
        <w:tc>
          <w:tcPr>
            <w:tcW w:w="3690" w:type="dxa"/>
          </w:tcPr>
          <w:p w:rsidR="009219FE" w:rsidRPr="0047351B" w:rsidRDefault="009219FE" w:rsidP="0028271F">
            <w:pPr>
              <w:pStyle w:val="Default"/>
              <w:jc w:val="both"/>
              <w:rPr>
                <w:rFonts w:ascii="Times New Roman" w:hAnsi="Times New Roman" w:cs="Times New Roman"/>
                <w:sz w:val="27"/>
                <w:szCs w:val="27"/>
              </w:rPr>
            </w:pPr>
            <w:r w:rsidRPr="0047351B">
              <w:rPr>
                <w:rFonts w:ascii="Times New Roman" w:hAnsi="Times New Roman" w:cs="Times New Roman"/>
                <w:sz w:val="27"/>
                <w:szCs w:val="27"/>
              </w:rPr>
              <w:t>0.61</w:t>
            </w:r>
          </w:p>
        </w:tc>
      </w:tr>
      <w:tr w:rsidR="009219FE" w:rsidRPr="0047351B" w:rsidTr="00B763FB">
        <w:trPr>
          <w:trHeight w:val="440"/>
        </w:trPr>
        <w:tc>
          <w:tcPr>
            <w:tcW w:w="3690" w:type="dxa"/>
          </w:tcPr>
          <w:p w:rsidR="009219FE" w:rsidRPr="0047351B" w:rsidRDefault="001C24F1" w:rsidP="0028271F">
            <w:pPr>
              <w:pStyle w:val="Default"/>
              <w:jc w:val="both"/>
              <w:rPr>
                <w:rFonts w:ascii="Times New Roman" w:hAnsi="Times New Roman" w:cs="Times New Roman"/>
                <w:sz w:val="27"/>
                <w:szCs w:val="27"/>
              </w:rPr>
            </w:pPr>
            <w:r>
              <w:rPr>
                <w:rFonts w:ascii="Times New Roman" w:hAnsi="Times New Roman" w:cs="Times New Roman"/>
                <w:sz w:val="27"/>
                <w:szCs w:val="27"/>
              </w:rPr>
              <w:t>2012</w:t>
            </w:r>
          </w:p>
        </w:tc>
        <w:tc>
          <w:tcPr>
            <w:tcW w:w="3690" w:type="dxa"/>
          </w:tcPr>
          <w:p w:rsidR="009219FE" w:rsidRPr="0047351B" w:rsidRDefault="009219FE" w:rsidP="0028271F">
            <w:pPr>
              <w:pStyle w:val="Default"/>
              <w:jc w:val="both"/>
              <w:rPr>
                <w:rFonts w:ascii="Times New Roman" w:hAnsi="Times New Roman" w:cs="Times New Roman"/>
                <w:sz w:val="27"/>
                <w:szCs w:val="27"/>
              </w:rPr>
            </w:pPr>
            <w:r w:rsidRPr="0047351B">
              <w:rPr>
                <w:rFonts w:ascii="Times New Roman" w:hAnsi="Times New Roman" w:cs="Times New Roman"/>
                <w:sz w:val="27"/>
                <w:szCs w:val="27"/>
              </w:rPr>
              <w:t>0.30</w:t>
            </w:r>
          </w:p>
        </w:tc>
      </w:tr>
      <w:tr w:rsidR="009219FE" w:rsidRPr="0047351B" w:rsidTr="00B763FB">
        <w:trPr>
          <w:trHeight w:val="440"/>
        </w:trPr>
        <w:tc>
          <w:tcPr>
            <w:tcW w:w="3690" w:type="dxa"/>
          </w:tcPr>
          <w:p w:rsidR="009219FE" w:rsidRPr="0047351B" w:rsidRDefault="001C24F1" w:rsidP="0028271F">
            <w:pPr>
              <w:pStyle w:val="Default"/>
              <w:jc w:val="both"/>
              <w:rPr>
                <w:rFonts w:ascii="Times New Roman" w:hAnsi="Times New Roman" w:cs="Times New Roman"/>
                <w:sz w:val="27"/>
                <w:szCs w:val="27"/>
              </w:rPr>
            </w:pPr>
            <w:r>
              <w:rPr>
                <w:rFonts w:ascii="Times New Roman" w:hAnsi="Times New Roman" w:cs="Times New Roman"/>
                <w:sz w:val="27"/>
                <w:szCs w:val="27"/>
              </w:rPr>
              <w:t>2013</w:t>
            </w:r>
          </w:p>
        </w:tc>
        <w:tc>
          <w:tcPr>
            <w:tcW w:w="3690" w:type="dxa"/>
          </w:tcPr>
          <w:p w:rsidR="009219FE" w:rsidRPr="0047351B" w:rsidRDefault="009219FE" w:rsidP="0028271F">
            <w:pPr>
              <w:pStyle w:val="Default"/>
              <w:jc w:val="both"/>
              <w:rPr>
                <w:rFonts w:ascii="Times New Roman" w:hAnsi="Times New Roman" w:cs="Times New Roman"/>
                <w:sz w:val="27"/>
                <w:szCs w:val="27"/>
              </w:rPr>
            </w:pPr>
            <w:r w:rsidRPr="0047351B">
              <w:rPr>
                <w:rFonts w:ascii="Times New Roman" w:hAnsi="Times New Roman" w:cs="Times New Roman"/>
                <w:sz w:val="27"/>
                <w:szCs w:val="27"/>
              </w:rPr>
              <w:t>0.35</w:t>
            </w:r>
          </w:p>
        </w:tc>
      </w:tr>
      <w:tr w:rsidR="009219FE" w:rsidRPr="0047351B" w:rsidTr="00B763FB">
        <w:trPr>
          <w:trHeight w:val="440"/>
        </w:trPr>
        <w:tc>
          <w:tcPr>
            <w:tcW w:w="3690" w:type="dxa"/>
          </w:tcPr>
          <w:p w:rsidR="009219FE" w:rsidRPr="0047351B" w:rsidRDefault="001C24F1" w:rsidP="0028271F">
            <w:pPr>
              <w:pStyle w:val="Default"/>
              <w:jc w:val="both"/>
              <w:rPr>
                <w:rFonts w:ascii="Times New Roman" w:hAnsi="Times New Roman" w:cs="Times New Roman"/>
                <w:sz w:val="27"/>
                <w:szCs w:val="27"/>
              </w:rPr>
            </w:pPr>
            <w:r>
              <w:rPr>
                <w:rFonts w:ascii="Times New Roman" w:hAnsi="Times New Roman" w:cs="Times New Roman"/>
                <w:sz w:val="27"/>
                <w:szCs w:val="27"/>
              </w:rPr>
              <w:t>2014</w:t>
            </w:r>
          </w:p>
        </w:tc>
        <w:tc>
          <w:tcPr>
            <w:tcW w:w="3690" w:type="dxa"/>
          </w:tcPr>
          <w:p w:rsidR="009219FE" w:rsidRPr="0047351B" w:rsidRDefault="009219FE" w:rsidP="0028271F">
            <w:pPr>
              <w:pStyle w:val="Default"/>
              <w:jc w:val="both"/>
              <w:rPr>
                <w:rFonts w:ascii="Times New Roman" w:hAnsi="Times New Roman" w:cs="Times New Roman"/>
                <w:sz w:val="27"/>
                <w:szCs w:val="27"/>
              </w:rPr>
            </w:pPr>
            <w:r w:rsidRPr="0047351B">
              <w:rPr>
                <w:rFonts w:ascii="Times New Roman" w:hAnsi="Times New Roman" w:cs="Times New Roman"/>
                <w:sz w:val="27"/>
                <w:szCs w:val="27"/>
              </w:rPr>
              <w:t>0.81</w:t>
            </w:r>
          </w:p>
        </w:tc>
      </w:tr>
    </w:tbl>
    <w:p w:rsidR="00155280" w:rsidRPr="0047351B" w:rsidRDefault="00155280" w:rsidP="00155280">
      <w:pPr>
        <w:pStyle w:val="Default"/>
        <w:jc w:val="center"/>
        <w:rPr>
          <w:rFonts w:ascii="Times New Roman" w:hAnsi="Times New Roman" w:cs="Times New Roman"/>
          <w:sz w:val="27"/>
          <w:szCs w:val="27"/>
        </w:rPr>
      </w:pPr>
    </w:p>
    <w:p w:rsidR="009219FE" w:rsidRPr="0047351B" w:rsidRDefault="00155280" w:rsidP="00155280">
      <w:pPr>
        <w:pStyle w:val="Default"/>
        <w:jc w:val="center"/>
        <w:rPr>
          <w:rFonts w:ascii="Times New Roman" w:hAnsi="Times New Roman" w:cs="Times New Roman"/>
          <w:sz w:val="27"/>
          <w:szCs w:val="27"/>
        </w:rPr>
      </w:pPr>
      <w:r w:rsidRPr="0047351B">
        <w:rPr>
          <w:rFonts w:ascii="Times New Roman" w:hAnsi="Times New Roman" w:cs="Times New Roman"/>
          <w:sz w:val="27"/>
          <w:szCs w:val="27"/>
        </w:rPr>
        <w:t>Figure: 3.1</w:t>
      </w:r>
    </w:p>
    <w:p w:rsidR="00B763FB" w:rsidRPr="0047351B" w:rsidRDefault="0090368E" w:rsidP="0028271F">
      <w:pPr>
        <w:pStyle w:val="Default"/>
        <w:jc w:val="both"/>
        <w:rPr>
          <w:rFonts w:ascii="Times New Roman" w:hAnsi="Times New Roman" w:cs="Times New Roman"/>
          <w:sz w:val="31"/>
          <w:szCs w:val="31"/>
        </w:rPr>
      </w:pPr>
      <w:r>
        <w:rPr>
          <w:rFonts w:ascii="Times New Roman" w:hAnsi="Times New Roman" w:cs="Times New Roman"/>
          <w:noProof/>
          <w:sz w:val="31"/>
          <w:szCs w:val="31"/>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5280" w:rsidRPr="0047351B" w:rsidRDefault="00155280" w:rsidP="00015735">
      <w:pPr>
        <w:pStyle w:val="Default"/>
        <w:spacing w:line="360" w:lineRule="auto"/>
        <w:jc w:val="both"/>
        <w:rPr>
          <w:rFonts w:ascii="Times New Roman" w:hAnsi="Times New Roman" w:cs="Times New Roman"/>
          <w:sz w:val="31"/>
          <w:szCs w:val="31"/>
        </w:rPr>
      </w:pPr>
    </w:p>
    <w:p w:rsidR="005C1431" w:rsidRPr="0047351B" w:rsidRDefault="005C1431" w:rsidP="00015735">
      <w:pPr>
        <w:pStyle w:val="Default"/>
        <w:spacing w:line="360" w:lineRule="auto"/>
        <w:rPr>
          <w:rFonts w:ascii="Times New Roman" w:hAnsi="Times New Roman" w:cs="Times New Roman"/>
          <w:sz w:val="23"/>
          <w:szCs w:val="23"/>
        </w:rPr>
      </w:pPr>
      <w:r w:rsidRPr="0047351B">
        <w:rPr>
          <w:rFonts w:ascii="Times New Roman" w:hAnsi="Times New Roman" w:cs="Times New Roman"/>
          <w:sz w:val="23"/>
          <w:szCs w:val="23"/>
        </w:rPr>
        <w:t>(Source: Calculated from the annual report of ICICI Bank.)</w:t>
      </w:r>
    </w:p>
    <w:p w:rsidR="005C1431" w:rsidRPr="0047351B" w:rsidRDefault="005C1431" w:rsidP="00015735">
      <w:pPr>
        <w:pStyle w:val="Default"/>
        <w:spacing w:line="360" w:lineRule="auto"/>
        <w:jc w:val="both"/>
        <w:rPr>
          <w:rFonts w:ascii="Times New Roman" w:hAnsi="Times New Roman" w:cs="Times New Roman"/>
          <w:sz w:val="31"/>
          <w:szCs w:val="31"/>
        </w:rPr>
      </w:pPr>
    </w:p>
    <w:p w:rsidR="009219FE" w:rsidRPr="0047351B" w:rsidRDefault="009219FE" w:rsidP="00015735">
      <w:pPr>
        <w:pStyle w:val="Default"/>
        <w:spacing w:line="360" w:lineRule="auto"/>
        <w:ind w:firstLine="720"/>
        <w:jc w:val="both"/>
        <w:rPr>
          <w:rFonts w:ascii="Times New Roman" w:hAnsi="Times New Roman" w:cs="Times New Roman"/>
          <w:sz w:val="23"/>
          <w:szCs w:val="23"/>
        </w:rPr>
      </w:pPr>
      <w:r w:rsidRPr="0047351B">
        <w:rPr>
          <w:rFonts w:ascii="Times New Roman" w:hAnsi="Times New Roman" w:cs="Times New Roman"/>
          <w:sz w:val="23"/>
          <w:szCs w:val="23"/>
        </w:rPr>
        <w:t xml:space="preserve">As per the analysis it can be seen that the net profit of the bank is going continuously from the year </w:t>
      </w:r>
      <w:r w:rsidR="001C24F1">
        <w:rPr>
          <w:rFonts w:ascii="Times New Roman" w:hAnsi="Times New Roman" w:cs="Times New Roman"/>
          <w:sz w:val="23"/>
          <w:szCs w:val="23"/>
        </w:rPr>
        <w:t>2012</w:t>
      </w:r>
      <w:r w:rsidRPr="0047351B">
        <w:rPr>
          <w:rFonts w:ascii="Times New Roman" w:hAnsi="Times New Roman" w:cs="Times New Roman"/>
          <w:sz w:val="23"/>
          <w:szCs w:val="23"/>
        </w:rPr>
        <w:t xml:space="preserve"> onwards. In the year </w:t>
      </w:r>
      <w:r w:rsidR="001C24F1">
        <w:rPr>
          <w:rFonts w:ascii="Times New Roman" w:hAnsi="Times New Roman" w:cs="Times New Roman"/>
          <w:sz w:val="23"/>
          <w:szCs w:val="23"/>
        </w:rPr>
        <w:t>2011</w:t>
      </w:r>
      <w:r w:rsidRPr="0047351B">
        <w:rPr>
          <w:rFonts w:ascii="Times New Roman" w:hAnsi="Times New Roman" w:cs="Times New Roman"/>
          <w:sz w:val="23"/>
          <w:szCs w:val="23"/>
        </w:rPr>
        <w:t xml:space="preserve"> -08 the net profit was decreased because of the subprime crises in USA. And again it was increased in </w:t>
      </w:r>
      <w:r w:rsidR="001C24F1">
        <w:rPr>
          <w:rFonts w:ascii="Times New Roman" w:hAnsi="Times New Roman" w:cs="Times New Roman"/>
          <w:sz w:val="23"/>
          <w:szCs w:val="23"/>
        </w:rPr>
        <w:t>2012</w:t>
      </w:r>
      <w:r w:rsidRPr="0047351B">
        <w:rPr>
          <w:rFonts w:ascii="Times New Roman" w:hAnsi="Times New Roman" w:cs="Times New Roman"/>
          <w:sz w:val="23"/>
          <w:szCs w:val="23"/>
        </w:rPr>
        <w:t xml:space="preserve">-09 as RBI did not stopped money flow in the market. </w:t>
      </w:r>
    </w:p>
    <w:p w:rsidR="009219FE" w:rsidRPr="0047351B" w:rsidRDefault="009219FE" w:rsidP="00015735">
      <w:pPr>
        <w:pStyle w:val="Default"/>
        <w:spacing w:line="360" w:lineRule="auto"/>
        <w:jc w:val="both"/>
        <w:rPr>
          <w:rFonts w:ascii="Times New Roman" w:hAnsi="Times New Roman" w:cs="Times New Roman"/>
          <w:sz w:val="31"/>
          <w:szCs w:val="31"/>
        </w:rPr>
      </w:pPr>
    </w:p>
    <w:p w:rsidR="009219FE" w:rsidRPr="0047351B" w:rsidRDefault="009219FE" w:rsidP="00015735">
      <w:pPr>
        <w:spacing w:line="360" w:lineRule="auto"/>
        <w:rPr>
          <w:color w:val="000000"/>
          <w:sz w:val="23"/>
          <w:szCs w:val="23"/>
        </w:rPr>
      </w:pPr>
      <w:r w:rsidRPr="0047351B">
        <w:rPr>
          <w:sz w:val="23"/>
          <w:szCs w:val="23"/>
        </w:rPr>
        <w:br w:type="page"/>
      </w:r>
    </w:p>
    <w:p w:rsidR="009219FE" w:rsidRPr="0047351B" w:rsidRDefault="009219FE" w:rsidP="009219FE">
      <w:pPr>
        <w:pStyle w:val="Default"/>
        <w:rPr>
          <w:rFonts w:ascii="Times New Roman" w:hAnsi="Times New Roman" w:cs="Times New Roman"/>
          <w:b/>
          <w:sz w:val="23"/>
          <w:szCs w:val="23"/>
        </w:rPr>
      </w:pPr>
      <w:r w:rsidRPr="0047351B">
        <w:rPr>
          <w:rFonts w:ascii="Times New Roman" w:hAnsi="Times New Roman" w:cs="Times New Roman"/>
          <w:b/>
          <w:sz w:val="23"/>
          <w:szCs w:val="23"/>
        </w:rPr>
        <w:lastRenderedPageBreak/>
        <w:t xml:space="preserve">Net Profit to total Assets </w:t>
      </w:r>
    </w:p>
    <w:p w:rsidR="009219FE" w:rsidRPr="0047351B" w:rsidRDefault="009219FE" w:rsidP="009219FE">
      <w:pPr>
        <w:pStyle w:val="Default"/>
        <w:rPr>
          <w:rFonts w:ascii="Times New Roman" w:hAnsi="Times New Roman" w:cs="Times New Roman"/>
          <w:sz w:val="23"/>
          <w:szCs w:val="23"/>
        </w:rPr>
      </w:pPr>
    </w:p>
    <w:p w:rsidR="003641F9" w:rsidRPr="0047351B" w:rsidRDefault="003641F9" w:rsidP="009219FE">
      <w:pPr>
        <w:pStyle w:val="Default"/>
        <w:rPr>
          <w:rFonts w:ascii="Times New Roman" w:hAnsi="Times New Roman" w:cs="Times New Roman"/>
          <w:sz w:val="27"/>
          <w:szCs w:val="27"/>
        </w:rPr>
      </w:pPr>
      <w:r w:rsidRPr="0047351B">
        <w:rPr>
          <w:rFonts w:ascii="Times New Roman" w:hAnsi="Times New Roman" w:cs="Times New Roman"/>
          <w:sz w:val="27"/>
          <w:szCs w:val="27"/>
        </w:rPr>
        <w:t>Table: 3.2</w:t>
      </w:r>
      <w:r w:rsidR="00700A7E" w:rsidRPr="0047351B">
        <w:rPr>
          <w:rFonts w:ascii="Times New Roman" w:hAnsi="Times New Roman" w:cs="Times New Roman"/>
          <w:sz w:val="23"/>
          <w:szCs w:val="23"/>
        </w:rPr>
        <w:tab/>
      </w:r>
      <w:r w:rsidR="00700A7E" w:rsidRPr="0047351B">
        <w:rPr>
          <w:rFonts w:ascii="Times New Roman" w:hAnsi="Times New Roman" w:cs="Times New Roman"/>
          <w:sz w:val="23"/>
          <w:szCs w:val="23"/>
        </w:rPr>
        <w:tab/>
      </w:r>
      <w:r w:rsidR="00700A7E" w:rsidRPr="0047351B">
        <w:rPr>
          <w:rFonts w:ascii="Times New Roman" w:hAnsi="Times New Roman" w:cs="Times New Roman"/>
          <w:sz w:val="23"/>
          <w:szCs w:val="23"/>
        </w:rPr>
        <w:tab/>
      </w:r>
      <w:r w:rsidR="00700A7E" w:rsidRPr="0047351B">
        <w:rPr>
          <w:rFonts w:ascii="Times New Roman" w:hAnsi="Times New Roman" w:cs="Times New Roman"/>
          <w:sz w:val="23"/>
          <w:szCs w:val="23"/>
        </w:rPr>
        <w:tab/>
      </w:r>
      <w:r w:rsidR="00700A7E" w:rsidRPr="0047351B">
        <w:rPr>
          <w:rFonts w:ascii="Times New Roman" w:hAnsi="Times New Roman" w:cs="Times New Roman"/>
          <w:sz w:val="23"/>
          <w:szCs w:val="23"/>
        </w:rPr>
        <w:tab/>
      </w:r>
      <w:r w:rsidR="00700A7E" w:rsidRPr="0047351B">
        <w:rPr>
          <w:rFonts w:ascii="Times New Roman" w:hAnsi="Times New Roman" w:cs="Times New Roman"/>
          <w:sz w:val="23"/>
          <w:szCs w:val="23"/>
        </w:rPr>
        <w:tab/>
      </w:r>
      <w:r w:rsidR="00700A7E" w:rsidRPr="0047351B">
        <w:rPr>
          <w:rFonts w:ascii="Times New Roman" w:hAnsi="Times New Roman" w:cs="Times New Roman"/>
          <w:sz w:val="23"/>
          <w:szCs w:val="23"/>
        </w:rPr>
        <w:tab/>
        <w:t xml:space="preserve">      </w:t>
      </w:r>
      <w:r w:rsidR="00700A7E" w:rsidRPr="0047351B">
        <w:rPr>
          <w:rFonts w:ascii="Times New Roman" w:hAnsi="Times New Roman" w:cs="Times New Roman"/>
          <w:sz w:val="27"/>
          <w:szCs w:val="27"/>
        </w:rPr>
        <w:t>(Per cent)</w:t>
      </w:r>
    </w:p>
    <w:tbl>
      <w:tblPr>
        <w:tblStyle w:val="TableGrid"/>
        <w:tblW w:w="0" w:type="auto"/>
        <w:tblLook w:val="04A0" w:firstRow="1" w:lastRow="0" w:firstColumn="1" w:lastColumn="0" w:noHBand="0" w:noVBand="1"/>
      </w:tblPr>
      <w:tblGrid>
        <w:gridCol w:w="3798"/>
        <w:gridCol w:w="3600"/>
      </w:tblGrid>
      <w:tr w:rsidR="009219FE" w:rsidRPr="0047351B" w:rsidTr="00B763FB">
        <w:trPr>
          <w:trHeight w:val="422"/>
        </w:trPr>
        <w:tc>
          <w:tcPr>
            <w:tcW w:w="3798" w:type="dxa"/>
          </w:tcPr>
          <w:p w:rsidR="009219FE" w:rsidRPr="0047351B" w:rsidRDefault="001C24F1" w:rsidP="009219FE">
            <w:pPr>
              <w:pStyle w:val="Default"/>
              <w:rPr>
                <w:rFonts w:ascii="Times New Roman" w:hAnsi="Times New Roman" w:cs="Times New Roman"/>
                <w:sz w:val="27"/>
                <w:szCs w:val="27"/>
              </w:rPr>
            </w:pPr>
            <w:r>
              <w:rPr>
                <w:rFonts w:ascii="Times New Roman" w:hAnsi="Times New Roman" w:cs="Times New Roman"/>
                <w:sz w:val="27"/>
                <w:szCs w:val="27"/>
              </w:rPr>
              <w:t>2010</w:t>
            </w:r>
          </w:p>
        </w:tc>
        <w:tc>
          <w:tcPr>
            <w:tcW w:w="3600" w:type="dxa"/>
          </w:tcPr>
          <w:p w:rsidR="009219FE" w:rsidRPr="0047351B" w:rsidRDefault="009219FE" w:rsidP="009219FE">
            <w:pPr>
              <w:pStyle w:val="Default"/>
              <w:rPr>
                <w:rFonts w:ascii="Times New Roman" w:hAnsi="Times New Roman" w:cs="Times New Roman"/>
                <w:sz w:val="27"/>
                <w:szCs w:val="27"/>
              </w:rPr>
            </w:pPr>
            <w:r w:rsidRPr="0047351B">
              <w:rPr>
                <w:rFonts w:ascii="Times New Roman" w:hAnsi="Times New Roman" w:cs="Times New Roman"/>
                <w:sz w:val="27"/>
                <w:szCs w:val="27"/>
              </w:rPr>
              <w:t>0.0031</w:t>
            </w:r>
          </w:p>
        </w:tc>
      </w:tr>
      <w:tr w:rsidR="009219FE" w:rsidRPr="0047351B" w:rsidTr="00B763FB">
        <w:trPr>
          <w:trHeight w:val="440"/>
        </w:trPr>
        <w:tc>
          <w:tcPr>
            <w:tcW w:w="3798" w:type="dxa"/>
          </w:tcPr>
          <w:p w:rsidR="009219FE" w:rsidRPr="0047351B" w:rsidRDefault="001C24F1" w:rsidP="009219FE">
            <w:pPr>
              <w:pStyle w:val="Default"/>
              <w:rPr>
                <w:rFonts w:ascii="Times New Roman" w:hAnsi="Times New Roman" w:cs="Times New Roman"/>
                <w:sz w:val="27"/>
                <w:szCs w:val="27"/>
              </w:rPr>
            </w:pPr>
            <w:r>
              <w:rPr>
                <w:rFonts w:ascii="Times New Roman" w:hAnsi="Times New Roman" w:cs="Times New Roman"/>
                <w:sz w:val="27"/>
                <w:szCs w:val="27"/>
              </w:rPr>
              <w:t>2011</w:t>
            </w:r>
          </w:p>
        </w:tc>
        <w:tc>
          <w:tcPr>
            <w:tcW w:w="3600" w:type="dxa"/>
          </w:tcPr>
          <w:p w:rsidR="009219FE" w:rsidRPr="0047351B" w:rsidRDefault="009219FE" w:rsidP="009219FE">
            <w:pPr>
              <w:pStyle w:val="Default"/>
              <w:rPr>
                <w:rFonts w:ascii="Times New Roman" w:hAnsi="Times New Roman" w:cs="Times New Roman"/>
                <w:sz w:val="27"/>
                <w:szCs w:val="27"/>
              </w:rPr>
            </w:pPr>
            <w:r w:rsidRPr="0047351B">
              <w:rPr>
                <w:rFonts w:ascii="Times New Roman" w:hAnsi="Times New Roman" w:cs="Times New Roman"/>
                <w:sz w:val="27"/>
                <w:szCs w:val="27"/>
              </w:rPr>
              <w:t>0.0042</w:t>
            </w:r>
          </w:p>
        </w:tc>
      </w:tr>
      <w:tr w:rsidR="009219FE" w:rsidRPr="0047351B" w:rsidTr="00B763FB">
        <w:trPr>
          <w:trHeight w:val="440"/>
        </w:trPr>
        <w:tc>
          <w:tcPr>
            <w:tcW w:w="3798" w:type="dxa"/>
          </w:tcPr>
          <w:p w:rsidR="009219FE" w:rsidRPr="0047351B" w:rsidRDefault="001C24F1" w:rsidP="009219FE">
            <w:pPr>
              <w:pStyle w:val="Default"/>
              <w:rPr>
                <w:rFonts w:ascii="Times New Roman" w:hAnsi="Times New Roman" w:cs="Times New Roman"/>
                <w:sz w:val="27"/>
                <w:szCs w:val="27"/>
              </w:rPr>
            </w:pPr>
            <w:r>
              <w:rPr>
                <w:rFonts w:ascii="Times New Roman" w:hAnsi="Times New Roman" w:cs="Times New Roman"/>
                <w:sz w:val="27"/>
                <w:szCs w:val="27"/>
              </w:rPr>
              <w:t>2012</w:t>
            </w:r>
          </w:p>
        </w:tc>
        <w:tc>
          <w:tcPr>
            <w:tcW w:w="3600" w:type="dxa"/>
          </w:tcPr>
          <w:p w:rsidR="009219FE" w:rsidRPr="0047351B" w:rsidRDefault="009219FE" w:rsidP="009219FE">
            <w:pPr>
              <w:pStyle w:val="Default"/>
              <w:rPr>
                <w:rFonts w:ascii="Times New Roman" w:hAnsi="Times New Roman" w:cs="Times New Roman"/>
                <w:sz w:val="27"/>
                <w:szCs w:val="27"/>
              </w:rPr>
            </w:pPr>
            <w:r w:rsidRPr="0047351B">
              <w:rPr>
                <w:rFonts w:ascii="Times New Roman" w:hAnsi="Times New Roman" w:cs="Times New Roman"/>
                <w:sz w:val="27"/>
                <w:szCs w:val="27"/>
              </w:rPr>
              <w:t>0.0049</w:t>
            </w:r>
          </w:p>
        </w:tc>
      </w:tr>
      <w:tr w:rsidR="009219FE" w:rsidRPr="0047351B" w:rsidTr="00B763FB">
        <w:trPr>
          <w:trHeight w:val="440"/>
        </w:trPr>
        <w:tc>
          <w:tcPr>
            <w:tcW w:w="3798" w:type="dxa"/>
          </w:tcPr>
          <w:p w:rsidR="009219FE" w:rsidRPr="0047351B" w:rsidRDefault="001C24F1" w:rsidP="009219FE">
            <w:pPr>
              <w:pStyle w:val="Default"/>
              <w:rPr>
                <w:rFonts w:ascii="Times New Roman" w:hAnsi="Times New Roman" w:cs="Times New Roman"/>
                <w:sz w:val="27"/>
                <w:szCs w:val="27"/>
              </w:rPr>
            </w:pPr>
            <w:r>
              <w:rPr>
                <w:rFonts w:ascii="Times New Roman" w:hAnsi="Times New Roman" w:cs="Times New Roman"/>
                <w:sz w:val="27"/>
                <w:szCs w:val="27"/>
              </w:rPr>
              <w:t>2013</w:t>
            </w:r>
          </w:p>
        </w:tc>
        <w:tc>
          <w:tcPr>
            <w:tcW w:w="3600" w:type="dxa"/>
          </w:tcPr>
          <w:p w:rsidR="009219FE" w:rsidRPr="0047351B" w:rsidRDefault="009219FE" w:rsidP="009219FE">
            <w:pPr>
              <w:pStyle w:val="Default"/>
              <w:rPr>
                <w:rFonts w:ascii="Times New Roman" w:hAnsi="Times New Roman" w:cs="Times New Roman"/>
                <w:sz w:val="27"/>
                <w:szCs w:val="27"/>
              </w:rPr>
            </w:pPr>
            <w:r w:rsidRPr="0047351B">
              <w:rPr>
                <w:rFonts w:ascii="Times New Roman" w:hAnsi="Times New Roman" w:cs="Times New Roman"/>
                <w:sz w:val="27"/>
                <w:szCs w:val="27"/>
              </w:rPr>
              <w:t>0.0053</w:t>
            </w:r>
          </w:p>
        </w:tc>
      </w:tr>
      <w:tr w:rsidR="009219FE" w:rsidRPr="0047351B" w:rsidTr="00B763FB">
        <w:trPr>
          <w:trHeight w:val="440"/>
        </w:trPr>
        <w:tc>
          <w:tcPr>
            <w:tcW w:w="3798" w:type="dxa"/>
          </w:tcPr>
          <w:p w:rsidR="009219FE" w:rsidRPr="0047351B" w:rsidRDefault="001C24F1" w:rsidP="009219FE">
            <w:pPr>
              <w:pStyle w:val="Default"/>
              <w:rPr>
                <w:rFonts w:ascii="Times New Roman" w:hAnsi="Times New Roman" w:cs="Times New Roman"/>
                <w:sz w:val="27"/>
                <w:szCs w:val="27"/>
              </w:rPr>
            </w:pPr>
            <w:r>
              <w:rPr>
                <w:rFonts w:ascii="Times New Roman" w:hAnsi="Times New Roman" w:cs="Times New Roman"/>
                <w:sz w:val="27"/>
                <w:szCs w:val="27"/>
              </w:rPr>
              <w:t>2014</w:t>
            </w:r>
          </w:p>
        </w:tc>
        <w:tc>
          <w:tcPr>
            <w:tcW w:w="3600" w:type="dxa"/>
          </w:tcPr>
          <w:p w:rsidR="009219FE" w:rsidRPr="0047351B" w:rsidRDefault="009219FE" w:rsidP="009219FE">
            <w:pPr>
              <w:pStyle w:val="Default"/>
              <w:rPr>
                <w:rFonts w:ascii="Times New Roman" w:hAnsi="Times New Roman" w:cs="Times New Roman"/>
                <w:sz w:val="27"/>
                <w:szCs w:val="27"/>
              </w:rPr>
            </w:pPr>
            <w:r w:rsidRPr="0047351B">
              <w:rPr>
                <w:rFonts w:ascii="Times New Roman" w:hAnsi="Times New Roman" w:cs="Times New Roman"/>
                <w:sz w:val="27"/>
                <w:szCs w:val="27"/>
              </w:rPr>
              <w:t>0.0078</w:t>
            </w:r>
          </w:p>
        </w:tc>
      </w:tr>
    </w:tbl>
    <w:p w:rsidR="00155280" w:rsidRPr="0047351B" w:rsidRDefault="00155280" w:rsidP="00155280">
      <w:pPr>
        <w:pStyle w:val="Default"/>
        <w:jc w:val="center"/>
        <w:rPr>
          <w:rFonts w:ascii="Times New Roman" w:hAnsi="Times New Roman" w:cs="Times New Roman"/>
          <w:sz w:val="27"/>
          <w:szCs w:val="27"/>
        </w:rPr>
      </w:pPr>
    </w:p>
    <w:p w:rsidR="009219FE" w:rsidRPr="0047351B" w:rsidRDefault="00155280" w:rsidP="00155280">
      <w:pPr>
        <w:pStyle w:val="Default"/>
        <w:jc w:val="center"/>
        <w:rPr>
          <w:rFonts w:ascii="Times New Roman" w:hAnsi="Times New Roman" w:cs="Times New Roman"/>
          <w:sz w:val="27"/>
          <w:szCs w:val="27"/>
        </w:rPr>
      </w:pPr>
      <w:r w:rsidRPr="0047351B">
        <w:rPr>
          <w:rFonts w:ascii="Times New Roman" w:hAnsi="Times New Roman" w:cs="Times New Roman"/>
          <w:sz w:val="27"/>
          <w:szCs w:val="27"/>
        </w:rPr>
        <w:t>Figure: 3.2</w:t>
      </w:r>
    </w:p>
    <w:p w:rsidR="00B763FB" w:rsidRPr="0047351B" w:rsidRDefault="003124C3" w:rsidP="009219FE">
      <w:pPr>
        <w:pStyle w:val="Default"/>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63FB" w:rsidRPr="0047351B" w:rsidRDefault="00B763FB" w:rsidP="00015735">
      <w:pPr>
        <w:pStyle w:val="Default"/>
        <w:spacing w:line="360" w:lineRule="auto"/>
        <w:rPr>
          <w:rFonts w:ascii="Times New Roman" w:hAnsi="Times New Roman" w:cs="Times New Roman"/>
          <w:sz w:val="23"/>
          <w:szCs w:val="23"/>
        </w:rPr>
      </w:pPr>
    </w:p>
    <w:p w:rsidR="005C1431" w:rsidRPr="0047351B" w:rsidRDefault="005C1431" w:rsidP="00015735">
      <w:pPr>
        <w:pStyle w:val="Default"/>
        <w:spacing w:line="360" w:lineRule="auto"/>
        <w:rPr>
          <w:rFonts w:ascii="Times New Roman" w:hAnsi="Times New Roman" w:cs="Times New Roman"/>
          <w:sz w:val="23"/>
          <w:szCs w:val="23"/>
        </w:rPr>
      </w:pPr>
      <w:r w:rsidRPr="0047351B">
        <w:rPr>
          <w:rFonts w:ascii="Times New Roman" w:hAnsi="Times New Roman" w:cs="Times New Roman"/>
          <w:sz w:val="23"/>
          <w:szCs w:val="23"/>
        </w:rPr>
        <w:t>(Source: Calculated from the annual report of ICICI Bank.)</w:t>
      </w:r>
    </w:p>
    <w:p w:rsidR="005C1431" w:rsidRPr="0047351B" w:rsidRDefault="005C1431" w:rsidP="00015735">
      <w:pPr>
        <w:pStyle w:val="Default"/>
        <w:spacing w:line="360" w:lineRule="auto"/>
        <w:rPr>
          <w:rFonts w:ascii="Times New Roman" w:hAnsi="Times New Roman" w:cs="Times New Roman"/>
          <w:sz w:val="23"/>
          <w:szCs w:val="23"/>
        </w:rPr>
      </w:pPr>
    </w:p>
    <w:p w:rsidR="00B763FB" w:rsidRPr="0047351B" w:rsidRDefault="00B763FB" w:rsidP="00015735">
      <w:pPr>
        <w:pStyle w:val="Default"/>
        <w:spacing w:line="360" w:lineRule="auto"/>
        <w:ind w:firstLine="720"/>
        <w:jc w:val="both"/>
        <w:rPr>
          <w:rFonts w:ascii="Times New Roman" w:hAnsi="Times New Roman" w:cs="Times New Roman"/>
          <w:sz w:val="23"/>
          <w:szCs w:val="23"/>
        </w:rPr>
      </w:pPr>
      <w:r w:rsidRPr="0047351B">
        <w:rPr>
          <w:rFonts w:ascii="Times New Roman" w:hAnsi="Times New Roman" w:cs="Times New Roman"/>
          <w:sz w:val="23"/>
          <w:szCs w:val="23"/>
        </w:rPr>
        <w:t xml:space="preserve">Net profit to total assets is continue increasing from </w:t>
      </w:r>
      <w:r w:rsidR="001C24F1">
        <w:rPr>
          <w:rFonts w:ascii="Times New Roman" w:hAnsi="Times New Roman" w:cs="Times New Roman"/>
          <w:sz w:val="23"/>
          <w:szCs w:val="23"/>
        </w:rPr>
        <w:t>2010</w:t>
      </w:r>
      <w:r w:rsidRPr="0047351B">
        <w:rPr>
          <w:rFonts w:ascii="Times New Roman" w:hAnsi="Times New Roman" w:cs="Times New Roman"/>
          <w:sz w:val="23"/>
          <w:szCs w:val="23"/>
        </w:rPr>
        <w:t xml:space="preserve"> onwards .It means the bank is able to utilize its assets. </w:t>
      </w:r>
    </w:p>
    <w:p w:rsidR="009219FE" w:rsidRPr="0047351B" w:rsidRDefault="009219FE" w:rsidP="009219FE">
      <w:pPr>
        <w:pStyle w:val="Default"/>
        <w:rPr>
          <w:rFonts w:ascii="Times New Roman" w:hAnsi="Times New Roman" w:cs="Times New Roman"/>
          <w:color w:val="auto"/>
          <w:sz w:val="23"/>
          <w:szCs w:val="23"/>
        </w:rPr>
      </w:pPr>
    </w:p>
    <w:p w:rsidR="00B763FB" w:rsidRPr="0047351B" w:rsidRDefault="00B763FB">
      <w:pPr>
        <w:rPr>
          <w:color w:val="000000"/>
          <w:sz w:val="31"/>
          <w:szCs w:val="31"/>
        </w:rPr>
      </w:pPr>
      <w:r w:rsidRPr="0047351B">
        <w:rPr>
          <w:sz w:val="31"/>
          <w:szCs w:val="31"/>
        </w:rPr>
        <w:br w:type="page"/>
      </w:r>
    </w:p>
    <w:p w:rsidR="00B763FB" w:rsidRPr="0047351B" w:rsidRDefault="00B763FB" w:rsidP="00B763FB">
      <w:pPr>
        <w:pStyle w:val="Default"/>
        <w:rPr>
          <w:rFonts w:ascii="Times New Roman" w:hAnsi="Times New Roman" w:cs="Times New Roman"/>
          <w:b/>
          <w:sz w:val="23"/>
          <w:szCs w:val="23"/>
        </w:rPr>
      </w:pPr>
      <w:r w:rsidRPr="0047351B">
        <w:rPr>
          <w:rFonts w:ascii="Times New Roman" w:hAnsi="Times New Roman" w:cs="Times New Roman"/>
          <w:b/>
          <w:sz w:val="23"/>
          <w:szCs w:val="23"/>
        </w:rPr>
        <w:lastRenderedPageBreak/>
        <w:t xml:space="preserve">Interest Income to Total Income </w:t>
      </w:r>
    </w:p>
    <w:p w:rsidR="00B763FB" w:rsidRPr="0047351B" w:rsidRDefault="00B763FB" w:rsidP="00B763FB">
      <w:pPr>
        <w:pStyle w:val="Default"/>
        <w:rPr>
          <w:rFonts w:ascii="Times New Roman" w:hAnsi="Times New Roman" w:cs="Times New Roman"/>
          <w:sz w:val="27"/>
          <w:szCs w:val="27"/>
        </w:rPr>
      </w:pPr>
    </w:p>
    <w:p w:rsidR="003641F9" w:rsidRPr="0047351B" w:rsidRDefault="003641F9" w:rsidP="00B763FB">
      <w:pPr>
        <w:pStyle w:val="Default"/>
        <w:rPr>
          <w:rFonts w:ascii="Times New Roman" w:hAnsi="Times New Roman" w:cs="Times New Roman"/>
          <w:sz w:val="27"/>
          <w:szCs w:val="27"/>
        </w:rPr>
      </w:pPr>
      <w:r w:rsidRPr="0047351B">
        <w:rPr>
          <w:rFonts w:ascii="Times New Roman" w:hAnsi="Times New Roman" w:cs="Times New Roman"/>
          <w:sz w:val="27"/>
          <w:szCs w:val="27"/>
        </w:rPr>
        <w:t>Table: 3.3</w:t>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t xml:space="preserve">      (Per cent)</w:t>
      </w:r>
    </w:p>
    <w:tbl>
      <w:tblPr>
        <w:tblStyle w:val="TableGrid"/>
        <w:tblW w:w="0" w:type="auto"/>
        <w:tblLook w:val="04A0" w:firstRow="1" w:lastRow="0" w:firstColumn="1" w:lastColumn="0" w:noHBand="0" w:noVBand="1"/>
      </w:tblPr>
      <w:tblGrid>
        <w:gridCol w:w="3708"/>
        <w:gridCol w:w="3690"/>
      </w:tblGrid>
      <w:tr w:rsidR="00B763FB" w:rsidRPr="0047351B" w:rsidTr="00B763FB">
        <w:trPr>
          <w:trHeight w:val="467"/>
        </w:trPr>
        <w:tc>
          <w:tcPr>
            <w:tcW w:w="3708" w:type="dxa"/>
          </w:tcPr>
          <w:p w:rsidR="00B763FB" w:rsidRPr="0047351B" w:rsidRDefault="001C24F1" w:rsidP="00B763FB">
            <w:pPr>
              <w:pStyle w:val="Default"/>
              <w:rPr>
                <w:rFonts w:ascii="Times New Roman" w:hAnsi="Times New Roman" w:cs="Times New Roman"/>
                <w:sz w:val="27"/>
                <w:szCs w:val="27"/>
              </w:rPr>
            </w:pPr>
            <w:r>
              <w:rPr>
                <w:rFonts w:ascii="Times New Roman" w:hAnsi="Times New Roman" w:cs="Times New Roman"/>
                <w:sz w:val="27"/>
                <w:szCs w:val="27"/>
              </w:rPr>
              <w:t>2010</w:t>
            </w:r>
          </w:p>
        </w:tc>
        <w:tc>
          <w:tcPr>
            <w:tcW w:w="3690" w:type="dxa"/>
          </w:tcPr>
          <w:p w:rsidR="00B763FB" w:rsidRPr="0047351B" w:rsidRDefault="00B763FB" w:rsidP="00B763FB">
            <w:pPr>
              <w:pStyle w:val="Default"/>
              <w:rPr>
                <w:rFonts w:ascii="Times New Roman" w:hAnsi="Times New Roman" w:cs="Times New Roman"/>
                <w:sz w:val="27"/>
                <w:szCs w:val="27"/>
              </w:rPr>
            </w:pPr>
            <w:r w:rsidRPr="0047351B">
              <w:rPr>
                <w:rFonts w:ascii="Times New Roman" w:hAnsi="Times New Roman" w:cs="Times New Roman"/>
                <w:sz w:val="27"/>
                <w:szCs w:val="27"/>
              </w:rPr>
              <w:t>7.61</w:t>
            </w:r>
          </w:p>
        </w:tc>
      </w:tr>
      <w:tr w:rsidR="00B763FB" w:rsidRPr="0047351B" w:rsidTr="00B763FB">
        <w:trPr>
          <w:trHeight w:val="440"/>
        </w:trPr>
        <w:tc>
          <w:tcPr>
            <w:tcW w:w="3708" w:type="dxa"/>
          </w:tcPr>
          <w:p w:rsidR="00B763FB" w:rsidRPr="0047351B" w:rsidRDefault="001C24F1" w:rsidP="00B763FB">
            <w:pPr>
              <w:pStyle w:val="Default"/>
              <w:rPr>
                <w:rFonts w:ascii="Times New Roman" w:hAnsi="Times New Roman" w:cs="Times New Roman"/>
                <w:sz w:val="27"/>
                <w:szCs w:val="27"/>
              </w:rPr>
            </w:pPr>
            <w:r>
              <w:rPr>
                <w:rFonts w:ascii="Times New Roman" w:hAnsi="Times New Roman" w:cs="Times New Roman"/>
                <w:sz w:val="27"/>
                <w:szCs w:val="27"/>
              </w:rPr>
              <w:t>2011</w:t>
            </w:r>
          </w:p>
        </w:tc>
        <w:tc>
          <w:tcPr>
            <w:tcW w:w="3690" w:type="dxa"/>
          </w:tcPr>
          <w:p w:rsidR="00B763FB" w:rsidRPr="0047351B" w:rsidRDefault="00B763FB" w:rsidP="00B763FB">
            <w:pPr>
              <w:pStyle w:val="Default"/>
              <w:rPr>
                <w:rFonts w:ascii="Times New Roman" w:hAnsi="Times New Roman" w:cs="Times New Roman"/>
                <w:sz w:val="27"/>
                <w:szCs w:val="27"/>
              </w:rPr>
            </w:pPr>
            <w:r w:rsidRPr="0047351B">
              <w:rPr>
                <w:rFonts w:ascii="Times New Roman" w:hAnsi="Times New Roman" w:cs="Times New Roman"/>
                <w:sz w:val="27"/>
                <w:szCs w:val="27"/>
              </w:rPr>
              <w:t>7.86</w:t>
            </w:r>
          </w:p>
        </w:tc>
      </w:tr>
      <w:tr w:rsidR="00B763FB" w:rsidRPr="0047351B" w:rsidTr="00B763FB">
        <w:trPr>
          <w:trHeight w:val="440"/>
        </w:trPr>
        <w:tc>
          <w:tcPr>
            <w:tcW w:w="3708" w:type="dxa"/>
          </w:tcPr>
          <w:p w:rsidR="00B763FB" w:rsidRPr="0047351B" w:rsidRDefault="001C24F1" w:rsidP="00B763FB">
            <w:pPr>
              <w:pStyle w:val="Default"/>
              <w:rPr>
                <w:rFonts w:ascii="Times New Roman" w:hAnsi="Times New Roman" w:cs="Times New Roman"/>
                <w:sz w:val="27"/>
                <w:szCs w:val="27"/>
              </w:rPr>
            </w:pPr>
            <w:r>
              <w:rPr>
                <w:rFonts w:ascii="Times New Roman" w:hAnsi="Times New Roman" w:cs="Times New Roman"/>
                <w:sz w:val="27"/>
                <w:szCs w:val="27"/>
              </w:rPr>
              <w:t>2012</w:t>
            </w:r>
          </w:p>
        </w:tc>
        <w:tc>
          <w:tcPr>
            <w:tcW w:w="3690" w:type="dxa"/>
          </w:tcPr>
          <w:p w:rsidR="00B763FB" w:rsidRPr="0047351B" w:rsidRDefault="00B763FB" w:rsidP="00B763FB">
            <w:pPr>
              <w:pStyle w:val="Default"/>
              <w:rPr>
                <w:rFonts w:ascii="Times New Roman" w:hAnsi="Times New Roman" w:cs="Times New Roman"/>
                <w:sz w:val="27"/>
                <w:szCs w:val="27"/>
              </w:rPr>
            </w:pPr>
            <w:r w:rsidRPr="0047351B">
              <w:rPr>
                <w:rFonts w:ascii="Times New Roman" w:hAnsi="Times New Roman" w:cs="Times New Roman"/>
                <w:sz w:val="27"/>
                <w:szCs w:val="27"/>
              </w:rPr>
              <w:t>8.39</w:t>
            </w:r>
          </w:p>
        </w:tc>
      </w:tr>
      <w:tr w:rsidR="00B763FB" w:rsidRPr="0047351B" w:rsidTr="00B763FB">
        <w:trPr>
          <w:trHeight w:val="440"/>
        </w:trPr>
        <w:tc>
          <w:tcPr>
            <w:tcW w:w="3708" w:type="dxa"/>
          </w:tcPr>
          <w:p w:rsidR="00B763FB" w:rsidRPr="0047351B" w:rsidRDefault="001C24F1" w:rsidP="00B763FB">
            <w:pPr>
              <w:pStyle w:val="Default"/>
              <w:rPr>
                <w:rFonts w:ascii="Times New Roman" w:hAnsi="Times New Roman" w:cs="Times New Roman"/>
                <w:sz w:val="27"/>
                <w:szCs w:val="27"/>
              </w:rPr>
            </w:pPr>
            <w:r>
              <w:rPr>
                <w:rFonts w:ascii="Times New Roman" w:hAnsi="Times New Roman" w:cs="Times New Roman"/>
                <w:sz w:val="27"/>
                <w:szCs w:val="27"/>
              </w:rPr>
              <w:t>2013</w:t>
            </w:r>
          </w:p>
        </w:tc>
        <w:tc>
          <w:tcPr>
            <w:tcW w:w="3690" w:type="dxa"/>
          </w:tcPr>
          <w:p w:rsidR="00B763FB" w:rsidRPr="0047351B" w:rsidRDefault="00B763FB" w:rsidP="00B763FB">
            <w:pPr>
              <w:pStyle w:val="Default"/>
              <w:rPr>
                <w:rFonts w:ascii="Times New Roman" w:hAnsi="Times New Roman" w:cs="Times New Roman"/>
                <w:sz w:val="27"/>
                <w:szCs w:val="27"/>
              </w:rPr>
            </w:pPr>
            <w:r w:rsidRPr="0047351B">
              <w:rPr>
                <w:rFonts w:ascii="Times New Roman" w:hAnsi="Times New Roman" w:cs="Times New Roman"/>
                <w:sz w:val="27"/>
                <w:szCs w:val="27"/>
              </w:rPr>
              <w:t>8.79</w:t>
            </w:r>
          </w:p>
        </w:tc>
      </w:tr>
      <w:tr w:rsidR="00B763FB" w:rsidRPr="0047351B" w:rsidTr="00B763FB">
        <w:trPr>
          <w:trHeight w:val="440"/>
        </w:trPr>
        <w:tc>
          <w:tcPr>
            <w:tcW w:w="3708" w:type="dxa"/>
          </w:tcPr>
          <w:p w:rsidR="00B763FB" w:rsidRPr="0047351B" w:rsidRDefault="001C24F1" w:rsidP="00B763FB">
            <w:pPr>
              <w:pStyle w:val="Default"/>
              <w:rPr>
                <w:rFonts w:ascii="Times New Roman" w:hAnsi="Times New Roman" w:cs="Times New Roman"/>
                <w:sz w:val="27"/>
                <w:szCs w:val="27"/>
              </w:rPr>
            </w:pPr>
            <w:r>
              <w:rPr>
                <w:rFonts w:ascii="Times New Roman" w:hAnsi="Times New Roman" w:cs="Times New Roman"/>
                <w:sz w:val="27"/>
                <w:szCs w:val="27"/>
              </w:rPr>
              <w:t>2014</w:t>
            </w:r>
          </w:p>
        </w:tc>
        <w:tc>
          <w:tcPr>
            <w:tcW w:w="3690" w:type="dxa"/>
          </w:tcPr>
          <w:p w:rsidR="00B763FB" w:rsidRPr="0047351B" w:rsidRDefault="00B763FB" w:rsidP="00B763FB">
            <w:pPr>
              <w:pStyle w:val="Default"/>
              <w:rPr>
                <w:rFonts w:ascii="Times New Roman" w:hAnsi="Times New Roman" w:cs="Times New Roman"/>
                <w:sz w:val="27"/>
                <w:szCs w:val="27"/>
              </w:rPr>
            </w:pPr>
            <w:r w:rsidRPr="0047351B">
              <w:rPr>
                <w:rFonts w:ascii="Times New Roman" w:hAnsi="Times New Roman" w:cs="Times New Roman"/>
                <w:sz w:val="27"/>
                <w:szCs w:val="27"/>
              </w:rPr>
              <w:t>8.06</w:t>
            </w:r>
          </w:p>
        </w:tc>
      </w:tr>
    </w:tbl>
    <w:p w:rsidR="00155280" w:rsidRPr="0047351B" w:rsidRDefault="00155280" w:rsidP="00155280">
      <w:pPr>
        <w:pStyle w:val="Default"/>
        <w:jc w:val="center"/>
        <w:rPr>
          <w:rFonts w:ascii="Times New Roman" w:hAnsi="Times New Roman" w:cs="Times New Roman"/>
          <w:sz w:val="27"/>
          <w:szCs w:val="27"/>
        </w:rPr>
      </w:pPr>
    </w:p>
    <w:p w:rsidR="00B763FB" w:rsidRPr="0047351B" w:rsidRDefault="00155280" w:rsidP="00155280">
      <w:pPr>
        <w:pStyle w:val="Default"/>
        <w:jc w:val="center"/>
        <w:rPr>
          <w:rFonts w:ascii="Times New Roman" w:hAnsi="Times New Roman" w:cs="Times New Roman"/>
          <w:sz w:val="27"/>
          <w:szCs w:val="27"/>
        </w:rPr>
      </w:pPr>
      <w:r w:rsidRPr="0047351B">
        <w:rPr>
          <w:rFonts w:ascii="Times New Roman" w:hAnsi="Times New Roman" w:cs="Times New Roman"/>
          <w:sz w:val="27"/>
          <w:szCs w:val="27"/>
        </w:rPr>
        <w:t>Figure: 3.3</w:t>
      </w:r>
    </w:p>
    <w:p w:rsidR="00B763FB" w:rsidRPr="0047351B" w:rsidRDefault="003124C3" w:rsidP="00B763FB">
      <w:pPr>
        <w:pStyle w:val="Default"/>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63FB" w:rsidRPr="0047351B" w:rsidRDefault="00B763FB" w:rsidP="00B763FB">
      <w:pPr>
        <w:pStyle w:val="Default"/>
        <w:rPr>
          <w:rFonts w:ascii="Times New Roman" w:hAnsi="Times New Roman" w:cs="Times New Roman"/>
          <w:sz w:val="31"/>
          <w:szCs w:val="31"/>
        </w:rPr>
      </w:pPr>
    </w:p>
    <w:p w:rsidR="005C1431" w:rsidRPr="0047351B" w:rsidRDefault="005C1431" w:rsidP="005C1431">
      <w:pPr>
        <w:pStyle w:val="Default"/>
        <w:rPr>
          <w:rFonts w:ascii="Times New Roman" w:hAnsi="Times New Roman" w:cs="Times New Roman"/>
          <w:sz w:val="23"/>
          <w:szCs w:val="23"/>
        </w:rPr>
      </w:pPr>
      <w:r w:rsidRPr="0047351B">
        <w:rPr>
          <w:rFonts w:ascii="Times New Roman" w:hAnsi="Times New Roman" w:cs="Times New Roman"/>
          <w:sz w:val="23"/>
          <w:szCs w:val="23"/>
        </w:rPr>
        <w:t>(Source: Calculated from the annual report of ICICI Bank.)</w:t>
      </w:r>
    </w:p>
    <w:p w:rsidR="00B763FB" w:rsidRPr="0047351B" w:rsidRDefault="00B763FB">
      <w:pPr>
        <w:rPr>
          <w:color w:val="000000"/>
          <w:sz w:val="31"/>
          <w:szCs w:val="31"/>
        </w:rPr>
      </w:pPr>
    </w:p>
    <w:p w:rsidR="005C1431" w:rsidRPr="0047351B" w:rsidRDefault="005C1431">
      <w:pPr>
        <w:rPr>
          <w:color w:val="000000"/>
          <w:sz w:val="27"/>
          <w:szCs w:val="27"/>
        </w:rPr>
      </w:pPr>
      <w:r w:rsidRPr="0047351B">
        <w:rPr>
          <w:sz w:val="27"/>
          <w:szCs w:val="27"/>
        </w:rPr>
        <w:br w:type="page"/>
      </w:r>
    </w:p>
    <w:p w:rsidR="00B763FB" w:rsidRPr="0047351B" w:rsidRDefault="00B763FB" w:rsidP="005C1431">
      <w:pPr>
        <w:pStyle w:val="Default"/>
        <w:ind w:left="90"/>
        <w:rPr>
          <w:rFonts w:ascii="Times New Roman" w:hAnsi="Times New Roman" w:cs="Times New Roman"/>
          <w:b/>
          <w:sz w:val="23"/>
          <w:szCs w:val="23"/>
        </w:rPr>
      </w:pPr>
      <w:r w:rsidRPr="0047351B">
        <w:rPr>
          <w:rFonts w:ascii="Times New Roman" w:hAnsi="Times New Roman" w:cs="Times New Roman"/>
          <w:b/>
          <w:sz w:val="23"/>
          <w:szCs w:val="23"/>
        </w:rPr>
        <w:lastRenderedPageBreak/>
        <w:t xml:space="preserve">Non-Interest Income to Total Income </w:t>
      </w:r>
    </w:p>
    <w:p w:rsidR="00B763FB" w:rsidRPr="0047351B" w:rsidRDefault="00B763FB" w:rsidP="00B763FB">
      <w:pPr>
        <w:pStyle w:val="Default"/>
        <w:rPr>
          <w:rFonts w:ascii="Times New Roman" w:hAnsi="Times New Roman" w:cs="Times New Roman"/>
          <w:sz w:val="31"/>
          <w:szCs w:val="31"/>
        </w:rPr>
      </w:pPr>
    </w:p>
    <w:p w:rsidR="003641F9" w:rsidRPr="0047351B" w:rsidRDefault="003641F9" w:rsidP="00700A7E">
      <w:pPr>
        <w:pStyle w:val="Default"/>
        <w:rPr>
          <w:rFonts w:ascii="Times New Roman" w:hAnsi="Times New Roman" w:cs="Times New Roman"/>
          <w:sz w:val="27"/>
          <w:szCs w:val="27"/>
        </w:rPr>
      </w:pPr>
      <w:r w:rsidRPr="0047351B">
        <w:rPr>
          <w:rFonts w:ascii="Times New Roman" w:hAnsi="Times New Roman" w:cs="Times New Roman"/>
          <w:sz w:val="27"/>
          <w:szCs w:val="27"/>
        </w:rPr>
        <w:t>Table: 3.4</w:t>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r>
      <w:r w:rsidR="00700A7E" w:rsidRPr="0047351B">
        <w:rPr>
          <w:rFonts w:ascii="Times New Roman" w:hAnsi="Times New Roman" w:cs="Times New Roman"/>
          <w:sz w:val="27"/>
          <w:szCs w:val="27"/>
        </w:rPr>
        <w:tab/>
        <w:t xml:space="preserve">         (Per cent)</w:t>
      </w:r>
    </w:p>
    <w:tbl>
      <w:tblPr>
        <w:tblStyle w:val="TableGrid"/>
        <w:tblW w:w="0" w:type="auto"/>
        <w:tblInd w:w="198" w:type="dxa"/>
        <w:tblLook w:val="04A0" w:firstRow="1" w:lastRow="0" w:firstColumn="1" w:lastColumn="0" w:noHBand="0" w:noVBand="1"/>
      </w:tblPr>
      <w:tblGrid>
        <w:gridCol w:w="3798"/>
        <w:gridCol w:w="3600"/>
      </w:tblGrid>
      <w:tr w:rsidR="00B763FB" w:rsidRPr="0047351B" w:rsidTr="005C1431">
        <w:trPr>
          <w:trHeight w:val="467"/>
        </w:trPr>
        <w:tc>
          <w:tcPr>
            <w:tcW w:w="3798" w:type="dxa"/>
          </w:tcPr>
          <w:p w:rsidR="00B763FB" w:rsidRPr="0047351B" w:rsidRDefault="001C24F1" w:rsidP="00B763FB">
            <w:pPr>
              <w:pStyle w:val="Default"/>
              <w:rPr>
                <w:rFonts w:ascii="Times New Roman" w:hAnsi="Times New Roman" w:cs="Times New Roman"/>
                <w:sz w:val="27"/>
                <w:szCs w:val="27"/>
              </w:rPr>
            </w:pPr>
            <w:r>
              <w:rPr>
                <w:rFonts w:ascii="Times New Roman" w:hAnsi="Times New Roman" w:cs="Times New Roman"/>
                <w:sz w:val="27"/>
                <w:szCs w:val="27"/>
              </w:rPr>
              <w:t>2010</w:t>
            </w:r>
          </w:p>
        </w:tc>
        <w:tc>
          <w:tcPr>
            <w:tcW w:w="3600" w:type="dxa"/>
          </w:tcPr>
          <w:p w:rsidR="00B763FB" w:rsidRPr="0047351B" w:rsidRDefault="00B763FB" w:rsidP="00B763FB">
            <w:pPr>
              <w:pStyle w:val="Default"/>
              <w:rPr>
                <w:rFonts w:ascii="Times New Roman" w:hAnsi="Times New Roman" w:cs="Times New Roman"/>
                <w:sz w:val="27"/>
                <w:szCs w:val="27"/>
              </w:rPr>
            </w:pPr>
            <w:r w:rsidRPr="0047351B">
              <w:rPr>
                <w:rFonts w:ascii="Times New Roman" w:hAnsi="Times New Roman" w:cs="Times New Roman"/>
                <w:sz w:val="27"/>
                <w:szCs w:val="27"/>
              </w:rPr>
              <w:t>0.30</w:t>
            </w:r>
          </w:p>
        </w:tc>
      </w:tr>
      <w:tr w:rsidR="00B763FB" w:rsidRPr="0047351B" w:rsidTr="005C1431">
        <w:trPr>
          <w:trHeight w:val="440"/>
        </w:trPr>
        <w:tc>
          <w:tcPr>
            <w:tcW w:w="3798" w:type="dxa"/>
          </w:tcPr>
          <w:p w:rsidR="00B763FB" w:rsidRPr="0047351B" w:rsidRDefault="001C24F1" w:rsidP="00B763FB">
            <w:pPr>
              <w:pStyle w:val="Default"/>
              <w:rPr>
                <w:rFonts w:ascii="Times New Roman" w:hAnsi="Times New Roman" w:cs="Times New Roman"/>
                <w:sz w:val="27"/>
                <w:szCs w:val="27"/>
              </w:rPr>
            </w:pPr>
            <w:r>
              <w:rPr>
                <w:rFonts w:ascii="Times New Roman" w:hAnsi="Times New Roman" w:cs="Times New Roman"/>
                <w:sz w:val="27"/>
                <w:szCs w:val="27"/>
              </w:rPr>
              <w:t>2011</w:t>
            </w:r>
          </w:p>
        </w:tc>
        <w:tc>
          <w:tcPr>
            <w:tcW w:w="3600" w:type="dxa"/>
          </w:tcPr>
          <w:p w:rsidR="00B763FB" w:rsidRPr="0047351B" w:rsidRDefault="00B763FB" w:rsidP="00B763FB">
            <w:pPr>
              <w:pStyle w:val="Default"/>
              <w:rPr>
                <w:rFonts w:ascii="Times New Roman" w:hAnsi="Times New Roman" w:cs="Times New Roman"/>
                <w:sz w:val="27"/>
                <w:szCs w:val="27"/>
              </w:rPr>
            </w:pPr>
            <w:r w:rsidRPr="0047351B">
              <w:rPr>
                <w:rFonts w:ascii="Times New Roman" w:hAnsi="Times New Roman" w:cs="Times New Roman"/>
                <w:sz w:val="27"/>
                <w:szCs w:val="27"/>
              </w:rPr>
              <w:t>0.32</w:t>
            </w:r>
          </w:p>
        </w:tc>
      </w:tr>
      <w:tr w:rsidR="00B763FB" w:rsidRPr="0047351B" w:rsidTr="005C1431">
        <w:trPr>
          <w:trHeight w:val="440"/>
        </w:trPr>
        <w:tc>
          <w:tcPr>
            <w:tcW w:w="3798" w:type="dxa"/>
          </w:tcPr>
          <w:p w:rsidR="00B763FB" w:rsidRPr="0047351B" w:rsidRDefault="001C24F1" w:rsidP="00B763FB">
            <w:pPr>
              <w:pStyle w:val="Default"/>
              <w:rPr>
                <w:rFonts w:ascii="Times New Roman" w:hAnsi="Times New Roman" w:cs="Times New Roman"/>
                <w:sz w:val="27"/>
                <w:szCs w:val="27"/>
              </w:rPr>
            </w:pPr>
            <w:r>
              <w:rPr>
                <w:rFonts w:ascii="Times New Roman" w:hAnsi="Times New Roman" w:cs="Times New Roman"/>
                <w:sz w:val="27"/>
                <w:szCs w:val="27"/>
              </w:rPr>
              <w:t>2012</w:t>
            </w:r>
          </w:p>
        </w:tc>
        <w:tc>
          <w:tcPr>
            <w:tcW w:w="3600" w:type="dxa"/>
          </w:tcPr>
          <w:p w:rsidR="00B763FB" w:rsidRPr="0047351B" w:rsidRDefault="00B763FB" w:rsidP="00B763FB">
            <w:pPr>
              <w:pStyle w:val="Default"/>
              <w:rPr>
                <w:rFonts w:ascii="Times New Roman" w:hAnsi="Times New Roman" w:cs="Times New Roman"/>
                <w:sz w:val="27"/>
                <w:szCs w:val="27"/>
              </w:rPr>
            </w:pPr>
            <w:r w:rsidRPr="0047351B">
              <w:rPr>
                <w:rFonts w:ascii="Times New Roman" w:hAnsi="Times New Roman" w:cs="Times New Roman"/>
                <w:sz w:val="27"/>
                <w:szCs w:val="27"/>
              </w:rPr>
              <w:t>0.36</w:t>
            </w:r>
          </w:p>
        </w:tc>
      </w:tr>
      <w:tr w:rsidR="00B763FB" w:rsidRPr="0047351B" w:rsidTr="005C1431">
        <w:trPr>
          <w:trHeight w:val="440"/>
        </w:trPr>
        <w:tc>
          <w:tcPr>
            <w:tcW w:w="3798" w:type="dxa"/>
          </w:tcPr>
          <w:p w:rsidR="00B763FB" w:rsidRPr="0047351B" w:rsidRDefault="001C24F1" w:rsidP="00B763FB">
            <w:pPr>
              <w:pStyle w:val="Default"/>
              <w:rPr>
                <w:rFonts w:ascii="Times New Roman" w:hAnsi="Times New Roman" w:cs="Times New Roman"/>
                <w:sz w:val="27"/>
                <w:szCs w:val="27"/>
              </w:rPr>
            </w:pPr>
            <w:r>
              <w:rPr>
                <w:rFonts w:ascii="Times New Roman" w:hAnsi="Times New Roman" w:cs="Times New Roman"/>
                <w:sz w:val="27"/>
                <w:szCs w:val="27"/>
              </w:rPr>
              <w:t>2013</w:t>
            </w:r>
          </w:p>
        </w:tc>
        <w:tc>
          <w:tcPr>
            <w:tcW w:w="3600" w:type="dxa"/>
          </w:tcPr>
          <w:p w:rsidR="00B763FB" w:rsidRPr="0047351B" w:rsidRDefault="00B763FB" w:rsidP="00B763FB">
            <w:pPr>
              <w:pStyle w:val="Default"/>
              <w:rPr>
                <w:rFonts w:ascii="Times New Roman" w:hAnsi="Times New Roman" w:cs="Times New Roman"/>
                <w:sz w:val="27"/>
                <w:szCs w:val="27"/>
              </w:rPr>
            </w:pPr>
            <w:r w:rsidRPr="0047351B">
              <w:rPr>
                <w:rFonts w:ascii="Times New Roman" w:hAnsi="Times New Roman" w:cs="Times New Roman"/>
                <w:sz w:val="27"/>
                <w:szCs w:val="27"/>
              </w:rPr>
              <w:t>0.35</w:t>
            </w:r>
          </w:p>
        </w:tc>
      </w:tr>
      <w:tr w:rsidR="00B763FB" w:rsidRPr="0047351B" w:rsidTr="005C1431">
        <w:trPr>
          <w:trHeight w:val="440"/>
        </w:trPr>
        <w:tc>
          <w:tcPr>
            <w:tcW w:w="3798" w:type="dxa"/>
          </w:tcPr>
          <w:p w:rsidR="00B763FB" w:rsidRPr="0047351B" w:rsidRDefault="001C24F1" w:rsidP="00B763FB">
            <w:pPr>
              <w:pStyle w:val="Default"/>
              <w:rPr>
                <w:rFonts w:ascii="Times New Roman" w:hAnsi="Times New Roman" w:cs="Times New Roman"/>
                <w:sz w:val="27"/>
                <w:szCs w:val="27"/>
              </w:rPr>
            </w:pPr>
            <w:r>
              <w:rPr>
                <w:rFonts w:ascii="Times New Roman" w:hAnsi="Times New Roman" w:cs="Times New Roman"/>
                <w:sz w:val="27"/>
                <w:szCs w:val="27"/>
              </w:rPr>
              <w:t>2014</w:t>
            </w:r>
          </w:p>
        </w:tc>
        <w:tc>
          <w:tcPr>
            <w:tcW w:w="3600" w:type="dxa"/>
          </w:tcPr>
          <w:p w:rsidR="00B763FB" w:rsidRPr="0047351B" w:rsidRDefault="00B763FB" w:rsidP="00B763FB">
            <w:pPr>
              <w:pStyle w:val="Default"/>
              <w:rPr>
                <w:rFonts w:ascii="Times New Roman" w:hAnsi="Times New Roman" w:cs="Times New Roman"/>
                <w:sz w:val="27"/>
                <w:szCs w:val="27"/>
              </w:rPr>
            </w:pPr>
            <w:r w:rsidRPr="0047351B">
              <w:rPr>
                <w:rFonts w:ascii="Times New Roman" w:hAnsi="Times New Roman" w:cs="Times New Roman"/>
                <w:sz w:val="27"/>
                <w:szCs w:val="27"/>
              </w:rPr>
              <w:t>0.32</w:t>
            </w:r>
          </w:p>
        </w:tc>
      </w:tr>
    </w:tbl>
    <w:p w:rsidR="00155280" w:rsidRPr="0047351B" w:rsidRDefault="00155280" w:rsidP="00155280">
      <w:pPr>
        <w:jc w:val="center"/>
        <w:rPr>
          <w:sz w:val="27"/>
          <w:szCs w:val="27"/>
        </w:rPr>
      </w:pPr>
    </w:p>
    <w:p w:rsidR="00B763FB" w:rsidRPr="0047351B" w:rsidRDefault="00155280" w:rsidP="00155280">
      <w:pPr>
        <w:jc w:val="center"/>
        <w:rPr>
          <w:sz w:val="27"/>
          <w:szCs w:val="27"/>
        </w:rPr>
      </w:pPr>
      <w:r w:rsidRPr="0047351B">
        <w:rPr>
          <w:sz w:val="27"/>
          <w:szCs w:val="27"/>
        </w:rPr>
        <w:t>Figure: 3.4</w:t>
      </w:r>
    </w:p>
    <w:p w:rsidR="00B763FB" w:rsidRPr="0047351B" w:rsidRDefault="00D87890" w:rsidP="00B763FB">
      <w:pPr>
        <w:pStyle w:val="Default"/>
        <w:rPr>
          <w:rFonts w:ascii="Times New Roman" w:hAnsi="Times New Roman" w:cs="Times New Roman"/>
          <w:sz w:val="31"/>
          <w:szCs w:val="31"/>
        </w:rPr>
      </w:pPr>
      <w:r>
        <w:rPr>
          <w:rFonts w:ascii="Times New Roman" w:hAnsi="Times New Roman" w:cs="Times New Roman"/>
          <w:noProof/>
          <w:sz w:val="31"/>
          <w:szCs w:val="31"/>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41F9" w:rsidRPr="0047351B" w:rsidRDefault="003641F9">
      <w:pPr>
        <w:rPr>
          <w:sz w:val="31"/>
          <w:szCs w:val="31"/>
        </w:rPr>
      </w:pPr>
    </w:p>
    <w:p w:rsidR="005C1431" w:rsidRPr="0047351B" w:rsidRDefault="005C1431" w:rsidP="005C1431">
      <w:pPr>
        <w:pStyle w:val="Default"/>
        <w:ind w:left="90"/>
        <w:rPr>
          <w:rFonts w:ascii="Times New Roman" w:hAnsi="Times New Roman" w:cs="Times New Roman"/>
          <w:sz w:val="23"/>
          <w:szCs w:val="23"/>
        </w:rPr>
      </w:pPr>
      <w:r w:rsidRPr="0047351B">
        <w:rPr>
          <w:rFonts w:ascii="Times New Roman" w:hAnsi="Times New Roman" w:cs="Times New Roman"/>
          <w:sz w:val="23"/>
          <w:szCs w:val="23"/>
        </w:rPr>
        <w:t>(Source: Calculated from the annual report of ICICI Bank.)</w:t>
      </w:r>
    </w:p>
    <w:p w:rsidR="003641F9" w:rsidRPr="0047351B" w:rsidRDefault="003641F9">
      <w:pPr>
        <w:rPr>
          <w:sz w:val="31"/>
          <w:szCs w:val="31"/>
        </w:rPr>
      </w:pPr>
    </w:p>
    <w:p w:rsidR="003641F9" w:rsidRPr="0047351B" w:rsidRDefault="003641F9">
      <w:pPr>
        <w:rPr>
          <w:sz w:val="31"/>
          <w:szCs w:val="31"/>
        </w:rPr>
      </w:pPr>
    </w:p>
    <w:p w:rsidR="003641F9" w:rsidRPr="0047351B" w:rsidRDefault="003641F9">
      <w:pPr>
        <w:rPr>
          <w:sz w:val="31"/>
          <w:szCs w:val="31"/>
        </w:rPr>
      </w:pPr>
    </w:p>
    <w:p w:rsidR="003641F9" w:rsidRPr="0047351B" w:rsidRDefault="003641F9">
      <w:pPr>
        <w:rPr>
          <w:b/>
          <w:sz w:val="31"/>
          <w:szCs w:val="31"/>
        </w:rPr>
      </w:pPr>
      <w:r w:rsidRPr="0047351B">
        <w:rPr>
          <w:b/>
          <w:sz w:val="31"/>
          <w:szCs w:val="31"/>
        </w:rPr>
        <w:br w:type="page"/>
      </w:r>
    </w:p>
    <w:p w:rsidR="00AA2533" w:rsidRPr="0047351B" w:rsidRDefault="003B1E68" w:rsidP="000E2C37">
      <w:pPr>
        <w:spacing w:line="360" w:lineRule="auto"/>
        <w:jc w:val="center"/>
        <w:rPr>
          <w:b/>
          <w:sz w:val="31"/>
          <w:szCs w:val="31"/>
        </w:rPr>
      </w:pPr>
      <w:r w:rsidRPr="0047351B">
        <w:rPr>
          <w:b/>
          <w:sz w:val="31"/>
          <w:szCs w:val="31"/>
        </w:rPr>
        <w:lastRenderedPageBreak/>
        <w:t>Summary</w:t>
      </w:r>
      <w:r w:rsidR="00063322" w:rsidRPr="0047351B">
        <w:rPr>
          <w:b/>
          <w:sz w:val="31"/>
          <w:szCs w:val="31"/>
        </w:rPr>
        <w:t xml:space="preserve"> of Ratios</w:t>
      </w:r>
    </w:p>
    <w:p w:rsidR="00C01A31" w:rsidRPr="0047351B" w:rsidRDefault="00C01A31" w:rsidP="00444311">
      <w:pPr>
        <w:spacing w:line="360" w:lineRule="auto"/>
        <w:rPr>
          <w:sz w:val="23"/>
          <w:szCs w:val="23"/>
        </w:rPr>
      </w:pPr>
    </w:p>
    <w:p w:rsidR="00EE3A78" w:rsidRPr="0047351B" w:rsidRDefault="00EE3A78" w:rsidP="00444311">
      <w:pPr>
        <w:spacing w:line="360" w:lineRule="auto"/>
        <w:ind w:left="90" w:hanging="90"/>
        <w:outlineLvl w:val="1"/>
        <w:rPr>
          <w:b/>
          <w:bCs/>
          <w:color w:val="000000"/>
          <w:sz w:val="27"/>
          <w:szCs w:val="27"/>
          <w:shd w:val="clear" w:color="auto" w:fill="FFFFFF"/>
        </w:rPr>
      </w:pPr>
      <w:r w:rsidRPr="0047351B">
        <w:rPr>
          <w:b/>
          <w:bCs/>
          <w:color w:val="000000"/>
          <w:sz w:val="27"/>
          <w:szCs w:val="27"/>
          <w:shd w:val="clear" w:color="auto" w:fill="FFFFFF"/>
        </w:rPr>
        <w:t>Ratios</w:t>
      </w:r>
    </w:p>
    <w:tbl>
      <w:tblPr>
        <w:tblW w:w="9720" w:type="dxa"/>
        <w:tblInd w:w="-90" w:type="dxa"/>
        <w:tblCellMar>
          <w:top w:w="15" w:type="dxa"/>
          <w:left w:w="15" w:type="dxa"/>
          <w:bottom w:w="15" w:type="dxa"/>
          <w:right w:w="15" w:type="dxa"/>
        </w:tblCellMar>
        <w:tblLook w:val="04A0" w:firstRow="1" w:lastRow="0" w:firstColumn="1" w:lastColumn="0" w:noHBand="0" w:noVBand="1"/>
      </w:tblPr>
      <w:tblGrid>
        <w:gridCol w:w="90"/>
        <w:gridCol w:w="3780"/>
        <w:gridCol w:w="1161"/>
        <w:gridCol w:w="1161"/>
        <w:gridCol w:w="1161"/>
        <w:gridCol w:w="1161"/>
        <w:gridCol w:w="1206"/>
      </w:tblGrid>
      <w:tr w:rsidR="00EE3A78" w:rsidRPr="00015735" w:rsidTr="00496719">
        <w:trPr>
          <w:gridBefore w:val="1"/>
          <w:wBefore w:w="90" w:type="dxa"/>
          <w:tblHeader/>
        </w:trPr>
        <w:tc>
          <w:tcPr>
            <w:tcW w:w="3780" w:type="dxa"/>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EE3A78" w:rsidRPr="00015735" w:rsidRDefault="00EE3A78" w:rsidP="00015735">
            <w:pPr>
              <w:spacing w:line="360" w:lineRule="auto"/>
              <w:ind w:left="-270"/>
              <w:rPr>
                <w:b/>
                <w:bCs/>
              </w:rPr>
            </w:pPr>
            <w:r w:rsidRPr="00015735">
              <w:rPr>
                <w:b/>
                <w:bCs/>
              </w:rPr>
              <w:t> </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EE3A78" w:rsidRPr="00015735" w:rsidRDefault="0024183B" w:rsidP="00015735">
            <w:pPr>
              <w:spacing w:line="360" w:lineRule="auto"/>
              <w:jc w:val="right"/>
              <w:rPr>
                <w:b/>
                <w:bCs/>
              </w:rPr>
            </w:pPr>
            <w:r>
              <w:rPr>
                <w:b/>
                <w:bCs/>
              </w:rPr>
              <w:t>Mar ‘ 14</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EE3A78" w:rsidRPr="00015735" w:rsidRDefault="0024183B" w:rsidP="00015735">
            <w:pPr>
              <w:spacing w:line="360" w:lineRule="auto"/>
              <w:jc w:val="right"/>
              <w:rPr>
                <w:b/>
                <w:bCs/>
              </w:rPr>
            </w:pPr>
            <w:r>
              <w:rPr>
                <w:b/>
                <w:bCs/>
              </w:rPr>
              <w:t>Mar ‘ 13</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EE3A78" w:rsidRPr="00015735" w:rsidRDefault="0024183B" w:rsidP="00015735">
            <w:pPr>
              <w:spacing w:line="360" w:lineRule="auto"/>
              <w:jc w:val="right"/>
              <w:rPr>
                <w:b/>
                <w:bCs/>
              </w:rPr>
            </w:pPr>
            <w:r>
              <w:rPr>
                <w:b/>
                <w:bCs/>
              </w:rPr>
              <w:t>Mar ‘ 12</w:t>
            </w:r>
          </w:p>
        </w:tc>
        <w:tc>
          <w:tcPr>
            <w:tcW w:w="0" w:type="auto"/>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EE3A78" w:rsidRPr="00015735" w:rsidRDefault="0024183B" w:rsidP="00015735">
            <w:pPr>
              <w:spacing w:line="360" w:lineRule="auto"/>
              <w:jc w:val="right"/>
              <w:rPr>
                <w:b/>
                <w:bCs/>
              </w:rPr>
            </w:pPr>
            <w:r>
              <w:rPr>
                <w:b/>
                <w:bCs/>
              </w:rPr>
              <w:t>Mar ‘ 11</w:t>
            </w:r>
          </w:p>
        </w:tc>
        <w:tc>
          <w:tcPr>
            <w:tcW w:w="1206" w:type="dxa"/>
            <w:tcBorders>
              <w:top w:val="single" w:sz="6" w:space="0" w:color="E5E5E5"/>
              <w:bottom w:val="single" w:sz="6" w:space="0" w:color="E5E5E5"/>
            </w:tcBorders>
            <w:shd w:val="clear" w:color="auto" w:fill="F5F5F5"/>
            <w:tcMar>
              <w:top w:w="90" w:type="dxa"/>
              <w:left w:w="90" w:type="dxa"/>
              <w:bottom w:w="90" w:type="dxa"/>
              <w:right w:w="90" w:type="dxa"/>
            </w:tcMar>
            <w:vAlign w:val="bottom"/>
            <w:hideMark/>
          </w:tcPr>
          <w:p w:rsidR="00EE3A78" w:rsidRPr="00015735" w:rsidRDefault="0024183B" w:rsidP="00015735">
            <w:pPr>
              <w:spacing w:line="360" w:lineRule="auto"/>
              <w:jc w:val="right"/>
              <w:rPr>
                <w:b/>
                <w:bCs/>
              </w:rPr>
            </w:pPr>
            <w:r>
              <w:rPr>
                <w:b/>
                <w:bCs/>
              </w:rPr>
              <w:t>Mar ‘ 10</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496719">
            <w:pPr>
              <w:spacing w:line="360" w:lineRule="auto"/>
              <w:outlineLvl w:val="2"/>
              <w:rPr>
                <w:b/>
                <w:bCs/>
              </w:rPr>
            </w:pPr>
            <w:r w:rsidRPr="00015735">
              <w:rPr>
                <w:b/>
                <w:bCs/>
              </w:rPr>
              <w:t>Per share ratios</w:t>
            </w: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1206" w:type="dxa"/>
            <w:vAlign w:val="center"/>
            <w:hideMark/>
          </w:tcPr>
          <w:p w:rsidR="00EE3A78" w:rsidRPr="00015735" w:rsidRDefault="00EE3A78" w:rsidP="00015735">
            <w:pPr>
              <w:spacing w:line="360" w:lineRule="auto"/>
            </w:pP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Adjusted EPS (Rs)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44.37</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34.90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33.60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36.78</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33.30</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Adjusted cash EPS (Rs)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49.25</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40.45</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39.70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41.97</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39.36</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Reported EPS (Rs)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44.73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36.10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33.76</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37.37</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34.59</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Reported cash EPS (Rs)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49.61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41.66</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39.85</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42.56</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40.64</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Dividend per share</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14.00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12.00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11.00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11.00</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10.00</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Operating profit per share (Rs)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64.08</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49.80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48.58</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51.29</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42.19</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Book value (</w:t>
            </w:r>
            <w:proofErr w:type="spellStart"/>
            <w:r w:rsidRPr="00015735">
              <w:t>excl</w:t>
            </w:r>
            <w:proofErr w:type="spellEnd"/>
            <w:r w:rsidRPr="00015735">
              <w:t xml:space="preserve"> rev res) per share (Rs)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478.31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463.01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444.94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417.64</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270.37</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Book value (</w:t>
            </w:r>
            <w:proofErr w:type="spellStart"/>
            <w:r w:rsidRPr="00015735">
              <w:t>incl</w:t>
            </w:r>
            <w:proofErr w:type="spellEnd"/>
            <w:r w:rsidRPr="00015735">
              <w:t xml:space="preserve"> rev res) per share (Rs.)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478.31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463.01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444.94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417.64</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270.37</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Net operating income per share (Rs)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281.04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293.74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343.59</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354.71</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316.45</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Free reserves per share (Rs)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358.12</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356.94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351.04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346.21</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199.52</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outlineLvl w:val="2"/>
              <w:rPr>
                <w:b/>
                <w:bCs/>
              </w:rPr>
            </w:pPr>
            <w:r w:rsidRPr="00015735">
              <w:rPr>
                <w:b/>
                <w:bCs/>
              </w:rPr>
              <w:t>Profitability ratios</w:t>
            </w: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1206" w:type="dxa"/>
            <w:vAlign w:val="center"/>
            <w:hideMark/>
          </w:tcPr>
          <w:p w:rsidR="00EE3A78" w:rsidRPr="00015735" w:rsidRDefault="00EE3A78" w:rsidP="00015735">
            <w:pPr>
              <w:spacing w:line="360" w:lineRule="auto"/>
            </w:pP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Operating margin (%)</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22.80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16.95</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14.13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14.45</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13.33</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Gross profit margin (%)</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21.06</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15.06</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12.36</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12.99</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11.41</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Net profit margin (%)</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15.91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12.17</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9.74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10.51</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10.81</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Adjusted cash margin (%)</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17.52</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13.64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11.45</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11.81</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12.30</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Adjusted return on net worth (%)</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9.27</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7.53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7.55</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8.80</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12.31</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Reported return on net worth (%)</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9.35</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7.79</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7.58</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8.94</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12.79</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lastRenderedPageBreak/>
              <w:t>Return on long term funds (%)</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42.97</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44.72</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56.72</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62.34</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82.46</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outlineLvl w:val="2"/>
              <w:rPr>
                <w:b/>
                <w:bCs/>
              </w:rPr>
            </w:pPr>
            <w:r w:rsidRPr="00015735">
              <w:rPr>
                <w:b/>
                <w:bCs/>
              </w:rPr>
              <w:t>Leverage ratios</w:t>
            </w: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1206" w:type="dxa"/>
            <w:vAlign w:val="center"/>
            <w:hideMark/>
          </w:tcPr>
          <w:p w:rsidR="00EE3A78" w:rsidRPr="00015735" w:rsidRDefault="00EE3A78" w:rsidP="00015735">
            <w:pPr>
              <w:spacing w:line="360" w:lineRule="auto"/>
            </w:pP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Long term debt / Equity</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0.01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0.01</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0.01</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Total debt/equity</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4.10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3.91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4.42</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5.27</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9.50</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Owners fund as % of total source</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19.62</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20.35</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18.46</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15.95</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9.52</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Fixed assets turnover ratio</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3.55</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4.60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5.14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5.61</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4.52</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outlineLvl w:val="2"/>
              <w:rPr>
                <w:b/>
                <w:bCs/>
              </w:rPr>
            </w:pPr>
            <w:r w:rsidRPr="00015735">
              <w:rPr>
                <w:b/>
                <w:bCs/>
              </w:rPr>
              <w:t>Liquidity ratios</w:t>
            </w: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1206" w:type="dxa"/>
            <w:vAlign w:val="center"/>
            <w:hideMark/>
          </w:tcPr>
          <w:p w:rsidR="00EE3A78" w:rsidRPr="00015735" w:rsidRDefault="00EE3A78" w:rsidP="00015735">
            <w:pPr>
              <w:spacing w:line="360" w:lineRule="auto"/>
            </w:pP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Current ratio</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1.73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1.94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0.78</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0.72</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0.61</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Current ratio (</w:t>
            </w:r>
            <w:proofErr w:type="spellStart"/>
            <w:r w:rsidRPr="00015735">
              <w:t>inc.</w:t>
            </w:r>
            <w:proofErr w:type="spellEnd"/>
            <w:r w:rsidRPr="00015735">
              <w:t xml:space="preserve"> </w:t>
            </w:r>
            <w:proofErr w:type="spellStart"/>
            <w:r w:rsidRPr="00015735">
              <w:t>st</w:t>
            </w:r>
            <w:proofErr w:type="spellEnd"/>
            <w:r w:rsidRPr="00015735">
              <w:t xml:space="preserve"> loans)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0.11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0.13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0.13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0.10</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0.08</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Quick ratio</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15.86</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14.70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5.94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6.42</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6.04</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Inventory turnover ratio</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outlineLvl w:val="2"/>
              <w:rPr>
                <w:b/>
                <w:bCs/>
              </w:rPr>
            </w:pPr>
            <w:r w:rsidRPr="00015735">
              <w:rPr>
                <w:b/>
                <w:bCs/>
              </w:rPr>
              <w:t>Payout ratios</w:t>
            </w: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1206" w:type="dxa"/>
            <w:vAlign w:val="center"/>
            <w:hideMark/>
          </w:tcPr>
          <w:p w:rsidR="00EE3A78" w:rsidRPr="00015735" w:rsidRDefault="00EE3A78" w:rsidP="00015735">
            <w:pPr>
              <w:spacing w:line="360" w:lineRule="auto"/>
            </w:pP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496719">
            <w:pPr>
              <w:spacing w:line="360" w:lineRule="auto"/>
              <w:ind w:hanging="90"/>
            </w:pPr>
            <w:r w:rsidRPr="00015735">
              <w:t>Dividend payout ratio (net profit)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35.23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37.31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36.60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33.12</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33.89</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Dividend payout ratio (cash profit)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31.76</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32.33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31.00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29.08</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28.84</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Earning retention ratio</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64.49</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61.40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63.23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66.35</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64.80</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Cash earnings retention ratio</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68.01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66.70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68.87</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70.51</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70.22</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outlineLvl w:val="2"/>
              <w:rPr>
                <w:b/>
                <w:bCs/>
              </w:rPr>
            </w:pPr>
            <w:r w:rsidRPr="00015735">
              <w:rPr>
                <w:b/>
                <w:bCs/>
              </w:rPr>
              <w:t>Coverage ratios</w:t>
            </w: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1206" w:type="dxa"/>
            <w:vAlign w:val="center"/>
            <w:hideMark/>
          </w:tcPr>
          <w:p w:rsidR="00EE3A78" w:rsidRPr="00015735" w:rsidRDefault="00EE3A78" w:rsidP="00015735">
            <w:pPr>
              <w:spacing w:line="360" w:lineRule="auto"/>
            </w:pP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Adjusted cash flow time total debt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39.77</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44.79</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49.41</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52.34</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65.12</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Financial charges coverage ratio</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0.43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0.33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0.25</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1.25</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1.25</w:t>
            </w:r>
          </w:p>
        </w:tc>
      </w:tr>
      <w:tr w:rsidR="00EE3A78" w:rsidRPr="00015735" w:rsidTr="00496719">
        <w:tc>
          <w:tcPr>
            <w:tcW w:w="3870" w:type="dxa"/>
            <w:gridSpan w:val="2"/>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 xml:space="preserve">Fin. charges </w:t>
            </w:r>
            <w:proofErr w:type="spellStart"/>
            <w:r w:rsidRPr="00015735">
              <w:t>cov</w:t>
            </w:r>
            <w:proofErr w:type="spellEnd"/>
            <w:r w:rsidRPr="00015735">
              <w:t>.</w:t>
            </w:r>
            <w:r w:rsidR="008650AA" w:rsidRPr="00015735">
              <w:t xml:space="preserve"> </w:t>
            </w:r>
            <w:r w:rsidRPr="00015735">
              <w:t>ratio (post tax)</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1.34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1.26</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1.20</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1.22</w:t>
            </w:r>
          </w:p>
        </w:tc>
      </w:tr>
    </w:tbl>
    <w:p w:rsidR="00015735" w:rsidRDefault="00015735">
      <w:r>
        <w:br w:type="page"/>
      </w:r>
    </w:p>
    <w:tbl>
      <w:tblPr>
        <w:tblW w:w="9720" w:type="dxa"/>
        <w:tblInd w:w="-90" w:type="dxa"/>
        <w:tblCellMar>
          <w:top w:w="15" w:type="dxa"/>
          <w:left w:w="15" w:type="dxa"/>
          <w:bottom w:w="15" w:type="dxa"/>
          <w:right w:w="15" w:type="dxa"/>
        </w:tblCellMar>
        <w:tblLook w:val="04A0" w:firstRow="1" w:lastRow="0" w:firstColumn="1" w:lastColumn="0" w:noHBand="0" w:noVBand="1"/>
      </w:tblPr>
      <w:tblGrid>
        <w:gridCol w:w="3870"/>
        <w:gridCol w:w="1161"/>
        <w:gridCol w:w="1161"/>
        <w:gridCol w:w="1161"/>
        <w:gridCol w:w="1161"/>
        <w:gridCol w:w="1206"/>
      </w:tblGrid>
      <w:tr w:rsidR="00EE3A78" w:rsidRPr="00015735" w:rsidTr="00496719">
        <w:tc>
          <w:tcPr>
            <w:tcW w:w="3870"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outlineLvl w:val="2"/>
              <w:rPr>
                <w:b/>
                <w:bCs/>
              </w:rPr>
            </w:pPr>
            <w:r w:rsidRPr="00015735">
              <w:rPr>
                <w:b/>
                <w:bCs/>
              </w:rPr>
              <w:lastRenderedPageBreak/>
              <w:t>Component ratios</w:t>
            </w: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0" w:type="auto"/>
            <w:vAlign w:val="center"/>
            <w:hideMark/>
          </w:tcPr>
          <w:p w:rsidR="00EE3A78" w:rsidRPr="00015735" w:rsidRDefault="00EE3A78" w:rsidP="00015735">
            <w:pPr>
              <w:spacing w:line="360" w:lineRule="auto"/>
            </w:pPr>
          </w:p>
        </w:tc>
        <w:tc>
          <w:tcPr>
            <w:tcW w:w="1206" w:type="dxa"/>
            <w:vAlign w:val="center"/>
            <w:hideMark/>
          </w:tcPr>
          <w:p w:rsidR="00EE3A78" w:rsidRPr="00015735" w:rsidRDefault="00EE3A78" w:rsidP="00015735">
            <w:pPr>
              <w:spacing w:line="360" w:lineRule="auto"/>
            </w:pPr>
          </w:p>
        </w:tc>
      </w:tr>
      <w:tr w:rsidR="00EE3A78" w:rsidRPr="00015735" w:rsidTr="00496719">
        <w:tc>
          <w:tcPr>
            <w:tcW w:w="3870"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Material cost component (% earnings)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r>
      <w:tr w:rsidR="00EE3A78" w:rsidRPr="00015735" w:rsidTr="00496719">
        <w:tc>
          <w:tcPr>
            <w:tcW w:w="3870"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Selling cost Component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0.94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0.72</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1.74</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4.43</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6.12</w:t>
            </w:r>
          </w:p>
        </w:tc>
      </w:tr>
      <w:tr w:rsidR="00EE3A78" w:rsidRPr="00015735" w:rsidTr="00496719">
        <w:tc>
          <w:tcPr>
            <w:tcW w:w="3870"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Exports as percent of total sales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r>
      <w:tr w:rsidR="00EE3A78" w:rsidRPr="00015735" w:rsidTr="00496719">
        <w:tc>
          <w:tcPr>
            <w:tcW w:w="3870"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 xml:space="preserve">Import comp. in raw mat. </w:t>
            </w:r>
            <w:r w:rsidR="00BE77B9" w:rsidRPr="00015735">
              <w:t>C</w:t>
            </w:r>
            <w:r w:rsidRPr="00015735">
              <w:t>onsumed</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r>
      <w:tr w:rsidR="00EE3A78" w:rsidRPr="00015735" w:rsidTr="00496719">
        <w:tc>
          <w:tcPr>
            <w:tcW w:w="3870"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Long term assets / total Assets</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0.83</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0.80</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0.75</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0.78</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0.80</w:t>
            </w:r>
          </w:p>
        </w:tc>
      </w:tr>
      <w:tr w:rsidR="00EE3A78" w:rsidRPr="00015735" w:rsidTr="00496719">
        <w:tc>
          <w:tcPr>
            <w:tcW w:w="3870"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pPr>
            <w:r w:rsidRPr="00015735">
              <w:t>Bonus component in equity capital (%)</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0" w:type="auto"/>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c>
          <w:tcPr>
            <w:tcW w:w="1206" w:type="dxa"/>
            <w:tcBorders>
              <w:bottom w:val="single" w:sz="6" w:space="0" w:color="E5E5E5"/>
            </w:tcBorders>
            <w:tcMar>
              <w:top w:w="90" w:type="dxa"/>
              <w:left w:w="90" w:type="dxa"/>
              <w:bottom w:w="90" w:type="dxa"/>
              <w:right w:w="90" w:type="dxa"/>
            </w:tcMar>
            <w:vAlign w:val="bottom"/>
            <w:hideMark/>
          </w:tcPr>
          <w:p w:rsidR="00EE3A78" w:rsidRPr="00015735" w:rsidRDefault="00EE3A78" w:rsidP="00015735">
            <w:pPr>
              <w:spacing w:line="360" w:lineRule="auto"/>
              <w:jc w:val="right"/>
            </w:pPr>
            <w:r w:rsidRPr="00015735">
              <w:t>-</w:t>
            </w:r>
          </w:p>
        </w:tc>
      </w:tr>
    </w:tbl>
    <w:p w:rsidR="00B04769" w:rsidRPr="00015735" w:rsidRDefault="00B04769" w:rsidP="00015735">
      <w:pPr>
        <w:spacing w:line="360" w:lineRule="auto"/>
      </w:pPr>
    </w:p>
    <w:tbl>
      <w:tblPr>
        <w:tblW w:w="9770" w:type="dxa"/>
        <w:tblCellSpacing w:w="0" w:type="dxa"/>
        <w:tblInd w:w="-51" w:type="dxa"/>
        <w:shd w:val="clear" w:color="auto" w:fill="FFFFFF"/>
        <w:tblCellMar>
          <w:left w:w="0" w:type="dxa"/>
          <w:right w:w="0" w:type="dxa"/>
        </w:tblCellMar>
        <w:tblLook w:val="04A0" w:firstRow="1" w:lastRow="0" w:firstColumn="1" w:lastColumn="0" w:noHBand="0" w:noVBand="1"/>
      </w:tblPr>
      <w:tblGrid>
        <w:gridCol w:w="3514"/>
        <w:gridCol w:w="1629"/>
        <w:gridCol w:w="1164"/>
        <w:gridCol w:w="1167"/>
        <w:gridCol w:w="1167"/>
        <w:gridCol w:w="1081"/>
        <w:gridCol w:w="10"/>
        <w:gridCol w:w="12"/>
        <w:gridCol w:w="10"/>
        <w:gridCol w:w="10"/>
        <w:gridCol w:w="6"/>
      </w:tblGrid>
      <w:tr w:rsidR="00204598" w:rsidRPr="00015735" w:rsidTr="000C53D9">
        <w:trPr>
          <w:tblCellSpacing w:w="0" w:type="dxa"/>
        </w:trPr>
        <w:tc>
          <w:tcPr>
            <w:tcW w:w="1799" w:type="pct"/>
            <w:shd w:val="clear" w:color="auto" w:fill="FFFFFF"/>
            <w:tcMar>
              <w:top w:w="30" w:type="dxa"/>
              <w:left w:w="45" w:type="dxa"/>
              <w:bottom w:w="30" w:type="dxa"/>
              <w:right w:w="45" w:type="dxa"/>
            </w:tcMar>
            <w:vAlign w:val="center"/>
            <w:hideMark/>
          </w:tcPr>
          <w:p w:rsidR="00BE77B9" w:rsidRPr="00015735" w:rsidRDefault="00B04769" w:rsidP="00015735">
            <w:pPr>
              <w:spacing w:line="360" w:lineRule="auto"/>
            </w:pPr>
            <w:r w:rsidRPr="00015735">
              <w:br w:type="page"/>
            </w:r>
            <w:r w:rsidR="000E2C37" w:rsidRPr="00015735">
              <w:t xml:space="preserve"> </w:t>
            </w:r>
            <w:r w:rsidR="00BE77B9" w:rsidRPr="00015735">
              <w:t>Book Value (Rs)</w:t>
            </w:r>
          </w:p>
        </w:tc>
        <w:tc>
          <w:tcPr>
            <w:tcW w:w="834" w:type="pct"/>
            <w:shd w:val="clear" w:color="auto" w:fill="FFFFFF"/>
            <w:tcMar>
              <w:top w:w="30" w:type="dxa"/>
              <w:left w:w="45" w:type="dxa"/>
              <w:bottom w:w="30" w:type="dxa"/>
              <w:right w:w="45" w:type="dxa"/>
            </w:tcMar>
            <w:vAlign w:val="center"/>
            <w:hideMark/>
          </w:tcPr>
          <w:p w:rsidR="00BE77B9" w:rsidRPr="00015735" w:rsidRDefault="00BE77B9" w:rsidP="00015735">
            <w:pPr>
              <w:spacing w:line="360" w:lineRule="auto"/>
              <w:jc w:val="right"/>
            </w:pPr>
            <w:r w:rsidRPr="00015735">
              <w:t>478.31</w:t>
            </w:r>
          </w:p>
        </w:tc>
        <w:tc>
          <w:tcPr>
            <w:tcW w:w="596" w:type="pct"/>
            <w:shd w:val="clear" w:color="auto" w:fill="FFFFFF"/>
            <w:tcMar>
              <w:top w:w="30" w:type="dxa"/>
              <w:left w:w="45" w:type="dxa"/>
              <w:bottom w:w="30" w:type="dxa"/>
              <w:right w:w="45" w:type="dxa"/>
            </w:tcMar>
            <w:vAlign w:val="center"/>
            <w:hideMark/>
          </w:tcPr>
          <w:p w:rsidR="00BE77B9" w:rsidRPr="00015735" w:rsidRDefault="00BE77B9" w:rsidP="00015735">
            <w:pPr>
              <w:tabs>
                <w:tab w:val="left" w:pos="281"/>
              </w:tabs>
              <w:spacing w:line="360" w:lineRule="auto"/>
              <w:jc w:val="right"/>
            </w:pPr>
            <w:r w:rsidRPr="00015735">
              <w:t>463.01</w:t>
            </w:r>
          </w:p>
        </w:tc>
        <w:tc>
          <w:tcPr>
            <w:tcW w:w="597" w:type="pct"/>
            <w:shd w:val="clear" w:color="auto" w:fill="FFFFFF"/>
            <w:tcMar>
              <w:top w:w="30" w:type="dxa"/>
              <w:left w:w="45" w:type="dxa"/>
              <w:bottom w:w="30" w:type="dxa"/>
              <w:right w:w="45" w:type="dxa"/>
            </w:tcMar>
            <w:vAlign w:val="center"/>
            <w:hideMark/>
          </w:tcPr>
          <w:p w:rsidR="00BE77B9" w:rsidRPr="00015735" w:rsidRDefault="00BE77B9" w:rsidP="00015735">
            <w:pPr>
              <w:spacing w:line="360" w:lineRule="auto"/>
              <w:jc w:val="right"/>
            </w:pPr>
            <w:r w:rsidRPr="00015735">
              <w:t>444.94</w:t>
            </w:r>
          </w:p>
        </w:tc>
        <w:tc>
          <w:tcPr>
            <w:tcW w:w="597" w:type="pct"/>
            <w:shd w:val="clear" w:color="auto" w:fill="FFFFFF"/>
            <w:tcMar>
              <w:top w:w="30" w:type="dxa"/>
              <w:left w:w="45" w:type="dxa"/>
              <w:bottom w:w="30" w:type="dxa"/>
              <w:right w:w="45" w:type="dxa"/>
            </w:tcMar>
            <w:vAlign w:val="center"/>
            <w:hideMark/>
          </w:tcPr>
          <w:p w:rsidR="00BE77B9" w:rsidRPr="00015735" w:rsidRDefault="00BE77B9" w:rsidP="00015735">
            <w:pPr>
              <w:spacing w:line="360" w:lineRule="auto"/>
              <w:jc w:val="right"/>
            </w:pPr>
            <w:r w:rsidRPr="00015735">
              <w:t>417.64</w:t>
            </w:r>
          </w:p>
        </w:tc>
        <w:tc>
          <w:tcPr>
            <w:tcW w:w="553" w:type="pct"/>
            <w:shd w:val="clear" w:color="auto" w:fill="FFFFFF"/>
            <w:tcMar>
              <w:top w:w="30" w:type="dxa"/>
              <w:left w:w="45" w:type="dxa"/>
              <w:bottom w:w="30" w:type="dxa"/>
              <w:right w:w="45" w:type="dxa"/>
            </w:tcMar>
            <w:vAlign w:val="center"/>
            <w:hideMark/>
          </w:tcPr>
          <w:p w:rsidR="00BE77B9" w:rsidRPr="00015735" w:rsidRDefault="00BE77B9" w:rsidP="00015735">
            <w:pPr>
              <w:spacing w:line="360" w:lineRule="auto"/>
              <w:jc w:val="right"/>
            </w:pPr>
            <w:r w:rsidRPr="00015735">
              <w:t>270.37</w:t>
            </w:r>
          </w:p>
        </w:tc>
        <w:tc>
          <w:tcPr>
            <w:tcW w:w="5" w:type="pct"/>
            <w:shd w:val="clear" w:color="auto" w:fill="FFFFFF"/>
            <w:vAlign w:val="center"/>
            <w:hideMark/>
          </w:tcPr>
          <w:p w:rsidR="00BE77B9" w:rsidRPr="00015735" w:rsidRDefault="00BE77B9" w:rsidP="00015735">
            <w:pPr>
              <w:spacing w:line="360" w:lineRule="auto"/>
            </w:pPr>
          </w:p>
        </w:tc>
        <w:tc>
          <w:tcPr>
            <w:tcW w:w="6" w:type="pct"/>
            <w:shd w:val="clear" w:color="auto" w:fill="FFFFFF"/>
            <w:vAlign w:val="center"/>
            <w:hideMark/>
          </w:tcPr>
          <w:p w:rsidR="00BE77B9" w:rsidRPr="00015735" w:rsidRDefault="00BE77B9" w:rsidP="00015735">
            <w:pPr>
              <w:spacing w:line="360" w:lineRule="auto"/>
            </w:pPr>
          </w:p>
        </w:tc>
        <w:tc>
          <w:tcPr>
            <w:tcW w:w="5" w:type="pct"/>
            <w:shd w:val="clear" w:color="auto" w:fill="FFFFFF"/>
            <w:vAlign w:val="center"/>
            <w:hideMark/>
          </w:tcPr>
          <w:p w:rsidR="00BE77B9" w:rsidRPr="00015735" w:rsidRDefault="00BE77B9" w:rsidP="00015735">
            <w:pPr>
              <w:spacing w:line="360" w:lineRule="auto"/>
            </w:pPr>
          </w:p>
        </w:tc>
        <w:tc>
          <w:tcPr>
            <w:tcW w:w="5" w:type="pct"/>
            <w:shd w:val="clear" w:color="auto" w:fill="FFFFFF"/>
            <w:vAlign w:val="center"/>
            <w:hideMark/>
          </w:tcPr>
          <w:p w:rsidR="00BE77B9" w:rsidRPr="00015735" w:rsidRDefault="00BE77B9" w:rsidP="00015735">
            <w:pPr>
              <w:spacing w:line="360" w:lineRule="auto"/>
            </w:pPr>
          </w:p>
        </w:tc>
        <w:tc>
          <w:tcPr>
            <w:tcW w:w="3" w:type="pct"/>
            <w:shd w:val="clear" w:color="auto" w:fill="FFFFFF"/>
            <w:vAlign w:val="center"/>
            <w:hideMark/>
          </w:tcPr>
          <w:p w:rsidR="00BE77B9" w:rsidRPr="00015735" w:rsidRDefault="00BE77B9" w:rsidP="00015735">
            <w:pPr>
              <w:spacing w:line="360" w:lineRule="auto"/>
            </w:pPr>
          </w:p>
        </w:tc>
      </w:tr>
    </w:tbl>
    <w:p w:rsidR="000E2C37" w:rsidRPr="00015735" w:rsidRDefault="000E2C37" w:rsidP="00015735">
      <w:pPr>
        <w:spacing w:line="360" w:lineRule="auto"/>
        <w:jc w:val="center"/>
        <w:rPr>
          <w:b/>
          <w:color w:val="000000"/>
          <w:spacing w:val="-15"/>
          <w:u w:val="single"/>
        </w:rPr>
      </w:pPr>
    </w:p>
    <w:p w:rsidR="000E2C37" w:rsidRPr="0047351B" w:rsidRDefault="000E2C37">
      <w:pPr>
        <w:rPr>
          <w:b/>
          <w:color w:val="000000"/>
          <w:spacing w:val="-15"/>
          <w:sz w:val="38"/>
          <w:szCs w:val="38"/>
          <w:u w:val="single"/>
        </w:rPr>
      </w:pPr>
      <w:r w:rsidRPr="0047351B">
        <w:rPr>
          <w:b/>
          <w:color w:val="000000"/>
          <w:spacing w:val="-15"/>
          <w:sz w:val="38"/>
          <w:szCs w:val="38"/>
          <w:u w:val="single"/>
        </w:rPr>
        <w:br w:type="page"/>
      </w:r>
    </w:p>
    <w:p w:rsidR="001C367F" w:rsidRPr="00015735" w:rsidRDefault="00CF4191" w:rsidP="00820FC3">
      <w:pPr>
        <w:spacing w:line="360" w:lineRule="auto"/>
        <w:jc w:val="center"/>
        <w:rPr>
          <w:b/>
          <w:color w:val="000000"/>
          <w:sz w:val="32"/>
          <w:szCs w:val="32"/>
        </w:rPr>
      </w:pPr>
      <w:r w:rsidRPr="00015735">
        <w:rPr>
          <w:b/>
          <w:color w:val="000000"/>
          <w:spacing w:val="-15"/>
          <w:sz w:val="32"/>
          <w:szCs w:val="32"/>
        </w:rPr>
        <w:lastRenderedPageBreak/>
        <w:t>CONCLUSION</w:t>
      </w:r>
    </w:p>
    <w:p w:rsidR="00820FC3" w:rsidRPr="0047351B" w:rsidRDefault="00820FC3" w:rsidP="00820FC3">
      <w:pPr>
        <w:spacing w:line="360" w:lineRule="auto"/>
        <w:ind w:firstLine="720"/>
        <w:jc w:val="both"/>
        <w:rPr>
          <w:color w:val="000000"/>
          <w:sz w:val="23"/>
          <w:szCs w:val="23"/>
          <w:shd w:val="clear" w:color="auto" w:fill="FFFFFF"/>
        </w:rPr>
      </w:pPr>
    </w:p>
    <w:p w:rsidR="00820FC3" w:rsidRPr="00015735" w:rsidRDefault="00820FC3" w:rsidP="00015735">
      <w:pPr>
        <w:spacing w:line="360" w:lineRule="auto"/>
        <w:ind w:firstLine="720"/>
        <w:jc w:val="both"/>
        <w:rPr>
          <w:color w:val="000000"/>
          <w:shd w:val="clear" w:color="auto" w:fill="FFFFFF"/>
        </w:rPr>
      </w:pPr>
      <w:r w:rsidRPr="00015735">
        <w:rPr>
          <w:color w:val="000000"/>
          <w:shd w:val="clear" w:color="auto" w:fill="FFFFFF"/>
        </w:rPr>
        <w:t xml:space="preserve">The balance-sheet along with the income statement is an important tool for investors and many other parties who are interested in it to gain insight into a company and its operation. The balance sheet is a snapshot at a single point of time of the company’s accounts- covering its assets, liabilities and shareholder’s equity. The purpose of the balance sheet is to give users an idea of the company’s financial position along with displaying what the company owns and owes. It is important that all investors know how to use, analyze and read balance-sheet. P &amp; L account tells the net profit and net loss of a company and its appropriation. In the case of ICICI Bank, during fiscal </w:t>
      </w:r>
      <w:r w:rsidR="001C24F1">
        <w:rPr>
          <w:color w:val="000000"/>
          <w:shd w:val="clear" w:color="auto" w:fill="FFFFFF"/>
        </w:rPr>
        <w:t>2012</w:t>
      </w:r>
      <w:r w:rsidRPr="00015735">
        <w:rPr>
          <w:color w:val="000000"/>
          <w:shd w:val="clear" w:color="auto" w:fill="FFFFFF"/>
        </w:rPr>
        <w:t xml:space="preserve">, the bank continued to grow and diversify its assets base and revenue streams. Bank maintained its leadership in all main areas such as retail credit, wholesale business, international operation, insurance, mutual fund, rural banking etc. Continuous increase in the number of branches, ATM and electronic channels shows the growth take place in bank. Trend analysis of profit &amp; loss account and balance sheet shows the % change in items of p &amp; l a/c and balance sheet i.e. % change in </w:t>
      </w:r>
      <w:r w:rsidR="001C24F1">
        <w:rPr>
          <w:color w:val="000000"/>
          <w:shd w:val="clear" w:color="auto" w:fill="FFFFFF"/>
        </w:rPr>
        <w:t>2010</w:t>
      </w:r>
      <w:r w:rsidRPr="00015735">
        <w:rPr>
          <w:color w:val="000000"/>
          <w:shd w:val="clear" w:color="auto" w:fill="FFFFFF"/>
        </w:rPr>
        <w:t xml:space="preserve"> from </w:t>
      </w:r>
      <w:r w:rsidR="001C24F1">
        <w:rPr>
          <w:color w:val="000000"/>
          <w:shd w:val="clear" w:color="auto" w:fill="FFFFFF"/>
        </w:rPr>
        <w:t>2014</w:t>
      </w:r>
      <w:r w:rsidRPr="00015735">
        <w:rPr>
          <w:color w:val="000000"/>
          <w:shd w:val="clear" w:color="auto" w:fill="FFFFFF"/>
        </w:rPr>
        <w:t xml:space="preserve"> and %change in </w:t>
      </w:r>
      <w:r w:rsidR="001C24F1">
        <w:rPr>
          <w:color w:val="000000"/>
          <w:shd w:val="clear" w:color="auto" w:fill="FFFFFF"/>
        </w:rPr>
        <w:t>2011</w:t>
      </w:r>
      <w:r w:rsidRPr="00015735">
        <w:rPr>
          <w:color w:val="000000"/>
          <w:shd w:val="clear" w:color="auto" w:fill="FFFFFF"/>
        </w:rPr>
        <w:t xml:space="preserve"> from </w:t>
      </w:r>
      <w:r w:rsidR="001C24F1">
        <w:rPr>
          <w:color w:val="000000"/>
          <w:shd w:val="clear" w:color="auto" w:fill="FFFFFF"/>
        </w:rPr>
        <w:t>2010</w:t>
      </w:r>
      <w:r w:rsidRPr="00015735">
        <w:rPr>
          <w:color w:val="000000"/>
          <w:shd w:val="clear" w:color="auto" w:fill="FFFFFF"/>
        </w:rPr>
        <w:t xml:space="preserve">. It shows that all items are increased mostly but increase in this year is less than as compared to increase in previous year. In p&amp; l a/c, all items like interest income, non-interest income, interest expenses, operating expenses, operating profit, profit before tax and after tax is increased but in mostly cases it is less than from previous year but in some items like interest income, interest expenses, provision % increase is more. Some items like tax, depreciation, lease income is decreased. Similarly in balance sheet all items like advances, cash, liabilities, </w:t>
      </w:r>
      <w:r w:rsidR="008650AA" w:rsidRPr="00015735">
        <w:rPr>
          <w:color w:val="000000"/>
          <w:shd w:val="clear" w:color="auto" w:fill="FFFFFF"/>
        </w:rPr>
        <w:t>and deposits</w:t>
      </w:r>
      <w:r w:rsidRPr="00015735">
        <w:rPr>
          <w:color w:val="000000"/>
          <w:shd w:val="clear" w:color="auto" w:fill="FFFFFF"/>
        </w:rPr>
        <w:t xml:space="preserve"> </w:t>
      </w:r>
      <w:r w:rsidR="008650AA" w:rsidRPr="00015735">
        <w:rPr>
          <w:color w:val="000000"/>
          <w:shd w:val="clear" w:color="auto" w:fill="FFFFFF"/>
        </w:rPr>
        <w:t>are</w:t>
      </w:r>
      <w:r w:rsidRPr="00015735">
        <w:rPr>
          <w:color w:val="000000"/>
          <w:shd w:val="clear" w:color="auto" w:fill="FFFFFF"/>
        </w:rPr>
        <w:t xml:space="preserve"> increased except borrowing switch is decreased. % increase in some item is more than previous year and in some items it is less.</w:t>
      </w:r>
    </w:p>
    <w:p w:rsidR="00820FC3" w:rsidRPr="00015735" w:rsidRDefault="00820FC3" w:rsidP="00015735">
      <w:pPr>
        <w:spacing w:line="360" w:lineRule="auto"/>
        <w:jc w:val="both"/>
        <w:rPr>
          <w:color w:val="000000"/>
          <w:shd w:val="clear" w:color="auto" w:fill="FFFFFF"/>
        </w:rPr>
      </w:pPr>
    </w:p>
    <w:p w:rsidR="00CF2461" w:rsidRPr="00015735" w:rsidRDefault="00820FC3" w:rsidP="00015735">
      <w:pPr>
        <w:spacing w:line="360" w:lineRule="auto"/>
        <w:ind w:firstLine="720"/>
        <w:jc w:val="both"/>
        <w:rPr>
          <w:color w:val="000000"/>
          <w:shd w:val="clear" w:color="auto" w:fill="FFFFFF"/>
        </w:rPr>
      </w:pPr>
      <w:r w:rsidRPr="00015735">
        <w:rPr>
          <w:color w:val="000000"/>
          <w:shd w:val="clear" w:color="auto" w:fill="FFFFFF"/>
        </w:rPr>
        <w:t xml:space="preserve">Ratio analysis of financial statement shows that bank’s current ratio is better than the quick ratio and fixed/worth ratio. It means bank has invested more in current assets than the fixed assets and liquid assets. The cash flow statement shows that net increase in cash generated from operating and financing activities is much more than the previous year but cash generated from investing activities is negative in both </w:t>
      </w:r>
      <w:r w:rsidR="008650AA" w:rsidRPr="00015735">
        <w:rPr>
          <w:color w:val="000000"/>
          <w:shd w:val="clear" w:color="auto" w:fill="FFFFFF"/>
        </w:rPr>
        <w:t>years</w:t>
      </w:r>
      <w:r w:rsidRPr="00015735">
        <w:rPr>
          <w:color w:val="000000"/>
          <w:shd w:val="clear" w:color="auto" w:fill="FFFFFF"/>
        </w:rPr>
        <w:t>. Therefore analysis of cash flow statement shows that cash inflow is more than the cash outflow in ICICI Bank. Thus, the ratio analysis and trend analysis and analysis of cash flow statement show that ICICI Bank’s financial position is good. Bank’s profitability is increasing but not at high rate. Bank’s liquidity position is fair but not good because bank invests more in current assets than the liquid assets. As we all know that ICICI Bank is on the first position among the entire private sector bank of India in all areas but it should pay attention on its profitability and liquidity. Bank’s position is stable.</w:t>
      </w:r>
    </w:p>
    <w:p w:rsidR="001C367F" w:rsidRPr="00015735" w:rsidRDefault="001C367F" w:rsidP="00CF2461">
      <w:pPr>
        <w:jc w:val="center"/>
        <w:rPr>
          <w:color w:val="000000"/>
          <w:sz w:val="32"/>
          <w:szCs w:val="32"/>
          <w:shd w:val="clear" w:color="auto" w:fill="FFFFFF"/>
        </w:rPr>
      </w:pPr>
      <w:r w:rsidRPr="00015735">
        <w:rPr>
          <w:b/>
          <w:color w:val="000000"/>
          <w:sz w:val="32"/>
          <w:szCs w:val="32"/>
        </w:rPr>
        <w:lastRenderedPageBreak/>
        <w:t>SUGGESTIONS</w:t>
      </w:r>
    </w:p>
    <w:p w:rsidR="00CF2461" w:rsidRPr="0047351B" w:rsidRDefault="00CF2461" w:rsidP="00820FC3">
      <w:pPr>
        <w:shd w:val="clear" w:color="auto" w:fill="FFFFFF"/>
        <w:tabs>
          <w:tab w:val="left" w:pos="360"/>
          <w:tab w:val="left" w:pos="450"/>
        </w:tabs>
        <w:spacing w:line="360" w:lineRule="auto"/>
        <w:ind w:left="360" w:hanging="360"/>
        <w:rPr>
          <w:color w:val="000000"/>
          <w:spacing w:val="-15"/>
          <w:sz w:val="23"/>
          <w:szCs w:val="23"/>
        </w:rPr>
      </w:pP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r w:rsidRPr="00015735">
        <w:rPr>
          <w:color w:val="000000"/>
          <w:shd w:val="clear" w:color="auto" w:fill="FFFFFF"/>
        </w:rPr>
        <w:t>Some of the recommendation and suggestion are as follows:</w:t>
      </w:r>
      <w:r w:rsidRPr="00015735">
        <w:rPr>
          <w:color w:val="000000"/>
          <w:shd w:val="clear" w:color="auto" w:fill="FFFFFF"/>
        </w:rPr>
        <w:tab/>
      </w: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r w:rsidRPr="00015735">
        <w:rPr>
          <w:color w:val="000000"/>
          <w:shd w:val="clear" w:color="auto" w:fill="FFFFFF"/>
        </w:rPr>
        <w:t>•</w:t>
      </w:r>
      <w:r w:rsidRPr="00015735">
        <w:rPr>
          <w:color w:val="000000"/>
          <w:shd w:val="clear" w:color="auto" w:fill="FFFFFF"/>
        </w:rPr>
        <w:tab/>
        <w:t>The attention is required on the areas of growth, profitability, service level and building talent.</w:t>
      </w: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r w:rsidRPr="00015735">
        <w:rPr>
          <w:color w:val="000000"/>
          <w:shd w:val="clear" w:color="auto" w:fill="FFFFFF"/>
        </w:rPr>
        <w:t>•</w:t>
      </w:r>
      <w:r w:rsidRPr="00015735">
        <w:rPr>
          <w:color w:val="000000"/>
          <w:shd w:val="clear" w:color="auto" w:fill="FFFFFF"/>
        </w:rPr>
        <w:tab/>
        <w:t>To increase the profit of bank, bank should decrease their operating expenses and increase their income.</w:t>
      </w: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r w:rsidRPr="00015735">
        <w:rPr>
          <w:color w:val="000000"/>
          <w:shd w:val="clear" w:color="auto" w:fill="FFFFFF"/>
        </w:rPr>
        <w:t>•</w:t>
      </w:r>
      <w:r w:rsidRPr="00015735">
        <w:rPr>
          <w:color w:val="000000"/>
          <w:shd w:val="clear" w:color="auto" w:fill="FFFFFF"/>
        </w:rPr>
        <w:tab/>
        <w:t>To increase its liquidity, bank should keep some more cash in its hand instead of giving more and more advances.</w:t>
      </w: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r w:rsidRPr="00015735">
        <w:rPr>
          <w:color w:val="000000"/>
          <w:shd w:val="clear" w:color="auto" w:fill="FFFFFF"/>
        </w:rPr>
        <w:t>•</w:t>
      </w:r>
      <w:r w:rsidRPr="00015735">
        <w:rPr>
          <w:color w:val="000000"/>
          <w:shd w:val="clear" w:color="auto" w:fill="FFFFFF"/>
        </w:rPr>
        <w:tab/>
        <w:t>Introduce quality consciousness and standardization of the work system and procedures.</w:t>
      </w: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r w:rsidRPr="00015735">
        <w:rPr>
          <w:color w:val="000000"/>
          <w:shd w:val="clear" w:color="auto" w:fill="FFFFFF"/>
        </w:rPr>
        <w:t>•</w:t>
      </w:r>
      <w:r w:rsidRPr="00015735">
        <w:rPr>
          <w:color w:val="000000"/>
          <w:shd w:val="clear" w:color="auto" w:fill="FFFFFF"/>
        </w:rPr>
        <w:tab/>
        <w:t>Make manager competitive and introduce spirit of market-orientation and culture of working for customer satisfaction.</w:t>
      </w: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r w:rsidRPr="00015735">
        <w:rPr>
          <w:color w:val="000000"/>
          <w:shd w:val="clear" w:color="auto" w:fill="FFFFFF"/>
        </w:rPr>
        <w:t>•</w:t>
      </w:r>
      <w:r w:rsidRPr="00015735">
        <w:rPr>
          <w:color w:val="000000"/>
          <w:shd w:val="clear" w:color="auto" w:fill="FFFFFF"/>
        </w:rPr>
        <w:tab/>
        <w:t>There is need to build the knowledge and skill bases among the employ eosin the context of technology.</w:t>
      </w: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r w:rsidRPr="00015735">
        <w:rPr>
          <w:color w:val="000000"/>
          <w:shd w:val="clear" w:color="auto" w:fill="FFFFFF"/>
        </w:rPr>
        <w:t>•</w:t>
      </w:r>
      <w:r w:rsidRPr="00015735">
        <w:rPr>
          <w:color w:val="000000"/>
          <w:shd w:val="clear" w:color="auto" w:fill="FFFFFF"/>
        </w:rPr>
        <w:tab/>
        <w:t>Performance measure should not only cover financial aspects i.e. quantitatively aspects but also the qualitative aspects.</w:t>
      </w: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r w:rsidRPr="00015735">
        <w:rPr>
          <w:color w:val="000000"/>
          <w:shd w:val="clear" w:color="auto" w:fill="FFFFFF"/>
        </w:rPr>
        <w:t>•</w:t>
      </w:r>
      <w:r w:rsidRPr="00015735">
        <w:rPr>
          <w:color w:val="000000"/>
          <w:shd w:val="clear" w:color="auto" w:fill="FFFFFF"/>
        </w:rPr>
        <w:tab/>
        <w:t>It is high time to focus on work than the work-achieved.</w:t>
      </w: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r w:rsidRPr="00015735">
        <w:rPr>
          <w:color w:val="000000"/>
          <w:shd w:val="clear" w:color="auto" w:fill="FFFFFF"/>
        </w:rPr>
        <w:t>•</w:t>
      </w:r>
      <w:r w:rsidRPr="00015735">
        <w:rPr>
          <w:color w:val="000000"/>
          <w:shd w:val="clear" w:color="auto" w:fill="FFFFFF"/>
        </w:rPr>
        <w:tab/>
        <w:t>Bank should increase its retail portfolio.</w:t>
      </w: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r w:rsidRPr="00015735">
        <w:rPr>
          <w:color w:val="000000"/>
          <w:shd w:val="clear" w:color="auto" w:fill="FFFFFF"/>
        </w:rPr>
        <w:t>•</w:t>
      </w:r>
      <w:r w:rsidRPr="00015735">
        <w:rPr>
          <w:color w:val="000000"/>
          <w:shd w:val="clear" w:color="auto" w:fill="FFFFFF"/>
        </w:rPr>
        <w:tab/>
        <w:t xml:space="preserve">Bank should manage its </w:t>
      </w:r>
      <w:r w:rsidR="000405BC" w:rsidRPr="00015735">
        <w:rPr>
          <w:color w:val="000000"/>
          <w:shd w:val="clear" w:color="auto" w:fill="FFFFFF"/>
        </w:rPr>
        <w:t>all-risk</w:t>
      </w:r>
      <w:r w:rsidRPr="00015735">
        <w:rPr>
          <w:color w:val="000000"/>
          <w:shd w:val="clear" w:color="auto" w:fill="FFFFFF"/>
        </w:rPr>
        <w:t xml:space="preserve"> such as credit, market and operational risk properly and should be managed by a person who is highly skilled and qualified.</w:t>
      </w:r>
    </w:p>
    <w:p w:rsidR="00820FC3" w:rsidRPr="00015735" w:rsidRDefault="00820FC3" w:rsidP="00015735">
      <w:pPr>
        <w:tabs>
          <w:tab w:val="left" w:pos="360"/>
          <w:tab w:val="left" w:pos="450"/>
        </w:tabs>
        <w:spacing w:line="360" w:lineRule="auto"/>
        <w:ind w:left="360" w:hanging="360"/>
        <w:jc w:val="both"/>
        <w:rPr>
          <w:color w:val="000000"/>
          <w:shd w:val="clear" w:color="auto" w:fill="FFFFFF"/>
        </w:rPr>
      </w:pPr>
    </w:p>
    <w:p w:rsidR="003C7642" w:rsidRPr="0047351B" w:rsidRDefault="00820FC3" w:rsidP="00015735">
      <w:pPr>
        <w:tabs>
          <w:tab w:val="left" w:pos="360"/>
          <w:tab w:val="left" w:pos="450"/>
        </w:tabs>
        <w:spacing w:line="360" w:lineRule="auto"/>
        <w:ind w:left="360" w:hanging="360"/>
        <w:jc w:val="both"/>
        <w:rPr>
          <w:b/>
          <w:bCs/>
          <w:color w:val="000000"/>
          <w:sz w:val="23"/>
          <w:szCs w:val="23"/>
          <w:shd w:val="clear" w:color="auto" w:fill="FFFFFF"/>
        </w:rPr>
      </w:pPr>
      <w:r w:rsidRPr="00015735">
        <w:rPr>
          <w:color w:val="000000"/>
          <w:shd w:val="clear" w:color="auto" w:fill="FFFFFF"/>
        </w:rPr>
        <w:t>•</w:t>
      </w:r>
      <w:r w:rsidRPr="00015735">
        <w:rPr>
          <w:color w:val="000000"/>
          <w:shd w:val="clear" w:color="auto" w:fill="FFFFFF"/>
        </w:rPr>
        <w:tab/>
        <w:t xml:space="preserve">Bank should pay attention on its subsidiary “ICICI Prudential </w:t>
      </w:r>
      <w:r w:rsidR="000E2C37" w:rsidRPr="00015735">
        <w:rPr>
          <w:color w:val="000000"/>
          <w:shd w:val="clear" w:color="auto" w:fill="FFFFFF"/>
        </w:rPr>
        <w:t>Life Insurance</w:t>
      </w:r>
      <w:r w:rsidRPr="00015735">
        <w:rPr>
          <w:color w:val="000000"/>
          <w:shd w:val="clear" w:color="auto" w:fill="FFFFFF"/>
        </w:rPr>
        <w:t xml:space="preserve"> Company Limited”</w:t>
      </w:r>
    </w:p>
    <w:sectPr w:rsidR="003C7642" w:rsidRPr="0047351B" w:rsidSect="009D5678">
      <w:headerReference w:type="default" r:id="rId22"/>
      <w:footerReference w:type="default" r:id="rId23"/>
      <w:pgSz w:w="11907" w:h="16839" w:code="9"/>
      <w:pgMar w:top="1440" w:right="927" w:bottom="900" w:left="1260" w:header="720" w:footer="1011"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D2" w:rsidRPr="0047351B" w:rsidRDefault="009566D2" w:rsidP="00BE77B9">
      <w:pPr>
        <w:rPr>
          <w:sz w:val="23"/>
          <w:szCs w:val="23"/>
        </w:rPr>
      </w:pPr>
      <w:r w:rsidRPr="0047351B">
        <w:rPr>
          <w:sz w:val="23"/>
          <w:szCs w:val="23"/>
        </w:rPr>
        <w:separator/>
      </w:r>
    </w:p>
  </w:endnote>
  <w:endnote w:type="continuationSeparator" w:id="0">
    <w:p w:rsidR="009566D2" w:rsidRPr="0047351B" w:rsidRDefault="009566D2" w:rsidP="00BE77B9">
      <w:pPr>
        <w:rPr>
          <w:sz w:val="23"/>
          <w:szCs w:val="23"/>
        </w:rPr>
      </w:pPr>
      <w:r w:rsidRPr="004735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83" w:type="pct"/>
      <w:tblLook w:val="04A0" w:firstRow="1" w:lastRow="0" w:firstColumn="1" w:lastColumn="0" w:noHBand="0" w:noVBand="1"/>
    </w:tblPr>
    <w:tblGrid>
      <w:gridCol w:w="4470"/>
      <w:gridCol w:w="1160"/>
      <w:gridCol w:w="4471"/>
    </w:tblGrid>
    <w:tr w:rsidR="0090368E" w:rsidTr="004E4ECD">
      <w:trPr>
        <w:trHeight w:val="151"/>
      </w:trPr>
      <w:tc>
        <w:tcPr>
          <w:tcW w:w="2213" w:type="pct"/>
          <w:tcBorders>
            <w:bottom w:val="single" w:sz="4" w:space="0" w:color="4F81BD" w:themeColor="accent1"/>
          </w:tcBorders>
        </w:tcPr>
        <w:p w:rsidR="0090368E" w:rsidRDefault="0090368E" w:rsidP="004E4ECD">
          <w:pPr>
            <w:pStyle w:val="Header"/>
            <w:tabs>
              <w:tab w:val="clear" w:pos="4680"/>
              <w:tab w:val="center" w:pos="4860"/>
            </w:tabs>
            <w:rPr>
              <w:rFonts w:asciiTheme="majorHAnsi" w:eastAsiaTheme="majorEastAsia" w:hAnsiTheme="majorHAnsi" w:cstheme="majorBidi"/>
              <w:b/>
              <w:bCs/>
            </w:rPr>
          </w:pPr>
        </w:p>
      </w:tc>
      <w:tc>
        <w:tcPr>
          <w:tcW w:w="574" w:type="pct"/>
          <w:vMerge w:val="restart"/>
          <w:noWrap/>
          <w:vAlign w:val="center"/>
        </w:tcPr>
        <w:p w:rsidR="0090368E" w:rsidRDefault="0090368E">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E67CAA" w:rsidRPr="00E67CAA">
            <w:rPr>
              <w:rFonts w:asciiTheme="majorHAnsi" w:hAnsiTheme="majorHAnsi"/>
              <w:b/>
              <w:noProof/>
            </w:rPr>
            <w:t>14</w:t>
          </w:r>
          <w:r>
            <w:rPr>
              <w:rFonts w:asciiTheme="majorHAnsi" w:hAnsiTheme="majorHAnsi"/>
              <w:b/>
              <w:noProof/>
            </w:rPr>
            <w:fldChar w:fldCharType="end"/>
          </w:r>
        </w:p>
      </w:tc>
      <w:tc>
        <w:tcPr>
          <w:tcW w:w="2213" w:type="pct"/>
          <w:tcBorders>
            <w:bottom w:val="single" w:sz="4" w:space="0" w:color="4F81BD" w:themeColor="accent1"/>
          </w:tcBorders>
        </w:tcPr>
        <w:p w:rsidR="0090368E" w:rsidRDefault="0090368E">
          <w:pPr>
            <w:pStyle w:val="Header"/>
            <w:rPr>
              <w:rFonts w:asciiTheme="majorHAnsi" w:eastAsiaTheme="majorEastAsia" w:hAnsiTheme="majorHAnsi" w:cstheme="majorBidi"/>
              <w:b/>
              <w:bCs/>
            </w:rPr>
          </w:pPr>
        </w:p>
      </w:tc>
    </w:tr>
    <w:tr w:rsidR="0090368E" w:rsidTr="004E4ECD">
      <w:trPr>
        <w:trHeight w:val="348"/>
      </w:trPr>
      <w:tc>
        <w:tcPr>
          <w:tcW w:w="2213" w:type="pct"/>
          <w:tcBorders>
            <w:top w:val="single" w:sz="4" w:space="0" w:color="4F81BD" w:themeColor="accent1"/>
          </w:tcBorders>
        </w:tcPr>
        <w:p w:rsidR="0090368E" w:rsidRDefault="0090368E">
          <w:pPr>
            <w:pStyle w:val="Header"/>
            <w:rPr>
              <w:rFonts w:asciiTheme="majorHAnsi" w:eastAsiaTheme="majorEastAsia" w:hAnsiTheme="majorHAnsi" w:cstheme="majorBidi"/>
              <w:b/>
              <w:bCs/>
            </w:rPr>
          </w:pPr>
        </w:p>
      </w:tc>
      <w:tc>
        <w:tcPr>
          <w:tcW w:w="574" w:type="pct"/>
          <w:vMerge/>
        </w:tcPr>
        <w:p w:rsidR="0090368E" w:rsidRDefault="0090368E">
          <w:pPr>
            <w:pStyle w:val="Header"/>
            <w:jc w:val="center"/>
            <w:rPr>
              <w:rFonts w:asciiTheme="majorHAnsi" w:eastAsiaTheme="majorEastAsia" w:hAnsiTheme="majorHAnsi" w:cstheme="majorBidi"/>
              <w:b/>
              <w:bCs/>
            </w:rPr>
          </w:pPr>
        </w:p>
      </w:tc>
      <w:tc>
        <w:tcPr>
          <w:tcW w:w="2213" w:type="pct"/>
          <w:tcBorders>
            <w:top w:val="single" w:sz="4" w:space="0" w:color="4F81BD" w:themeColor="accent1"/>
          </w:tcBorders>
        </w:tcPr>
        <w:p w:rsidR="0090368E" w:rsidRDefault="0090368E">
          <w:pPr>
            <w:pStyle w:val="Header"/>
            <w:rPr>
              <w:rFonts w:asciiTheme="majorHAnsi" w:eastAsiaTheme="majorEastAsia" w:hAnsiTheme="majorHAnsi" w:cstheme="majorBidi"/>
              <w:b/>
              <w:bCs/>
            </w:rPr>
          </w:pPr>
        </w:p>
      </w:tc>
    </w:tr>
  </w:tbl>
  <w:p w:rsidR="0090368E" w:rsidRPr="0047351B" w:rsidRDefault="0090368E">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D2" w:rsidRPr="0047351B" w:rsidRDefault="009566D2" w:rsidP="00BE77B9">
      <w:pPr>
        <w:rPr>
          <w:sz w:val="23"/>
          <w:szCs w:val="23"/>
        </w:rPr>
      </w:pPr>
      <w:r w:rsidRPr="0047351B">
        <w:rPr>
          <w:sz w:val="23"/>
          <w:szCs w:val="23"/>
        </w:rPr>
        <w:separator/>
      </w:r>
    </w:p>
  </w:footnote>
  <w:footnote w:type="continuationSeparator" w:id="0">
    <w:p w:rsidR="009566D2" w:rsidRPr="0047351B" w:rsidRDefault="009566D2" w:rsidP="00BE77B9">
      <w:pPr>
        <w:rPr>
          <w:sz w:val="23"/>
          <w:szCs w:val="23"/>
        </w:rPr>
      </w:pPr>
      <w:r w:rsidRPr="0047351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8E" w:rsidRPr="0047351B" w:rsidRDefault="0090368E" w:rsidP="00444311">
    <w:pPr>
      <w:pStyle w:val="Header"/>
      <w:tabs>
        <w:tab w:val="clear" w:pos="4680"/>
        <w:tab w:val="clear" w:pos="9360"/>
        <w:tab w:val="left" w:pos="1215"/>
      </w:tabs>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6250"/>
    <w:multiLevelType w:val="hybridMultilevel"/>
    <w:tmpl w:val="A72270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17007"/>
    <w:multiLevelType w:val="hybridMultilevel"/>
    <w:tmpl w:val="F1C6CB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850885"/>
    <w:multiLevelType w:val="hybridMultilevel"/>
    <w:tmpl w:val="04023FD8"/>
    <w:lvl w:ilvl="0" w:tplc="C8F019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6650A"/>
    <w:multiLevelType w:val="hybridMultilevel"/>
    <w:tmpl w:val="DDB28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6284"/>
    <w:multiLevelType w:val="hybridMultilevel"/>
    <w:tmpl w:val="6924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93838"/>
    <w:multiLevelType w:val="multilevel"/>
    <w:tmpl w:val="11CA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B2AF2"/>
    <w:multiLevelType w:val="hybridMultilevel"/>
    <w:tmpl w:val="6F127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122B3F"/>
    <w:multiLevelType w:val="hybridMultilevel"/>
    <w:tmpl w:val="4778473C"/>
    <w:lvl w:ilvl="0" w:tplc="45C89012">
      <w:start w:val="3"/>
      <w:numFmt w:val="decimal"/>
      <w:lvlText w:val="%1."/>
      <w:lvlJc w:val="left"/>
      <w:pPr>
        <w:ind w:left="1440" w:hanging="360"/>
      </w:pPr>
      <w:rPr>
        <w:rFonts w:ascii="Times New Roman" w:hAnsi="Times New Roman" w:cs="Times New Roman"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133B5D"/>
    <w:multiLevelType w:val="hybridMultilevel"/>
    <w:tmpl w:val="ACC0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C2E84"/>
    <w:multiLevelType w:val="multilevel"/>
    <w:tmpl w:val="75F0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ED06C1"/>
    <w:multiLevelType w:val="hybridMultilevel"/>
    <w:tmpl w:val="7062DC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553F77"/>
    <w:multiLevelType w:val="hybridMultilevel"/>
    <w:tmpl w:val="E81AA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763FBE"/>
    <w:multiLevelType w:val="hybridMultilevel"/>
    <w:tmpl w:val="16CE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B6A3B"/>
    <w:multiLevelType w:val="hybridMultilevel"/>
    <w:tmpl w:val="5E4E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E47DB"/>
    <w:multiLevelType w:val="hybridMultilevel"/>
    <w:tmpl w:val="1458C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
  </w:num>
  <w:num w:numId="4">
    <w:abstractNumId w:val="6"/>
  </w:num>
  <w:num w:numId="5">
    <w:abstractNumId w:val="5"/>
  </w:num>
  <w:num w:numId="6">
    <w:abstractNumId w:val="9"/>
  </w:num>
  <w:num w:numId="7">
    <w:abstractNumId w:val="12"/>
  </w:num>
  <w:num w:numId="8">
    <w:abstractNumId w:val="13"/>
  </w:num>
  <w:num w:numId="9">
    <w:abstractNumId w:val="2"/>
  </w:num>
  <w:num w:numId="10">
    <w:abstractNumId w:val="8"/>
  </w:num>
  <w:num w:numId="11">
    <w:abstractNumId w:val="10"/>
  </w:num>
  <w:num w:numId="12">
    <w:abstractNumId w:val="3"/>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4A82"/>
    <w:rsid w:val="00015735"/>
    <w:rsid w:val="00036905"/>
    <w:rsid w:val="000405BC"/>
    <w:rsid w:val="00043AC4"/>
    <w:rsid w:val="00050DC0"/>
    <w:rsid w:val="00053CDC"/>
    <w:rsid w:val="00063322"/>
    <w:rsid w:val="00065683"/>
    <w:rsid w:val="000756AB"/>
    <w:rsid w:val="0008055D"/>
    <w:rsid w:val="00080EF2"/>
    <w:rsid w:val="00081070"/>
    <w:rsid w:val="00082276"/>
    <w:rsid w:val="00082DA4"/>
    <w:rsid w:val="00085324"/>
    <w:rsid w:val="00086B97"/>
    <w:rsid w:val="0008701F"/>
    <w:rsid w:val="00090BD8"/>
    <w:rsid w:val="000A64ED"/>
    <w:rsid w:val="000B6564"/>
    <w:rsid w:val="000C30D2"/>
    <w:rsid w:val="000C53D9"/>
    <w:rsid w:val="000D0F20"/>
    <w:rsid w:val="000E2C37"/>
    <w:rsid w:val="000F241C"/>
    <w:rsid w:val="000F2548"/>
    <w:rsid w:val="000F5B96"/>
    <w:rsid w:val="001025CF"/>
    <w:rsid w:val="00103D06"/>
    <w:rsid w:val="0010595C"/>
    <w:rsid w:val="00112AEC"/>
    <w:rsid w:val="0012333A"/>
    <w:rsid w:val="00125857"/>
    <w:rsid w:val="001303B9"/>
    <w:rsid w:val="00131AF3"/>
    <w:rsid w:val="00134A20"/>
    <w:rsid w:val="00140731"/>
    <w:rsid w:val="00143A83"/>
    <w:rsid w:val="00143D57"/>
    <w:rsid w:val="001532FB"/>
    <w:rsid w:val="00155280"/>
    <w:rsid w:val="00156848"/>
    <w:rsid w:val="00172E72"/>
    <w:rsid w:val="00175A40"/>
    <w:rsid w:val="00177005"/>
    <w:rsid w:val="00177573"/>
    <w:rsid w:val="001804F2"/>
    <w:rsid w:val="00182DE9"/>
    <w:rsid w:val="00195707"/>
    <w:rsid w:val="001A129A"/>
    <w:rsid w:val="001B4069"/>
    <w:rsid w:val="001B4107"/>
    <w:rsid w:val="001B5AB5"/>
    <w:rsid w:val="001C24F1"/>
    <w:rsid w:val="001C367F"/>
    <w:rsid w:val="001C4F70"/>
    <w:rsid w:val="001C5CDE"/>
    <w:rsid w:val="001C5F45"/>
    <w:rsid w:val="001D2BDB"/>
    <w:rsid w:val="001D3D9C"/>
    <w:rsid w:val="001D414B"/>
    <w:rsid w:val="001D57BD"/>
    <w:rsid w:val="001E4383"/>
    <w:rsid w:val="001E79E8"/>
    <w:rsid w:val="001F0EEE"/>
    <w:rsid w:val="00200625"/>
    <w:rsid w:val="00204598"/>
    <w:rsid w:val="00211DF9"/>
    <w:rsid w:val="002147DD"/>
    <w:rsid w:val="00221879"/>
    <w:rsid w:val="00227D51"/>
    <w:rsid w:val="002302A1"/>
    <w:rsid w:val="002308BD"/>
    <w:rsid w:val="0024183B"/>
    <w:rsid w:val="00244E71"/>
    <w:rsid w:val="00263C02"/>
    <w:rsid w:val="002651AC"/>
    <w:rsid w:val="00266A2B"/>
    <w:rsid w:val="002765A8"/>
    <w:rsid w:val="00280DDE"/>
    <w:rsid w:val="0028271F"/>
    <w:rsid w:val="002871B6"/>
    <w:rsid w:val="00292A80"/>
    <w:rsid w:val="002964F5"/>
    <w:rsid w:val="002A3CC9"/>
    <w:rsid w:val="002A69A3"/>
    <w:rsid w:val="002B1894"/>
    <w:rsid w:val="002D20BE"/>
    <w:rsid w:val="002D2AEA"/>
    <w:rsid w:val="002D3749"/>
    <w:rsid w:val="002D4964"/>
    <w:rsid w:val="002F2850"/>
    <w:rsid w:val="003124C3"/>
    <w:rsid w:val="00316CFF"/>
    <w:rsid w:val="00324AB1"/>
    <w:rsid w:val="00344A82"/>
    <w:rsid w:val="0036043E"/>
    <w:rsid w:val="00360B0D"/>
    <w:rsid w:val="003641F9"/>
    <w:rsid w:val="00364DD0"/>
    <w:rsid w:val="0036777C"/>
    <w:rsid w:val="00370462"/>
    <w:rsid w:val="00371B45"/>
    <w:rsid w:val="00373378"/>
    <w:rsid w:val="0037760B"/>
    <w:rsid w:val="00377BB9"/>
    <w:rsid w:val="00386DDD"/>
    <w:rsid w:val="00387A2D"/>
    <w:rsid w:val="00390ABD"/>
    <w:rsid w:val="00393C15"/>
    <w:rsid w:val="0039491A"/>
    <w:rsid w:val="003A13C4"/>
    <w:rsid w:val="003A54F7"/>
    <w:rsid w:val="003A7540"/>
    <w:rsid w:val="003B1E68"/>
    <w:rsid w:val="003B21AA"/>
    <w:rsid w:val="003B6EB7"/>
    <w:rsid w:val="003C1813"/>
    <w:rsid w:val="003C2B37"/>
    <w:rsid w:val="003C3695"/>
    <w:rsid w:val="003C7642"/>
    <w:rsid w:val="003E0B59"/>
    <w:rsid w:val="003E17C3"/>
    <w:rsid w:val="003F5107"/>
    <w:rsid w:val="00400707"/>
    <w:rsid w:val="00401F6E"/>
    <w:rsid w:val="00407AB6"/>
    <w:rsid w:val="0041038B"/>
    <w:rsid w:val="00412211"/>
    <w:rsid w:val="00415738"/>
    <w:rsid w:val="00424361"/>
    <w:rsid w:val="004269D2"/>
    <w:rsid w:val="00432688"/>
    <w:rsid w:val="00444311"/>
    <w:rsid w:val="00446A81"/>
    <w:rsid w:val="004624EE"/>
    <w:rsid w:val="00465751"/>
    <w:rsid w:val="0047351B"/>
    <w:rsid w:val="004764E4"/>
    <w:rsid w:val="0048180F"/>
    <w:rsid w:val="00481964"/>
    <w:rsid w:val="004834E1"/>
    <w:rsid w:val="00483B1A"/>
    <w:rsid w:val="00491D85"/>
    <w:rsid w:val="00493D28"/>
    <w:rsid w:val="00496719"/>
    <w:rsid w:val="004A5066"/>
    <w:rsid w:val="004B21B8"/>
    <w:rsid w:val="004C1AB0"/>
    <w:rsid w:val="004C3151"/>
    <w:rsid w:val="004C77A7"/>
    <w:rsid w:val="004E1219"/>
    <w:rsid w:val="004E4ECD"/>
    <w:rsid w:val="004E61FB"/>
    <w:rsid w:val="00510EA7"/>
    <w:rsid w:val="00522FE5"/>
    <w:rsid w:val="005344B4"/>
    <w:rsid w:val="00540719"/>
    <w:rsid w:val="00550269"/>
    <w:rsid w:val="005848BC"/>
    <w:rsid w:val="00596611"/>
    <w:rsid w:val="005A7F57"/>
    <w:rsid w:val="005B1571"/>
    <w:rsid w:val="005C132E"/>
    <w:rsid w:val="005C1431"/>
    <w:rsid w:val="005C5329"/>
    <w:rsid w:val="005D4D28"/>
    <w:rsid w:val="005D7A48"/>
    <w:rsid w:val="005E3458"/>
    <w:rsid w:val="005E3E29"/>
    <w:rsid w:val="005F36EF"/>
    <w:rsid w:val="0060345B"/>
    <w:rsid w:val="00603696"/>
    <w:rsid w:val="006108FD"/>
    <w:rsid w:val="00610E7A"/>
    <w:rsid w:val="006110D4"/>
    <w:rsid w:val="0061568B"/>
    <w:rsid w:val="00624029"/>
    <w:rsid w:val="006320BD"/>
    <w:rsid w:val="00644EB8"/>
    <w:rsid w:val="006659D6"/>
    <w:rsid w:val="00665CEB"/>
    <w:rsid w:val="00667844"/>
    <w:rsid w:val="00673790"/>
    <w:rsid w:val="0068200A"/>
    <w:rsid w:val="00692E29"/>
    <w:rsid w:val="006A130B"/>
    <w:rsid w:val="006C02A8"/>
    <w:rsid w:val="006C177C"/>
    <w:rsid w:val="006C5FF2"/>
    <w:rsid w:val="006C6DD3"/>
    <w:rsid w:val="006C7D89"/>
    <w:rsid w:val="006D31E7"/>
    <w:rsid w:val="006D5740"/>
    <w:rsid w:val="006F2931"/>
    <w:rsid w:val="00700A7E"/>
    <w:rsid w:val="00703B79"/>
    <w:rsid w:val="00705FBF"/>
    <w:rsid w:val="00757853"/>
    <w:rsid w:val="00767898"/>
    <w:rsid w:val="007713CA"/>
    <w:rsid w:val="00773362"/>
    <w:rsid w:val="007933A0"/>
    <w:rsid w:val="007A378F"/>
    <w:rsid w:val="007B5EE6"/>
    <w:rsid w:val="007B7F79"/>
    <w:rsid w:val="007D0DB5"/>
    <w:rsid w:val="007D1A7B"/>
    <w:rsid w:val="007D6CB6"/>
    <w:rsid w:val="007E05E7"/>
    <w:rsid w:val="007F0FF7"/>
    <w:rsid w:val="007F13E3"/>
    <w:rsid w:val="007F5BC1"/>
    <w:rsid w:val="007F618F"/>
    <w:rsid w:val="00804ECA"/>
    <w:rsid w:val="00807A16"/>
    <w:rsid w:val="00820FC3"/>
    <w:rsid w:val="00821721"/>
    <w:rsid w:val="00822820"/>
    <w:rsid w:val="00826027"/>
    <w:rsid w:val="00843A41"/>
    <w:rsid w:val="00843DF1"/>
    <w:rsid w:val="00851C10"/>
    <w:rsid w:val="00852D37"/>
    <w:rsid w:val="008557D2"/>
    <w:rsid w:val="008650AA"/>
    <w:rsid w:val="0087713D"/>
    <w:rsid w:val="00890068"/>
    <w:rsid w:val="008907EE"/>
    <w:rsid w:val="00892A79"/>
    <w:rsid w:val="008A25D1"/>
    <w:rsid w:val="008A4E8E"/>
    <w:rsid w:val="008A7965"/>
    <w:rsid w:val="008B010C"/>
    <w:rsid w:val="008B37D1"/>
    <w:rsid w:val="008B40C2"/>
    <w:rsid w:val="008C2B96"/>
    <w:rsid w:val="008E5C37"/>
    <w:rsid w:val="008F53B1"/>
    <w:rsid w:val="008F7FBD"/>
    <w:rsid w:val="0090368E"/>
    <w:rsid w:val="00906730"/>
    <w:rsid w:val="00907B0A"/>
    <w:rsid w:val="00907C6A"/>
    <w:rsid w:val="00914E4C"/>
    <w:rsid w:val="00920589"/>
    <w:rsid w:val="009219FE"/>
    <w:rsid w:val="00930E02"/>
    <w:rsid w:val="00930F7C"/>
    <w:rsid w:val="0093203E"/>
    <w:rsid w:val="00936390"/>
    <w:rsid w:val="00950084"/>
    <w:rsid w:val="009566D2"/>
    <w:rsid w:val="00957CBE"/>
    <w:rsid w:val="00971178"/>
    <w:rsid w:val="00971F91"/>
    <w:rsid w:val="00973F0B"/>
    <w:rsid w:val="00987715"/>
    <w:rsid w:val="00990244"/>
    <w:rsid w:val="009923C7"/>
    <w:rsid w:val="009934D9"/>
    <w:rsid w:val="00997722"/>
    <w:rsid w:val="009A15F0"/>
    <w:rsid w:val="009B03D0"/>
    <w:rsid w:val="009B3117"/>
    <w:rsid w:val="009C3E63"/>
    <w:rsid w:val="009C4F43"/>
    <w:rsid w:val="009D5678"/>
    <w:rsid w:val="009F3980"/>
    <w:rsid w:val="009F3B77"/>
    <w:rsid w:val="009F41ED"/>
    <w:rsid w:val="009F4510"/>
    <w:rsid w:val="009F6F37"/>
    <w:rsid w:val="009F7BAF"/>
    <w:rsid w:val="00A22D6F"/>
    <w:rsid w:val="00A252C8"/>
    <w:rsid w:val="00A3361C"/>
    <w:rsid w:val="00A3485E"/>
    <w:rsid w:val="00A40F3A"/>
    <w:rsid w:val="00A40F87"/>
    <w:rsid w:val="00A472D7"/>
    <w:rsid w:val="00A53D95"/>
    <w:rsid w:val="00A56F73"/>
    <w:rsid w:val="00A61A96"/>
    <w:rsid w:val="00A71F20"/>
    <w:rsid w:val="00A76DC6"/>
    <w:rsid w:val="00A83BC4"/>
    <w:rsid w:val="00A85E48"/>
    <w:rsid w:val="00A91B49"/>
    <w:rsid w:val="00A92AC8"/>
    <w:rsid w:val="00A9588B"/>
    <w:rsid w:val="00A96C50"/>
    <w:rsid w:val="00AA1CB7"/>
    <w:rsid w:val="00AA2533"/>
    <w:rsid w:val="00AB0F37"/>
    <w:rsid w:val="00AD6931"/>
    <w:rsid w:val="00AF2431"/>
    <w:rsid w:val="00AF49A0"/>
    <w:rsid w:val="00B04769"/>
    <w:rsid w:val="00B04D60"/>
    <w:rsid w:val="00B15F9F"/>
    <w:rsid w:val="00B24871"/>
    <w:rsid w:val="00B30C0F"/>
    <w:rsid w:val="00B352D6"/>
    <w:rsid w:val="00B37BEB"/>
    <w:rsid w:val="00B52833"/>
    <w:rsid w:val="00B55EA8"/>
    <w:rsid w:val="00B67490"/>
    <w:rsid w:val="00B67755"/>
    <w:rsid w:val="00B73947"/>
    <w:rsid w:val="00B763FB"/>
    <w:rsid w:val="00B7705B"/>
    <w:rsid w:val="00B8433A"/>
    <w:rsid w:val="00B85219"/>
    <w:rsid w:val="00B8769A"/>
    <w:rsid w:val="00B93DB5"/>
    <w:rsid w:val="00BA3126"/>
    <w:rsid w:val="00BA3E0E"/>
    <w:rsid w:val="00BA5628"/>
    <w:rsid w:val="00BA5711"/>
    <w:rsid w:val="00BA7896"/>
    <w:rsid w:val="00BC4478"/>
    <w:rsid w:val="00BC4E3F"/>
    <w:rsid w:val="00BC658C"/>
    <w:rsid w:val="00BD14B1"/>
    <w:rsid w:val="00BE1495"/>
    <w:rsid w:val="00BE5596"/>
    <w:rsid w:val="00BE77B9"/>
    <w:rsid w:val="00BF17E9"/>
    <w:rsid w:val="00BF36CA"/>
    <w:rsid w:val="00BF3AEF"/>
    <w:rsid w:val="00C01A31"/>
    <w:rsid w:val="00C02439"/>
    <w:rsid w:val="00C06BEF"/>
    <w:rsid w:val="00C12295"/>
    <w:rsid w:val="00C12302"/>
    <w:rsid w:val="00C13C8D"/>
    <w:rsid w:val="00C1573D"/>
    <w:rsid w:val="00C1629C"/>
    <w:rsid w:val="00C22D3F"/>
    <w:rsid w:val="00C24773"/>
    <w:rsid w:val="00C24C38"/>
    <w:rsid w:val="00C326EF"/>
    <w:rsid w:val="00C467B2"/>
    <w:rsid w:val="00C5179F"/>
    <w:rsid w:val="00C818F5"/>
    <w:rsid w:val="00C96B17"/>
    <w:rsid w:val="00CA2287"/>
    <w:rsid w:val="00CA3062"/>
    <w:rsid w:val="00CA3F03"/>
    <w:rsid w:val="00CB002E"/>
    <w:rsid w:val="00CB3F3C"/>
    <w:rsid w:val="00CB7E93"/>
    <w:rsid w:val="00CC4904"/>
    <w:rsid w:val="00CF2461"/>
    <w:rsid w:val="00CF4191"/>
    <w:rsid w:val="00D00276"/>
    <w:rsid w:val="00D16FD8"/>
    <w:rsid w:val="00D2121A"/>
    <w:rsid w:val="00D214B9"/>
    <w:rsid w:val="00D26208"/>
    <w:rsid w:val="00D26974"/>
    <w:rsid w:val="00D51C7C"/>
    <w:rsid w:val="00D72262"/>
    <w:rsid w:val="00D808AD"/>
    <w:rsid w:val="00D826D6"/>
    <w:rsid w:val="00D85606"/>
    <w:rsid w:val="00D87890"/>
    <w:rsid w:val="00D953D8"/>
    <w:rsid w:val="00D97F7B"/>
    <w:rsid w:val="00DA7006"/>
    <w:rsid w:val="00DB3BA6"/>
    <w:rsid w:val="00DD3602"/>
    <w:rsid w:val="00DD37A6"/>
    <w:rsid w:val="00DE0C5D"/>
    <w:rsid w:val="00DE4FC0"/>
    <w:rsid w:val="00DE69A2"/>
    <w:rsid w:val="00DF4E05"/>
    <w:rsid w:val="00DF575C"/>
    <w:rsid w:val="00E03B02"/>
    <w:rsid w:val="00E1343F"/>
    <w:rsid w:val="00E50A52"/>
    <w:rsid w:val="00E62245"/>
    <w:rsid w:val="00E67CAA"/>
    <w:rsid w:val="00E7563A"/>
    <w:rsid w:val="00E800C0"/>
    <w:rsid w:val="00E856DC"/>
    <w:rsid w:val="00E91C73"/>
    <w:rsid w:val="00E96300"/>
    <w:rsid w:val="00E968D3"/>
    <w:rsid w:val="00EA01E8"/>
    <w:rsid w:val="00EA22BA"/>
    <w:rsid w:val="00ED3087"/>
    <w:rsid w:val="00ED3129"/>
    <w:rsid w:val="00ED435E"/>
    <w:rsid w:val="00ED49FA"/>
    <w:rsid w:val="00EE1398"/>
    <w:rsid w:val="00EE1A3A"/>
    <w:rsid w:val="00EE34DC"/>
    <w:rsid w:val="00EE3A78"/>
    <w:rsid w:val="00EE7E9E"/>
    <w:rsid w:val="00EF54A2"/>
    <w:rsid w:val="00F01C86"/>
    <w:rsid w:val="00F06105"/>
    <w:rsid w:val="00F06182"/>
    <w:rsid w:val="00F13D3D"/>
    <w:rsid w:val="00F14498"/>
    <w:rsid w:val="00F2218A"/>
    <w:rsid w:val="00F31412"/>
    <w:rsid w:val="00F42510"/>
    <w:rsid w:val="00F473D5"/>
    <w:rsid w:val="00F52264"/>
    <w:rsid w:val="00F5240F"/>
    <w:rsid w:val="00F77F31"/>
    <w:rsid w:val="00F85D4A"/>
    <w:rsid w:val="00F906D5"/>
    <w:rsid w:val="00F92ED2"/>
    <w:rsid w:val="00F93E5E"/>
    <w:rsid w:val="00F95079"/>
    <w:rsid w:val="00FA01AC"/>
    <w:rsid w:val="00FA0BE9"/>
    <w:rsid w:val="00FB0E8B"/>
    <w:rsid w:val="00FB2858"/>
    <w:rsid w:val="00FB390E"/>
    <w:rsid w:val="00FB4A95"/>
    <w:rsid w:val="00FB53E2"/>
    <w:rsid w:val="00FB767F"/>
    <w:rsid w:val="00FC10B8"/>
    <w:rsid w:val="00FC43D6"/>
    <w:rsid w:val="00FD08A5"/>
    <w:rsid w:val="00FE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19"/>
    <w:rPr>
      <w:sz w:val="24"/>
      <w:szCs w:val="24"/>
    </w:rPr>
  </w:style>
  <w:style w:type="paragraph" w:styleId="Heading1">
    <w:name w:val="heading 1"/>
    <w:basedOn w:val="Normal"/>
    <w:next w:val="Normal"/>
    <w:link w:val="Heading1Char"/>
    <w:uiPriority w:val="9"/>
    <w:qFormat/>
    <w:rsid w:val="00615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E3A7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E3A7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390E"/>
    <w:rPr>
      <w:color w:val="0000FF"/>
      <w:u w:val="single"/>
    </w:rPr>
  </w:style>
  <w:style w:type="character" w:customStyle="1" w:styleId="Heading2Char">
    <w:name w:val="Heading 2 Char"/>
    <w:basedOn w:val="DefaultParagraphFont"/>
    <w:link w:val="Heading2"/>
    <w:uiPriority w:val="9"/>
    <w:rsid w:val="00EE3A78"/>
    <w:rPr>
      <w:b/>
      <w:bCs/>
      <w:sz w:val="36"/>
      <w:szCs w:val="36"/>
    </w:rPr>
  </w:style>
  <w:style w:type="character" w:customStyle="1" w:styleId="Heading3Char">
    <w:name w:val="Heading 3 Char"/>
    <w:basedOn w:val="DefaultParagraphFont"/>
    <w:link w:val="Heading3"/>
    <w:uiPriority w:val="9"/>
    <w:rsid w:val="00EE3A78"/>
    <w:rPr>
      <w:b/>
      <w:bCs/>
      <w:sz w:val="27"/>
      <w:szCs w:val="27"/>
    </w:rPr>
  </w:style>
  <w:style w:type="character" w:customStyle="1" w:styleId="apple-style-span">
    <w:name w:val="apple-style-span"/>
    <w:basedOn w:val="DefaultParagraphFont"/>
    <w:rsid w:val="00BE77B9"/>
  </w:style>
  <w:style w:type="character" w:customStyle="1" w:styleId="apple-converted-space">
    <w:name w:val="apple-converted-space"/>
    <w:basedOn w:val="DefaultParagraphFont"/>
    <w:rsid w:val="00BE77B9"/>
  </w:style>
  <w:style w:type="character" w:customStyle="1" w:styleId="ilad">
    <w:name w:val="il_ad"/>
    <w:basedOn w:val="DefaultParagraphFont"/>
    <w:rsid w:val="00BE77B9"/>
  </w:style>
  <w:style w:type="character" w:customStyle="1" w:styleId="a">
    <w:name w:val="a"/>
    <w:basedOn w:val="DefaultParagraphFont"/>
    <w:rsid w:val="00BE77B9"/>
  </w:style>
  <w:style w:type="character" w:customStyle="1" w:styleId="l7">
    <w:name w:val="l7"/>
    <w:basedOn w:val="DefaultParagraphFont"/>
    <w:rsid w:val="00BE77B9"/>
  </w:style>
  <w:style w:type="character" w:customStyle="1" w:styleId="l8">
    <w:name w:val="l8"/>
    <w:basedOn w:val="DefaultParagraphFont"/>
    <w:rsid w:val="00BE77B9"/>
  </w:style>
  <w:style w:type="character" w:customStyle="1" w:styleId="l6">
    <w:name w:val="l6"/>
    <w:basedOn w:val="DefaultParagraphFont"/>
    <w:rsid w:val="00BE77B9"/>
  </w:style>
  <w:style w:type="paragraph" w:styleId="ListParagraph">
    <w:name w:val="List Paragraph"/>
    <w:basedOn w:val="Normal"/>
    <w:uiPriority w:val="34"/>
    <w:qFormat/>
    <w:rsid w:val="00BE77B9"/>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BE77B9"/>
    <w:pPr>
      <w:tabs>
        <w:tab w:val="center" w:pos="4680"/>
        <w:tab w:val="right" w:pos="9360"/>
      </w:tabs>
    </w:pPr>
  </w:style>
  <w:style w:type="character" w:customStyle="1" w:styleId="HeaderChar">
    <w:name w:val="Header Char"/>
    <w:basedOn w:val="DefaultParagraphFont"/>
    <w:link w:val="Header"/>
    <w:uiPriority w:val="99"/>
    <w:rsid w:val="00BE77B9"/>
    <w:rPr>
      <w:sz w:val="24"/>
      <w:szCs w:val="24"/>
    </w:rPr>
  </w:style>
  <w:style w:type="paragraph" w:styleId="Footer">
    <w:name w:val="footer"/>
    <w:basedOn w:val="Normal"/>
    <w:link w:val="FooterChar"/>
    <w:uiPriority w:val="99"/>
    <w:unhideWhenUsed/>
    <w:rsid w:val="00BE77B9"/>
    <w:pPr>
      <w:tabs>
        <w:tab w:val="center" w:pos="4680"/>
        <w:tab w:val="right" w:pos="9360"/>
      </w:tabs>
    </w:pPr>
  </w:style>
  <w:style w:type="character" w:customStyle="1" w:styleId="FooterChar">
    <w:name w:val="Footer Char"/>
    <w:basedOn w:val="DefaultParagraphFont"/>
    <w:link w:val="Footer"/>
    <w:uiPriority w:val="99"/>
    <w:rsid w:val="00BE77B9"/>
    <w:rPr>
      <w:sz w:val="24"/>
      <w:szCs w:val="24"/>
    </w:rPr>
  </w:style>
  <w:style w:type="paragraph" w:styleId="BalloonText">
    <w:name w:val="Balloon Text"/>
    <w:basedOn w:val="Normal"/>
    <w:link w:val="BalloonTextChar"/>
    <w:uiPriority w:val="99"/>
    <w:semiHidden/>
    <w:unhideWhenUsed/>
    <w:rsid w:val="00CF4191"/>
    <w:rPr>
      <w:rFonts w:ascii="Tahoma" w:hAnsi="Tahoma" w:cs="Tahoma"/>
      <w:sz w:val="16"/>
      <w:szCs w:val="16"/>
    </w:rPr>
  </w:style>
  <w:style w:type="character" w:customStyle="1" w:styleId="BalloonTextChar">
    <w:name w:val="Balloon Text Char"/>
    <w:basedOn w:val="DefaultParagraphFont"/>
    <w:link w:val="BalloonText"/>
    <w:uiPriority w:val="99"/>
    <w:semiHidden/>
    <w:rsid w:val="00CF4191"/>
    <w:rPr>
      <w:rFonts w:ascii="Tahoma" w:hAnsi="Tahoma" w:cs="Tahoma"/>
      <w:sz w:val="16"/>
      <w:szCs w:val="16"/>
    </w:rPr>
  </w:style>
  <w:style w:type="character" w:customStyle="1" w:styleId="Heading1Char">
    <w:name w:val="Heading 1 Char"/>
    <w:basedOn w:val="DefaultParagraphFont"/>
    <w:link w:val="Heading1"/>
    <w:uiPriority w:val="9"/>
    <w:rsid w:val="006156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A3E0E"/>
    <w:pPr>
      <w:autoSpaceDE w:val="0"/>
      <w:autoSpaceDN w:val="0"/>
      <w:adjustRightInd w:val="0"/>
    </w:pPr>
    <w:rPr>
      <w:rFonts w:ascii="Candara" w:hAnsi="Candara" w:cs="Candara"/>
      <w:color w:val="000000"/>
      <w:sz w:val="24"/>
      <w:szCs w:val="24"/>
    </w:rPr>
  </w:style>
  <w:style w:type="paragraph" w:styleId="NoSpacing">
    <w:name w:val="No Spacing"/>
    <w:link w:val="NoSpacingChar"/>
    <w:uiPriority w:val="1"/>
    <w:qFormat/>
    <w:rsid w:val="0047351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7351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3744">
      <w:bodyDiv w:val="1"/>
      <w:marLeft w:val="0"/>
      <w:marRight w:val="0"/>
      <w:marTop w:val="0"/>
      <w:marBottom w:val="0"/>
      <w:divBdr>
        <w:top w:val="none" w:sz="0" w:space="0" w:color="auto"/>
        <w:left w:val="none" w:sz="0" w:space="0" w:color="auto"/>
        <w:bottom w:val="none" w:sz="0" w:space="0" w:color="auto"/>
        <w:right w:val="none" w:sz="0" w:space="0" w:color="auto"/>
      </w:divBdr>
    </w:div>
    <w:div w:id="263922884">
      <w:bodyDiv w:val="1"/>
      <w:marLeft w:val="0"/>
      <w:marRight w:val="0"/>
      <w:marTop w:val="0"/>
      <w:marBottom w:val="0"/>
      <w:divBdr>
        <w:top w:val="none" w:sz="0" w:space="0" w:color="auto"/>
        <w:left w:val="none" w:sz="0" w:space="0" w:color="auto"/>
        <w:bottom w:val="none" w:sz="0" w:space="0" w:color="auto"/>
        <w:right w:val="none" w:sz="0" w:space="0" w:color="auto"/>
      </w:divBdr>
    </w:div>
    <w:div w:id="293144908">
      <w:bodyDiv w:val="1"/>
      <w:marLeft w:val="0"/>
      <w:marRight w:val="0"/>
      <w:marTop w:val="0"/>
      <w:marBottom w:val="0"/>
      <w:divBdr>
        <w:top w:val="none" w:sz="0" w:space="0" w:color="auto"/>
        <w:left w:val="none" w:sz="0" w:space="0" w:color="auto"/>
        <w:bottom w:val="none" w:sz="0" w:space="0" w:color="auto"/>
        <w:right w:val="none" w:sz="0" w:space="0" w:color="auto"/>
      </w:divBdr>
    </w:div>
    <w:div w:id="394355243">
      <w:bodyDiv w:val="1"/>
      <w:marLeft w:val="0"/>
      <w:marRight w:val="0"/>
      <w:marTop w:val="0"/>
      <w:marBottom w:val="0"/>
      <w:divBdr>
        <w:top w:val="none" w:sz="0" w:space="0" w:color="auto"/>
        <w:left w:val="none" w:sz="0" w:space="0" w:color="auto"/>
        <w:bottom w:val="none" w:sz="0" w:space="0" w:color="auto"/>
        <w:right w:val="none" w:sz="0" w:space="0" w:color="auto"/>
      </w:divBdr>
    </w:div>
    <w:div w:id="729960380">
      <w:bodyDiv w:val="1"/>
      <w:marLeft w:val="0"/>
      <w:marRight w:val="0"/>
      <w:marTop w:val="0"/>
      <w:marBottom w:val="0"/>
      <w:divBdr>
        <w:top w:val="none" w:sz="0" w:space="0" w:color="auto"/>
        <w:left w:val="none" w:sz="0" w:space="0" w:color="auto"/>
        <w:bottom w:val="none" w:sz="0" w:space="0" w:color="auto"/>
        <w:right w:val="none" w:sz="0" w:space="0" w:color="auto"/>
      </w:divBdr>
    </w:div>
    <w:div w:id="768893367">
      <w:bodyDiv w:val="1"/>
      <w:marLeft w:val="0"/>
      <w:marRight w:val="0"/>
      <w:marTop w:val="0"/>
      <w:marBottom w:val="0"/>
      <w:divBdr>
        <w:top w:val="none" w:sz="0" w:space="0" w:color="auto"/>
        <w:left w:val="none" w:sz="0" w:space="0" w:color="auto"/>
        <w:bottom w:val="none" w:sz="0" w:space="0" w:color="auto"/>
        <w:right w:val="none" w:sz="0" w:space="0" w:color="auto"/>
      </w:divBdr>
    </w:div>
    <w:div w:id="1632974907">
      <w:bodyDiv w:val="1"/>
      <w:marLeft w:val="0"/>
      <w:marRight w:val="0"/>
      <w:marTop w:val="0"/>
      <w:marBottom w:val="0"/>
      <w:divBdr>
        <w:top w:val="none" w:sz="0" w:space="0" w:color="auto"/>
        <w:left w:val="none" w:sz="0" w:space="0" w:color="auto"/>
        <w:bottom w:val="none" w:sz="0" w:space="0" w:color="auto"/>
        <w:right w:val="none" w:sz="0" w:space="0" w:color="auto"/>
      </w:divBdr>
      <w:divsChild>
        <w:div w:id="497426330">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0287">
      <w:bodyDiv w:val="1"/>
      <w:marLeft w:val="0"/>
      <w:marRight w:val="0"/>
      <w:marTop w:val="0"/>
      <w:marBottom w:val="0"/>
      <w:divBdr>
        <w:top w:val="none" w:sz="0" w:space="0" w:color="auto"/>
        <w:left w:val="none" w:sz="0" w:space="0" w:color="auto"/>
        <w:bottom w:val="none" w:sz="0" w:space="0" w:color="auto"/>
        <w:right w:val="none" w:sz="0" w:space="0" w:color="auto"/>
      </w:divBdr>
      <w:divsChild>
        <w:div w:id="853765043">
          <w:marLeft w:val="0"/>
          <w:marRight w:val="0"/>
          <w:marTop w:val="0"/>
          <w:marBottom w:val="0"/>
          <w:divBdr>
            <w:top w:val="none" w:sz="0" w:space="0" w:color="auto"/>
            <w:left w:val="none" w:sz="0" w:space="0" w:color="auto"/>
            <w:bottom w:val="none" w:sz="0" w:space="0" w:color="auto"/>
            <w:right w:val="none" w:sz="0" w:space="0" w:color="auto"/>
          </w:divBdr>
        </w:div>
        <w:div w:id="1490903590">
          <w:marLeft w:val="0"/>
          <w:marRight w:val="0"/>
          <w:marTop w:val="0"/>
          <w:marBottom w:val="0"/>
          <w:divBdr>
            <w:top w:val="none" w:sz="0" w:space="0" w:color="auto"/>
            <w:left w:val="none" w:sz="0" w:space="0" w:color="auto"/>
            <w:bottom w:val="none" w:sz="0" w:space="0" w:color="auto"/>
            <w:right w:val="none" w:sz="0" w:space="0" w:color="auto"/>
          </w:divBdr>
        </w:div>
      </w:divsChild>
    </w:div>
    <w:div w:id="21335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Percent</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11.12</c:v>
                </c:pt>
                <c:pt idx="1">
                  <c:v>11.56</c:v>
                </c:pt>
                <c:pt idx="2">
                  <c:v>10.09</c:v>
                </c:pt>
                <c:pt idx="3">
                  <c:v>11.93</c:v>
                </c:pt>
                <c:pt idx="4">
                  <c:v>13.21</c:v>
                </c:pt>
              </c:numCache>
            </c:numRef>
          </c:val>
        </c:ser>
        <c:dLbls>
          <c:showLegendKey val="0"/>
          <c:showVal val="0"/>
          <c:showCatName val="0"/>
          <c:showSerName val="0"/>
          <c:showPercent val="0"/>
          <c:showBubbleSize val="0"/>
        </c:dLbls>
        <c:gapWidth val="150"/>
        <c:axId val="255054208"/>
        <c:axId val="255055744"/>
      </c:barChart>
      <c:catAx>
        <c:axId val="255054208"/>
        <c:scaling>
          <c:orientation val="minMax"/>
        </c:scaling>
        <c:delete val="0"/>
        <c:axPos val="b"/>
        <c:numFmt formatCode="General" sourceLinked="1"/>
        <c:majorTickMark val="out"/>
        <c:minorTickMark val="none"/>
        <c:tickLblPos val="nextTo"/>
        <c:crossAx val="255055744"/>
        <c:crosses val="autoZero"/>
        <c:auto val="1"/>
        <c:lblAlgn val="ctr"/>
        <c:lblOffset val="100"/>
        <c:noMultiLvlLbl val="0"/>
      </c:catAx>
      <c:valAx>
        <c:axId val="255055744"/>
        <c:scaling>
          <c:orientation val="minMax"/>
        </c:scaling>
        <c:delete val="0"/>
        <c:axPos val="l"/>
        <c:majorGridlines/>
        <c:numFmt formatCode="General" sourceLinked="1"/>
        <c:majorTickMark val="out"/>
        <c:minorTickMark val="none"/>
        <c:tickLblPos val="nextTo"/>
        <c:crossAx val="25505420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persent</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7.61</c:v>
                </c:pt>
                <c:pt idx="1">
                  <c:v>7.86</c:v>
                </c:pt>
                <c:pt idx="2">
                  <c:v>8.39</c:v>
                </c:pt>
                <c:pt idx="3">
                  <c:v>8.7899999999999991</c:v>
                </c:pt>
                <c:pt idx="4">
                  <c:v>8.06</c:v>
                </c:pt>
              </c:numCache>
            </c:numRef>
          </c:val>
        </c:ser>
        <c:dLbls>
          <c:showLegendKey val="0"/>
          <c:showVal val="0"/>
          <c:showCatName val="0"/>
          <c:showSerName val="0"/>
          <c:showPercent val="0"/>
          <c:showBubbleSize val="0"/>
        </c:dLbls>
        <c:gapWidth val="150"/>
        <c:axId val="120539776"/>
        <c:axId val="120570240"/>
      </c:barChart>
      <c:catAx>
        <c:axId val="120539776"/>
        <c:scaling>
          <c:orientation val="minMax"/>
        </c:scaling>
        <c:delete val="0"/>
        <c:axPos val="b"/>
        <c:numFmt formatCode="General" sourceLinked="1"/>
        <c:majorTickMark val="out"/>
        <c:minorTickMark val="none"/>
        <c:tickLblPos val="nextTo"/>
        <c:crossAx val="120570240"/>
        <c:crosses val="autoZero"/>
        <c:auto val="1"/>
        <c:lblAlgn val="ctr"/>
        <c:lblOffset val="100"/>
        <c:noMultiLvlLbl val="0"/>
      </c:catAx>
      <c:valAx>
        <c:axId val="120570240"/>
        <c:scaling>
          <c:orientation val="minMax"/>
        </c:scaling>
        <c:delete val="0"/>
        <c:axPos val="l"/>
        <c:majorGridlines/>
        <c:numFmt formatCode="General" sourceLinked="1"/>
        <c:majorTickMark val="out"/>
        <c:minorTickMark val="none"/>
        <c:tickLblPos val="nextTo"/>
        <c:crossAx val="12053977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Sheet1!$B$2</c:f>
              <c:strCache>
                <c:ptCount val="1"/>
                <c:pt idx="0">
                  <c:v>Percent</c:v>
                </c:pt>
              </c:strCache>
            </c:strRef>
          </c:tx>
          <c:invertIfNegative val="0"/>
          <c:cat>
            <c:numRef>
              <c:f>Sheet1!$A$3:$A$7</c:f>
              <c:numCache>
                <c:formatCode>General</c:formatCode>
                <c:ptCount val="5"/>
                <c:pt idx="0">
                  <c:v>2010</c:v>
                </c:pt>
                <c:pt idx="1">
                  <c:v>2011</c:v>
                </c:pt>
                <c:pt idx="2">
                  <c:v>2012</c:v>
                </c:pt>
                <c:pt idx="3">
                  <c:v>2013</c:v>
                </c:pt>
                <c:pt idx="4">
                  <c:v>2014</c:v>
                </c:pt>
              </c:numCache>
            </c:numRef>
          </c:cat>
          <c:val>
            <c:numRef>
              <c:f>Sheet1!$B$3:$B$7</c:f>
              <c:numCache>
                <c:formatCode>General</c:formatCode>
                <c:ptCount val="5"/>
                <c:pt idx="0">
                  <c:v>0.3</c:v>
                </c:pt>
                <c:pt idx="1">
                  <c:v>0.32</c:v>
                </c:pt>
                <c:pt idx="2">
                  <c:v>0.36</c:v>
                </c:pt>
                <c:pt idx="3">
                  <c:v>0.35</c:v>
                </c:pt>
                <c:pt idx="4">
                  <c:v>0.32</c:v>
                </c:pt>
              </c:numCache>
            </c:numRef>
          </c:val>
        </c:ser>
        <c:dLbls>
          <c:showLegendKey val="0"/>
          <c:showVal val="0"/>
          <c:showCatName val="0"/>
          <c:showSerName val="0"/>
          <c:showPercent val="0"/>
          <c:showBubbleSize val="0"/>
        </c:dLbls>
        <c:gapWidth val="150"/>
        <c:axId val="353190272"/>
        <c:axId val="353191808"/>
      </c:barChart>
      <c:catAx>
        <c:axId val="353190272"/>
        <c:scaling>
          <c:orientation val="minMax"/>
        </c:scaling>
        <c:delete val="0"/>
        <c:axPos val="b"/>
        <c:numFmt formatCode="General" sourceLinked="1"/>
        <c:majorTickMark val="out"/>
        <c:minorTickMark val="none"/>
        <c:tickLblPos val="nextTo"/>
        <c:crossAx val="353191808"/>
        <c:crosses val="autoZero"/>
        <c:auto val="1"/>
        <c:lblAlgn val="ctr"/>
        <c:lblOffset val="100"/>
        <c:noMultiLvlLbl val="0"/>
      </c:catAx>
      <c:valAx>
        <c:axId val="353191808"/>
        <c:scaling>
          <c:orientation val="minMax"/>
        </c:scaling>
        <c:delete val="0"/>
        <c:axPos val="l"/>
        <c:majorGridlines/>
        <c:numFmt formatCode="General" sourceLinked="1"/>
        <c:majorTickMark val="out"/>
        <c:minorTickMark val="none"/>
        <c:tickLblPos val="nextTo"/>
        <c:crossAx val="3531902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Persent</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69.930000000000007</c:v>
                </c:pt>
                <c:pt idx="1">
                  <c:v>84.22</c:v>
                </c:pt>
                <c:pt idx="2">
                  <c:v>102.11</c:v>
                </c:pt>
                <c:pt idx="3">
                  <c:v>186.19</c:v>
                </c:pt>
                <c:pt idx="4">
                  <c:v>234.24</c:v>
                </c:pt>
              </c:numCache>
            </c:numRef>
          </c:val>
        </c:ser>
        <c:dLbls>
          <c:showLegendKey val="0"/>
          <c:showVal val="0"/>
          <c:showCatName val="0"/>
          <c:showSerName val="0"/>
          <c:showPercent val="0"/>
          <c:showBubbleSize val="0"/>
        </c:dLbls>
        <c:gapWidth val="150"/>
        <c:axId val="255068032"/>
        <c:axId val="255069568"/>
      </c:barChart>
      <c:catAx>
        <c:axId val="255068032"/>
        <c:scaling>
          <c:orientation val="minMax"/>
        </c:scaling>
        <c:delete val="0"/>
        <c:axPos val="b"/>
        <c:numFmt formatCode="General" sourceLinked="1"/>
        <c:majorTickMark val="out"/>
        <c:minorTickMark val="none"/>
        <c:tickLblPos val="nextTo"/>
        <c:crossAx val="255069568"/>
        <c:crosses val="autoZero"/>
        <c:auto val="1"/>
        <c:lblAlgn val="ctr"/>
        <c:lblOffset val="100"/>
        <c:noMultiLvlLbl val="0"/>
      </c:catAx>
      <c:valAx>
        <c:axId val="255069568"/>
        <c:scaling>
          <c:orientation val="minMax"/>
        </c:scaling>
        <c:delete val="0"/>
        <c:axPos val="l"/>
        <c:majorGridlines/>
        <c:numFmt formatCode="General" sourceLinked="1"/>
        <c:majorTickMark val="out"/>
        <c:minorTickMark val="none"/>
        <c:tickLblPos val="nextTo"/>
        <c:crossAx val="2550680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Percent</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65.17</c:v>
                </c:pt>
                <c:pt idx="1">
                  <c:v>79.27</c:v>
                </c:pt>
                <c:pt idx="2">
                  <c:v>98.16</c:v>
                </c:pt>
                <c:pt idx="3">
                  <c:v>182.22</c:v>
                </c:pt>
                <c:pt idx="4">
                  <c:v>238.24</c:v>
                </c:pt>
              </c:numCache>
            </c:numRef>
          </c:val>
        </c:ser>
        <c:dLbls>
          <c:showLegendKey val="0"/>
          <c:showVal val="0"/>
          <c:showCatName val="0"/>
          <c:showSerName val="0"/>
          <c:showPercent val="0"/>
          <c:showBubbleSize val="0"/>
        </c:dLbls>
        <c:gapWidth val="150"/>
        <c:axId val="255081856"/>
        <c:axId val="255087744"/>
      </c:barChart>
      <c:catAx>
        <c:axId val="255081856"/>
        <c:scaling>
          <c:orientation val="minMax"/>
        </c:scaling>
        <c:delete val="0"/>
        <c:axPos val="b"/>
        <c:numFmt formatCode="General" sourceLinked="1"/>
        <c:majorTickMark val="out"/>
        <c:minorTickMark val="none"/>
        <c:tickLblPos val="nextTo"/>
        <c:crossAx val="255087744"/>
        <c:crosses val="autoZero"/>
        <c:auto val="1"/>
        <c:lblAlgn val="ctr"/>
        <c:lblOffset val="100"/>
        <c:noMultiLvlLbl val="0"/>
      </c:catAx>
      <c:valAx>
        <c:axId val="255087744"/>
        <c:scaling>
          <c:orientation val="minMax"/>
        </c:scaling>
        <c:delete val="0"/>
        <c:axPos val="l"/>
        <c:majorGridlines/>
        <c:numFmt formatCode="General" sourceLinked="1"/>
        <c:majorTickMark val="out"/>
        <c:minorTickMark val="none"/>
        <c:tickLblPos val="nextTo"/>
        <c:crossAx val="2550818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Percent</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62.16</c:v>
                </c:pt>
                <c:pt idx="1">
                  <c:v>72.37</c:v>
                </c:pt>
                <c:pt idx="2">
                  <c:v>96.14</c:v>
                </c:pt>
                <c:pt idx="3">
                  <c:v>165.46</c:v>
                </c:pt>
                <c:pt idx="4">
                  <c:v>213.26</c:v>
                </c:pt>
              </c:numCache>
            </c:numRef>
          </c:val>
        </c:ser>
        <c:dLbls>
          <c:showLegendKey val="0"/>
          <c:showVal val="0"/>
          <c:showCatName val="0"/>
          <c:showSerName val="0"/>
          <c:showPercent val="0"/>
          <c:showBubbleSize val="0"/>
        </c:dLbls>
        <c:gapWidth val="150"/>
        <c:axId val="255095936"/>
        <c:axId val="255097472"/>
      </c:barChart>
      <c:catAx>
        <c:axId val="255095936"/>
        <c:scaling>
          <c:orientation val="minMax"/>
        </c:scaling>
        <c:delete val="0"/>
        <c:axPos val="b"/>
        <c:numFmt formatCode="General" sourceLinked="1"/>
        <c:majorTickMark val="out"/>
        <c:minorTickMark val="none"/>
        <c:tickLblPos val="nextTo"/>
        <c:crossAx val="255097472"/>
        <c:crosses val="autoZero"/>
        <c:auto val="1"/>
        <c:lblAlgn val="ctr"/>
        <c:lblOffset val="100"/>
        <c:noMultiLvlLbl val="0"/>
      </c:catAx>
      <c:valAx>
        <c:axId val="255097472"/>
        <c:scaling>
          <c:orientation val="minMax"/>
        </c:scaling>
        <c:delete val="0"/>
        <c:axPos val="l"/>
        <c:majorGridlines/>
        <c:numFmt formatCode="General" sourceLinked="1"/>
        <c:majorTickMark val="out"/>
        <c:minorTickMark val="none"/>
        <c:tickLblPos val="nextTo"/>
        <c:crossAx val="2550959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Percent</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15.46</c:v>
                </c:pt>
                <c:pt idx="1">
                  <c:v>16.45</c:v>
                </c:pt>
                <c:pt idx="2">
                  <c:v>11.87</c:v>
                </c:pt>
                <c:pt idx="3">
                  <c:v>17.46</c:v>
                </c:pt>
                <c:pt idx="4">
                  <c:v>19.25</c:v>
                </c:pt>
              </c:numCache>
            </c:numRef>
          </c:val>
        </c:ser>
        <c:dLbls>
          <c:showLegendKey val="0"/>
          <c:showVal val="0"/>
          <c:showCatName val="0"/>
          <c:showSerName val="0"/>
          <c:showPercent val="0"/>
          <c:showBubbleSize val="0"/>
        </c:dLbls>
        <c:gapWidth val="150"/>
        <c:axId val="345393792"/>
        <c:axId val="345403776"/>
      </c:barChart>
      <c:catAx>
        <c:axId val="345393792"/>
        <c:scaling>
          <c:orientation val="minMax"/>
        </c:scaling>
        <c:delete val="0"/>
        <c:axPos val="b"/>
        <c:numFmt formatCode="General" sourceLinked="1"/>
        <c:majorTickMark val="out"/>
        <c:minorTickMark val="none"/>
        <c:tickLblPos val="nextTo"/>
        <c:crossAx val="345403776"/>
        <c:crosses val="autoZero"/>
        <c:auto val="1"/>
        <c:lblAlgn val="ctr"/>
        <c:lblOffset val="100"/>
        <c:noMultiLvlLbl val="0"/>
      </c:catAx>
      <c:valAx>
        <c:axId val="345403776"/>
        <c:scaling>
          <c:orientation val="minMax"/>
        </c:scaling>
        <c:delete val="0"/>
        <c:axPos val="l"/>
        <c:majorGridlines/>
        <c:numFmt formatCode="General" sourceLinked="1"/>
        <c:majorTickMark val="out"/>
        <c:minorTickMark val="none"/>
        <c:tickLblPos val="nextTo"/>
        <c:crossAx val="34539379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Percent</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0.6</c:v>
                </c:pt>
                <c:pt idx="1">
                  <c:v>0.63</c:v>
                </c:pt>
                <c:pt idx="2">
                  <c:v>0.61</c:v>
                </c:pt>
                <c:pt idx="3">
                  <c:v>0.62</c:v>
                </c:pt>
                <c:pt idx="4">
                  <c:v>0.6</c:v>
                </c:pt>
              </c:numCache>
            </c:numRef>
          </c:val>
        </c:ser>
        <c:dLbls>
          <c:showLegendKey val="0"/>
          <c:showVal val="0"/>
          <c:showCatName val="0"/>
          <c:showSerName val="0"/>
          <c:showPercent val="0"/>
          <c:showBubbleSize val="0"/>
        </c:dLbls>
        <c:gapWidth val="150"/>
        <c:axId val="120484224"/>
        <c:axId val="120485760"/>
      </c:barChart>
      <c:catAx>
        <c:axId val="120484224"/>
        <c:scaling>
          <c:orientation val="minMax"/>
        </c:scaling>
        <c:delete val="0"/>
        <c:axPos val="b"/>
        <c:numFmt formatCode="General" sourceLinked="1"/>
        <c:majorTickMark val="out"/>
        <c:minorTickMark val="none"/>
        <c:tickLblPos val="nextTo"/>
        <c:crossAx val="120485760"/>
        <c:crosses val="autoZero"/>
        <c:auto val="1"/>
        <c:lblAlgn val="ctr"/>
        <c:lblOffset val="100"/>
        <c:noMultiLvlLbl val="0"/>
      </c:catAx>
      <c:valAx>
        <c:axId val="120485760"/>
        <c:scaling>
          <c:orientation val="minMax"/>
        </c:scaling>
        <c:delete val="0"/>
        <c:axPos val="l"/>
        <c:majorGridlines/>
        <c:numFmt formatCode="General" sourceLinked="1"/>
        <c:majorTickMark val="out"/>
        <c:minorTickMark val="none"/>
        <c:tickLblPos val="nextTo"/>
        <c:crossAx val="12048422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0.81</c:v>
                </c:pt>
                <c:pt idx="1">
                  <c:v>0.83</c:v>
                </c:pt>
                <c:pt idx="2">
                  <c:v>0.83</c:v>
                </c:pt>
                <c:pt idx="3">
                  <c:v>0.86</c:v>
                </c:pt>
                <c:pt idx="4">
                  <c:v>0.86</c:v>
                </c:pt>
              </c:numCache>
            </c:numRef>
          </c:val>
        </c:ser>
        <c:dLbls>
          <c:showLegendKey val="0"/>
          <c:showVal val="0"/>
          <c:showCatName val="0"/>
          <c:showSerName val="0"/>
          <c:showPercent val="0"/>
          <c:showBubbleSize val="0"/>
        </c:dLbls>
        <c:gapWidth val="150"/>
        <c:axId val="255108992"/>
        <c:axId val="255110528"/>
      </c:barChart>
      <c:catAx>
        <c:axId val="255108992"/>
        <c:scaling>
          <c:orientation val="minMax"/>
        </c:scaling>
        <c:delete val="0"/>
        <c:axPos val="b"/>
        <c:numFmt formatCode="General" sourceLinked="1"/>
        <c:majorTickMark val="out"/>
        <c:minorTickMark val="none"/>
        <c:tickLblPos val="nextTo"/>
        <c:crossAx val="255110528"/>
        <c:crosses val="autoZero"/>
        <c:auto val="1"/>
        <c:lblAlgn val="ctr"/>
        <c:lblOffset val="100"/>
        <c:noMultiLvlLbl val="0"/>
      </c:catAx>
      <c:valAx>
        <c:axId val="255110528"/>
        <c:scaling>
          <c:orientation val="minMax"/>
        </c:scaling>
        <c:delete val="0"/>
        <c:axPos val="l"/>
        <c:majorGridlines/>
        <c:numFmt formatCode="General" sourceLinked="1"/>
        <c:majorTickMark val="out"/>
        <c:minorTickMark val="none"/>
        <c:tickLblPos val="nextTo"/>
        <c:crossAx val="25510899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Percent</c:v>
                </c:pt>
              </c:strCache>
            </c:strRef>
          </c:tx>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0.61</c:v>
                </c:pt>
                <c:pt idx="1">
                  <c:v>0.3</c:v>
                </c:pt>
                <c:pt idx="2">
                  <c:v>0.35</c:v>
                </c:pt>
                <c:pt idx="3">
                  <c:v>0.81</c:v>
                </c:pt>
              </c:numCache>
            </c:numRef>
          </c:val>
        </c:ser>
        <c:dLbls>
          <c:showLegendKey val="0"/>
          <c:showVal val="0"/>
          <c:showCatName val="0"/>
          <c:showSerName val="0"/>
          <c:showPercent val="0"/>
          <c:showBubbleSize val="0"/>
        </c:dLbls>
        <c:gapWidth val="150"/>
        <c:axId val="342825984"/>
        <c:axId val="342827776"/>
      </c:barChart>
      <c:catAx>
        <c:axId val="342825984"/>
        <c:scaling>
          <c:orientation val="minMax"/>
        </c:scaling>
        <c:delete val="0"/>
        <c:axPos val="b"/>
        <c:numFmt formatCode="General" sourceLinked="1"/>
        <c:majorTickMark val="out"/>
        <c:minorTickMark val="none"/>
        <c:tickLblPos val="nextTo"/>
        <c:crossAx val="342827776"/>
        <c:crosses val="autoZero"/>
        <c:auto val="1"/>
        <c:lblAlgn val="ctr"/>
        <c:lblOffset val="100"/>
        <c:noMultiLvlLbl val="0"/>
      </c:catAx>
      <c:valAx>
        <c:axId val="342827776"/>
        <c:scaling>
          <c:orientation val="minMax"/>
        </c:scaling>
        <c:delete val="0"/>
        <c:axPos val="l"/>
        <c:majorGridlines/>
        <c:numFmt formatCode="General" sourceLinked="1"/>
        <c:majorTickMark val="out"/>
        <c:minorTickMark val="none"/>
        <c:tickLblPos val="nextTo"/>
        <c:crossAx val="34282598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Percent</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3.0999999999999999E-3</c:v>
                </c:pt>
                <c:pt idx="1">
                  <c:v>4.1999999999999997E-3</c:v>
                </c:pt>
                <c:pt idx="2">
                  <c:v>4.8999999999999998E-3</c:v>
                </c:pt>
                <c:pt idx="3">
                  <c:v>5.3E-3</c:v>
                </c:pt>
                <c:pt idx="4">
                  <c:v>7.7999999999999996E-3</c:v>
                </c:pt>
              </c:numCache>
            </c:numRef>
          </c:val>
        </c:ser>
        <c:dLbls>
          <c:showLegendKey val="0"/>
          <c:showVal val="0"/>
          <c:showCatName val="0"/>
          <c:showSerName val="0"/>
          <c:showPercent val="0"/>
          <c:showBubbleSize val="0"/>
        </c:dLbls>
        <c:gapWidth val="150"/>
        <c:axId val="120521856"/>
        <c:axId val="120523392"/>
      </c:barChart>
      <c:catAx>
        <c:axId val="120521856"/>
        <c:scaling>
          <c:orientation val="minMax"/>
        </c:scaling>
        <c:delete val="0"/>
        <c:axPos val="b"/>
        <c:numFmt formatCode="General" sourceLinked="1"/>
        <c:majorTickMark val="out"/>
        <c:minorTickMark val="none"/>
        <c:tickLblPos val="nextTo"/>
        <c:crossAx val="120523392"/>
        <c:crosses val="autoZero"/>
        <c:auto val="1"/>
        <c:lblAlgn val="ctr"/>
        <c:lblOffset val="100"/>
        <c:noMultiLvlLbl val="0"/>
      </c:catAx>
      <c:valAx>
        <c:axId val="120523392"/>
        <c:scaling>
          <c:orientation val="minMax"/>
        </c:scaling>
        <c:delete val="0"/>
        <c:axPos val="l"/>
        <c:majorGridlines/>
        <c:numFmt formatCode="General" sourceLinked="1"/>
        <c:majorTickMark val="out"/>
        <c:minorTickMark val="none"/>
        <c:tickLblPos val="nextTo"/>
        <c:crossAx val="1205218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3DC3-37FE-45EA-B821-47FA9B07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36</Pages>
  <Words>5443</Words>
  <Characters>31027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FINANCIAL MANAGEMENT</vt:lpstr>
    </vt:vector>
  </TitlesOfParts>
  <Company>personal</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dc:title>
  <dc:subject/>
  <dc:creator>Nishant Vashi</dc:creator>
  <cp:keywords/>
  <dc:description/>
  <cp:lastModifiedBy>bhanu1</cp:lastModifiedBy>
  <cp:revision>21</cp:revision>
  <cp:lastPrinted>2011-11-01T11:51:00Z</cp:lastPrinted>
  <dcterms:created xsi:type="dcterms:W3CDTF">2011-11-01T11:55:00Z</dcterms:created>
  <dcterms:modified xsi:type="dcterms:W3CDTF">2015-04-25T07:50:00Z</dcterms:modified>
</cp:coreProperties>
</file>