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FFC" w:rsidRDefault="00242FFC" w:rsidP="00E938B5">
      <w:pPr>
        <w:autoSpaceDE w:val="0"/>
        <w:autoSpaceDN w:val="0"/>
        <w:adjustRightInd w:val="0"/>
        <w:spacing w:after="0" w:line="240" w:lineRule="auto"/>
        <w:jc w:val="center"/>
        <w:rPr>
          <w:rFonts w:ascii="Times New Roman" w:eastAsia="Times New Roman" w:hAnsi="Times New Roman" w:cs="Times New Roman"/>
          <w:sz w:val="23"/>
          <w:szCs w:val="23"/>
        </w:rPr>
      </w:pPr>
    </w:p>
    <w:p w:rsidR="00C66DE5" w:rsidRPr="007D0060" w:rsidRDefault="00C66DE5" w:rsidP="00771ACE">
      <w:pPr>
        <w:tabs>
          <w:tab w:val="left" w:pos="3765"/>
        </w:tabs>
        <w:jc w:val="center"/>
        <w:rPr>
          <w:rStyle w:val="IntenseEmphasis"/>
          <w:rFonts w:ascii="Times New Roman" w:eastAsia="Times New Roman" w:hAnsi="Times New Roman" w:cs="Times New Roman"/>
          <w:b w:val="0"/>
          <w:bCs w:val="0"/>
          <w:i w:val="0"/>
          <w:iCs w:val="0"/>
          <w:color w:val="auto"/>
          <w:sz w:val="23"/>
          <w:szCs w:val="23"/>
        </w:rPr>
      </w:pPr>
      <w:r w:rsidRPr="004A5C8C">
        <w:rPr>
          <w:rStyle w:val="IntenseEmphasis"/>
          <w:rFonts w:ascii="Times New Roman" w:hAnsi="Times New Roman" w:cs="Times New Roman"/>
          <w:i w:val="0"/>
          <w:color w:val="auto"/>
          <w:sz w:val="28"/>
        </w:rPr>
        <w:t>EXECUTIVE SUMMARY</w:t>
      </w:r>
    </w:p>
    <w:p w:rsidR="00C66DE5" w:rsidRDefault="00C66DE5" w:rsidP="00C66DE5">
      <w:pPr>
        <w:autoSpaceDE w:val="0"/>
        <w:autoSpaceDN w:val="0"/>
        <w:adjustRightInd w:val="0"/>
        <w:spacing w:after="0" w:line="360" w:lineRule="auto"/>
        <w:jc w:val="both"/>
        <w:rPr>
          <w:rFonts w:ascii="Times New Roman" w:eastAsia="Times New Roman" w:hAnsi="Times New Roman" w:cs="Times New Roman"/>
          <w:sz w:val="23"/>
          <w:szCs w:val="23"/>
        </w:rPr>
      </w:pPr>
    </w:p>
    <w:p w:rsidR="001A23FD" w:rsidRPr="00934DE7" w:rsidRDefault="00554D99" w:rsidP="00934DE7">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assigned to me</w:t>
      </w:r>
      <w:r w:rsidR="001A23FD" w:rsidRPr="00934DE7">
        <w:rPr>
          <w:rFonts w:ascii="Times New Roman" w:eastAsia="Times New Roman" w:hAnsi="Times New Roman" w:cs="Times New Roman"/>
          <w:sz w:val="24"/>
          <w:szCs w:val="24"/>
        </w:rPr>
        <w:t xml:space="preserve"> is to study the financial </w:t>
      </w:r>
      <w:r w:rsidR="00EE41D2" w:rsidRPr="00934DE7">
        <w:rPr>
          <w:rFonts w:ascii="Times New Roman" w:eastAsia="Times New Roman" w:hAnsi="Times New Roman" w:cs="Times New Roman"/>
          <w:sz w:val="24"/>
          <w:szCs w:val="24"/>
        </w:rPr>
        <w:t>statement</w:t>
      </w:r>
      <w:r w:rsidR="00242FFC" w:rsidRPr="00934DE7">
        <w:rPr>
          <w:rFonts w:ascii="Times New Roman" w:eastAsia="Times New Roman" w:hAnsi="Times New Roman" w:cs="Times New Roman"/>
          <w:sz w:val="24"/>
          <w:szCs w:val="24"/>
        </w:rPr>
        <w:t>s</w:t>
      </w:r>
      <w:r w:rsidR="00EE41D2" w:rsidRPr="00934DE7">
        <w:rPr>
          <w:rFonts w:ascii="Times New Roman" w:eastAsia="Times New Roman" w:hAnsi="Times New Roman" w:cs="Times New Roman"/>
          <w:sz w:val="24"/>
          <w:szCs w:val="24"/>
        </w:rPr>
        <w:t xml:space="preserve"> </w:t>
      </w:r>
      <w:r w:rsidR="001A23FD" w:rsidRPr="00934DE7">
        <w:rPr>
          <w:rFonts w:ascii="Times New Roman" w:eastAsia="Times New Roman" w:hAnsi="Times New Roman" w:cs="Times New Roman"/>
          <w:sz w:val="24"/>
          <w:szCs w:val="24"/>
        </w:rPr>
        <w:t xml:space="preserve">of ITC. Through this report, </w:t>
      </w:r>
      <w:proofErr w:type="gramStart"/>
      <w:r>
        <w:rPr>
          <w:rFonts w:ascii="Times New Roman" w:eastAsia="Times New Roman" w:hAnsi="Times New Roman" w:cs="Times New Roman"/>
          <w:sz w:val="24"/>
          <w:szCs w:val="24"/>
        </w:rPr>
        <w:t xml:space="preserve">I </w:t>
      </w:r>
      <w:r w:rsidR="00242FFC" w:rsidRPr="00934DE7">
        <w:rPr>
          <w:rFonts w:ascii="Times New Roman" w:eastAsia="Times New Roman" w:hAnsi="Times New Roman" w:cs="Times New Roman"/>
          <w:sz w:val="24"/>
          <w:szCs w:val="24"/>
        </w:rPr>
        <w:t xml:space="preserve"> </w:t>
      </w:r>
      <w:r w:rsidR="001A23FD" w:rsidRPr="00934DE7">
        <w:rPr>
          <w:rFonts w:ascii="Times New Roman" w:eastAsia="Times New Roman" w:hAnsi="Times New Roman" w:cs="Times New Roman"/>
          <w:sz w:val="24"/>
          <w:szCs w:val="24"/>
        </w:rPr>
        <w:t>made</w:t>
      </w:r>
      <w:proofErr w:type="gramEnd"/>
      <w:r w:rsidR="001A23FD" w:rsidRPr="00934DE7">
        <w:rPr>
          <w:rFonts w:ascii="Times New Roman" w:eastAsia="Times New Roman" w:hAnsi="Times New Roman" w:cs="Times New Roman"/>
          <w:sz w:val="24"/>
          <w:szCs w:val="24"/>
        </w:rPr>
        <w:t xml:space="preserve"> an effort to analyze the environment in which ITC Limited is operating, its financial health and the value its enduring.</w:t>
      </w:r>
    </w:p>
    <w:p w:rsidR="001A23FD" w:rsidRPr="00934DE7" w:rsidRDefault="001A23FD"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1A23FD" w:rsidRPr="00934DE7" w:rsidRDefault="001A23FD" w:rsidP="00934DE7">
      <w:pPr>
        <w:autoSpaceDE w:val="0"/>
        <w:autoSpaceDN w:val="0"/>
        <w:adjustRightInd w:val="0"/>
        <w:spacing w:after="0" w:line="360" w:lineRule="auto"/>
        <w:jc w:val="both"/>
        <w:rPr>
          <w:rFonts w:ascii="Times New Roman" w:eastAsia="Times New Roman" w:hAnsi="Times New Roman" w:cs="Times New Roman"/>
          <w:sz w:val="24"/>
          <w:szCs w:val="24"/>
        </w:rPr>
      </w:pPr>
      <w:r w:rsidRPr="00934DE7">
        <w:rPr>
          <w:rFonts w:ascii="Times New Roman" w:eastAsia="Times New Roman" w:hAnsi="Times New Roman" w:cs="Times New Roman"/>
          <w:sz w:val="24"/>
          <w:szCs w:val="24"/>
        </w:rPr>
        <w:t xml:space="preserve">Through </w:t>
      </w:r>
      <w:r w:rsidR="007D0060" w:rsidRPr="00934DE7">
        <w:rPr>
          <w:rFonts w:ascii="Times New Roman" w:eastAsia="Times New Roman" w:hAnsi="Times New Roman" w:cs="Times New Roman"/>
          <w:sz w:val="24"/>
          <w:szCs w:val="24"/>
        </w:rPr>
        <w:t>an</w:t>
      </w:r>
      <w:r w:rsidRPr="00934DE7">
        <w:rPr>
          <w:rFonts w:ascii="Times New Roman" w:eastAsia="Times New Roman" w:hAnsi="Times New Roman" w:cs="Times New Roman"/>
          <w:sz w:val="24"/>
          <w:szCs w:val="24"/>
        </w:rPr>
        <w:t xml:space="preserve"> environment, indu</w:t>
      </w:r>
      <w:r w:rsidR="001C27B8">
        <w:rPr>
          <w:rFonts w:ascii="Times New Roman" w:eastAsia="Times New Roman" w:hAnsi="Times New Roman" w:cs="Times New Roman"/>
          <w:sz w:val="24"/>
          <w:szCs w:val="24"/>
        </w:rPr>
        <w:t>stry and company analysis, my</w:t>
      </w:r>
      <w:r w:rsidRPr="00934DE7">
        <w:rPr>
          <w:rFonts w:ascii="Times New Roman" w:eastAsia="Times New Roman" w:hAnsi="Times New Roman" w:cs="Times New Roman"/>
          <w:sz w:val="24"/>
          <w:szCs w:val="24"/>
        </w:rPr>
        <w:t xml:space="preserve"> aim to understand the external factors influencing the company and its decision </w:t>
      </w:r>
      <w:r w:rsidR="001C27B8">
        <w:rPr>
          <w:rFonts w:ascii="Times New Roman" w:eastAsia="Times New Roman" w:hAnsi="Times New Roman" w:cs="Times New Roman"/>
          <w:sz w:val="24"/>
          <w:szCs w:val="24"/>
        </w:rPr>
        <w:t>making. Later, I</w:t>
      </w:r>
      <w:r w:rsidR="00C51ADB" w:rsidRPr="00934DE7">
        <w:rPr>
          <w:rFonts w:ascii="Times New Roman" w:eastAsia="Times New Roman" w:hAnsi="Times New Roman" w:cs="Times New Roman"/>
          <w:sz w:val="24"/>
          <w:szCs w:val="24"/>
        </w:rPr>
        <w:t xml:space="preserve"> </w:t>
      </w:r>
      <w:r w:rsidRPr="00934DE7">
        <w:rPr>
          <w:rFonts w:ascii="Times New Roman" w:eastAsia="Times New Roman" w:hAnsi="Times New Roman" w:cs="Times New Roman"/>
          <w:sz w:val="24"/>
          <w:szCs w:val="24"/>
        </w:rPr>
        <w:t xml:space="preserve">evaluated the various ratios to appreciate their impact on company’s performance over the last five years. </w:t>
      </w:r>
    </w:p>
    <w:p w:rsidR="001A23FD" w:rsidRPr="00934DE7" w:rsidRDefault="001A23FD"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1A23FD" w:rsidRPr="00934DE7" w:rsidRDefault="001A23FD" w:rsidP="00934DE7">
      <w:pPr>
        <w:autoSpaceDE w:val="0"/>
        <w:autoSpaceDN w:val="0"/>
        <w:adjustRightInd w:val="0"/>
        <w:spacing w:after="0" w:line="360" w:lineRule="auto"/>
        <w:jc w:val="both"/>
        <w:rPr>
          <w:rFonts w:ascii="Times New Roman" w:eastAsia="Times New Roman" w:hAnsi="Times New Roman" w:cs="Times New Roman"/>
          <w:sz w:val="24"/>
          <w:szCs w:val="24"/>
        </w:rPr>
      </w:pPr>
      <w:r w:rsidRPr="00934DE7">
        <w:rPr>
          <w:rFonts w:ascii="Times New Roman" w:eastAsia="Times New Roman" w:hAnsi="Times New Roman" w:cs="Times New Roman"/>
          <w:sz w:val="24"/>
          <w:szCs w:val="24"/>
        </w:rPr>
        <w:t xml:space="preserve">A </w:t>
      </w:r>
      <w:r w:rsidR="007D0060" w:rsidRPr="00934DE7">
        <w:rPr>
          <w:rFonts w:ascii="Times New Roman" w:eastAsia="Times New Roman" w:hAnsi="Times New Roman" w:cs="Times New Roman"/>
          <w:sz w:val="24"/>
          <w:szCs w:val="24"/>
        </w:rPr>
        <w:t>DuPont</w:t>
      </w:r>
      <w:r w:rsidRPr="00934DE7">
        <w:rPr>
          <w:rFonts w:ascii="Times New Roman" w:eastAsia="Times New Roman" w:hAnsi="Times New Roman" w:cs="Times New Roman"/>
          <w:sz w:val="24"/>
          <w:szCs w:val="24"/>
        </w:rPr>
        <w:t xml:space="preserve"> analysis is also done to check the credibility of company as per shareholders, financial </w:t>
      </w:r>
      <w:r w:rsidR="00C66DE5" w:rsidRPr="00934DE7">
        <w:rPr>
          <w:rFonts w:ascii="Times New Roman" w:eastAsia="Times New Roman" w:hAnsi="Times New Roman" w:cs="Times New Roman"/>
          <w:sz w:val="24"/>
          <w:szCs w:val="24"/>
        </w:rPr>
        <w:t xml:space="preserve">analysts and other mutual funds. </w:t>
      </w:r>
      <w:r w:rsidRPr="00934DE7">
        <w:rPr>
          <w:rFonts w:ascii="Times New Roman" w:eastAsia="Times New Roman" w:hAnsi="Times New Roman" w:cs="Times New Roman"/>
          <w:sz w:val="24"/>
          <w:szCs w:val="24"/>
        </w:rPr>
        <w:t xml:space="preserve">The financial statements of last five years are </w:t>
      </w:r>
      <w:r w:rsidR="007D0060" w:rsidRPr="00934DE7">
        <w:rPr>
          <w:rFonts w:ascii="Times New Roman" w:eastAsia="Times New Roman" w:hAnsi="Times New Roman" w:cs="Times New Roman"/>
          <w:sz w:val="24"/>
          <w:szCs w:val="24"/>
        </w:rPr>
        <w:t>analyzed</w:t>
      </w:r>
      <w:r w:rsidRPr="00934DE7">
        <w:rPr>
          <w:rFonts w:ascii="Times New Roman" w:eastAsia="Times New Roman" w:hAnsi="Times New Roman" w:cs="Times New Roman"/>
          <w:sz w:val="24"/>
          <w:szCs w:val="24"/>
        </w:rPr>
        <w:t>, studied and interpreted in light of company’s performance.</w:t>
      </w:r>
      <w:r w:rsidR="00C66DE5" w:rsidRPr="00934DE7">
        <w:rPr>
          <w:rFonts w:ascii="Times New Roman" w:eastAsia="Times New Roman" w:hAnsi="Times New Roman" w:cs="Times New Roman"/>
          <w:sz w:val="24"/>
          <w:szCs w:val="24"/>
        </w:rPr>
        <w:t xml:space="preserve"> A secondary research has been done on activities being done by the company such as c</w:t>
      </w:r>
      <w:r w:rsidRPr="00934DE7">
        <w:rPr>
          <w:rFonts w:ascii="Times New Roman" w:eastAsia="Times New Roman" w:hAnsi="Times New Roman" w:cs="Times New Roman"/>
          <w:sz w:val="24"/>
          <w:szCs w:val="24"/>
        </w:rPr>
        <w:t xml:space="preserve">ritical decisions of distributing dividends, Issue of bonus </w:t>
      </w:r>
      <w:r w:rsidR="00EE41D2" w:rsidRPr="00934DE7">
        <w:rPr>
          <w:rFonts w:ascii="Times New Roman" w:eastAsia="Times New Roman" w:hAnsi="Times New Roman" w:cs="Times New Roman"/>
          <w:sz w:val="24"/>
          <w:szCs w:val="24"/>
        </w:rPr>
        <w:t>shares</w:t>
      </w:r>
      <w:r w:rsidRPr="00934DE7">
        <w:rPr>
          <w:rFonts w:ascii="Times New Roman" w:eastAsia="Times New Roman" w:hAnsi="Times New Roman" w:cs="Times New Roman"/>
          <w:sz w:val="24"/>
          <w:szCs w:val="24"/>
        </w:rPr>
        <w:t xml:space="preserve"> and other current news are analyzed and their impact on the bottom line of the company is assessed.</w:t>
      </w:r>
    </w:p>
    <w:p w:rsidR="001A23FD" w:rsidRPr="00934DE7" w:rsidRDefault="001A23FD"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1A23FD" w:rsidRPr="00934DE7" w:rsidRDefault="00934DE7" w:rsidP="00934DE7">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benchmark, I</w:t>
      </w:r>
      <w:r w:rsidR="00C51ADB" w:rsidRPr="00934DE7">
        <w:rPr>
          <w:rFonts w:ascii="Times New Roman" w:eastAsia="Times New Roman" w:hAnsi="Times New Roman" w:cs="Times New Roman"/>
          <w:sz w:val="24"/>
          <w:szCs w:val="24"/>
        </w:rPr>
        <w:t xml:space="preserve"> have</w:t>
      </w:r>
      <w:r w:rsidR="001A23FD" w:rsidRPr="00934DE7">
        <w:rPr>
          <w:rFonts w:ascii="Times New Roman" w:eastAsia="Times New Roman" w:hAnsi="Times New Roman" w:cs="Times New Roman"/>
          <w:sz w:val="24"/>
          <w:szCs w:val="24"/>
        </w:rPr>
        <w:t xml:space="preserve"> also analyze</w:t>
      </w:r>
      <w:r w:rsidR="00C66DE5" w:rsidRPr="00934DE7">
        <w:rPr>
          <w:rFonts w:ascii="Times New Roman" w:eastAsia="Times New Roman" w:hAnsi="Times New Roman" w:cs="Times New Roman"/>
          <w:sz w:val="24"/>
          <w:szCs w:val="24"/>
        </w:rPr>
        <w:t>d</w:t>
      </w:r>
      <w:r w:rsidR="001A23FD" w:rsidRPr="00934DE7">
        <w:rPr>
          <w:rFonts w:ascii="Times New Roman" w:eastAsia="Times New Roman" w:hAnsi="Times New Roman" w:cs="Times New Roman"/>
          <w:sz w:val="24"/>
          <w:szCs w:val="24"/>
        </w:rPr>
        <w:t xml:space="preserve"> various components of the company vis-à-vis other competitors in the same segment. </w:t>
      </w:r>
      <w:r>
        <w:rPr>
          <w:rFonts w:ascii="Times New Roman" w:eastAsia="Times New Roman" w:hAnsi="Times New Roman" w:cs="Times New Roman"/>
          <w:sz w:val="24"/>
          <w:szCs w:val="24"/>
        </w:rPr>
        <w:t>Finally, I</w:t>
      </w:r>
      <w:r w:rsidR="00C66DE5" w:rsidRPr="00934DE7">
        <w:rPr>
          <w:rFonts w:ascii="Times New Roman" w:eastAsia="Times New Roman" w:hAnsi="Times New Roman" w:cs="Times New Roman"/>
          <w:sz w:val="24"/>
          <w:szCs w:val="24"/>
        </w:rPr>
        <w:t xml:space="preserve"> </w:t>
      </w:r>
      <w:r w:rsidR="00EE41D2" w:rsidRPr="00934DE7">
        <w:rPr>
          <w:rFonts w:ascii="Times New Roman" w:eastAsia="Times New Roman" w:hAnsi="Times New Roman" w:cs="Times New Roman"/>
          <w:sz w:val="24"/>
          <w:szCs w:val="24"/>
        </w:rPr>
        <w:t xml:space="preserve">have </w:t>
      </w:r>
      <w:r w:rsidR="00C66DE5" w:rsidRPr="00934DE7">
        <w:rPr>
          <w:rFonts w:ascii="Times New Roman" w:eastAsia="Times New Roman" w:hAnsi="Times New Roman" w:cs="Times New Roman"/>
          <w:sz w:val="24"/>
          <w:szCs w:val="24"/>
        </w:rPr>
        <w:t>also stud</w:t>
      </w:r>
      <w:r w:rsidR="00EE41D2" w:rsidRPr="00934DE7">
        <w:rPr>
          <w:rFonts w:ascii="Times New Roman" w:eastAsia="Times New Roman" w:hAnsi="Times New Roman" w:cs="Times New Roman"/>
          <w:sz w:val="24"/>
          <w:szCs w:val="24"/>
        </w:rPr>
        <w:t>ied</w:t>
      </w:r>
      <w:r w:rsidR="00C66DE5" w:rsidRPr="00934DE7">
        <w:rPr>
          <w:rFonts w:ascii="Times New Roman" w:eastAsia="Times New Roman" w:hAnsi="Times New Roman" w:cs="Times New Roman"/>
          <w:sz w:val="24"/>
          <w:szCs w:val="24"/>
        </w:rPr>
        <w:t xml:space="preserve"> the </w:t>
      </w:r>
      <w:r w:rsidR="001A23FD" w:rsidRPr="00934DE7">
        <w:rPr>
          <w:rFonts w:ascii="Times New Roman" w:eastAsia="Times New Roman" w:hAnsi="Times New Roman" w:cs="Times New Roman"/>
          <w:sz w:val="24"/>
          <w:szCs w:val="24"/>
        </w:rPr>
        <w:t xml:space="preserve"> valuation of Fixed Assets, Inventory, Investments and Employee related liabilities to end with the amount of Economic Value Added by the players </w:t>
      </w:r>
      <w:r w:rsidR="00C66DE5" w:rsidRPr="00934DE7">
        <w:rPr>
          <w:rFonts w:ascii="Times New Roman" w:eastAsia="Times New Roman" w:hAnsi="Times New Roman" w:cs="Times New Roman"/>
          <w:sz w:val="24"/>
          <w:szCs w:val="24"/>
        </w:rPr>
        <w:t>in that segment for the FY 2013</w:t>
      </w:r>
      <w:r w:rsidR="001A23FD" w:rsidRPr="00934DE7">
        <w:rPr>
          <w:rFonts w:ascii="Times New Roman" w:eastAsia="Times New Roman" w:hAnsi="Times New Roman" w:cs="Times New Roman"/>
          <w:sz w:val="24"/>
          <w:szCs w:val="24"/>
        </w:rPr>
        <w:t>.</w:t>
      </w:r>
      <w:r w:rsidRPr="00934DE7">
        <w:rPr>
          <w:rFonts w:ascii="Times New Roman" w:eastAsia="Times New Roman" w:hAnsi="Times New Roman" w:cs="Times New Roman"/>
          <w:sz w:val="24"/>
          <w:szCs w:val="24"/>
        </w:rPr>
        <w:t xml:space="preserve"> </w:t>
      </w:r>
    </w:p>
    <w:p w:rsidR="004231F5" w:rsidRDefault="00934DE7" w:rsidP="00934DE7">
      <w:pPr>
        <w:autoSpaceDE w:val="0"/>
        <w:autoSpaceDN w:val="0"/>
        <w:adjustRightInd w:val="0"/>
        <w:spacing w:after="0" w:line="360" w:lineRule="auto"/>
        <w:jc w:val="both"/>
        <w:rPr>
          <w:rFonts w:ascii="Times New Roman" w:eastAsia="Times New Roman" w:hAnsi="Times New Roman" w:cs="Times New Roman"/>
          <w:sz w:val="24"/>
          <w:szCs w:val="24"/>
        </w:rPr>
      </w:pPr>
      <w:r w:rsidRPr="00934DE7">
        <w:rPr>
          <w:rFonts w:ascii="Times New Roman" w:eastAsia="Times New Roman" w:hAnsi="Times New Roman" w:cs="Times New Roman"/>
          <w:sz w:val="24"/>
          <w:szCs w:val="24"/>
        </w:rPr>
        <w:t xml:space="preserve"> After analyzing the financial statements I have also done valuation for the company by using estimates available and have written this report.</w:t>
      </w:r>
      <w:r w:rsidR="00554D99">
        <w:rPr>
          <w:rFonts w:ascii="Times New Roman" w:eastAsia="Times New Roman" w:hAnsi="Times New Roman" w:cs="Times New Roman"/>
          <w:sz w:val="24"/>
          <w:szCs w:val="24"/>
        </w:rPr>
        <w:t xml:space="preserve"> The DCF valuation has been given more </w:t>
      </w:r>
      <w:proofErr w:type="gramStart"/>
      <w:r w:rsidR="00554D99">
        <w:rPr>
          <w:rFonts w:ascii="Times New Roman" w:eastAsia="Times New Roman" w:hAnsi="Times New Roman" w:cs="Times New Roman"/>
          <w:sz w:val="24"/>
          <w:szCs w:val="24"/>
        </w:rPr>
        <w:t>importance</w:t>
      </w:r>
      <w:proofErr w:type="gramEnd"/>
      <w:r w:rsidR="00554D99">
        <w:rPr>
          <w:rFonts w:ascii="Times New Roman" w:eastAsia="Times New Roman" w:hAnsi="Times New Roman" w:cs="Times New Roman"/>
          <w:sz w:val="24"/>
          <w:szCs w:val="24"/>
        </w:rPr>
        <w:t xml:space="preserve"> in my project as it is more conservative and also more technical to establish value. The free cash flows are calculated for the past five years and also the terminal value of these cash flows has been calculated. </w:t>
      </w:r>
    </w:p>
    <w:p w:rsidR="004231F5" w:rsidRDefault="004231F5"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4231F5" w:rsidRDefault="004231F5"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4231F5" w:rsidRDefault="004231F5"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4231F5" w:rsidRDefault="004231F5" w:rsidP="00934DE7">
      <w:pPr>
        <w:autoSpaceDE w:val="0"/>
        <w:autoSpaceDN w:val="0"/>
        <w:adjustRightInd w:val="0"/>
        <w:spacing w:after="0" w:line="360" w:lineRule="auto"/>
        <w:jc w:val="both"/>
        <w:rPr>
          <w:rFonts w:ascii="Times New Roman" w:eastAsia="Times New Roman" w:hAnsi="Times New Roman" w:cs="Times New Roman"/>
          <w:sz w:val="24"/>
          <w:szCs w:val="24"/>
        </w:rPr>
      </w:pPr>
    </w:p>
    <w:p w:rsidR="00934DE7" w:rsidRPr="00934DE7" w:rsidRDefault="00554D99" w:rsidP="00934DE7">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discounting rate has been calculated by using CAPM model and the free cash flows have been discounted by the discount rate. Also a terminal growth rate is assumed and the future cash flows have been calculated. With these future cash flows the Free Cash Flow for the Firm (FCFF) and </w:t>
      </w:r>
      <w:proofErr w:type="gramStart"/>
      <w:r>
        <w:rPr>
          <w:rFonts w:ascii="Times New Roman" w:eastAsia="Times New Roman" w:hAnsi="Times New Roman" w:cs="Times New Roman"/>
          <w:sz w:val="24"/>
          <w:szCs w:val="24"/>
        </w:rPr>
        <w:t>Free</w:t>
      </w:r>
      <w:proofErr w:type="gramEnd"/>
      <w:r>
        <w:rPr>
          <w:rFonts w:ascii="Times New Roman" w:eastAsia="Times New Roman" w:hAnsi="Times New Roman" w:cs="Times New Roman"/>
          <w:sz w:val="24"/>
          <w:szCs w:val="24"/>
        </w:rPr>
        <w:t xml:space="preserve"> cash flow to Equity (FCFE) are calculated.  Also a comparable company multiples approach has been calculated to compare ITC to its competitors.</w:t>
      </w:r>
    </w:p>
    <w:p w:rsidR="00934DE7" w:rsidRDefault="00934DE7" w:rsidP="005740B1">
      <w:pPr>
        <w:autoSpaceDE w:val="0"/>
        <w:autoSpaceDN w:val="0"/>
        <w:adjustRightInd w:val="0"/>
        <w:spacing w:after="0" w:line="360" w:lineRule="auto"/>
        <w:jc w:val="both"/>
        <w:rPr>
          <w:rFonts w:ascii="Times New Roman" w:eastAsia="Times New Roman" w:hAnsi="Times New Roman" w:cs="Times New Roman"/>
          <w:sz w:val="23"/>
          <w:szCs w:val="23"/>
        </w:rPr>
      </w:pPr>
    </w:p>
    <w:p w:rsidR="00934DE7" w:rsidRPr="001A23FD" w:rsidRDefault="00934DE7" w:rsidP="005740B1">
      <w:pPr>
        <w:autoSpaceDE w:val="0"/>
        <w:autoSpaceDN w:val="0"/>
        <w:adjustRightInd w:val="0"/>
        <w:spacing w:after="0" w:line="360" w:lineRule="auto"/>
        <w:jc w:val="both"/>
        <w:rPr>
          <w:rFonts w:ascii="Times New Roman" w:eastAsia="Times New Roman" w:hAnsi="Times New Roman" w:cs="Times New Roman"/>
          <w:sz w:val="23"/>
          <w:szCs w:val="23"/>
        </w:rPr>
      </w:pPr>
    </w:p>
    <w:p w:rsidR="001A23FD" w:rsidRDefault="001A23FD" w:rsidP="00C66DE5">
      <w:pPr>
        <w:tabs>
          <w:tab w:val="left" w:pos="3960"/>
        </w:tabs>
        <w:spacing w:line="360" w:lineRule="auto"/>
        <w:ind w:left="720"/>
        <w:jc w:val="both"/>
        <w:rPr>
          <w:rFonts w:ascii="Times New Roman" w:hAnsi="Times New Roman" w:cs="Times New Roman"/>
          <w:b/>
          <w:sz w:val="24"/>
          <w:szCs w:val="24"/>
        </w:rPr>
      </w:pPr>
      <w:r w:rsidRPr="001A23FD">
        <w:rPr>
          <w:rFonts w:ascii="Times New Roman" w:eastAsia="Times New Roman" w:hAnsi="Times New Roman" w:cs="Times New Roman"/>
          <w:sz w:val="48"/>
          <w:szCs w:val="48"/>
        </w:rPr>
        <w:br w:type="page"/>
      </w:r>
    </w:p>
    <w:p w:rsidR="004E1B0F" w:rsidRDefault="004E1B0F" w:rsidP="00E938B5">
      <w:pPr>
        <w:jc w:val="center"/>
        <w:rPr>
          <w:rFonts w:ascii="Times New Roman" w:hAnsi="Times New Roman" w:cs="Times New Roman"/>
          <w:b/>
          <w:sz w:val="24"/>
          <w:szCs w:val="24"/>
        </w:rPr>
      </w:pPr>
      <w:r w:rsidRPr="00901148">
        <w:rPr>
          <w:rFonts w:ascii="Times New Roman" w:hAnsi="Times New Roman" w:cs="Times New Roman"/>
          <w:b/>
          <w:sz w:val="28"/>
          <w:szCs w:val="24"/>
        </w:rPr>
        <w:lastRenderedPageBreak/>
        <w:t>THESIS</w:t>
      </w:r>
    </w:p>
    <w:p w:rsidR="004E1B0F" w:rsidRPr="004E1B0F" w:rsidRDefault="004E1B0F" w:rsidP="00901148">
      <w:pPr>
        <w:shd w:val="clear" w:color="auto" w:fill="FDFDFD"/>
        <w:spacing w:before="100" w:beforeAutospacing="1" w:after="100" w:afterAutospacing="1" w:line="360" w:lineRule="auto"/>
        <w:jc w:val="both"/>
        <w:rPr>
          <w:rFonts w:ascii="Times New Roman" w:eastAsia="Times New Roman" w:hAnsi="Times New Roman" w:cs="Times New Roman"/>
          <w:color w:val="333333"/>
          <w:sz w:val="24"/>
          <w:szCs w:val="24"/>
        </w:rPr>
      </w:pPr>
      <w:r w:rsidRPr="004E1B0F">
        <w:rPr>
          <w:rFonts w:ascii="Times New Roman" w:eastAsia="Times New Roman" w:hAnsi="Times New Roman" w:cs="Times New Roman"/>
          <w:color w:val="333333"/>
          <w:sz w:val="24"/>
          <w:szCs w:val="24"/>
        </w:rPr>
        <w:t>ITC, India’s largest cigarette manufacturer by revenue, has garnered leading market share through its popular brands. It's not without its share of challenges, which include competitive pressures from cheaper substitutes such as chewing tobacco and leaf-rolled tobacco, and the potential for further government intervention (like the passage of higher taxes). Even so, ITC has defended its turf for several years by investing in product innovation, and in marketing its core brands. In addition, ITC has also recently expanded its product set to include lower-priced products (which are subject to a lower tax rate) to expand its customer reach. This has allowed it to post solid sales growth and expand operating margins in its cigarette business, despite rising taxes. We believe ITC will continue to hold a dominant position in the Indian cigarette market for over a decade, and we think Indian smokers will trade up to more premium brands as the prevalence of smoking increases (unlike in developed economies, where smoking is declining).</w:t>
      </w:r>
    </w:p>
    <w:p w:rsidR="004E1B0F" w:rsidRPr="004E1B0F" w:rsidRDefault="004E1B0F" w:rsidP="00901148">
      <w:pPr>
        <w:shd w:val="clear" w:color="auto" w:fill="FDFDFD"/>
        <w:spacing w:before="100" w:beforeAutospacing="1" w:after="100" w:afterAutospacing="1" w:line="360" w:lineRule="auto"/>
        <w:jc w:val="both"/>
        <w:rPr>
          <w:rFonts w:ascii="Times New Roman" w:eastAsia="Times New Roman" w:hAnsi="Times New Roman" w:cs="Times New Roman"/>
          <w:color w:val="333333"/>
          <w:sz w:val="24"/>
          <w:szCs w:val="24"/>
        </w:rPr>
      </w:pPr>
      <w:r w:rsidRPr="004E1B0F">
        <w:rPr>
          <w:rFonts w:ascii="Times New Roman" w:eastAsia="Times New Roman" w:hAnsi="Times New Roman" w:cs="Times New Roman"/>
          <w:color w:val="333333"/>
          <w:sz w:val="24"/>
          <w:szCs w:val="24"/>
        </w:rPr>
        <w:t>We believe ITC Limited enjoys a narrow economic moat, owing to its brand strength, pricing power, and the addictive nature of its core product. Large competitors, including Godfrey Philips and VST Industries, combined, hold approximately 20% share of the Indian cigarette market. Less than 5% of the total market by value, but 48% by volume, is served by over 300 unorganized cigarette and leaf-rolled tobacco manufacturers, which pose a low-price substitute to branded cigarettes. By launching branded products at lower price points, ITC has been able to effectively compete with these unbranded tobacco producers, and improve its market share over time.</w:t>
      </w:r>
    </w:p>
    <w:p w:rsidR="004E1B0F" w:rsidRDefault="004E1B0F" w:rsidP="00901148">
      <w:pPr>
        <w:shd w:val="clear" w:color="auto" w:fill="FDFDFD"/>
        <w:spacing w:before="100" w:beforeAutospacing="1" w:after="100" w:afterAutospacing="1" w:line="360" w:lineRule="auto"/>
        <w:jc w:val="both"/>
        <w:rPr>
          <w:rFonts w:ascii="Times New Roman" w:eastAsia="Times New Roman" w:hAnsi="Times New Roman" w:cs="Times New Roman"/>
          <w:color w:val="333333"/>
          <w:sz w:val="24"/>
          <w:szCs w:val="24"/>
        </w:rPr>
      </w:pPr>
      <w:r w:rsidRPr="004E1B0F">
        <w:rPr>
          <w:rFonts w:ascii="Times New Roman" w:eastAsia="Times New Roman" w:hAnsi="Times New Roman" w:cs="Times New Roman"/>
          <w:color w:val="333333"/>
          <w:sz w:val="24"/>
          <w:szCs w:val="24"/>
        </w:rPr>
        <w:t>ITC holds a greater-than-majority share of India's organized cigarette market, and has been able to raise prices while maintaining volume growth. Given that most smokers remain brand loyal for a long time, and are addicted not only to smoking but also to the taste of their particular brand, we believe that ITC has a narrow economic moat and will sustain its leadership in the Indian cigarette market, despite competitive and regulatory pressures.</w:t>
      </w:r>
    </w:p>
    <w:p w:rsidR="00901148" w:rsidRPr="004E1B0F" w:rsidRDefault="00901148" w:rsidP="00901148">
      <w:pPr>
        <w:shd w:val="clear" w:color="auto" w:fill="FDFDFD"/>
        <w:spacing w:before="100" w:beforeAutospacing="1" w:after="100" w:afterAutospacing="1" w:line="360" w:lineRule="auto"/>
        <w:jc w:val="both"/>
        <w:rPr>
          <w:rFonts w:ascii="Times New Roman" w:eastAsia="Times New Roman" w:hAnsi="Times New Roman" w:cs="Times New Roman"/>
          <w:color w:val="333333"/>
          <w:sz w:val="24"/>
          <w:szCs w:val="24"/>
        </w:rPr>
      </w:pPr>
    </w:p>
    <w:p w:rsidR="001A23FD" w:rsidRDefault="001A23FD">
      <w:pPr>
        <w:rPr>
          <w:rFonts w:ascii="Times New Roman" w:hAnsi="Times New Roman" w:cs="Times New Roman"/>
          <w:b/>
          <w:sz w:val="24"/>
          <w:szCs w:val="24"/>
        </w:rPr>
      </w:pPr>
      <w:r>
        <w:rPr>
          <w:rFonts w:ascii="Times New Roman" w:hAnsi="Times New Roman" w:cs="Times New Roman"/>
          <w:b/>
          <w:sz w:val="24"/>
          <w:szCs w:val="24"/>
        </w:rPr>
        <w:br w:type="page"/>
      </w:r>
    </w:p>
    <w:p w:rsidR="00E938B5" w:rsidRDefault="00E938B5" w:rsidP="00E938B5">
      <w:pPr>
        <w:tabs>
          <w:tab w:val="left" w:pos="3960"/>
        </w:tabs>
        <w:jc w:val="center"/>
        <w:rPr>
          <w:rFonts w:ascii="Times New Roman" w:hAnsi="Times New Roman" w:cs="Times New Roman"/>
          <w:b/>
          <w:sz w:val="28"/>
          <w:szCs w:val="24"/>
        </w:rPr>
      </w:pPr>
      <w:r>
        <w:rPr>
          <w:rFonts w:ascii="Times New Roman" w:hAnsi="Times New Roman" w:cs="Times New Roman"/>
          <w:b/>
          <w:sz w:val="28"/>
          <w:szCs w:val="24"/>
        </w:rPr>
        <w:lastRenderedPageBreak/>
        <w:t>INTRODUCTION</w:t>
      </w:r>
    </w:p>
    <w:p w:rsidR="004A550B" w:rsidRDefault="00C66DE5" w:rsidP="005A28E7">
      <w:pPr>
        <w:tabs>
          <w:tab w:val="left" w:pos="3960"/>
        </w:tabs>
        <w:rPr>
          <w:rFonts w:ascii="Times New Roman" w:hAnsi="Times New Roman" w:cs="Times New Roman"/>
          <w:b/>
          <w:sz w:val="28"/>
          <w:szCs w:val="24"/>
        </w:rPr>
      </w:pPr>
      <w:r w:rsidRPr="00C66DE5">
        <w:rPr>
          <w:rFonts w:ascii="Times New Roman" w:hAnsi="Times New Roman" w:cs="Times New Roman"/>
          <w:b/>
          <w:sz w:val="28"/>
          <w:szCs w:val="24"/>
        </w:rPr>
        <w:t>COMPANY</w:t>
      </w:r>
      <w:r w:rsidR="004A550B" w:rsidRPr="00C66DE5">
        <w:rPr>
          <w:rFonts w:ascii="Times New Roman" w:hAnsi="Times New Roman" w:cs="Times New Roman"/>
          <w:b/>
          <w:sz w:val="28"/>
          <w:szCs w:val="24"/>
        </w:rPr>
        <w:t xml:space="preserve"> PROFILE</w:t>
      </w:r>
    </w:p>
    <w:p w:rsidR="00242FFC" w:rsidRDefault="005A28E7" w:rsidP="005A28E7">
      <w:pPr>
        <w:tabs>
          <w:tab w:val="left" w:pos="3960"/>
        </w:tabs>
        <w:spacing w:line="360" w:lineRule="auto"/>
        <w:ind w:right="2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ITC</w:t>
      </w:r>
      <w:r w:rsidRPr="004A550B">
        <w:rPr>
          <w:rFonts w:ascii="Times New Roman" w:hAnsi="Times New Roman" w:cs="Times New Roman"/>
          <w:sz w:val="24"/>
          <w:szCs w:val="24"/>
          <w:shd w:val="clear" w:color="auto" w:fill="FFFFFF"/>
        </w:rPr>
        <w:t xml:space="preserve"> Limited</w:t>
      </w:r>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or</w:t>
      </w:r>
      <w:r w:rsidRPr="004A550B">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ITC</w:t>
      </w:r>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is an Indian</w:t>
      </w:r>
      <w:r w:rsidRPr="004A550B">
        <w:rPr>
          <w:rStyle w:val="apple-converted-space"/>
          <w:rFonts w:ascii="Times New Roman" w:hAnsi="Times New Roman" w:cs="Times New Roman"/>
          <w:sz w:val="24"/>
          <w:szCs w:val="24"/>
          <w:shd w:val="clear" w:color="auto" w:fill="FFFFFF"/>
        </w:rPr>
        <w:t> </w:t>
      </w:r>
      <w:hyperlink r:id="rId8" w:tooltip="Conglomerate (company)" w:history="1">
        <w:r w:rsidRPr="004A550B">
          <w:rPr>
            <w:rStyle w:val="Hyperlink"/>
            <w:rFonts w:ascii="Times New Roman" w:hAnsi="Times New Roman" w:cs="Times New Roman"/>
            <w:color w:val="auto"/>
            <w:sz w:val="24"/>
            <w:szCs w:val="24"/>
            <w:u w:val="none"/>
            <w:shd w:val="clear" w:color="auto" w:fill="FFFFFF"/>
          </w:rPr>
          <w:t>conglomerate</w:t>
        </w:r>
      </w:hyperlink>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headquartered in</w:t>
      </w:r>
      <w:r w:rsidRPr="004A550B">
        <w:rPr>
          <w:rStyle w:val="apple-converted-space"/>
          <w:rFonts w:ascii="Times New Roman" w:hAnsi="Times New Roman" w:cs="Times New Roman"/>
          <w:sz w:val="24"/>
          <w:szCs w:val="24"/>
          <w:shd w:val="clear" w:color="auto" w:fill="FFFFFF"/>
        </w:rPr>
        <w:t> </w:t>
      </w:r>
      <w:hyperlink r:id="rId9" w:tooltip="Kolkata, West Bengal" w:history="1">
        <w:r>
          <w:rPr>
            <w:rStyle w:val="Hyperlink"/>
            <w:rFonts w:ascii="Times New Roman" w:hAnsi="Times New Roman" w:cs="Times New Roman"/>
            <w:color w:val="auto"/>
            <w:sz w:val="24"/>
            <w:szCs w:val="24"/>
            <w:u w:val="none"/>
            <w:shd w:val="clear" w:color="auto" w:fill="FFFFFF"/>
          </w:rPr>
          <w:t xml:space="preserve">Kolkata, West </w:t>
        </w:r>
        <w:r w:rsidRPr="004A550B">
          <w:rPr>
            <w:rStyle w:val="Hyperlink"/>
            <w:rFonts w:ascii="Times New Roman" w:hAnsi="Times New Roman" w:cs="Times New Roman"/>
            <w:color w:val="auto"/>
            <w:sz w:val="24"/>
            <w:szCs w:val="24"/>
            <w:u w:val="none"/>
            <w:shd w:val="clear" w:color="auto" w:fill="FFFFFF"/>
          </w:rPr>
          <w:t>Bengal</w:t>
        </w:r>
      </w:hyperlink>
      <w:r w:rsidRPr="004A550B">
        <w:rPr>
          <w:rFonts w:ascii="Times New Roman" w:hAnsi="Times New Roman" w:cs="Times New Roman"/>
          <w:sz w:val="24"/>
          <w:szCs w:val="24"/>
          <w:shd w:val="clear" w:color="auto" w:fill="FFFFFF"/>
        </w:rPr>
        <w:t>.</w:t>
      </w:r>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Its diversified business includes five segments:</w:t>
      </w:r>
      <w:r w:rsidRPr="004A550B">
        <w:rPr>
          <w:rStyle w:val="apple-converted-space"/>
          <w:rFonts w:ascii="Times New Roman" w:hAnsi="Times New Roman" w:cs="Times New Roman"/>
          <w:sz w:val="24"/>
          <w:szCs w:val="24"/>
          <w:shd w:val="clear" w:color="auto" w:fill="FFFFFF"/>
        </w:rPr>
        <w:t> </w:t>
      </w:r>
      <w:hyperlink r:id="rId10" w:tooltip="Fast-moving consumer goods" w:history="1">
        <w:r>
          <w:rPr>
            <w:rStyle w:val="Hyperlink"/>
            <w:rFonts w:ascii="Times New Roman" w:hAnsi="Times New Roman" w:cs="Times New Roman"/>
            <w:color w:val="auto"/>
            <w:sz w:val="24"/>
            <w:szCs w:val="24"/>
            <w:u w:val="none"/>
            <w:shd w:val="clear" w:color="auto" w:fill="FFFFFF"/>
          </w:rPr>
          <w:t xml:space="preserve">Fast Moving Consumer </w:t>
        </w:r>
        <w:r w:rsidRPr="004A550B">
          <w:rPr>
            <w:rStyle w:val="Hyperlink"/>
            <w:rFonts w:ascii="Times New Roman" w:hAnsi="Times New Roman" w:cs="Times New Roman"/>
            <w:color w:val="auto"/>
            <w:sz w:val="24"/>
            <w:szCs w:val="24"/>
            <w:u w:val="none"/>
            <w:shd w:val="clear" w:color="auto" w:fill="FFFFFF"/>
          </w:rPr>
          <w:t>Goods</w:t>
        </w:r>
      </w:hyperlink>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 xml:space="preserve">(FMCG), Hotels, Paperboards &amp; Packaging, and </w:t>
      </w:r>
      <w:proofErr w:type="spellStart"/>
      <w:r w:rsidRPr="004A550B">
        <w:rPr>
          <w:rFonts w:ascii="Times New Roman" w:hAnsi="Times New Roman" w:cs="Times New Roman"/>
          <w:sz w:val="24"/>
          <w:szCs w:val="24"/>
          <w:shd w:val="clear" w:color="auto" w:fill="FFFFFF"/>
        </w:rPr>
        <w:t>Agri</w:t>
      </w:r>
      <w:proofErr w:type="spellEnd"/>
      <w:r w:rsidRPr="004A550B">
        <w:rPr>
          <w:rFonts w:ascii="Times New Roman" w:hAnsi="Times New Roman" w:cs="Times New Roman"/>
          <w:sz w:val="24"/>
          <w:szCs w:val="24"/>
          <w:shd w:val="clear" w:color="auto" w:fill="FFFFFF"/>
        </w:rPr>
        <w:t xml:space="preserve"> Business &amp; Information Technology.</w:t>
      </w:r>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 xml:space="preserve"> In </w:t>
      </w:r>
      <w:r w:rsidR="00863594">
        <w:rPr>
          <w:rFonts w:ascii="Times New Roman" w:hAnsi="Times New Roman" w:cs="Times New Roman"/>
          <w:sz w:val="24"/>
          <w:szCs w:val="24"/>
          <w:shd w:val="clear" w:color="auto" w:fill="FFFFFF"/>
        </w:rPr>
        <w:t>2013-14</w:t>
      </w:r>
      <w:r w:rsidRPr="004A550B">
        <w:rPr>
          <w:rFonts w:ascii="Times New Roman" w:hAnsi="Times New Roman" w:cs="Times New Roman"/>
          <w:sz w:val="24"/>
          <w:szCs w:val="24"/>
          <w:shd w:val="clear" w:color="auto" w:fill="FFFFFF"/>
        </w:rPr>
        <w:t>, the company had an annual turnover of US$ 8.31 billion</w:t>
      </w:r>
      <w:r w:rsidRPr="004A550B">
        <w:rPr>
          <w:rFonts w:ascii="Times New Roman" w:hAnsi="Times New Roman" w:cs="Times New Roman"/>
          <w:sz w:val="24"/>
          <w:szCs w:val="24"/>
          <w:shd w:val="clear" w:color="auto" w:fill="FFFFFF"/>
          <w:vertAlign w:val="superscript"/>
        </w:rPr>
        <w:t xml:space="preserve"> </w:t>
      </w:r>
      <w:r>
        <w:rPr>
          <w:rFonts w:ascii="Times New Roman" w:hAnsi="Times New Roman" w:cs="Times New Roman"/>
          <w:sz w:val="24"/>
          <w:szCs w:val="24"/>
          <w:shd w:val="clear" w:color="auto" w:fill="FFFFFF"/>
        </w:rPr>
        <w:t xml:space="preserve">and </w:t>
      </w:r>
      <w:r w:rsidRPr="004A550B">
        <w:rPr>
          <w:rFonts w:ascii="Times New Roman" w:hAnsi="Times New Roman" w:cs="Times New Roman"/>
          <w:sz w:val="24"/>
          <w:szCs w:val="24"/>
          <w:shd w:val="clear" w:color="auto" w:fill="FFFFFF"/>
        </w:rPr>
        <w:t>a</w:t>
      </w:r>
      <w:r w:rsidRPr="004A550B">
        <w:rPr>
          <w:rStyle w:val="apple-converted-space"/>
          <w:rFonts w:ascii="Times New Roman" w:hAnsi="Times New Roman" w:cs="Times New Roman"/>
          <w:sz w:val="24"/>
          <w:szCs w:val="24"/>
          <w:shd w:val="clear" w:color="auto" w:fill="FFFFFF"/>
        </w:rPr>
        <w:t> </w:t>
      </w:r>
      <w:hyperlink r:id="rId11" w:tooltip="Market capitalisation" w:history="1">
        <w:r w:rsidRPr="004A550B">
          <w:rPr>
            <w:rStyle w:val="Hyperlink"/>
            <w:rFonts w:ascii="Times New Roman" w:hAnsi="Times New Roman" w:cs="Times New Roman"/>
            <w:color w:val="auto"/>
            <w:sz w:val="24"/>
            <w:szCs w:val="24"/>
            <w:u w:val="none"/>
            <w:shd w:val="clear" w:color="auto" w:fill="FFFFFF"/>
          </w:rPr>
          <w:t>market capitalization</w:t>
        </w:r>
      </w:hyperlink>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of US$ 45 billion. The company had its registered office at Kolkata. It started off as the Imperial Tobacco Company, and shares ancestry with Imperial Tobacco of the United Kingdom, but it is now fully independent, and was rechristened to India Tobacco company in 1970 and then to I.T.C limited in 1974.</w:t>
      </w:r>
      <w:r>
        <w:rPr>
          <w:rFonts w:ascii="Times New Roman" w:hAnsi="Times New Roman" w:cs="Times New Roman"/>
          <w:sz w:val="24"/>
          <w:szCs w:val="24"/>
          <w:shd w:val="clear" w:color="auto" w:fill="FFFFFF"/>
        </w:rPr>
        <w:t xml:space="preserve"> </w:t>
      </w:r>
      <w:r w:rsidRPr="004A550B">
        <w:rPr>
          <w:rFonts w:ascii="Times New Roman" w:hAnsi="Times New Roman" w:cs="Times New Roman"/>
          <w:sz w:val="24"/>
          <w:szCs w:val="24"/>
          <w:shd w:val="clear" w:color="auto" w:fill="FFFFFF"/>
        </w:rPr>
        <w:t xml:space="preserve">The company is currently headed by </w:t>
      </w:r>
      <w:proofErr w:type="spellStart"/>
      <w:r w:rsidRPr="004A550B">
        <w:rPr>
          <w:rFonts w:ascii="Times New Roman" w:hAnsi="Times New Roman" w:cs="Times New Roman"/>
          <w:sz w:val="24"/>
          <w:szCs w:val="24"/>
          <w:shd w:val="clear" w:color="auto" w:fill="FFFFFF"/>
        </w:rPr>
        <w:t>Yogesh</w:t>
      </w:r>
      <w:proofErr w:type="spellEnd"/>
      <w:r w:rsidRPr="004A550B">
        <w:rPr>
          <w:rFonts w:ascii="Times New Roman" w:hAnsi="Times New Roman" w:cs="Times New Roman"/>
          <w:sz w:val="24"/>
          <w:szCs w:val="24"/>
          <w:shd w:val="clear" w:color="auto" w:fill="FFFFFF"/>
        </w:rPr>
        <w:t xml:space="preserve"> </w:t>
      </w:r>
      <w:proofErr w:type="spellStart"/>
      <w:r w:rsidRPr="004A550B">
        <w:rPr>
          <w:rFonts w:ascii="Times New Roman" w:hAnsi="Times New Roman" w:cs="Times New Roman"/>
          <w:sz w:val="24"/>
          <w:szCs w:val="24"/>
          <w:shd w:val="clear" w:color="auto" w:fill="FFFFFF"/>
        </w:rPr>
        <w:t>Chander</w:t>
      </w:r>
      <w:proofErr w:type="spellEnd"/>
      <w:r w:rsidRPr="004A550B">
        <w:rPr>
          <w:rFonts w:ascii="Times New Roman" w:hAnsi="Times New Roman" w:cs="Times New Roman"/>
          <w:sz w:val="24"/>
          <w:szCs w:val="24"/>
          <w:shd w:val="clear" w:color="auto" w:fill="FFFFFF"/>
        </w:rPr>
        <w:t xml:space="preserve"> </w:t>
      </w:r>
      <w:proofErr w:type="spellStart"/>
      <w:r w:rsidRPr="004A550B">
        <w:rPr>
          <w:rFonts w:ascii="Times New Roman" w:hAnsi="Times New Roman" w:cs="Times New Roman"/>
          <w:sz w:val="24"/>
          <w:szCs w:val="24"/>
          <w:shd w:val="clear" w:color="auto" w:fill="FFFFFF"/>
        </w:rPr>
        <w:t>Deveshwar</w:t>
      </w:r>
      <w:proofErr w:type="spellEnd"/>
      <w:r w:rsidRPr="004A550B">
        <w:rPr>
          <w:rFonts w:ascii="Times New Roman" w:hAnsi="Times New Roman" w:cs="Times New Roman"/>
          <w:sz w:val="24"/>
          <w:szCs w:val="24"/>
          <w:shd w:val="clear" w:color="auto" w:fill="FFFFFF"/>
        </w:rPr>
        <w:t>. It employs over 25,000 people</w:t>
      </w:r>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at more than 60 locations across India and is part of</w:t>
      </w:r>
      <w:r w:rsidRPr="004A550B">
        <w:rPr>
          <w:rStyle w:val="apple-converted-space"/>
          <w:rFonts w:ascii="Times New Roman" w:hAnsi="Times New Roman" w:cs="Times New Roman"/>
          <w:sz w:val="24"/>
          <w:szCs w:val="24"/>
          <w:shd w:val="clear" w:color="auto" w:fill="FFFFFF"/>
        </w:rPr>
        <w:t> </w:t>
      </w:r>
      <w:hyperlink r:id="rId12" w:tooltip="Forbes 2000" w:history="1">
        <w:r w:rsidRPr="004A550B">
          <w:rPr>
            <w:rStyle w:val="Hyperlink"/>
            <w:rFonts w:ascii="Times New Roman" w:hAnsi="Times New Roman" w:cs="Times New Roman"/>
            <w:color w:val="auto"/>
            <w:sz w:val="24"/>
            <w:szCs w:val="24"/>
            <w:u w:val="none"/>
            <w:shd w:val="clear" w:color="auto" w:fill="FFFFFF"/>
          </w:rPr>
          <w:t>Forbes 2000</w:t>
        </w:r>
      </w:hyperlink>
      <w:r w:rsidRPr="004A550B">
        <w:rPr>
          <w:rStyle w:val="apple-converted-space"/>
          <w:rFonts w:ascii="Times New Roman" w:hAnsi="Times New Roman" w:cs="Times New Roman"/>
          <w:sz w:val="24"/>
          <w:szCs w:val="24"/>
          <w:shd w:val="clear" w:color="auto" w:fill="FFFFFF"/>
        </w:rPr>
        <w:t> </w:t>
      </w:r>
      <w:r w:rsidRPr="004A550B">
        <w:rPr>
          <w:rFonts w:ascii="Times New Roman" w:hAnsi="Times New Roman" w:cs="Times New Roman"/>
          <w:sz w:val="24"/>
          <w:szCs w:val="24"/>
          <w:shd w:val="clear" w:color="auto" w:fill="FFFFFF"/>
        </w:rPr>
        <w:t>list.</w:t>
      </w:r>
      <w:r>
        <w:rPr>
          <w:rFonts w:ascii="Times New Roman" w:hAnsi="Times New Roman" w:cs="Times New Roman"/>
          <w:sz w:val="24"/>
          <w:szCs w:val="24"/>
          <w:shd w:val="clear" w:color="auto" w:fill="FFFFFF"/>
        </w:rPr>
        <w:t xml:space="preserve"> ITC</w:t>
      </w:r>
      <w:r w:rsidRPr="004A550B">
        <w:rPr>
          <w:rFonts w:ascii="Times New Roman" w:hAnsi="Times New Roman" w:cs="Times New Roman"/>
          <w:sz w:val="24"/>
          <w:szCs w:val="24"/>
          <w:shd w:val="clear" w:color="auto" w:fill="FFFFFF"/>
        </w:rPr>
        <w:t xml:space="preserve"> Limited completed 100 years on 24 August 2010. </w:t>
      </w:r>
      <w:r>
        <w:rPr>
          <w:rFonts w:ascii="Times New Roman" w:hAnsi="Times New Roman" w:cs="Times New Roman"/>
          <w:sz w:val="24"/>
          <w:szCs w:val="24"/>
          <w:shd w:val="clear" w:color="auto" w:fill="FFFFFF"/>
        </w:rPr>
        <w:t>ITC</w:t>
      </w:r>
      <w:r w:rsidRPr="004A550B">
        <w:rPr>
          <w:rFonts w:ascii="Times New Roman" w:hAnsi="Times New Roman" w:cs="Times New Roman"/>
          <w:sz w:val="24"/>
          <w:szCs w:val="24"/>
          <w:shd w:val="clear" w:color="auto" w:fill="FFFFFF"/>
        </w:rPr>
        <w:t xml:space="preserve"> had a diversified presence in FMCG (Fast Moving Consumer Goods), Hotels, Paperboards and Specialty Papers, Packaging, Agri-Business and Information Technology. While </w:t>
      </w:r>
      <w:r>
        <w:rPr>
          <w:rFonts w:ascii="Times New Roman" w:hAnsi="Times New Roman" w:cs="Times New Roman"/>
          <w:sz w:val="24"/>
          <w:szCs w:val="24"/>
          <w:shd w:val="clear" w:color="auto" w:fill="FFFFFF"/>
        </w:rPr>
        <w:t>ITC</w:t>
      </w:r>
      <w:r w:rsidRPr="004A550B">
        <w:rPr>
          <w:rFonts w:ascii="Times New Roman" w:hAnsi="Times New Roman" w:cs="Times New Roman"/>
          <w:sz w:val="24"/>
          <w:szCs w:val="24"/>
          <w:shd w:val="clear" w:color="auto" w:fill="FFFFFF"/>
        </w:rPr>
        <w:t xml:space="preserve"> is an outstanding market leader in its traditional businesses of Hotels, Paperboards, Packaging, </w:t>
      </w:r>
      <w:proofErr w:type="spellStart"/>
      <w:r w:rsidRPr="004A550B">
        <w:rPr>
          <w:rFonts w:ascii="Times New Roman" w:hAnsi="Times New Roman" w:cs="Times New Roman"/>
          <w:sz w:val="24"/>
          <w:szCs w:val="24"/>
          <w:shd w:val="clear" w:color="auto" w:fill="FFFFFF"/>
        </w:rPr>
        <w:t>Agri</w:t>
      </w:r>
      <w:proofErr w:type="spellEnd"/>
      <w:r w:rsidRPr="004A550B">
        <w:rPr>
          <w:rFonts w:ascii="Times New Roman" w:hAnsi="Times New Roman" w:cs="Times New Roman"/>
          <w:sz w:val="24"/>
          <w:szCs w:val="24"/>
          <w:shd w:val="clear" w:color="auto" w:fill="FFFFFF"/>
        </w:rPr>
        <w:t>- Exports and cigarettes, it is rapidly gaining market share even in its nascent businesses of Packaged Foods &amp; Confectionery, Branded Apparel, Personal care and Stationery.</w:t>
      </w:r>
    </w:p>
    <w:p w:rsidR="005A28E7" w:rsidRPr="00242FFC" w:rsidRDefault="004A550B" w:rsidP="005A28E7">
      <w:pPr>
        <w:tabs>
          <w:tab w:val="left" w:pos="3960"/>
        </w:tabs>
        <w:spacing w:line="360" w:lineRule="auto"/>
        <w:ind w:right="260"/>
        <w:jc w:val="both"/>
        <w:rPr>
          <w:rFonts w:ascii="Times New Roman" w:hAnsi="Times New Roman" w:cs="Times New Roman"/>
          <w:sz w:val="24"/>
          <w:szCs w:val="24"/>
          <w:shd w:val="clear" w:color="auto" w:fill="FFFFFF"/>
        </w:rPr>
      </w:pPr>
      <w:r w:rsidRPr="004A550B">
        <w:rPr>
          <w:rFonts w:ascii="Times New Roman" w:hAnsi="Times New Roman" w:cs="Times New Roman"/>
          <w:b/>
          <w:sz w:val="24"/>
          <w:szCs w:val="24"/>
          <w:shd w:val="clear" w:color="auto" w:fill="FFFFFF"/>
        </w:rPr>
        <w:t>HISTORY &amp; EVOLUTION</w:t>
      </w:r>
    </w:p>
    <w:p w:rsidR="004A550B" w:rsidRPr="005A28E7" w:rsidRDefault="00513D1D" w:rsidP="005A28E7">
      <w:pPr>
        <w:tabs>
          <w:tab w:val="left" w:pos="3960"/>
        </w:tabs>
        <w:spacing w:line="360" w:lineRule="auto"/>
        <w:ind w:right="260"/>
        <w:jc w:val="both"/>
        <w:rPr>
          <w:rFonts w:ascii="Times New Roman" w:hAnsi="Times New Roman" w:cs="Times New Roman"/>
          <w:sz w:val="24"/>
          <w:szCs w:val="24"/>
          <w:shd w:val="clear" w:color="auto" w:fill="FFFFFF"/>
        </w:rPr>
      </w:pPr>
      <w:r>
        <w:rPr>
          <w:rFonts w:ascii="Times New Roman" w:hAnsi="Times New Roman" w:cs="Times New Roman"/>
          <w:sz w:val="24"/>
          <w:szCs w:val="24"/>
        </w:rPr>
        <w:t>ITC</w:t>
      </w:r>
      <w:r w:rsidR="004A550B" w:rsidRPr="004A550B">
        <w:rPr>
          <w:rFonts w:ascii="Times New Roman" w:hAnsi="Times New Roman" w:cs="Times New Roman"/>
          <w:sz w:val="24"/>
          <w:szCs w:val="24"/>
        </w:rPr>
        <w:t xml:space="preserve"> was incorporated on August 24, 1910 under the name Imperial Tobacco Company of India Limited. As the Com</w:t>
      </w:r>
      <w:r w:rsidR="007D0060">
        <w:rPr>
          <w:rFonts w:ascii="Times New Roman" w:hAnsi="Times New Roman" w:cs="Times New Roman"/>
          <w:sz w:val="24"/>
          <w:szCs w:val="24"/>
        </w:rPr>
        <w:t xml:space="preserve">pany's ownership progressively </w:t>
      </w:r>
      <w:proofErr w:type="spellStart"/>
      <w:r w:rsidR="007D0060">
        <w:rPr>
          <w:rFonts w:ascii="Times New Roman" w:hAnsi="Times New Roman" w:cs="Times New Roman"/>
          <w:sz w:val="24"/>
          <w:szCs w:val="24"/>
        </w:rPr>
        <w:t>I</w:t>
      </w:r>
      <w:r w:rsidR="004A550B" w:rsidRPr="004A550B">
        <w:rPr>
          <w:rFonts w:ascii="Times New Roman" w:hAnsi="Times New Roman" w:cs="Times New Roman"/>
          <w:sz w:val="24"/>
          <w:szCs w:val="24"/>
        </w:rPr>
        <w:t>ndianised</w:t>
      </w:r>
      <w:proofErr w:type="spellEnd"/>
      <w:r w:rsidR="004A550B" w:rsidRPr="004A550B">
        <w:rPr>
          <w:rFonts w:ascii="Times New Roman" w:hAnsi="Times New Roman" w:cs="Times New Roman"/>
          <w:sz w:val="24"/>
          <w:szCs w:val="24"/>
        </w:rPr>
        <w:t>, the name of the Company was changed from Imperial Tobacco Company of India Limited to India Tobacco Company Limited in 1970 and then to I.T.C. Limited in 1974. In recognition of the Company's multi-business portfolio encompassing a wide range of businesses - Fast Moving Consumer Goods comprising Foods, Personal Care, Cigarettes and Cigars, Branded Apparel, Education and Stationery Products, Incense Sticks and Safety Matches, Hotels, Paperboards &amp; Specialty Papers, Packaging, Agri-Business and Information Technology - the full stops in the Company's name were removed effective September 18, 2001. The Company now stands rechristened </w:t>
      </w:r>
      <w:r w:rsidR="00EE41D2">
        <w:rPr>
          <w:rFonts w:ascii="Times New Roman" w:hAnsi="Times New Roman" w:cs="Times New Roman"/>
          <w:sz w:val="24"/>
          <w:szCs w:val="24"/>
        </w:rPr>
        <w:t>as ITC Limited,</w:t>
      </w:r>
      <w:r w:rsidR="00EE41D2">
        <w:t xml:space="preserve"> where</w:t>
      </w:r>
      <w:r w:rsidR="004A550B" w:rsidRPr="004A550B">
        <w:rPr>
          <w:rFonts w:ascii="Times New Roman" w:hAnsi="Times New Roman" w:cs="Times New Roman"/>
          <w:sz w:val="24"/>
          <w:szCs w:val="24"/>
        </w:rPr>
        <w:t xml:space="preserve"> ‘</w:t>
      </w:r>
      <w:r>
        <w:rPr>
          <w:rFonts w:ascii="Times New Roman" w:hAnsi="Times New Roman" w:cs="Times New Roman"/>
          <w:sz w:val="24"/>
          <w:szCs w:val="24"/>
        </w:rPr>
        <w:t>ITC</w:t>
      </w:r>
      <w:r w:rsidR="004A550B" w:rsidRPr="004A550B">
        <w:rPr>
          <w:rFonts w:ascii="Times New Roman" w:hAnsi="Times New Roman" w:cs="Times New Roman"/>
          <w:sz w:val="24"/>
          <w:szCs w:val="24"/>
        </w:rPr>
        <w:t xml:space="preserve">’ is today no longer an acronym or an </w:t>
      </w:r>
      <w:r w:rsidR="002B74CF" w:rsidRPr="004A550B">
        <w:rPr>
          <w:rFonts w:ascii="Times New Roman" w:hAnsi="Times New Roman" w:cs="Times New Roman"/>
          <w:sz w:val="24"/>
          <w:szCs w:val="24"/>
        </w:rPr>
        <w:t>initialized</w:t>
      </w:r>
      <w:r w:rsidR="004A550B" w:rsidRPr="004A550B">
        <w:rPr>
          <w:rFonts w:ascii="Times New Roman" w:hAnsi="Times New Roman" w:cs="Times New Roman"/>
          <w:sz w:val="24"/>
          <w:szCs w:val="24"/>
        </w:rPr>
        <w:t xml:space="preserve"> </w:t>
      </w:r>
      <w:r w:rsidR="002B74CF" w:rsidRPr="004A550B">
        <w:rPr>
          <w:rFonts w:ascii="Times New Roman" w:hAnsi="Times New Roman" w:cs="Times New Roman"/>
          <w:sz w:val="24"/>
          <w:szCs w:val="24"/>
        </w:rPr>
        <w:t>form. The</w:t>
      </w:r>
      <w:r w:rsidR="004A550B" w:rsidRPr="004A550B">
        <w:rPr>
          <w:rFonts w:ascii="Times New Roman" w:hAnsi="Times New Roman" w:cs="Times New Roman"/>
          <w:sz w:val="24"/>
          <w:szCs w:val="24"/>
        </w:rPr>
        <w:t xml:space="preserve"> Company's beginnings were humble. A leased office on </w:t>
      </w:r>
      <w:proofErr w:type="spellStart"/>
      <w:r w:rsidR="004A550B" w:rsidRPr="004A550B">
        <w:rPr>
          <w:rFonts w:ascii="Times New Roman" w:hAnsi="Times New Roman" w:cs="Times New Roman"/>
          <w:sz w:val="24"/>
          <w:szCs w:val="24"/>
        </w:rPr>
        <w:t>Radha</w:t>
      </w:r>
      <w:proofErr w:type="spellEnd"/>
      <w:r w:rsidR="004A550B" w:rsidRPr="004A550B">
        <w:rPr>
          <w:rFonts w:ascii="Times New Roman" w:hAnsi="Times New Roman" w:cs="Times New Roman"/>
          <w:sz w:val="24"/>
          <w:szCs w:val="24"/>
        </w:rPr>
        <w:t xml:space="preserve"> Bazar Lane, </w:t>
      </w:r>
      <w:r w:rsidR="004A550B" w:rsidRPr="004A550B">
        <w:rPr>
          <w:rFonts w:ascii="Times New Roman" w:hAnsi="Times New Roman" w:cs="Times New Roman"/>
          <w:sz w:val="24"/>
          <w:szCs w:val="24"/>
        </w:rPr>
        <w:lastRenderedPageBreak/>
        <w:t xml:space="preserve">Kolkata, was the </w:t>
      </w:r>
      <w:r w:rsidR="002B74CF" w:rsidRPr="004A550B">
        <w:rPr>
          <w:rFonts w:ascii="Times New Roman" w:hAnsi="Times New Roman" w:cs="Times New Roman"/>
          <w:sz w:val="24"/>
          <w:szCs w:val="24"/>
        </w:rPr>
        <w:t>center</w:t>
      </w:r>
      <w:r w:rsidR="004A550B" w:rsidRPr="004A550B">
        <w:rPr>
          <w:rFonts w:ascii="Times New Roman" w:hAnsi="Times New Roman" w:cs="Times New Roman"/>
          <w:sz w:val="24"/>
          <w:szCs w:val="24"/>
        </w:rPr>
        <w:t xml:space="preserve"> of the Company's existence. The Company celebrated its 16th birthday on August 24, 1926, by purchasing the plot of land situated at 37, </w:t>
      </w:r>
      <w:proofErr w:type="spellStart"/>
      <w:r w:rsidR="004A550B" w:rsidRPr="004A550B">
        <w:rPr>
          <w:rFonts w:ascii="Times New Roman" w:hAnsi="Times New Roman" w:cs="Times New Roman"/>
          <w:sz w:val="24"/>
          <w:szCs w:val="24"/>
        </w:rPr>
        <w:t>Chowringhee</w:t>
      </w:r>
      <w:proofErr w:type="spellEnd"/>
      <w:r w:rsidR="004A550B" w:rsidRPr="004A550B">
        <w:rPr>
          <w:rFonts w:ascii="Times New Roman" w:hAnsi="Times New Roman" w:cs="Times New Roman"/>
          <w:sz w:val="24"/>
          <w:szCs w:val="24"/>
        </w:rPr>
        <w:t>, (now renamed J.L. Nehru Road) Kolkata, for the sum of Rs 310,000. This decision of the Company was historic in more ways than one. It was to mark the beginning of a long and eventful journey into India's future. The Company's headquarter building, 'Virginia House', which came up on that plot of land two years later, would go on to become one of Kolkata's most venerated landmarks.</w:t>
      </w:r>
    </w:p>
    <w:p w:rsidR="00BB2E8E" w:rsidRPr="00870291" w:rsidRDefault="00E938B5" w:rsidP="00BB2E8E">
      <w:pPr>
        <w:rPr>
          <w:rFonts w:ascii="Times New Roman" w:hAnsi="Times New Roman" w:cs="Times New Roman"/>
          <w:sz w:val="24"/>
          <w:szCs w:val="24"/>
        </w:rPr>
      </w:pPr>
      <w:r>
        <w:rPr>
          <w:rFonts w:ascii="Times New Roman" w:hAnsi="Times New Roman" w:cs="Times New Roman"/>
          <w:b/>
          <w:bCs/>
          <w:sz w:val="28"/>
          <w:szCs w:val="28"/>
        </w:rPr>
        <w:t xml:space="preserve">ITC PERFORMANCE </w:t>
      </w:r>
      <w:r w:rsidRPr="00541D2B">
        <w:rPr>
          <w:rFonts w:ascii="Times New Roman" w:hAnsi="Times New Roman" w:cs="Times New Roman"/>
          <w:b/>
          <w:bCs/>
          <w:sz w:val="28"/>
          <w:szCs w:val="28"/>
        </w:rPr>
        <w:t>RECORD</w:t>
      </w:r>
      <w:r>
        <w:rPr>
          <w:rFonts w:ascii="Times New Roman" w:hAnsi="Times New Roman" w:cs="Times New Roman"/>
          <w:sz w:val="24"/>
          <w:szCs w:val="24"/>
        </w:rPr>
        <w:t xml:space="preserve">       </w:t>
      </w:r>
      <w:r w:rsidRPr="00E96C90">
        <w:rPr>
          <w:rFonts w:ascii="Times New Roman" w:hAnsi="Times New Roman" w:cs="Times New Roman"/>
          <w:sz w:val="24"/>
          <w:szCs w:val="24"/>
        </w:rPr>
        <w:t xml:space="preserve"> </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630"/>
        <w:gridCol w:w="1136"/>
        <w:gridCol w:w="2869"/>
      </w:tblGrid>
      <w:tr w:rsidR="00BB2E8E" w:rsidTr="00B362B2">
        <w:tc>
          <w:tcPr>
            <w:tcW w:w="3114"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 xml:space="preserve">In Rs </w:t>
            </w:r>
            <w:proofErr w:type="spellStart"/>
            <w:r w:rsidRPr="00B362B2">
              <w:rPr>
                <w:rFonts w:ascii="Times New Roman" w:hAnsi="Times New Roman" w:cs="Times New Roman"/>
                <w:sz w:val="24"/>
                <w:szCs w:val="24"/>
              </w:rPr>
              <w:t>crs</w:t>
            </w:r>
            <w:proofErr w:type="spellEnd"/>
            <w:r w:rsidRPr="00B362B2">
              <w:rPr>
                <w:rFonts w:ascii="Times New Roman" w:hAnsi="Times New Roman" w:cs="Times New Roman"/>
                <w:sz w:val="24"/>
                <w:szCs w:val="24"/>
              </w:rPr>
              <w:t>.</w:t>
            </w:r>
          </w:p>
        </w:tc>
        <w:tc>
          <w:tcPr>
            <w:tcW w:w="1630"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1995-96</w:t>
            </w:r>
          </w:p>
        </w:tc>
        <w:tc>
          <w:tcPr>
            <w:tcW w:w="1136" w:type="dxa"/>
          </w:tcPr>
          <w:p w:rsidR="00BB2E8E" w:rsidRPr="00B362B2" w:rsidRDefault="00863594" w:rsidP="00743E98">
            <w:pPr>
              <w:rPr>
                <w:rFonts w:ascii="Times New Roman" w:hAnsi="Times New Roman" w:cs="Times New Roman"/>
                <w:sz w:val="24"/>
                <w:szCs w:val="24"/>
              </w:rPr>
            </w:pPr>
            <w:r>
              <w:rPr>
                <w:rFonts w:ascii="Times New Roman" w:hAnsi="Times New Roman" w:cs="Times New Roman"/>
                <w:sz w:val="24"/>
                <w:szCs w:val="24"/>
              </w:rPr>
              <w:t>2013-14</w:t>
            </w:r>
          </w:p>
        </w:tc>
        <w:tc>
          <w:tcPr>
            <w:tcW w:w="2869"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 xml:space="preserve">17-yr </w:t>
            </w:r>
            <w:r w:rsidR="004A5C8C" w:rsidRPr="00B362B2">
              <w:rPr>
                <w:rFonts w:ascii="Times New Roman" w:hAnsi="Times New Roman" w:cs="Times New Roman"/>
                <w:sz w:val="24"/>
                <w:szCs w:val="24"/>
              </w:rPr>
              <w:t>CAGR</w:t>
            </w:r>
            <w:r w:rsidRPr="00B362B2">
              <w:rPr>
                <w:rFonts w:ascii="Times New Roman" w:hAnsi="Times New Roman" w:cs="Times New Roman"/>
                <w:sz w:val="24"/>
                <w:szCs w:val="24"/>
              </w:rPr>
              <w:t xml:space="preserve"> 95-96 to 12-13</w:t>
            </w:r>
          </w:p>
        </w:tc>
      </w:tr>
      <w:tr w:rsidR="00BB2E8E" w:rsidTr="00B362B2">
        <w:trPr>
          <w:trHeight w:val="1920"/>
        </w:trPr>
        <w:tc>
          <w:tcPr>
            <w:tcW w:w="3114"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Net Revenue</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PBDIT</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PBIT</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PBT</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PAT</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Capital Employed</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ROCE %</w:t>
            </w:r>
          </w:p>
        </w:tc>
        <w:tc>
          <w:tcPr>
            <w:tcW w:w="1630"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2,536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584</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536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452</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261</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1,886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28.4</w:t>
            </w:r>
          </w:p>
        </w:tc>
        <w:tc>
          <w:tcPr>
            <w:tcW w:w="1136"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29,606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11,566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10,771</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10,684</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7,418</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23,569</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45.7</w:t>
            </w:r>
          </w:p>
        </w:tc>
        <w:tc>
          <w:tcPr>
            <w:tcW w:w="2869"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15.6%</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19.2%</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19.3%</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20.4%</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21.8%</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16.0%</w:t>
            </w:r>
          </w:p>
          <w:p w:rsidR="00BB2E8E" w:rsidRPr="00B362B2" w:rsidRDefault="00BB2E8E" w:rsidP="00743E98">
            <w:pPr>
              <w:rPr>
                <w:rFonts w:ascii="Times New Roman" w:hAnsi="Times New Roman" w:cs="Times New Roman"/>
                <w:sz w:val="24"/>
                <w:szCs w:val="24"/>
              </w:rPr>
            </w:pPr>
          </w:p>
        </w:tc>
      </w:tr>
      <w:tr w:rsidR="00BB2E8E" w:rsidTr="00B362B2">
        <w:tc>
          <w:tcPr>
            <w:tcW w:w="3114"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Market Capitalization</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Total Shareholder Returns %</w:t>
            </w:r>
          </w:p>
        </w:tc>
        <w:tc>
          <w:tcPr>
            <w:tcW w:w="1630"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5,571</w:t>
            </w:r>
          </w:p>
        </w:tc>
        <w:tc>
          <w:tcPr>
            <w:tcW w:w="1136"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244246</w:t>
            </w:r>
          </w:p>
        </w:tc>
        <w:tc>
          <w:tcPr>
            <w:tcW w:w="2869" w:type="dxa"/>
          </w:tcPr>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24.9%</w:t>
            </w:r>
          </w:p>
          <w:p w:rsidR="00BB2E8E" w:rsidRPr="00B362B2" w:rsidRDefault="00BB2E8E" w:rsidP="00743E98">
            <w:pPr>
              <w:rPr>
                <w:rFonts w:ascii="Times New Roman" w:hAnsi="Times New Roman" w:cs="Times New Roman"/>
                <w:sz w:val="24"/>
                <w:szCs w:val="24"/>
              </w:rPr>
            </w:pPr>
            <w:r w:rsidRPr="00B362B2">
              <w:rPr>
                <w:rFonts w:ascii="Times New Roman" w:hAnsi="Times New Roman" w:cs="Times New Roman"/>
                <w:sz w:val="24"/>
                <w:szCs w:val="24"/>
              </w:rPr>
              <w:t>26.4%</w:t>
            </w:r>
          </w:p>
        </w:tc>
      </w:tr>
    </w:tbl>
    <w:p w:rsidR="00BB2E8E" w:rsidRDefault="00BB2E8E" w:rsidP="00BB2E8E">
      <w:pPr>
        <w:rPr>
          <w:rFonts w:ascii="Times New Roman" w:hAnsi="Times New Roman" w:cs="Times New Roman"/>
          <w:sz w:val="24"/>
          <w:szCs w:val="24"/>
        </w:rPr>
      </w:pPr>
      <w:r>
        <w:rPr>
          <w:rFonts w:ascii="Times New Roman" w:hAnsi="Times New Roman" w:cs="Times New Roman"/>
          <w:sz w:val="24"/>
          <w:szCs w:val="24"/>
        </w:rPr>
        <w:tab/>
        <w:t>Sensex (CAGR 95-96 to 12-13)</w:t>
      </w:r>
      <w:r w:rsidRPr="00E96C90">
        <w:rPr>
          <w:rFonts w:ascii="Times New Roman" w:hAnsi="Times New Roman" w:cs="Times New Roman"/>
          <w:sz w:val="24"/>
          <w:szCs w:val="24"/>
        </w:rPr>
        <w:t>: 10.7%</w:t>
      </w:r>
    </w:p>
    <w:p w:rsidR="004F14FC" w:rsidRDefault="004F14FC" w:rsidP="00BB2E8E">
      <w:pPr>
        <w:rPr>
          <w:rFonts w:ascii="Times New Roman" w:hAnsi="Times New Roman" w:cs="Times New Roman"/>
          <w:sz w:val="24"/>
          <w:szCs w:val="24"/>
        </w:rPr>
      </w:pPr>
    </w:p>
    <w:p w:rsidR="00B362B2" w:rsidRDefault="00B362B2" w:rsidP="004A550B">
      <w:pPr>
        <w:spacing w:after="100" w:afterAutospacing="1" w:line="360" w:lineRule="auto"/>
        <w:ind w:left="567" w:hanging="567"/>
        <w:jc w:val="both"/>
        <w:rPr>
          <w:rFonts w:ascii="Times New Roman" w:hAnsi="Times New Roman" w:cs="Times New Roman"/>
          <w:b/>
          <w:sz w:val="24"/>
          <w:szCs w:val="24"/>
        </w:rPr>
      </w:pPr>
    </w:p>
    <w:p w:rsidR="00B362B2" w:rsidRDefault="00B362B2" w:rsidP="004A550B">
      <w:pPr>
        <w:spacing w:after="100" w:afterAutospacing="1" w:line="360" w:lineRule="auto"/>
        <w:ind w:left="567" w:hanging="567"/>
        <w:jc w:val="both"/>
        <w:rPr>
          <w:rFonts w:ascii="Times New Roman" w:hAnsi="Times New Roman" w:cs="Times New Roman"/>
          <w:b/>
          <w:sz w:val="24"/>
          <w:szCs w:val="24"/>
        </w:rPr>
      </w:pPr>
    </w:p>
    <w:p w:rsidR="00B362B2" w:rsidRDefault="00B362B2" w:rsidP="004A550B">
      <w:pPr>
        <w:spacing w:after="100" w:afterAutospacing="1" w:line="360" w:lineRule="auto"/>
        <w:ind w:left="567" w:hanging="567"/>
        <w:jc w:val="both"/>
        <w:rPr>
          <w:rFonts w:ascii="Times New Roman" w:hAnsi="Times New Roman" w:cs="Times New Roman"/>
          <w:b/>
          <w:sz w:val="24"/>
          <w:szCs w:val="24"/>
        </w:rPr>
      </w:pPr>
    </w:p>
    <w:p w:rsidR="00B362B2" w:rsidRDefault="00B362B2" w:rsidP="004A550B">
      <w:pPr>
        <w:spacing w:after="100" w:afterAutospacing="1" w:line="360" w:lineRule="auto"/>
        <w:ind w:left="567" w:hanging="567"/>
        <w:jc w:val="both"/>
        <w:rPr>
          <w:rFonts w:ascii="Times New Roman" w:hAnsi="Times New Roman" w:cs="Times New Roman"/>
          <w:b/>
          <w:sz w:val="24"/>
          <w:szCs w:val="24"/>
        </w:rPr>
      </w:pPr>
    </w:p>
    <w:p w:rsidR="00BB2E8E" w:rsidRPr="004F14FC" w:rsidRDefault="004F14FC" w:rsidP="004A550B">
      <w:pPr>
        <w:spacing w:after="100" w:afterAutospacing="1" w:line="360" w:lineRule="auto"/>
        <w:ind w:left="567" w:hanging="567"/>
        <w:jc w:val="both"/>
        <w:rPr>
          <w:rFonts w:ascii="Times New Roman" w:hAnsi="Times New Roman" w:cs="Times New Roman"/>
          <w:b/>
          <w:sz w:val="24"/>
          <w:szCs w:val="24"/>
        </w:rPr>
      </w:pPr>
      <w:r w:rsidRPr="004F14FC">
        <w:rPr>
          <w:rFonts w:ascii="Times New Roman" w:hAnsi="Times New Roman" w:cs="Times New Roman"/>
          <w:b/>
          <w:sz w:val="24"/>
          <w:szCs w:val="24"/>
        </w:rPr>
        <w:lastRenderedPageBreak/>
        <w:t>SEGMENT REVENUE FY2013</w:t>
      </w:r>
    </w:p>
    <w:p w:rsidR="00BB2E8E" w:rsidRDefault="00BB2E8E" w:rsidP="004A550B">
      <w:pPr>
        <w:spacing w:after="100" w:afterAutospacing="1"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98C9D" wp14:editId="17442FFD">
            <wp:extent cx="4747098" cy="2825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735" cy="2843348"/>
                    </a:xfrm>
                    <a:prstGeom prst="rect">
                      <a:avLst/>
                    </a:prstGeom>
                    <a:noFill/>
                    <a:ln>
                      <a:noFill/>
                    </a:ln>
                  </pic:spPr>
                </pic:pic>
              </a:graphicData>
            </a:graphic>
          </wp:inline>
        </w:drawing>
      </w:r>
    </w:p>
    <w:p w:rsidR="00BB2E8E" w:rsidRDefault="00BB2E8E" w:rsidP="004A550B">
      <w:pPr>
        <w:rPr>
          <w:rFonts w:ascii="Times New Roman" w:hAnsi="Times New Roman" w:cs="Times New Roman"/>
          <w:b/>
          <w:sz w:val="24"/>
        </w:rPr>
      </w:pPr>
    </w:p>
    <w:p w:rsidR="00BB2E8E" w:rsidRPr="004E300D" w:rsidRDefault="004E300D" w:rsidP="004E300D">
      <w:pPr>
        <w:spacing w:line="360" w:lineRule="auto"/>
        <w:jc w:val="both"/>
        <w:rPr>
          <w:rFonts w:ascii="Times New Roman" w:hAnsi="Times New Roman" w:cs="Times New Roman"/>
          <w:sz w:val="24"/>
        </w:rPr>
      </w:pPr>
      <w:r>
        <w:rPr>
          <w:rFonts w:ascii="Times New Roman" w:hAnsi="Times New Roman" w:cs="Times New Roman"/>
          <w:sz w:val="24"/>
        </w:rPr>
        <w:t>In the above figure it’s</w:t>
      </w:r>
      <w:r w:rsidR="00BB2E8E" w:rsidRPr="004E300D">
        <w:rPr>
          <w:rFonts w:ascii="Times New Roman" w:hAnsi="Times New Roman" w:cs="Times New Roman"/>
          <w:sz w:val="24"/>
        </w:rPr>
        <w:t xml:space="preserve"> clearly found that the major chunk of the revenue comes from the </w:t>
      </w:r>
      <w:r w:rsidRPr="004E300D">
        <w:rPr>
          <w:rFonts w:ascii="Times New Roman" w:hAnsi="Times New Roman" w:cs="Times New Roman"/>
          <w:sz w:val="24"/>
        </w:rPr>
        <w:t>cigarettes</w:t>
      </w:r>
      <w:r w:rsidR="00BB2E8E" w:rsidRPr="004E300D">
        <w:rPr>
          <w:rFonts w:ascii="Times New Roman" w:hAnsi="Times New Roman" w:cs="Times New Roman"/>
          <w:sz w:val="24"/>
        </w:rPr>
        <w:t xml:space="preserve"> business which is equivalent to 60%</w:t>
      </w:r>
      <w:r w:rsidRPr="004E300D">
        <w:rPr>
          <w:rFonts w:ascii="Times New Roman" w:hAnsi="Times New Roman" w:cs="Times New Roman"/>
          <w:sz w:val="24"/>
        </w:rPr>
        <w:t>. The</w:t>
      </w:r>
      <w:r>
        <w:rPr>
          <w:rFonts w:ascii="Times New Roman" w:hAnsi="Times New Roman" w:cs="Times New Roman"/>
          <w:sz w:val="24"/>
        </w:rPr>
        <w:t xml:space="preserve"> other FMCG goods do accommodate 13% of the total revenue figuring</w:t>
      </w:r>
      <w:r w:rsidRPr="004E300D">
        <w:rPr>
          <w:rFonts w:ascii="Times New Roman" w:hAnsi="Times New Roman" w:cs="Times New Roman"/>
          <w:sz w:val="24"/>
        </w:rPr>
        <w:t xml:space="preserve"> 7012.3 </w:t>
      </w:r>
      <w:proofErr w:type="spellStart"/>
      <w:r w:rsidRPr="004E300D">
        <w:rPr>
          <w:rFonts w:ascii="Times New Roman" w:hAnsi="Times New Roman" w:cs="Times New Roman"/>
          <w:sz w:val="24"/>
        </w:rPr>
        <w:t>crores</w:t>
      </w:r>
      <w:proofErr w:type="spellEnd"/>
      <w:r w:rsidRPr="004E300D">
        <w:rPr>
          <w:rFonts w:ascii="Times New Roman" w:hAnsi="Times New Roman" w:cs="Times New Roman"/>
          <w:sz w:val="24"/>
        </w:rPr>
        <w:t xml:space="preserve"> for the financial year 2013.</w:t>
      </w:r>
      <w:r>
        <w:rPr>
          <w:rFonts w:ascii="Times New Roman" w:hAnsi="Times New Roman" w:cs="Times New Roman"/>
          <w:sz w:val="24"/>
        </w:rPr>
        <w:t xml:space="preserve"> The Agri-business revenue being 7020.73 </w:t>
      </w:r>
      <w:proofErr w:type="spellStart"/>
      <w:r>
        <w:rPr>
          <w:rFonts w:ascii="Times New Roman" w:hAnsi="Times New Roman" w:cs="Times New Roman"/>
          <w:sz w:val="24"/>
        </w:rPr>
        <w:t>crores</w:t>
      </w:r>
      <w:proofErr w:type="spellEnd"/>
      <w:r>
        <w:rPr>
          <w:rFonts w:ascii="Times New Roman" w:hAnsi="Times New Roman" w:cs="Times New Roman"/>
          <w:sz w:val="24"/>
        </w:rPr>
        <w:t xml:space="preserve"> also contribute 13% of the total revenue. </w:t>
      </w:r>
    </w:p>
    <w:p w:rsidR="004A550B" w:rsidRPr="00BB2E8E" w:rsidRDefault="004A550B" w:rsidP="004A550B">
      <w:pPr>
        <w:rPr>
          <w:rFonts w:ascii="Times New Roman" w:hAnsi="Times New Roman" w:cs="Times New Roman"/>
          <w:b/>
          <w:sz w:val="24"/>
        </w:rPr>
      </w:pPr>
      <w:r w:rsidRPr="00BB2E8E">
        <w:rPr>
          <w:rFonts w:ascii="Times New Roman" w:hAnsi="Times New Roman" w:cs="Times New Roman"/>
          <w:b/>
          <w:sz w:val="24"/>
        </w:rPr>
        <w:t xml:space="preserve">COMPETITORS OF </w:t>
      </w:r>
      <w:r w:rsidR="00513D1D" w:rsidRPr="00BB2E8E">
        <w:rPr>
          <w:rFonts w:ascii="Times New Roman" w:hAnsi="Times New Roman" w:cs="Times New Roman"/>
          <w:b/>
          <w:sz w:val="24"/>
        </w:rPr>
        <w:t>ITC</w:t>
      </w:r>
      <w:r w:rsidRPr="00BB2E8E">
        <w:rPr>
          <w:rFonts w:ascii="Times New Roman" w:hAnsi="Times New Roman" w:cs="Times New Roman"/>
          <w:b/>
          <w:sz w:val="24"/>
        </w:rPr>
        <w:t xml:space="preserve"> LIMITED</w:t>
      </w:r>
    </w:p>
    <w:p w:rsidR="004A550B" w:rsidRDefault="004A550B" w:rsidP="004A550B">
      <w:pPr>
        <w:ind w:left="720"/>
        <w:rPr>
          <w:rFonts w:ascii="Times New Roman" w:hAnsi="Times New Roman" w:cs="Times New Roman"/>
        </w:rPr>
      </w:pPr>
    </w:p>
    <w:p w:rsidR="004A550B" w:rsidRPr="004A550B" w:rsidRDefault="004A550B" w:rsidP="004A5C8C">
      <w:pPr>
        <w:rPr>
          <w:rFonts w:ascii="Times New Roman" w:hAnsi="Times New Roman" w:cs="Times New Roman"/>
        </w:rPr>
      </w:pPr>
      <w:r w:rsidRPr="004A550B">
        <w:rPr>
          <w:rFonts w:ascii="Times New Roman" w:hAnsi="Times New Roman" w:cs="Times New Roman"/>
        </w:rPr>
        <w:t xml:space="preserve">Main competitors of </w:t>
      </w:r>
      <w:r w:rsidR="00513D1D">
        <w:rPr>
          <w:rFonts w:ascii="Times New Roman" w:hAnsi="Times New Roman" w:cs="Times New Roman"/>
        </w:rPr>
        <w:t>ITC</w:t>
      </w:r>
      <w:r w:rsidRPr="004A550B">
        <w:rPr>
          <w:rFonts w:ascii="Times New Roman" w:hAnsi="Times New Roman" w:cs="Times New Roman"/>
        </w:rPr>
        <w:t xml:space="preserve"> limited</w:t>
      </w:r>
    </w:p>
    <w:p w:rsidR="004A550B" w:rsidRPr="004A550B" w:rsidRDefault="004A550B" w:rsidP="004A550B">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sidRPr="004A550B">
        <w:rPr>
          <w:rFonts w:ascii="Times New Roman" w:hAnsi="Times New Roman" w:cs="Times New Roman"/>
        </w:rPr>
        <w:t>Hindustan Unilever</w:t>
      </w:r>
    </w:p>
    <w:p w:rsidR="004A550B" w:rsidRPr="004A550B" w:rsidRDefault="004A550B" w:rsidP="004A550B">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sidRPr="004A550B">
        <w:rPr>
          <w:rFonts w:ascii="Times New Roman" w:hAnsi="Times New Roman" w:cs="Times New Roman"/>
        </w:rPr>
        <w:t>Godfrey Philips India limited</w:t>
      </w:r>
    </w:p>
    <w:p w:rsidR="004A550B" w:rsidRPr="004A550B" w:rsidRDefault="004A550B" w:rsidP="004A550B">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sidRPr="004A550B">
        <w:rPr>
          <w:rFonts w:ascii="Times New Roman" w:hAnsi="Times New Roman" w:cs="Times New Roman"/>
        </w:rPr>
        <w:t>RTCL Ltd</w:t>
      </w:r>
    </w:p>
    <w:p w:rsidR="004A550B" w:rsidRPr="004A550B" w:rsidRDefault="004A550B" w:rsidP="004A550B">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sidRPr="004A550B">
        <w:rPr>
          <w:rFonts w:ascii="Times New Roman" w:hAnsi="Times New Roman" w:cs="Times New Roman"/>
        </w:rPr>
        <w:t>VST Industries Ltd</w:t>
      </w:r>
    </w:p>
    <w:p w:rsidR="00B362B2" w:rsidRDefault="004A550B" w:rsidP="00B362B2">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sidRPr="004A550B">
        <w:rPr>
          <w:rFonts w:ascii="Times New Roman" w:hAnsi="Times New Roman" w:cs="Times New Roman"/>
        </w:rPr>
        <w:t>Marico Ltd</w:t>
      </w:r>
    </w:p>
    <w:p w:rsidR="00B362B2" w:rsidRDefault="00B362B2" w:rsidP="00B362B2">
      <w:pPr>
        <w:pStyle w:val="ListParagraph"/>
        <w:numPr>
          <w:ilvl w:val="0"/>
          <w:numId w:val="12"/>
        </w:numPr>
        <w:shd w:val="clear" w:color="auto" w:fill="FFFFFF"/>
        <w:spacing w:before="100" w:beforeAutospacing="1" w:after="0" w:line="360" w:lineRule="auto"/>
        <w:ind w:right="401"/>
        <w:jc w:val="both"/>
        <w:outlineLvl w:val="1"/>
        <w:rPr>
          <w:rFonts w:ascii="Times New Roman" w:hAnsi="Times New Roman" w:cs="Times New Roman"/>
        </w:rPr>
      </w:pPr>
      <w:r>
        <w:rPr>
          <w:rFonts w:ascii="Times New Roman" w:hAnsi="Times New Roman" w:cs="Times New Roman"/>
        </w:rPr>
        <w:t>Nestle India</w:t>
      </w:r>
    </w:p>
    <w:p w:rsidR="00B362B2" w:rsidRDefault="00B362B2" w:rsidP="00B362B2">
      <w:pPr>
        <w:shd w:val="clear" w:color="auto" w:fill="FFFFFF"/>
        <w:spacing w:before="100" w:beforeAutospacing="1" w:after="0" w:line="360" w:lineRule="auto"/>
        <w:ind w:right="401"/>
        <w:jc w:val="center"/>
        <w:outlineLvl w:val="1"/>
        <w:rPr>
          <w:rFonts w:ascii="Times New Roman" w:eastAsia="Times New Roman" w:hAnsi="Times New Roman" w:cs="Times New Roman"/>
          <w:b/>
          <w:color w:val="000000"/>
          <w:sz w:val="32"/>
          <w:szCs w:val="18"/>
        </w:rPr>
      </w:pPr>
    </w:p>
    <w:p w:rsidR="005740B1" w:rsidRPr="00B362B2" w:rsidRDefault="005740B1" w:rsidP="00B362B2">
      <w:pPr>
        <w:shd w:val="clear" w:color="auto" w:fill="FFFFFF"/>
        <w:spacing w:before="100" w:beforeAutospacing="1" w:after="0" w:line="360" w:lineRule="auto"/>
        <w:ind w:right="401"/>
        <w:jc w:val="center"/>
        <w:outlineLvl w:val="1"/>
        <w:rPr>
          <w:rFonts w:ascii="Times New Roman" w:hAnsi="Times New Roman" w:cs="Times New Roman"/>
        </w:rPr>
      </w:pPr>
      <w:r w:rsidRPr="00B362B2">
        <w:rPr>
          <w:rFonts w:ascii="Times New Roman" w:eastAsia="Times New Roman" w:hAnsi="Times New Roman" w:cs="Times New Roman"/>
          <w:b/>
          <w:color w:val="000000"/>
          <w:sz w:val="32"/>
          <w:szCs w:val="18"/>
        </w:rPr>
        <w:lastRenderedPageBreak/>
        <w:t>ITC BUSINESSES</w:t>
      </w:r>
    </w:p>
    <w:p w:rsidR="00BB2E8E" w:rsidRPr="005740B1" w:rsidRDefault="00BB2E8E" w:rsidP="004F14FC">
      <w:pPr>
        <w:rPr>
          <w:rFonts w:ascii="Times New Roman" w:eastAsia="Times New Roman" w:hAnsi="Times New Roman" w:cs="Times New Roman"/>
          <w:b/>
          <w:color w:val="000000"/>
          <w:sz w:val="28"/>
          <w:szCs w:val="18"/>
        </w:rPr>
      </w:pPr>
      <w:r w:rsidRPr="005740B1">
        <w:rPr>
          <w:rFonts w:ascii="Times New Roman" w:eastAsia="Times New Roman" w:hAnsi="Times New Roman" w:cs="Times New Roman"/>
          <w:b/>
          <w:color w:val="000000"/>
          <w:sz w:val="28"/>
          <w:szCs w:val="18"/>
        </w:rPr>
        <w:t>FMCG</w:t>
      </w:r>
    </w:p>
    <w:p w:rsidR="00BB2E8E" w:rsidRPr="001103CB" w:rsidRDefault="00BB2E8E" w:rsidP="00901148">
      <w:pPr>
        <w:spacing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The Indian FMCG sector is the fourth largest in the economy and has a market size of US$13.1 billion. Well-established distribution networks, as well as intense competition between the organized and unorganized segments are the characteristics of this sector. FMCG in India has a strong and competitive MNC presence across the entire value chain. It has been predicted that the FMCG market will reach to US$ 33.4 billion in 2015. The middle class and the rural segments of the Indian population are the most promising market for FMCG, and give brand makers the opportunity to convert them to branded products. Most of the product categories like jams, toothpaste, skin care, shampoos, etc., in India, have low per capita consumption as well as low penetration level, but the potential for growth is huge.</w:t>
      </w:r>
    </w:p>
    <w:p w:rsidR="00BB2E8E" w:rsidRPr="00BB2E8E" w:rsidRDefault="00BB2E8E" w:rsidP="00901148">
      <w:pPr>
        <w:spacing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The Indian Economy is surging ahead by leaps and bounds, keeping pace with rapid urbanization, increased literacy levels, and rising per capita income.</w:t>
      </w:r>
      <w:r w:rsidR="004A5C8C">
        <w:rPr>
          <w:rFonts w:ascii="Times New Roman" w:hAnsi="Times New Roman" w:cs="Times New Roman"/>
          <w:color w:val="000000"/>
          <w:sz w:val="24"/>
          <w:szCs w:val="24"/>
        </w:rPr>
        <w:t xml:space="preserve"> </w:t>
      </w:r>
      <w:r w:rsidRPr="001103CB">
        <w:rPr>
          <w:rFonts w:ascii="Times New Roman" w:hAnsi="Times New Roman" w:cs="Times New Roman"/>
          <w:color w:val="000000"/>
          <w:sz w:val="24"/>
          <w:szCs w:val="24"/>
        </w:rPr>
        <w:t xml:space="preserve">The big firms are growing bigger and small-time companies are catching up as well. According to the study conducted by AC Nielsen, 62 of the top 100 brands are owned by MNCs, and the balance by Indian companies. Fifteen companies own these 62 brands, and 27 of these are owned by Hindustan Lever. Pepsi is at number three followed by </w:t>
      </w:r>
      <w:proofErr w:type="spellStart"/>
      <w:r w:rsidRPr="001103CB">
        <w:rPr>
          <w:rFonts w:ascii="Times New Roman" w:hAnsi="Times New Roman" w:cs="Times New Roman"/>
          <w:color w:val="000000"/>
          <w:sz w:val="24"/>
          <w:szCs w:val="24"/>
        </w:rPr>
        <w:t>Thums</w:t>
      </w:r>
      <w:proofErr w:type="spellEnd"/>
      <w:r w:rsidRPr="001103CB">
        <w:rPr>
          <w:rFonts w:ascii="Times New Roman" w:hAnsi="Times New Roman" w:cs="Times New Roman"/>
          <w:color w:val="000000"/>
          <w:sz w:val="24"/>
          <w:szCs w:val="24"/>
        </w:rPr>
        <w:t xml:space="preserve"> Up. Britannia takes the fifth place, followed by Colgate (6), </w:t>
      </w:r>
      <w:proofErr w:type="spellStart"/>
      <w:r w:rsidRPr="001103CB">
        <w:rPr>
          <w:rFonts w:ascii="Times New Roman" w:hAnsi="Times New Roman" w:cs="Times New Roman"/>
          <w:color w:val="000000"/>
          <w:sz w:val="24"/>
          <w:szCs w:val="24"/>
        </w:rPr>
        <w:t>Nirma</w:t>
      </w:r>
      <w:proofErr w:type="spellEnd"/>
      <w:r w:rsidRPr="001103CB">
        <w:rPr>
          <w:rFonts w:ascii="Times New Roman" w:hAnsi="Times New Roman" w:cs="Times New Roman"/>
          <w:color w:val="000000"/>
          <w:sz w:val="24"/>
          <w:szCs w:val="24"/>
        </w:rPr>
        <w:t xml:space="preserve"> (7), Coca-Cola (8) and Parle (9). These are figures the soft drink and cigarette companies have always shied away from revealing. Personal care, cigarettes, and soft drinks are the three biggest categories in FMCG. Between them, they account for 35 of </w:t>
      </w:r>
      <w:r w:rsidRPr="00BB2E8E">
        <w:rPr>
          <w:rFonts w:ascii="Times New Roman" w:hAnsi="Times New Roman" w:cs="Times New Roman"/>
          <w:color w:val="000000"/>
          <w:sz w:val="24"/>
          <w:szCs w:val="24"/>
        </w:rPr>
        <w:t>the top 100 brands.</w:t>
      </w:r>
    </w:p>
    <w:p w:rsidR="00BB2E8E" w:rsidRPr="00BB2E8E" w:rsidRDefault="00BB2E8E" w:rsidP="00901148">
      <w:pPr>
        <w:autoSpaceDE w:val="0"/>
        <w:autoSpaceDN w:val="0"/>
        <w:adjustRightInd w:val="0"/>
        <w:spacing w:after="0" w:line="360" w:lineRule="auto"/>
        <w:jc w:val="both"/>
        <w:rPr>
          <w:rFonts w:ascii="Times New Roman" w:hAnsi="Times New Roman" w:cs="Times New Roman"/>
          <w:sz w:val="24"/>
          <w:szCs w:val="24"/>
        </w:rPr>
      </w:pPr>
      <w:r w:rsidRPr="00BB2E8E">
        <w:rPr>
          <w:rFonts w:ascii="Times New Roman" w:hAnsi="Times New Roman" w:cs="Times New Roman"/>
          <w:sz w:val="24"/>
          <w:szCs w:val="24"/>
        </w:rPr>
        <w:t>The new FMCG businesses comprising Branded Packaged Foods, Personal Care Products, Education and Stationery Products, Lifestyle Retailing, Incense Sticks (</w:t>
      </w:r>
      <w:proofErr w:type="spellStart"/>
      <w:r w:rsidRPr="00BB2E8E">
        <w:rPr>
          <w:rFonts w:ascii="Times New Roman" w:hAnsi="Times New Roman" w:cs="Times New Roman"/>
          <w:sz w:val="24"/>
          <w:szCs w:val="24"/>
        </w:rPr>
        <w:t>Agarbattis</w:t>
      </w:r>
      <w:proofErr w:type="spellEnd"/>
      <w:r w:rsidRPr="00BB2E8E">
        <w:rPr>
          <w:rFonts w:ascii="Times New Roman" w:hAnsi="Times New Roman" w:cs="Times New Roman"/>
          <w:sz w:val="24"/>
          <w:szCs w:val="24"/>
        </w:rPr>
        <w:t xml:space="preserve">) and Safety Matches have grown at an impressive pace over the past several years, </w:t>
      </w:r>
      <w:proofErr w:type="gramStart"/>
      <w:r w:rsidRPr="00BB2E8E">
        <w:rPr>
          <w:rFonts w:ascii="Times New Roman" w:hAnsi="Times New Roman" w:cs="Times New Roman"/>
          <w:sz w:val="24"/>
          <w:szCs w:val="24"/>
        </w:rPr>
        <w:t>crossing  7</w:t>
      </w:r>
      <w:r>
        <w:rPr>
          <w:rFonts w:ascii="Times New Roman" w:hAnsi="Times New Roman" w:cs="Times New Roman"/>
          <w:sz w:val="24"/>
          <w:szCs w:val="24"/>
        </w:rPr>
        <w:t>000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mark during the year 2012-2013.</w:t>
      </w:r>
    </w:p>
    <w:p w:rsidR="005740B1" w:rsidRDefault="00BB2E8E" w:rsidP="00BB2E8E">
      <w:pPr>
        <w:spacing w:line="360" w:lineRule="auto"/>
        <w:jc w:val="both"/>
        <w:rPr>
          <w:rFonts w:ascii="Times New Roman" w:hAnsi="Times New Roman" w:cs="Times New Roman"/>
          <w:b/>
          <w:color w:val="000000"/>
          <w:sz w:val="24"/>
          <w:szCs w:val="24"/>
        </w:rPr>
      </w:pPr>
      <w:r w:rsidRPr="001103CB">
        <w:rPr>
          <w:rFonts w:ascii="Times New Roman" w:hAnsi="Times New Roman" w:cs="Times New Roman"/>
          <w:b/>
          <w:color w:val="000000"/>
          <w:sz w:val="24"/>
          <w:szCs w:val="24"/>
        </w:rPr>
        <w:br/>
      </w:r>
    </w:p>
    <w:p w:rsidR="00E938B5" w:rsidRDefault="00E938B5" w:rsidP="00BB2E8E">
      <w:pPr>
        <w:spacing w:line="360" w:lineRule="auto"/>
        <w:jc w:val="both"/>
        <w:rPr>
          <w:rFonts w:ascii="Times New Roman" w:hAnsi="Times New Roman" w:cs="Times New Roman"/>
          <w:b/>
          <w:color w:val="000000"/>
          <w:sz w:val="24"/>
          <w:szCs w:val="24"/>
        </w:rPr>
      </w:pPr>
    </w:p>
    <w:p w:rsidR="00BB2E8E" w:rsidRPr="001103CB" w:rsidRDefault="00BB2E8E" w:rsidP="00BB2E8E">
      <w:pPr>
        <w:spacing w:line="360" w:lineRule="auto"/>
        <w:jc w:val="both"/>
        <w:rPr>
          <w:rFonts w:ascii="Times New Roman" w:hAnsi="Times New Roman" w:cs="Times New Roman"/>
          <w:b/>
          <w:color w:val="000000"/>
          <w:sz w:val="24"/>
          <w:szCs w:val="24"/>
        </w:rPr>
      </w:pPr>
      <w:r w:rsidRPr="001103CB">
        <w:rPr>
          <w:rFonts w:ascii="Times New Roman" w:hAnsi="Times New Roman" w:cs="Times New Roman"/>
          <w:b/>
          <w:color w:val="000000"/>
          <w:sz w:val="24"/>
          <w:szCs w:val="24"/>
        </w:rPr>
        <w:lastRenderedPageBreak/>
        <w:t xml:space="preserve">THE </w:t>
      </w:r>
      <w:r>
        <w:rPr>
          <w:rFonts w:ascii="Times New Roman" w:hAnsi="Times New Roman" w:cs="Times New Roman"/>
          <w:b/>
          <w:color w:val="000000"/>
          <w:sz w:val="24"/>
          <w:szCs w:val="24"/>
        </w:rPr>
        <w:t>TOP COMPANIES IN FMCG SECTOR</w:t>
      </w:r>
    </w:p>
    <w:p w:rsidR="00BB2E8E" w:rsidRPr="001103CB" w:rsidRDefault="00BB2E8E" w:rsidP="00BB2E8E">
      <w:pPr>
        <w:numPr>
          <w:ilvl w:val="0"/>
          <w:numId w:val="15"/>
        </w:numPr>
        <w:spacing w:after="0"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Hindustan Unilever Ltd.</w:t>
      </w:r>
    </w:p>
    <w:p w:rsidR="00BB2E8E" w:rsidRPr="001103CB" w:rsidRDefault="00BB2E8E" w:rsidP="00BB2E8E">
      <w:pPr>
        <w:numPr>
          <w:ilvl w:val="0"/>
          <w:numId w:val="15"/>
        </w:numPr>
        <w:spacing w:after="0"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ITC (Indian Tobacco Company)</w:t>
      </w:r>
    </w:p>
    <w:p w:rsidR="00BB2E8E" w:rsidRPr="001103CB" w:rsidRDefault="00BB2E8E" w:rsidP="00BB2E8E">
      <w:pPr>
        <w:numPr>
          <w:ilvl w:val="0"/>
          <w:numId w:val="15"/>
        </w:numPr>
        <w:spacing w:after="0"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Nestle India</w:t>
      </w:r>
    </w:p>
    <w:p w:rsidR="00BB2E8E" w:rsidRPr="006B4D0F" w:rsidRDefault="00BB2E8E" w:rsidP="006B4D0F">
      <w:pPr>
        <w:numPr>
          <w:ilvl w:val="0"/>
          <w:numId w:val="1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Godrej Consumer Products</w:t>
      </w:r>
    </w:p>
    <w:p w:rsidR="00BB2E8E" w:rsidRDefault="00BB2E8E" w:rsidP="00BB2E8E">
      <w:pPr>
        <w:numPr>
          <w:ilvl w:val="0"/>
          <w:numId w:val="15"/>
        </w:numPr>
        <w:spacing w:after="0" w:line="360" w:lineRule="auto"/>
        <w:jc w:val="both"/>
        <w:rPr>
          <w:rFonts w:ascii="Times New Roman" w:hAnsi="Times New Roman" w:cs="Times New Roman"/>
          <w:color w:val="000000"/>
          <w:sz w:val="24"/>
          <w:szCs w:val="24"/>
        </w:rPr>
      </w:pPr>
      <w:r w:rsidRPr="001103CB">
        <w:rPr>
          <w:rFonts w:ascii="Times New Roman" w:hAnsi="Times New Roman" w:cs="Times New Roman"/>
          <w:color w:val="000000"/>
          <w:sz w:val="24"/>
          <w:szCs w:val="24"/>
        </w:rPr>
        <w:t>Marico Industries</w:t>
      </w:r>
    </w:p>
    <w:p w:rsidR="00BB2E8E" w:rsidRPr="001103CB" w:rsidRDefault="00BB2E8E" w:rsidP="00BB2E8E">
      <w:pPr>
        <w:spacing w:after="0" w:line="360" w:lineRule="auto"/>
        <w:jc w:val="both"/>
        <w:rPr>
          <w:rFonts w:ascii="Times New Roman" w:hAnsi="Times New Roman" w:cs="Times New Roman"/>
          <w:color w:val="000000"/>
          <w:sz w:val="24"/>
          <w:szCs w:val="24"/>
        </w:rPr>
      </w:pPr>
      <w:r w:rsidRPr="00541D2B">
        <w:rPr>
          <w:rFonts w:ascii="Times New Roman" w:hAnsi="Times New Roman" w:cs="Times New Roman"/>
          <w:b/>
          <w:bCs/>
          <w:sz w:val="28"/>
          <w:szCs w:val="28"/>
        </w:rPr>
        <w:t>Rapid Scale up of FMCG businesses</w:t>
      </w:r>
    </w:p>
    <w:p w:rsidR="00BB2E8E" w:rsidRPr="009026CF" w:rsidRDefault="00BB2E8E" w:rsidP="00BB2E8E">
      <w:pPr>
        <w:pStyle w:val="NormalWeb"/>
        <w:shd w:val="clear" w:color="auto" w:fill="FFFFFF"/>
        <w:spacing w:line="360" w:lineRule="auto"/>
        <w:rPr>
          <w:b/>
          <w:sz w:val="28"/>
          <w:szCs w:val="32"/>
        </w:rPr>
      </w:pPr>
      <w:r w:rsidRPr="00D534C3">
        <w:rPr>
          <w:noProof/>
        </w:rPr>
        <w:drawing>
          <wp:inline distT="0" distB="0" distL="0" distR="0" wp14:anchorId="311270DC" wp14:editId="2B807792">
            <wp:extent cx="5775740" cy="232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139" cy="2327882"/>
                    </a:xfrm>
                    <a:prstGeom prst="rect">
                      <a:avLst/>
                    </a:prstGeom>
                    <a:noFill/>
                    <a:ln>
                      <a:noFill/>
                    </a:ln>
                  </pic:spPr>
                </pic:pic>
              </a:graphicData>
            </a:graphic>
          </wp:inline>
        </w:drawing>
      </w:r>
    </w:p>
    <w:p w:rsidR="00912583" w:rsidRPr="00912583" w:rsidRDefault="00912583" w:rsidP="00912583">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18"/>
        </w:rPr>
      </w:pPr>
      <w:r w:rsidRPr="00912583">
        <w:rPr>
          <w:rFonts w:ascii="Times New Roman" w:eastAsia="Times New Roman" w:hAnsi="Times New Roman" w:cs="Times New Roman"/>
          <w:b/>
          <w:color w:val="000000"/>
          <w:sz w:val="24"/>
          <w:szCs w:val="18"/>
        </w:rPr>
        <w:t>CIGGARETES:</w:t>
      </w:r>
    </w:p>
    <w:p w:rsidR="00912583" w:rsidRDefault="00513D1D" w:rsidP="00912583">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 is the market leader in cigarettes in India. With its wide range of invaluable brands, </w:t>
      </w: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 has a leadership position in every segment of the market. </w:t>
      </w: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's highly popular portfolio of brands includes </w:t>
      </w:r>
      <w:r w:rsidR="00912583" w:rsidRPr="00912583">
        <w:rPr>
          <w:rFonts w:ascii="Times New Roman" w:eastAsia="Times New Roman" w:hAnsi="Times New Roman" w:cs="Times New Roman"/>
          <w:b/>
          <w:bCs/>
          <w:color w:val="000000"/>
          <w:sz w:val="24"/>
          <w:szCs w:val="18"/>
        </w:rPr>
        <w:t>Insignia, India Kings, Lucky Strike, Classic, Gold Flake, Navy Cut, Players, Scissors, Capstan, Berkeley, Bristol, Flake, Silk Cut, Duke &amp; Royal.</w:t>
      </w:r>
    </w:p>
    <w:p w:rsidR="00912583" w:rsidRDefault="00912583" w:rsidP="00912583">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4"/>
          <w:szCs w:val="18"/>
        </w:rPr>
      </w:pPr>
      <w:r w:rsidRPr="00912583">
        <w:rPr>
          <w:rFonts w:ascii="Times New Roman" w:eastAsia="Times New Roman" w:hAnsi="Times New Roman" w:cs="Times New Roman"/>
          <w:color w:val="000000"/>
          <w:sz w:val="24"/>
          <w:szCs w:val="18"/>
        </w:rPr>
        <w:t xml:space="preserve">The Company has been able to consolidate its leadership position with single minded focus on continuous value creation for consumers through significant investments in creating &amp; bringing to market innovative product designs, maintaining consistent &amp; superior quality, state-of-the-art manufacturing technology, &amp; superior marketing and distribution. With consumers &amp; consumer insights driving strategy, </w:t>
      </w:r>
      <w:r w:rsidR="00513D1D">
        <w:rPr>
          <w:rFonts w:ascii="Times New Roman" w:eastAsia="Times New Roman" w:hAnsi="Times New Roman" w:cs="Times New Roman"/>
          <w:color w:val="000000"/>
          <w:sz w:val="24"/>
          <w:szCs w:val="18"/>
        </w:rPr>
        <w:t>ITC</w:t>
      </w:r>
      <w:r w:rsidRPr="00912583">
        <w:rPr>
          <w:rFonts w:ascii="Times New Roman" w:eastAsia="Times New Roman" w:hAnsi="Times New Roman" w:cs="Times New Roman"/>
          <w:color w:val="000000"/>
          <w:sz w:val="24"/>
          <w:szCs w:val="18"/>
        </w:rPr>
        <w:t xml:space="preserve"> has been able to fortify market standing in the long-term, by developing &amp; delivering contemporary offers relevant to the changing attitudes &amp; aspirations of the constantly evolving consumer.</w:t>
      </w:r>
    </w:p>
    <w:p w:rsidR="005C305C" w:rsidRDefault="005C305C" w:rsidP="00912583">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4"/>
          <w:szCs w:val="18"/>
        </w:rPr>
      </w:pPr>
      <w:r>
        <w:rPr>
          <w:rFonts w:ascii="Times New Roman" w:eastAsia="Times New Roman" w:hAnsi="Times New Roman" w:cs="Times New Roman"/>
          <w:noProof/>
          <w:color w:val="000000"/>
          <w:sz w:val="24"/>
          <w:szCs w:val="18"/>
        </w:rPr>
        <w:lastRenderedPageBreak/>
        <w:drawing>
          <wp:inline distT="0" distB="0" distL="0" distR="0" wp14:anchorId="285135EF" wp14:editId="4E8ECE5E">
            <wp:extent cx="4856959" cy="2171268"/>
            <wp:effectExtent l="0" t="0" r="1270" b="635"/>
            <wp:docPr id="26" name="Picture 26" descr="C:\Users\HRP\Desktop\cig_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P\Desktop\cig_pack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6959" cy="2171268"/>
                    </a:xfrm>
                    <a:prstGeom prst="rect">
                      <a:avLst/>
                    </a:prstGeom>
                    <a:noFill/>
                    <a:ln>
                      <a:noFill/>
                    </a:ln>
                  </pic:spPr>
                </pic:pic>
              </a:graphicData>
            </a:graphic>
          </wp:inline>
        </w:drawing>
      </w:r>
    </w:p>
    <w:p w:rsidR="00912583" w:rsidRPr="00912583" w:rsidRDefault="00513D1D" w:rsidP="005C305C">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's pursuit of international competitiveness is reflected in its initiatives in overseas markets. In the extremely competitive US market, </w:t>
      </w: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 offers high-quality, value-priced cigarettes and Roll-</w:t>
      </w:r>
      <w:r w:rsidR="003A4F02">
        <w:rPr>
          <w:rFonts w:ascii="Times New Roman" w:eastAsia="Times New Roman" w:hAnsi="Times New Roman" w:cs="Times New Roman"/>
          <w:color w:val="000000"/>
          <w:sz w:val="24"/>
          <w:szCs w:val="18"/>
        </w:rPr>
        <w:t>the</w:t>
      </w:r>
      <w:r w:rsidR="00912583" w:rsidRPr="00912583">
        <w:rPr>
          <w:rFonts w:ascii="Times New Roman" w:eastAsia="Times New Roman" w:hAnsi="Times New Roman" w:cs="Times New Roman"/>
          <w:color w:val="000000"/>
          <w:sz w:val="24"/>
          <w:szCs w:val="18"/>
        </w:rPr>
        <w:t xml:space="preserve">-own solutions. In West Asia, </w:t>
      </w: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 has become a key player in the GCC markets through its export operations.</w:t>
      </w:r>
    </w:p>
    <w:p w:rsidR="00912583" w:rsidRPr="00912583" w:rsidRDefault="00513D1D" w:rsidP="005C305C">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ITC</w:t>
      </w:r>
      <w:r w:rsidR="00912583" w:rsidRPr="00912583">
        <w:rPr>
          <w:rFonts w:ascii="Times New Roman" w:eastAsia="Times New Roman" w:hAnsi="Times New Roman" w:cs="Times New Roman"/>
          <w:color w:val="000000"/>
          <w:sz w:val="24"/>
          <w:szCs w:val="18"/>
        </w:rPr>
        <w:t xml:space="preserve">'s cigarettes are manufactured in state-of-the-art factories at Bengaluru, </w:t>
      </w:r>
      <w:proofErr w:type="spellStart"/>
      <w:r w:rsidR="00912583" w:rsidRPr="00912583">
        <w:rPr>
          <w:rFonts w:ascii="Times New Roman" w:eastAsia="Times New Roman" w:hAnsi="Times New Roman" w:cs="Times New Roman"/>
          <w:color w:val="000000"/>
          <w:sz w:val="24"/>
          <w:szCs w:val="18"/>
        </w:rPr>
        <w:t>Munger</w:t>
      </w:r>
      <w:proofErr w:type="spellEnd"/>
      <w:r w:rsidR="00912583" w:rsidRPr="00912583">
        <w:rPr>
          <w:rFonts w:ascii="Times New Roman" w:eastAsia="Times New Roman" w:hAnsi="Times New Roman" w:cs="Times New Roman"/>
          <w:color w:val="000000"/>
          <w:sz w:val="24"/>
          <w:szCs w:val="18"/>
        </w:rPr>
        <w:t>, Saharanpur, Kolkata and Pune, with cutting-edge technology &amp; excellent work practices benchmarked to the best globally. An efficient supply-chain &amp; distribution network reaches India's popular brands across the length &amp; breadth of the country.</w:t>
      </w:r>
    </w:p>
    <w:p w:rsidR="00650416" w:rsidRPr="00912583" w:rsidRDefault="00912583" w:rsidP="00912583">
      <w:pPr>
        <w:spacing w:line="360" w:lineRule="auto"/>
        <w:jc w:val="both"/>
        <w:rPr>
          <w:rFonts w:ascii="Times New Roman" w:hAnsi="Times New Roman" w:cs="Times New Roman"/>
          <w:b/>
          <w:sz w:val="24"/>
          <w:szCs w:val="24"/>
        </w:rPr>
      </w:pPr>
      <w:r w:rsidRPr="00912583">
        <w:rPr>
          <w:rFonts w:ascii="Times New Roman" w:hAnsi="Times New Roman" w:cs="Times New Roman"/>
          <w:b/>
          <w:sz w:val="24"/>
          <w:szCs w:val="24"/>
        </w:rPr>
        <w:t>FOOD</w:t>
      </w:r>
    </w:p>
    <w:p w:rsidR="00912583" w:rsidRPr="00912583" w:rsidRDefault="00513D1D" w:rsidP="005C305C">
      <w:pPr>
        <w:pStyle w:val="NormalWeb"/>
        <w:shd w:val="clear" w:color="auto" w:fill="FFFFFF"/>
        <w:spacing w:line="360" w:lineRule="auto"/>
        <w:jc w:val="both"/>
        <w:rPr>
          <w:color w:val="000000"/>
        </w:rPr>
      </w:pPr>
      <w:r>
        <w:rPr>
          <w:color w:val="000000"/>
        </w:rPr>
        <w:t>ITC</w:t>
      </w:r>
      <w:r w:rsidR="00912583" w:rsidRPr="00912583">
        <w:rPr>
          <w:color w:val="000000"/>
        </w:rPr>
        <w:t xml:space="preserve">'s Branded Packaged Foods business is one of the fastest growing foods businesses in India, driven by the market standing and consumer franchise of its seven popular brands - </w:t>
      </w:r>
      <w:proofErr w:type="spellStart"/>
      <w:r w:rsidR="00912583" w:rsidRPr="00912583">
        <w:rPr>
          <w:color w:val="000000"/>
        </w:rPr>
        <w:t>Aashirvaad</w:t>
      </w:r>
      <w:proofErr w:type="spellEnd"/>
      <w:r w:rsidR="00912583" w:rsidRPr="00912583">
        <w:rPr>
          <w:color w:val="000000"/>
        </w:rPr>
        <w:t xml:space="preserve">, </w:t>
      </w:r>
      <w:proofErr w:type="spellStart"/>
      <w:r w:rsidR="00912583" w:rsidRPr="00912583">
        <w:rPr>
          <w:color w:val="000000"/>
        </w:rPr>
        <w:t>Sunfeast</w:t>
      </w:r>
      <w:proofErr w:type="spellEnd"/>
      <w:r w:rsidR="00912583" w:rsidRPr="00912583">
        <w:rPr>
          <w:color w:val="000000"/>
        </w:rPr>
        <w:t xml:space="preserve">, Bingo!, </w:t>
      </w:r>
      <w:proofErr w:type="spellStart"/>
      <w:r w:rsidR="00912583" w:rsidRPr="00912583">
        <w:rPr>
          <w:color w:val="000000"/>
        </w:rPr>
        <w:t>K</w:t>
      </w:r>
      <w:r>
        <w:rPr>
          <w:color w:val="000000"/>
        </w:rPr>
        <w:t>ITC</w:t>
      </w:r>
      <w:r w:rsidR="00912583" w:rsidRPr="00912583">
        <w:rPr>
          <w:color w:val="000000"/>
        </w:rPr>
        <w:t>hens</w:t>
      </w:r>
      <w:proofErr w:type="spellEnd"/>
      <w:r w:rsidR="00912583" w:rsidRPr="00912583">
        <w:rPr>
          <w:color w:val="000000"/>
        </w:rPr>
        <w:t xml:space="preserve"> of India, mint-o, </w:t>
      </w:r>
      <w:proofErr w:type="spellStart"/>
      <w:r w:rsidR="00912583" w:rsidRPr="00912583">
        <w:rPr>
          <w:color w:val="000000"/>
        </w:rPr>
        <w:t>Candyman</w:t>
      </w:r>
      <w:proofErr w:type="spellEnd"/>
      <w:r w:rsidR="00912583" w:rsidRPr="00912583">
        <w:rPr>
          <w:color w:val="000000"/>
        </w:rPr>
        <w:t xml:space="preserve"> and Yippee! The Foods business is today represented in 4 categories in the market - Staples, Snack Foods, Ready </w:t>
      </w:r>
      <w:r w:rsidR="00A40BAC" w:rsidRPr="00912583">
        <w:rPr>
          <w:color w:val="000000"/>
        </w:rPr>
        <w:t>to</w:t>
      </w:r>
      <w:r w:rsidR="00912583" w:rsidRPr="00912583">
        <w:rPr>
          <w:color w:val="000000"/>
        </w:rPr>
        <w:t xml:space="preserve"> Eat Foods and Confectionery.</w:t>
      </w:r>
    </w:p>
    <w:p w:rsidR="00912583" w:rsidRDefault="00513D1D" w:rsidP="005C305C">
      <w:pPr>
        <w:pStyle w:val="NormalWeb"/>
        <w:shd w:val="clear" w:color="auto" w:fill="FFFFFF"/>
        <w:spacing w:line="360" w:lineRule="auto"/>
        <w:jc w:val="both"/>
        <w:rPr>
          <w:color w:val="000000"/>
        </w:rPr>
      </w:pPr>
      <w:r>
        <w:rPr>
          <w:color w:val="000000"/>
        </w:rPr>
        <w:t>ITC</w:t>
      </w:r>
      <w:r w:rsidR="00912583" w:rsidRPr="00912583">
        <w:rPr>
          <w:color w:val="000000"/>
        </w:rPr>
        <w:t xml:space="preserve">'s uncompromising commitment to the health and safety of its consumers ensures adherence to the highest levels of quality, safety and hygiene standards in manufacturing processes and in the supply chain. All </w:t>
      </w:r>
      <w:r>
        <w:rPr>
          <w:color w:val="000000"/>
        </w:rPr>
        <w:t>ITC</w:t>
      </w:r>
      <w:r w:rsidR="00912583" w:rsidRPr="00912583">
        <w:rPr>
          <w:color w:val="000000"/>
        </w:rPr>
        <w:t xml:space="preserve">-owned manufacturing units are Hazard Analysis and Critical Control Point (HACCP) certified. The quality performance of all manufacturing units is monitored continuously online. Going beyond process control, </w:t>
      </w:r>
      <w:r>
        <w:rPr>
          <w:color w:val="000000"/>
        </w:rPr>
        <w:t>ITC</w:t>
      </w:r>
      <w:r w:rsidR="00912583" w:rsidRPr="00912583">
        <w:rPr>
          <w:color w:val="000000"/>
        </w:rPr>
        <w:t xml:space="preserve"> ensures that quality standards are </w:t>
      </w:r>
      <w:r w:rsidR="00912583" w:rsidRPr="00912583">
        <w:rPr>
          <w:color w:val="000000"/>
        </w:rPr>
        <w:lastRenderedPageBreak/>
        <w:t xml:space="preserve">scrupulously adhered to while choosing ingredients that go into the preparation of its food products. </w:t>
      </w:r>
    </w:p>
    <w:p w:rsidR="005C305C" w:rsidRDefault="002A7DDD" w:rsidP="005C305C">
      <w:pPr>
        <w:pStyle w:val="NormalWeb"/>
        <w:shd w:val="clear" w:color="auto" w:fill="FFFFFF"/>
        <w:spacing w:line="360" w:lineRule="auto"/>
        <w:jc w:val="both"/>
        <w:rPr>
          <w:color w:val="000000"/>
        </w:rPr>
      </w:pPr>
      <w:r>
        <w:rPr>
          <w:noProof/>
          <w:color w:val="000000"/>
        </w:rPr>
        <w:drawing>
          <wp:inline distT="0" distB="0" distL="0" distR="0">
            <wp:extent cx="5490411" cy="3019425"/>
            <wp:effectExtent l="0" t="0" r="0" b="0"/>
            <wp:docPr id="27" name="Picture 27" descr="C:\Users\HRP\Desktop\brand-bu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P\Desktop\brand-busk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065" cy="3020884"/>
                    </a:xfrm>
                    <a:prstGeom prst="rect">
                      <a:avLst/>
                    </a:prstGeom>
                    <a:noFill/>
                    <a:ln>
                      <a:noFill/>
                    </a:ln>
                  </pic:spPr>
                </pic:pic>
              </a:graphicData>
            </a:graphic>
          </wp:inline>
        </w:drawing>
      </w:r>
    </w:p>
    <w:p w:rsidR="00912583" w:rsidRDefault="00513D1D" w:rsidP="002A7DDD">
      <w:pPr>
        <w:pStyle w:val="NormalWeb"/>
        <w:shd w:val="clear" w:color="auto" w:fill="FFFFFF"/>
        <w:spacing w:line="360" w:lineRule="auto"/>
        <w:jc w:val="both"/>
        <w:rPr>
          <w:color w:val="000000"/>
        </w:rPr>
      </w:pPr>
      <w:r>
        <w:rPr>
          <w:color w:val="000000"/>
        </w:rPr>
        <w:t>ITC</w:t>
      </w:r>
      <w:r w:rsidR="00912583" w:rsidRPr="00912583">
        <w:rPr>
          <w:color w:val="000000"/>
        </w:rPr>
        <w:t xml:space="preserve">'s Foods brands delight millions of households with a wide range of differentiated, value-added </w:t>
      </w:r>
      <w:r w:rsidR="004A5C8C">
        <w:rPr>
          <w:color w:val="000000"/>
        </w:rPr>
        <w:tab/>
      </w:r>
      <w:r w:rsidR="00912583" w:rsidRPr="00912583">
        <w:rPr>
          <w:color w:val="000000"/>
        </w:rPr>
        <w:t xml:space="preserve">products developed by leveraging </w:t>
      </w:r>
      <w:r>
        <w:rPr>
          <w:color w:val="000000"/>
        </w:rPr>
        <w:t>ITC</w:t>
      </w:r>
      <w:r w:rsidR="00912583" w:rsidRPr="00912583">
        <w:rPr>
          <w:color w:val="000000"/>
        </w:rPr>
        <w:t xml:space="preserve">'s in-house R&amp;D capabilities, relevant consumer insights, a deep understanding of the Indian palate gained from its Hotels business, its </w:t>
      </w:r>
      <w:proofErr w:type="spellStart"/>
      <w:r w:rsidR="00912583" w:rsidRPr="00912583">
        <w:rPr>
          <w:color w:val="000000"/>
        </w:rPr>
        <w:t>agri</w:t>
      </w:r>
      <w:proofErr w:type="spellEnd"/>
      <w:r w:rsidR="00912583" w:rsidRPr="00912583">
        <w:rPr>
          <w:color w:val="000000"/>
        </w:rPr>
        <w:t>-sourcing &amp; packaging strengths, exciting, innovative communication and an unmatched distribution network.</w:t>
      </w:r>
      <w:r w:rsidR="004A5C8C">
        <w:rPr>
          <w:color w:val="000000"/>
        </w:rPr>
        <w:t xml:space="preserve"> </w:t>
      </w:r>
      <w:r w:rsidR="00912583" w:rsidRPr="00912583">
        <w:rPr>
          <w:color w:val="000000"/>
        </w:rPr>
        <w:t xml:space="preserve">The business continues to invest in every aspect of manufacturing, distribution and marketing to ensure that it can leverage emerging opportunities and fulfill its aspiration of being the most trusted provider of Branded Packaged Foods in the country. </w:t>
      </w:r>
      <w:r>
        <w:rPr>
          <w:color w:val="000000"/>
        </w:rPr>
        <w:t>ITC</w:t>
      </w:r>
      <w:r w:rsidR="00912583" w:rsidRPr="00912583">
        <w:rPr>
          <w:color w:val="000000"/>
        </w:rPr>
        <w:t>'s Foods business also exports its products to the key geographies of North America, Africa, Middle East and Australia.</w:t>
      </w:r>
    </w:p>
    <w:p w:rsidR="00912583" w:rsidRPr="00912583" w:rsidRDefault="00912583" w:rsidP="00912583">
      <w:pPr>
        <w:pStyle w:val="NormalWeb"/>
        <w:shd w:val="clear" w:color="auto" w:fill="FFFFFF"/>
        <w:spacing w:line="360" w:lineRule="auto"/>
        <w:jc w:val="both"/>
        <w:rPr>
          <w:b/>
          <w:color w:val="000000"/>
        </w:rPr>
      </w:pPr>
      <w:r w:rsidRPr="00912583">
        <w:rPr>
          <w:b/>
          <w:color w:val="000000"/>
        </w:rPr>
        <w:t>LIFESTYLE RETAILING</w:t>
      </w:r>
    </w:p>
    <w:p w:rsidR="00912583" w:rsidRPr="00912583" w:rsidRDefault="00513D1D" w:rsidP="002A7DDD">
      <w:pPr>
        <w:pStyle w:val="NormalWeb"/>
        <w:shd w:val="clear" w:color="auto" w:fill="FFFFFF"/>
        <w:spacing w:line="360" w:lineRule="auto"/>
        <w:jc w:val="both"/>
        <w:rPr>
          <w:color w:val="000000"/>
          <w:szCs w:val="18"/>
        </w:rPr>
      </w:pPr>
      <w:r>
        <w:rPr>
          <w:color w:val="000000"/>
          <w:szCs w:val="18"/>
        </w:rPr>
        <w:t>ITC</w:t>
      </w:r>
      <w:r w:rsidR="00912583" w:rsidRPr="00912583">
        <w:rPr>
          <w:color w:val="000000"/>
          <w:szCs w:val="18"/>
        </w:rPr>
        <w:t>'s Lifestyle Retailing Business Division has established a nationwide retailing presence through</w:t>
      </w:r>
      <w:r w:rsidR="00912583" w:rsidRPr="00912583">
        <w:rPr>
          <w:rStyle w:val="apple-converted-space"/>
          <w:color w:val="000000"/>
          <w:szCs w:val="18"/>
        </w:rPr>
        <w:t> </w:t>
      </w:r>
      <w:r w:rsidR="00912583" w:rsidRPr="00912583">
        <w:rPr>
          <w:rStyle w:val="Strong"/>
          <w:color w:val="000000"/>
          <w:szCs w:val="18"/>
        </w:rPr>
        <w:t>Wills Lifestyle &amp; John Players</w:t>
      </w:r>
      <w:r w:rsidR="00912583" w:rsidRPr="00912583">
        <w:rPr>
          <w:color w:val="000000"/>
          <w:szCs w:val="18"/>
        </w:rPr>
        <w:t>.</w:t>
      </w:r>
    </w:p>
    <w:p w:rsidR="00912583" w:rsidRDefault="00912583" w:rsidP="002A7DDD">
      <w:pPr>
        <w:pStyle w:val="NormalWeb"/>
        <w:shd w:val="clear" w:color="auto" w:fill="FFFFFF"/>
        <w:spacing w:line="360" w:lineRule="auto"/>
        <w:jc w:val="both"/>
        <w:rPr>
          <w:color w:val="000000"/>
          <w:szCs w:val="18"/>
        </w:rPr>
      </w:pPr>
      <w:r w:rsidRPr="00912583">
        <w:rPr>
          <w:color w:val="000000"/>
          <w:szCs w:val="18"/>
        </w:rPr>
        <w:t>Synonymous with elegance and style that is effortless and chic,</w:t>
      </w:r>
      <w:r w:rsidRPr="00912583">
        <w:rPr>
          <w:rStyle w:val="apple-converted-space"/>
          <w:color w:val="000000"/>
          <w:szCs w:val="18"/>
        </w:rPr>
        <w:t> </w:t>
      </w:r>
      <w:r w:rsidRPr="00912583">
        <w:rPr>
          <w:rStyle w:val="Strong"/>
          <w:color w:val="000000"/>
          <w:szCs w:val="18"/>
        </w:rPr>
        <w:t>Wills Lifestyle</w:t>
      </w:r>
      <w:r w:rsidRPr="00912583">
        <w:rPr>
          <w:rStyle w:val="apple-converted-space"/>
          <w:color w:val="000000"/>
          <w:szCs w:val="18"/>
        </w:rPr>
        <w:t> </w:t>
      </w:r>
      <w:r w:rsidRPr="00912583">
        <w:rPr>
          <w:color w:val="000000"/>
          <w:szCs w:val="18"/>
        </w:rPr>
        <w:t xml:space="preserve">presents a premium fashion wardrobe for men and women. Offering a tempting choice of Wills Classic </w:t>
      </w:r>
      <w:r w:rsidRPr="00912583">
        <w:rPr>
          <w:color w:val="000000"/>
          <w:szCs w:val="18"/>
        </w:rPr>
        <w:lastRenderedPageBreak/>
        <w:t xml:space="preserve">formal wear, Wills Sport relaxed wear, Wills </w:t>
      </w:r>
      <w:proofErr w:type="spellStart"/>
      <w:r w:rsidRPr="00912583">
        <w:rPr>
          <w:color w:val="000000"/>
          <w:szCs w:val="18"/>
        </w:rPr>
        <w:t>Clublife</w:t>
      </w:r>
      <w:proofErr w:type="spellEnd"/>
      <w:r w:rsidRPr="00912583">
        <w:rPr>
          <w:color w:val="000000"/>
          <w:szCs w:val="18"/>
        </w:rPr>
        <w:t xml:space="preserve"> evening wear and Wills Signature designer wear, Wills Lifestyle offers a truly delightful shopping experience for the discerning customer.</w:t>
      </w:r>
    </w:p>
    <w:p w:rsidR="002A7DDD" w:rsidRPr="00912583" w:rsidRDefault="002A7DDD" w:rsidP="002A7DDD">
      <w:pPr>
        <w:pStyle w:val="NormalWeb"/>
        <w:shd w:val="clear" w:color="auto" w:fill="FFFFFF"/>
        <w:spacing w:line="360" w:lineRule="auto"/>
        <w:ind w:firstLine="720"/>
        <w:jc w:val="center"/>
        <w:rPr>
          <w:color w:val="000000"/>
          <w:szCs w:val="18"/>
        </w:rPr>
      </w:pPr>
      <w:r>
        <w:rPr>
          <w:noProof/>
          <w:color w:val="000000"/>
          <w:szCs w:val="18"/>
        </w:rPr>
        <w:drawing>
          <wp:inline distT="0" distB="0" distL="0" distR="0">
            <wp:extent cx="2781300" cy="2076450"/>
            <wp:effectExtent l="0" t="0" r="0" b="0"/>
            <wp:docPr id="28" name="Picture 28" descr="C:\Users\HRP\Desktop\w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P\Desktop\wls-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p w:rsidR="00912583" w:rsidRPr="00912583" w:rsidRDefault="00912583" w:rsidP="002A7DDD">
      <w:pPr>
        <w:pStyle w:val="NormalWeb"/>
        <w:shd w:val="clear" w:color="auto" w:fill="FFFFFF"/>
        <w:spacing w:line="360" w:lineRule="auto"/>
        <w:jc w:val="both"/>
        <w:rPr>
          <w:color w:val="000000"/>
          <w:szCs w:val="18"/>
        </w:rPr>
      </w:pPr>
      <w:r w:rsidRPr="00912583">
        <w:rPr>
          <w:rStyle w:val="Strong"/>
          <w:color w:val="000000"/>
          <w:szCs w:val="18"/>
        </w:rPr>
        <w:t>John Players</w:t>
      </w:r>
      <w:r w:rsidRPr="00912583">
        <w:rPr>
          <w:rStyle w:val="apple-converted-space"/>
          <w:color w:val="000000"/>
          <w:szCs w:val="18"/>
        </w:rPr>
        <w:t> </w:t>
      </w:r>
      <w:r w:rsidRPr="00912583">
        <w:rPr>
          <w:color w:val="000000"/>
          <w:szCs w:val="18"/>
        </w:rPr>
        <w:t xml:space="preserve">embodies the spirit of the modern youth that is playful, fashionable and cool. John Players presents a complete wardrobe of meticulously crafted smart formals, trendy casuals, dazzling party wear, edgy denims &amp; accessories incorporating the most contemporary trends in an exciting mix of </w:t>
      </w:r>
      <w:r w:rsidR="00A40BAC" w:rsidRPr="00912583">
        <w:rPr>
          <w:color w:val="000000"/>
          <w:szCs w:val="18"/>
        </w:rPr>
        <w:t>colors</w:t>
      </w:r>
      <w:r w:rsidRPr="00912583">
        <w:rPr>
          <w:color w:val="000000"/>
          <w:szCs w:val="18"/>
        </w:rPr>
        <w:t>, styling and fits.</w:t>
      </w:r>
    </w:p>
    <w:p w:rsidR="00912583" w:rsidRPr="00912583" w:rsidRDefault="00912583" w:rsidP="000822C3">
      <w:pPr>
        <w:pStyle w:val="NormalWeb"/>
        <w:shd w:val="clear" w:color="auto" w:fill="FFFFFF"/>
        <w:spacing w:line="360" w:lineRule="auto"/>
        <w:jc w:val="both"/>
        <w:rPr>
          <w:b/>
          <w:color w:val="000000"/>
          <w:szCs w:val="18"/>
        </w:rPr>
      </w:pPr>
      <w:r w:rsidRPr="00912583">
        <w:rPr>
          <w:b/>
          <w:color w:val="000000"/>
          <w:szCs w:val="18"/>
        </w:rPr>
        <w:t>PERSONAL CARE</w:t>
      </w:r>
    </w:p>
    <w:p w:rsidR="00912583" w:rsidRPr="00912583" w:rsidRDefault="00912583" w:rsidP="002A7DDD">
      <w:pPr>
        <w:pStyle w:val="NormalWeb"/>
        <w:shd w:val="clear" w:color="auto" w:fill="FFFFFF"/>
        <w:spacing w:line="360" w:lineRule="auto"/>
        <w:jc w:val="both"/>
        <w:rPr>
          <w:color w:val="000000"/>
          <w:szCs w:val="18"/>
        </w:rPr>
      </w:pPr>
      <w:r w:rsidRPr="00912583">
        <w:rPr>
          <w:color w:val="000000"/>
          <w:szCs w:val="18"/>
        </w:rPr>
        <w:t xml:space="preserve">In line with </w:t>
      </w:r>
      <w:r w:rsidR="00513D1D">
        <w:rPr>
          <w:color w:val="000000"/>
          <w:szCs w:val="18"/>
        </w:rPr>
        <w:t>ITC</w:t>
      </w:r>
      <w:r w:rsidRPr="00912583">
        <w:rPr>
          <w:color w:val="000000"/>
          <w:szCs w:val="18"/>
        </w:rPr>
        <w:t xml:space="preserve">'s aspiration to be India's premier FMCG </w:t>
      </w:r>
      <w:r w:rsidR="00A40BAC" w:rsidRPr="00912583">
        <w:rPr>
          <w:color w:val="000000"/>
          <w:szCs w:val="18"/>
        </w:rPr>
        <w:t>Company</w:t>
      </w:r>
      <w:r w:rsidRPr="00912583">
        <w:rPr>
          <w:color w:val="000000"/>
          <w:szCs w:val="18"/>
        </w:rPr>
        <w:t xml:space="preserve">, </w:t>
      </w:r>
      <w:r w:rsidR="00A40BAC" w:rsidRPr="00912583">
        <w:rPr>
          <w:color w:val="000000"/>
          <w:szCs w:val="18"/>
        </w:rPr>
        <w:t>recognized</w:t>
      </w:r>
      <w:r w:rsidRPr="00912583">
        <w:rPr>
          <w:color w:val="000000"/>
          <w:szCs w:val="18"/>
        </w:rPr>
        <w:t xml:space="preserve"> for its world-class quality and enduring consumer trust, </w:t>
      </w:r>
      <w:r w:rsidR="00513D1D">
        <w:rPr>
          <w:color w:val="000000"/>
          <w:szCs w:val="18"/>
        </w:rPr>
        <w:t>ITC</w:t>
      </w:r>
      <w:r w:rsidRPr="00912583">
        <w:rPr>
          <w:color w:val="000000"/>
          <w:szCs w:val="18"/>
        </w:rPr>
        <w:t xml:space="preserve"> forayed into the Personal Care business in July 2005. In the short period since its entry, </w:t>
      </w:r>
      <w:r w:rsidR="00513D1D">
        <w:rPr>
          <w:color w:val="000000"/>
          <w:szCs w:val="18"/>
        </w:rPr>
        <w:t>ITC</w:t>
      </w:r>
      <w:r w:rsidRPr="00912583">
        <w:rPr>
          <w:color w:val="000000"/>
          <w:szCs w:val="18"/>
        </w:rPr>
        <w:t xml:space="preserve"> has already launched an array of brands, each of which offers a unique and superior value proposition to discerning consumers. Anchored on extensive consumer research and product development, </w:t>
      </w:r>
      <w:r w:rsidR="00513D1D">
        <w:rPr>
          <w:color w:val="000000"/>
          <w:szCs w:val="18"/>
        </w:rPr>
        <w:t>ITC</w:t>
      </w:r>
      <w:r w:rsidRPr="00912583">
        <w:rPr>
          <w:color w:val="000000"/>
          <w:szCs w:val="18"/>
        </w:rPr>
        <w:t>'s personal care portfolio brings world-class products with clearly differentiated benefits to quality-seeking consumers.</w:t>
      </w:r>
    </w:p>
    <w:p w:rsidR="00912583" w:rsidRPr="00912583" w:rsidRDefault="00513D1D" w:rsidP="002A7DDD">
      <w:pPr>
        <w:pStyle w:val="NormalWeb"/>
        <w:shd w:val="clear" w:color="auto" w:fill="FFFFFF"/>
        <w:spacing w:line="360" w:lineRule="auto"/>
        <w:jc w:val="both"/>
        <w:rPr>
          <w:color w:val="000000"/>
          <w:szCs w:val="18"/>
        </w:rPr>
      </w:pPr>
      <w:r>
        <w:rPr>
          <w:color w:val="000000"/>
          <w:szCs w:val="18"/>
        </w:rPr>
        <w:t>ITC</w:t>
      </w:r>
      <w:r w:rsidR="00912583" w:rsidRPr="00912583">
        <w:rPr>
          <w:color w:val="000000"/>
          <w:szCs w:val="18"/>
        </w:rPr>
        <w:t>'s Personal Care portfolio under the '</w:t>
      </w:r>
      <w:proofErr w:type="spellStart"/>
      <w:r w:rsidR="00912583" w:rsidRPr="00912583">
        <w:rPr>
          <w:color w:val="000000"/>
          <w:szCs w:val="18"/>
        </w:rPr>
        <w:t>Essenza</w:t>
      </w:r>
      <w:proofErr w:type="spellEnd"/>
      <w:r w:rsidR="00912583" w:rsidRPr="00912583">
        <w:rPr>
          <w:color w:val="000000"/>
          <w:szCs w:val="18"/>
        </w:rPr>
        <w:t xml:space="preserve"> Di Wills', '</w:t>
      </w:r>
      <w:proofErr w:type="spellStart"/>
      <w:r w:rsidR="00912583" w:rsidRPr="00912583">
        <w:rPr>
          <w:color w:val="000000"/>
          <w:szCs w:val="18"/>
        </w:rPr>
        <w:t>Fiama</w:t>
      </w:r>
      <w:proofErr w:type="spellEnd"/>
      <w:r w:rsidR="00912583" w:rsidRPr="00912583">
        <w:rPr>
          <w:color w:val="000000"/>
          <w:szCs w:val="18"/>
        </w:rPr>
        <w:t xml:space="preserve"> Di Wills', '</w:t>
      </w:r>
      <w:proofErr w:type="spellStart"/>
      <w:r w:rsidR="00912583" w:rsidRPr="00912583">
        <w:rPr>
          <w:color w:val="000000"/>
          <w:szCs w:val="18"/>
        </w:rPr>
        <w:t>Vivel</w:t>
      </w:r>
      <w:proofErr w:type="spellEnd"/>
      <w:r w:rsidR="00912583" w:rsidRPr="00912583">
        <w:rPr>
          <w:color w:val="000000"/>
          <w:szCs w:val="18"/>
        </w:rPr>
        <w:t>'</w:t>
      </w:r>
      <w:r w:rsidR="00A40BAC" w:rsidRPr="00912583">
        <w:rPr>
          <w:color w:val="000000"/>
          <w:szCs w:val="18"/>
        </w:rPr>
        <w:t>, and “Engage” and</w:t>
      </w:r>
      <w:r w:rsidR="00912583" w:rsidRPr="00912583">
        <w:rPr>
          <w:color w:val="000000"/>
          <w:szCs w:val="18"/>
        </w:rPr>
        <w:t xml:space="preserve"> '</w:t>
      </w:r>
      <w:proofErr w:type="spellStart"/>
      <w:r w:rsidR="00912583" w:rsidRPr="00912583">
        <w:rPr>
          <w:color w:val="000000"/>
          <w:szCs w:val="18"/>
        </w:rPr>
        <w:t>Superia</w:t>
      </w:r>
      <w:proofErr w:type="spellEnd"/>
      <w:r w:rsidR="00912583" w:rsidRPr="00912583">
        <w:rPr>
          <w:color w:val="000000"/>
          <w:szCs w:val="18"/>
        </w:rPr>
        <w:t>' brands has received encouraging consumer response and is being progressively extended nationally.</w:t>
      </w:r>
    </w:p>
    <w:p w:rsidR="002A7DDD" w:rsidRDefault="002A7DDD" w:rsidP="002A7DDD">
      <w:pPr>
        <w:pStyle w:val="NormalWeb"/>
        <w:shd w:val="clear" w:color="auto" w:fill="FFFFFF"/>
        <w:spacing w:line="360" w:lineRule="auto"/>
        <w:jc w:val="both"/>
        <w:rPr>
          <w:color w:val="000000"/>
          <w:szCs w:val="18"/>
        </w:rPr>
      </w:pPr>
    </w:p>
    <w:p w:rsidR="002A7DDD" w:rsidRDefault="002A7DDD" w:rsidP="002A7DDD">
      <w:pPr>
        <w:pStyle w:val="NormalWeb"/>
        <w:shd w:val="clear" w:color="auto" w:fill="FFFFFF"/>
        <w:spacing w:line="360" w:lineRule="auto"/>
        <w:jc w:val="both"/>
        <w:rPr>
          <w:color w:val="000000"/>
          <w:szCs w:val="18"/>
        </w:rPr>
      </w:pPr>
    </w:p>
    <w:p w:rsidR="002A7DDD" w:rsidRDefault="002A7DDD" w:rsidP="002A7DDD">
      <w:pPr>
        <w:pStyle w:val="NormalWeb"/>
        <w:shd w:val="clear" w:color="auto" w:fill="FFFFFF"/>
        <w:spacing w:line="360" w:lineRule="auto"/>
        <w:jc w:val="center"/>
        <w:rPr>
          <w:color w:val="000000"/>
          <w:szCs w:val="18"/>
        </w:rPr>
      </w:pPr>
      <w:r>
        <w:rPr>
          <w:noProof/>
          <w:color w:val="000000"/>
          <w:szCs w:val="18"/>
        </w:rPr>
        <w:lastRenderedPageBreak/>
        <w:drawing>
          <wp:inline distT="0" distB="0" distL="0" distR="0">
            <wp:extent cx="4410075" cy="2638425"/>
            <wp:effectExtent l="0" t="0" r="9525" b="9525"/>
            <wp:docPr id="29" name="Picture 29" descr="C:\Users\HRP\Desktop\or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RP\Desktop\org-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rsidR="002A7DDD" w:rsidRDefault="002A7DDD" w:rsidP="002A7DDD">
      <w:pPr>
        <w:pStyle w:val="NormalWeb"/>
        <w:shd w:val="clear" w:color="auto" w:fill="FFFFFF"/>
        <w:spacing w:line="360" w:lineRule="auto"/>
        <w:jc w:val="both"/>
        <w:rPr>
          <w:color w:val="000000"/>
          <w:szCs w:val="18"/>
        </w:rPr>
      </w:pPr>
    </w:p>
    <w:p w:rsidR="00912583" w:rsidRPr="00912583" w:rsidRDefault="00513D1D" w:rsidP="002A7DDD">
      <w:pPr>
        <w:pStyle w:val="NormalWeb"/>
        <w:shd w:val="clear" w:color="auto" w:fill="FFFFFF"/>
        <w:spacing w:line="360" w:lineRule="auto"/>
        <w:jc w:val="both"/>
        <w:rPr>
          <w:color w:val="000000"/>
          <w:szCs w:val="18"/>
        </w:rPr>
      </w:pPr>
      <w:r>
        <w:rPr>
          <w:color w:val="000000"/>
          <w:szCs w:val="18"/>
        </w:rPr>
        <w:t>ITC</w:t>
      </w:r>
      <w:r w:rsidR="00912583" w:rsidRPr="00912583">
        <w:rPr>
          <w:color w:val="000000"/>
          <w:szCs w:val="18"/>
        </w:rPr>
        <w:t>'s state-of-the-art manufacturing facility meets stringent requirements of hygiene and benchmarked manufacturing practices. Contemporary technology and the latest manufacturing processes have combined to produce distinctly superior products which rank high on quality and consumer appeal.</w:t>
      </w:r>
    </w:p>
    <w:p w:rsidR="00912583" w:rsidRDefault="00912583" w:rsidP="002A7DDD">
      <w:pPr>
        <w:pStyle w:val="NormalWeb"/>
        <w:shd w:val="clear" w:color="auto" w:fill="FFFFFF"/>
        <w:spacing w:line="360" w:lineRule="auto"/>
        <w:jc w:val="both"/>
        <w:rPr>
          <w:color w:val="000000"/>
          <w:szCs w:val="18"/>
        </w:rPr>
      </w:pPr>
      <w:r w:rsidRPr="00912583">
        <w:rPr>
          <w:color w:val="000000"/>
          <w:szCs w:val="18"/>
        </w:rPr>
        <w:t xml:space="preserve">Extensive insights gained by </w:t>
      </w:r>
      <w:r w:rsidR="00513D1D">
        <w:rPr>
          <w:color w:val="000000"/>
          <w:szCs w:val="18"/>
        </w:rPr>
        <w:t>ITC</w:t>
      </w:r>
      <w:r w:rsidRPr="00912583">
        <w:rPr>
          <w:color w:val="000000"/>
          <w:szCs w:val="18"/>
        </w:rPr>
        <w:t xml:space="preserve"> through its numerous consumer engagements have provided the platform for its R&amp;D and Product Development teams to develop superior, differentiated products that meet the consumer's stated and innate needs. The product formulations use internationally </w:t>
      </w:r>
      <w:r w:rsidR="00A40BAC" w:rsidRPr="00912583">
        <w:rPr>
          <w:color w:val="000000"/>
          <w:szCs w:val="18"/>
        </w:rPr>
        <w:t>recognized</w:t>
      </w:r>
      <w:r w:rsidRPr="00912583">
        <w:rPr>
          <w:color w:val="000000"/>
          <w:szCs w:val="18"/>
        </w:rPr>
        <w:t xml:space="preserve"> safe ingredients, subjected to the highest standards of safety and performance.</w:t>
      </w:r>
    </w:p>
    <w:p w:rsidR="00A0086F" w:rsidRDefault="00912583" w:rsidP="000822C3">
      <w:pPr>
        <w:pStyle w:val="NormalWeb"/>
        <w:shd w:val="clear" w:color="auto" w:fill="FFFFFF"/>
        <w:tabs>
          <w:tab w:val="left" w:pos="7050"/>
        </w:tabs>
        <w:spacing w:line="360" w:lineRule="auto"/>
        <w:jc w:val="both"/>
        <w:rPr>
          <w:b/>
          <w:color w:val="000000"/>
          <w:szCs w:val="18"/>
        </w:rPr>
      </w:pPr>
      <w:r w:rsidRPr="00A0086F">
        <w:rPr>
          <w:b/>
          <w:color w:val="000000"/>
          <w:szCs w:val="18"/>
        </w:rPr>
        <w:t>EDU</w:t>
      </w:r>
      <w:r w:rsidR="00A0086F">
        <w:rPr>
          <w:b/>
          <w:color w:val="000000"/>
          <w:szCs w:val="18"/>
        </w:rPr>
        <w:t>CATION AND STATIONERY</w:t>
      </w:r>
      <w:r w:rsidR="00A40BAC">
        <w:rPr>
          <w:b/>
          <w:color w:val="000000"/>
          <w:szCs w:val="18"/>
        </w:rPr>
        <w:tab/>
      </w:r>
    </w:p>
    <w:p w:rsidR="00912583" w:rsidRDefault="00513D1D" w:rsidP="002A7DDD">
      <w:pPr>
        <w:pStyle w:val="NormalWeb"/>
        <w:shd w:val="clear" w:color="auto" w:fill="FFFFFF"/>
        <w:spacing w:line="360" w:lineRule="auto"/>
        <w:jc w:val="both"/>
        <w:rPr>
          <w:color w:val="000000"/>
        </w:rPr>
      </w:pPr>
      <w:r>
        <w:rPr>
          <w:color w:val="000000"/>
        </w:rPr>
        <w:t>ITC</w:t>
      </w:r>
      <w:r w:rsidR="00912583" w:rsidRPr="00912583">
        <w:rPr>
          <w:color w:val="000000"/>
        </w:rPr>
        <w:t xml:space="preserve"> made its entry to the education and stationery business with its </w:t>
      </w:r>
      <w:r w:rsidR="00A40BAC" w:rsidRPr="00912583">
        <w:rPr>
          <w:color w:val="000000"/>
        </w:rPr>
        <w:t>Paper Kraft</w:t>
      </w:r>
      <w:r w:rsidR="00912583" w:rsidRPr="00912583">
        <w:rPr>
          <w:color w:val="000000"/>
        </w:rPr>
        <w:t xml:space="preserve"> brand in the premium segment in 2002; and later expanded into the popular segment with its Classmate brand in 2003. By 2007, Classmate became the largest Notebook brand in the country. Together, Classmate and </w:t>
      </w:r>
      <w:r w:rsidR="00A40BAC" w:rsidRPr="00912583">
        <w:rPr>
          <w:color w:val="000000"/>
        </w:rPr>
        <w:t>Paper Kraft</w:t>
      </w:r>
      <w:r w:rsidR="00912583" w:rsidRPr="00912583">
        <w:rPr>
          <w:color w:val="000000"/>
        </w:rPr>
        <w:t xml:space="preserve"> offer a range of products in the Education &amp; Stationery space to the discerning consumer, providing unrivalled va</w:t>
      </w:r>
      <w:r w:rsidR="00912583">
        <w:rPr>
          <w:color w:val="000000"/>
        </w:rPr>
        <w:t xml:space="preserve">lue in terms of product &amp; price. </w:t>
      </w:r>
      <w:r w:rsidR="00912583" w:rsidRPr="00912583">
        <w:rPr>
          <w:color w:val="000000"/>
        </w:rPr>
        <w:t xml:space="preserve">Classmate and </w:t>
      </w:r>
      <w:r w:rsidR="00A40BAC" w:rsidRPr="00912583">
        <w:rPr>
          <w:color w:val="000000"/>
        </w:rPr>
        <w:t>Paper Kraft</w:t>
      </w:r>
      <w:r w:rsidR="00912583" w:rsidRPr="00912583">
        <w:rPr>
          <w:color w:val="000000"/>
        </w:rPr>
        <w:t xml:space="preserve"> have become a natural extension of the consumer. Meticulous understanding of </w:t>
      </w:r>
      <w:r w:rsidR="00912583" w:rsidRPr="00912583">
        <w:rPr>
          <w:color w:val="000000"/>
        </w:rPr>
        <w:lastRenderedPageBreak/>
        <w:t>consumer needs helped creating a relevant and comprehensive portfolio satisfying the needs of different sets of consumers.</w:t>
      </w:r>
      <w:r w:rsidR="00912583">
        <w:rPr>
          <w:color w:val="000000"/>
        </w:rPr>
        <w:t xml:space="preserve"> </w:t>
      </w:r>
      <w:r>
        <w:rPr>
          <w:color w:val="000000"/>
        </w:rPr>
        <w:t>ITC</w:t>
      </w:r>
      <w:r w:rsidR="00912583" w:rsidRPr="00912583">
        <w:rPr>
          <w:color w:val="000000"/>
        </w:rPr>
        <w:t xml:space="preserve"> is the manufacturer of India's first Ozone treated environment friendly Elemental Chlorine Free (ECF) pulp, paper and paperboard. It blends its knowledge of image processing, printing and conversion garnered from Packaging &amp; Printing Business with its brand building and trade marketing &amp; distribution strengths resident in its FMCG business to offer superior value products to consumers.</w:t>
      </w:r>
    </w:p>
    <w:p w:rsidR="002A7DDD" w:rsidRDefault="002A7DDD" w:rsidP="002A7DDD">
      <w:pPr>
        <w:pStyle w:val="NormalWeb"/>
        <w:shd w:val="clear" w:color="auto" w:fill="FFFFFF"/>
        <w:spacing w:line="360" w:lineRule="auto"/>
        <w:jc w:val="center"/>
        <w:rPr>
          <w:color w:val="000000"/>
        </w:rPr>
      </w:pPr>
      <w:r>
        <w:rPr>
          <w:noProof/>
          <w:color w:val="000000"/>
        </w:rPr>
        <w:drawing>
          <wp:inline distT="0" distB="0" distL="0" distR="0">
            <wp:extent cx="2162175" cy="2276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p w:rsidR="002A7DDD" w:rsidRPr="00A0086F" w:rsidRDefault="002A7DDD" w:rsidP="002A7DDD">
      <w:pPr>
        <w:pStyle w:val="NormalWeb"/>
        <w:shd w:val="clear" w:color="auto" w:fill="FFFFFF"/>
        <w:spacing w:line="360" w:lineRule="auto"/>
        <w:jc w:val="both"/>
        <w:rPr>
          <w:b/>
          <w:color w:val="000000"/>
          <w:szCs w:val="18"/>
        </w:rPr>
      </w:pPr>
    </w:p>
    <w:p w:rsidR="00912583" w:rsidRDefault="00A40BAC" w:rsidP="002A7DDD">
      <w:pPr>
        <w:pStyle w:val="NormalWeb"/>
        <w:shd w:val="clear" w:color="auto" w:fill="FFFFFF"/>
        <w:spacing w:line="360" w:lineRule="auto"/>
        <w:jc w:val="both"/>
        <w:rPr>
          <w:color w:val="000000"/>
        </w:rPr>
      </w:pPr>
      <w:r w:rsidRPr="00912583">
        <w:rPr>
          <w:color w:val="000000"/>
        </w:rPr>
        <w:t>Paper Kraft</w:t>
      </w:r>
      <w:r w:rsidR="00912583" w:rsidRPr="00912583">
        <w:rPr>
          <w:color w:val="000000"/>
        </w:rPr>
        <w:t xml:space="preserve"> Business paper and the papers used in Classmate and </w:t>
      </w:r>
      <w:r w:rsidRPr="00912583">
        <w:rPr>
          <w:color w:val="000000"/>
        </w:rPr>
        <w:t>Paper Kraft</w:t>
      </w:r>
      <w:r w:rsidR="00912583" w:rsidRPr="00912583">
        <w:rPr>
          <w:color w:val="000000"/>
        </w:rPr>
        <w:t xml:space="preserve"> notebooks are superior in quality and environment-friendly. Other offerings available in education and Stationery range are safe and certified non-toxic.</w:t>
      </w:r>
    </w:p>
    <w:p w:rsidR="004A5C8C" w:rsidRDefault="002A7DDD" w:rsidP="000822C3">
      <w:pPr>
        <w:pStyle w:val="Heading1"/>
        <w:spacing w:before="0" w:beforeAutospacing="0" w:after="0" w:afterAutospacing="0" w:line="360" w:lineRule="auto"/>
        <w:jc w:val="both"/>
        <w:textAlignment w:val="center"/>
        <w:rPr>
          <w:color w:val="000000"/>
          <w:sz w:val="24"/>
        </w:rPr>
      </w:pPr>
      <w:r>
        <w:rPr>
          <w:noProof/>
          <w:color w:val="000000"/>
          <w:sz w:val="24"/>
        </w:rPr>
        <w:drawing>
          <wp:inline distT="0" distB="0" distL="0" distR="0">
            <wp:extent cx="5943600" cy="1851007"/>
            <wp:effectExtent l="0" t="0" r="0" b="0"/>
            <wp:docPr id="31" name="Picture 31" descr="C:\Users\HRP\Desktop\classmate-product-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RP\Desktop\classmate-product-ran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51007"/>
                    </a:xfrm>
                    <a:prstGeom prst="rect">
                      <a:avLst/>
                    </a:prstGeom>
                    <a:noFill/>
                    <a:ln>
                      <a:noFill/>
                    </a:ln>
                  </pic:spPr>
                </pic:pic>
              </a:graphicData>
            </a:graphic>
          </wp:inline>
        </w:drawing>
      </w:r>
    </w:p>
    <w:p w:rsidR="004A5C8C" w:rsidRDefault="004A5C8C" w:rsidP="000822C3">
      <w:pPr>
        <w:pStyle w:val="Heading1"/>
        <w:spacing w:before="0" w:beforeAutospacing="0" w:after="0" w:afterAutospacing="0" w:line="360" w:lineRule="auto"/>
        <w:jc w:val="both"/>
        <w:textAlignment w:val="center"/>
        <w:rPr>
          <w:color w:val="000000"/>
          <w:sz w:val="24"/>
        </w:rPr>
      </w:pPr>
    </w:p>
    <w:p w:rsidR="00A0086F" w:rsidRPr="00A0086F" w:rsidRDefault="00A0086F" w:rsidP="000822C3">
      <w:pPr>
        <w:pStyle w:val="Heading1"/>
        <w:spacing w:before="0" w:beforeAutospacing="0" w:after="0" w:afterAutospacing="0" w:line="360" w:lineRule="auto"/>
        <w:jc w:val="both"/>
        <w:textAlignment w:val="center"/>
        <w:rPr>
          <w:rFonts w:ascii="Arial" w:hAnsi="Arial" w:cs="Arial"/>
          <w:bCs w:val="0"/>
          <w:caps/>
          <w:color w:val="2C5D9B"/>
          <w:sz w:val="24"/>
          <w:szCs w:val="45"/>
        </w:rPr>
      </w:pPr>
      <w:r w:rsidRPr="00A0086F">
        <w:rPr>
          <w:color w:val="000000"/>
          <w:sz w:val="24"/>
        </w:rPr>
        <w:t>SAFETY MATCHES AND AGARBATTIS</w:t>
      </w:r>
    </w:p>
    <w:p w:rsidR="00A0086F" w:rsidRPr="00A0086F" w:rsidRDefault="00A0086F" w:rsidP="002A7DDD">
      <w:pPr>
        <w:pStyle w:val="NormalWeb"/>
        <w:shd w:val="clear" w:color="auto" w:fill="FFFFFF"/>
        <w:spacing w:line="360" w:lineRule="auto"/>
        <w:jc w:val="both"/>
        <w:rPr>
          <w:color w:val="000000"/>
        </w:rPr>
      </w:pPr>
      <w:r w:rsidRPr="00A0086F">
        <w:rPr>
          <w:color w:val="000000"/>
        </w:rPr>
        <w:lastRenderedPageBreak/>
        <w:t xml:space="preserve">As part of its strategic initiative to create multiple drivers of growth in the FMCG sector, </w:t>
      </w:r>
      <w:r w:rsidR="00513D1D">
        <w:rPr>
          <w:color w:val="000000"/>
        </w:rPr>
        <w:t>ITC</w:t>
      </w:r>
      <w:r w:rsidRPr="00A0086F">
        <w:rPr>
          <w:color w:val="000000"/>
        </w:rPr>
        <w:t xml:space="preserve"> commenced marketing safety matches sourced from the small-scale sector. The Safety Matches business leverages the core strengths of </w:t>
      </w:r>
      <w:r w:rsidR="00513D1D">
        <w:rPr>
          <w:color w:val="000000"/>
        </w:rPr>
        <w:t>ITC</w:t>
      </w:r>
      <w:r w:rsidRPr="00A0086F">
        <w:rPr>
          <w:color w:val="000000"/>
        </w:rPr>
        <w:t xml:space="preserve"> in marketing and distribution, brand building, supply chain management and paperboard &amp; packaging to offer Indian consumers high quality safety matches.</w:t>
      </w:r>
    </w:p>
    <w:p w:rsidR="00A0086F" w:rsidRDefault="00513D1D" w:rsidP="002A7DDD">
      <w:pPr>
        <w:pStyle w:val="NormalWeb"/>
        <w:shd w:val="clear" w:color="auto" w:fill="FFFFFF"/>
        <w:spacing w:line="360" w:lineRule="auto"/>
        <w:jc w:val="both"/>
        <w:rPr>
          <w:color w:val="000000"/>
        </w:rPr>
      </w:pPr>
      <w:r>
        <w:rPr>
          <w:color w:val="000000"/>
        </w:rPr>
        <w:t>ITC</w:t>
      </w:r>
      <w:r w:rsidR="00A0086F" w:rsidRPr="00A0086F">
        <w:rPr>
          <w:color w:val="000000"/>
        </w:rPr>
        <w:t>'s range of Safety Matches includes p</w:t>
      </w:r>
      <w:r w:rsidR="00A40BAC">
        <w:rPr>
          <w:color w:val="000000"/>
        </w:rPr>
        <w:t xml:space="preserve">opular brands like Aim &amp; i </w:t>
      </w:r>
      <w:proofErr w:type="spellStart"/>
      <w:r w:rsidR="00A40BAC">
        <w:rPr>
          <w:color w:val="000000"/>
        </w:rPr>
        <w:t>Kno</w:t>
      </w:r>
      <w:proofErr w:type="spellEnd"/>
      <w:r w:rsidR="00A40BAC">
        <w:rPr>
          <w:color w:val="000000"/>
        </w:rPr>
        <w:t xml:space="preserve">. </w:t>
      </w:r>
      <w:r w:rsidR="00A0086F" w:rsidRPr="00A0086F">
        <w:rPr>
          <w:color w:val="000000"/>
        </w:rPr>
        <w:t xml:space="preserve">With differentiated product features and innovative value additions, these brands effectively address the needs of different consumer segments. </w:t>
      </w:r>
      <w:r>
        <w:rPr>
          <w:color w:val="000000"/>
        </w:rPr>
        <w:t>ITC</w:t>
      </w:r>
      <w:r w:rsidR="00A0086F" w:rsidRPr="00A0086F">
        <w:rPr>
          <w:color w:val="000000"/>
        </w:rPr>
        <w:t xml:space="preserve"> also exports safety matches to various markets. The </w:t>
      </w:r>
      <w:r w:rsidR="002A7DDD">
        <w:rPr>
          <w:color w:val="000000"/>
        </w:rPr>
        <w:t>acquisition of WIMCO</w:t>
      </w:r>
      <w:r w:rsidR="00A0086F" w:rsidRPr="00A0086F">
        <w:rPr>
          <w:color w:val="000000"/>
        </w:rPr>
        <w:t xml:space="preserve"> Ltd., a subsidiary of </w:t>
      </w:r>
      <w:r>
        <w:rPr>
          <w:color w:val="000000"/>
        </w:rPr>
        <w:t>ITC</w:t>
      </w:r>
      <w:r w:rsidR="00A0086F" w:rsidRPr="00A0086F">
        <w:rPr>
          <w:color w:val="000000"/>
        </w:rPr>
        <w:t xml:space="preserve"> has consolidated the market standing of the Company's Matches business through synergy benefits derived through combined portfolio of offerings, improved servicing of proximal markets and freight optimization. Through its participation, </w:t>
      </w:r>
      <w:r>
        <w:rPr>
          <w:color w:val="000000"/>
        </w:rPr>
        <w:t>ITC</w:t>
      </w:r>
      <w:r w:rsidR="00A0086F" w:rsidRPr="00A0086F">
        <w:rPr>
          <w:color w:val="000000"/>
        </w:rPr>
        <w:t xml:space="preserve"> aims to enhance the competitiveness of the small and medium scale sectors through its complementary R&amp;D based product development and marketing strengths, especially the width and depth of the Company's trade marketing and distribution.</w:t>
      </w:r>
    </w:p>
    <w:p w:rsidR="002A7DDD" w:rsidRDefault="002A7DDD" w:rsidP="002A7DDD">
      <w:pPr>
        <w:pStyle w:val="NormalWeb"/>
        <w:shd w:val="clear" w:color="auto" w:fill="FFFFFF"/>
        <w:spacing w:line="360" w:lineRule="auto"/>
        <w:jc w:val="center"/>
        <w:rPr>
          <w:color w:val="000000"/>
        </w:rPr>
      </w:pPr>
      <w:r>
        <w:rPr>
          <w:noProof/>
          <w:color w:val="000000"/>
        </w:rPr>
        <w:drawing>
          <wp:inline distT="0" distB="0" distL="0" distR="0">
            <wp:extent cx="5943600" cy="1070411"/>
            <wp:effectExtent l="0" t="0" r="0" b="0"/>
            <wp:docPr id="33" name="Picture 33" descr="C:\Users\HRP\Desktop\ITC-Mangaldeep-ITC-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P\Desktop\ITC-Mangaldeep-ITC-AI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70411"/>
                    </a:xfrm>
                    <a:prstGeom prst="rect">
                      <a:avLst/>
                    </a:prstGeom>
                    <a:noFill/>
                    <a:ln>
                      <a:noFill/>
                    </a:ln>
                  </pic:spPr>
                </pic:pic>
              </a:graphicData>
            </a:graphic>
          </wp:inline>
        </w:drawing>
      </w:r>
    </w:p>
    <w:p w:rsidR="00A0086F" w:rsidRPr="00A0086F" w:rsidRDefault="00A0086F" w:rsidP="002A7DDD">
      <w:pPr>
        <w:pStyle w:val="NormalWeb"/>
        <w:shd w:val="clear" w:color="auto" w:fill="FFFFFF"/>
        <w:spacing w:line="360" w:lineRule="auto"/>
        <w:jc w:val="both"/>
        <w:rPr>
          <w:color w:val="000000"/>
        </w:rPr>
      </w:pPr>
      <w:r w:rsidRPr="00A0086F">
        <w:rPr>
          <w:color w:val="000000"/>
          <w:shd w:val="clear" w:color="auto" w:fill="FFFFFF"/>
        </w:rPr>
        <w:t xml:space="preserve">As part of </w:t>
      </w:r>
      <w:r w:rsidR="00513D1D">
        <w:rPr>
          <w:color w:val="000000"/>
          <w:shd w:val="clear" w:color="auto" w:fill="FFFFFF"/>
        </w:rPr>
        <w:t>ITC</w:t>
      </w:r>
      <w:r w:rsidRPr="00A0086F">
        <w:rPr>
          <w:color w:val="000000"/>
          <w:shd w:val="clear" w:color="auto" w:fill="FFFFFF"/>
        </w:rPr>
        <w:t xml:space="preserve">'s business strategy of creating multiple drivers of growth in the FMCG sector, the Company commenced marketing </w:t>
      </w:r>
      <w:proofErr w:type="spellStart"/>
      <w:r w:rsidRPr="00A0086F">
        <w:rPr>
          <w:color w:val="000000"/>
          <w:shd w:val="clear" w:color="auto" w:fill="FFFFFF"/>
        </w:rPr>
        <w:t>Agarbattis</w:t>
      </w:r>
      <w:proofErr w:type="spellEnd"/>
      <w:r w:rsidRPr="00A0086F">
        <w:rPr>
          <w:color w:val="000000"/>
          <w:shd w:val="clear" w:color="auto" w:fill="FFFFFF"/>
        </w:rPr>
        <w:t xml:space="preserve"> (Incense Sticks) sourced from small-scale and cottage units in 2003. This Business leverages the core strengths of </w:t>
      </w:r>
      <w:r w:rsidR="00513D1D">
        <w:rPr>
          <w:color w:val="000000"/>
          <w:shd w:val="clear" w:color="auto" w:fill="FFFFFF"/>
        </w:rPr>
        <w:t>ITC</w:t>
      </w:r>
      <w:r w:rsidRPr="00A0086F">
        <w:rPr>
          <w:color w:val="000000"/>
          <w:shd w:val="clear" w:color="auto" w:fill="FFFFFF"/>
        </w:rPr>
        <w:t xml:space="preserve"> in nation-wide distribution and marketing, brand building, supply chain management, manufacture of high quality paperboards and the creation of innovative packaging solutions to offer Indian consumers high quality </w:t>
      </w:r>
      <w:proofErr w:type="spellStart"/>
      <w:r w:rsidRPr="00A0086F">
        <w:rPr>
          <w:color w:val="000000"/>
          <w:shd w:val="clear" w:color="auto" w:fill="FFFFFF"/>
        </w:rPr>
        <w:t>Agarbattis</w:t>
      </w:r>
      <w:proofErr w:type="spellEnd"/>
      <w:r w:rsidRPr="00A0086F">
        <w:rPr>
          <w:color w:val="000000"/>
          <w:shd w:val="clear" w:color="auto" w:fill="FFFFFF"/>
        </w:rPr>
        <w:t xml:space="preserve">. With its participation in the business, </w:t>
      </w:r>
      <w:r w:rsidR="00513D1D">
        <w:rPr>
          <w:color w:val="000000"/>
          <w:shd w:val="clear" w:color="auto" w:fill="FFFFFF"/>
        </w:rPr>
        <w:t>ITC</w:t>
      </w:r>
      <w:r w:rsidRPr="00A0086F">
        <w:rPr>
          <w:color w:val="000000"/>
          <w:shd w:val="clear" w:color="auto" w:fill="FFFFFF"/>
        </w:rPr>
        <w:t xml:space="preserve"> aims to enhance the competitiveness of the small-scale and cottage units through its complementary R&amp;D based product development and strengths in trade marketing and distribution.</w:t>
      </w:r>
    </w:p>
    <w:p w:rsidR="00A40BAC" w:rsidRPr="004F14FC" w:rsidRDefault="00A40BAC" w:rsidP="000822C3">
      <w:pPr>
        <w:pStyle w:val="NormalWeb"/>
        <w:shd w:val="clear" w:color="auto" w:fill="FFFFFF"/>
        <w:spacing w:line="360" w:lineRule="auto"/>
        <w:jc w:val="both"/>
        <w:rPr>
          <w:b/>
          <w:color w:val="000000"/>
          <w:sz w:val="28"/>
          <w:szCs w:val="18"/>
        </w:rPr>
      </w:pPr>
      <w:r w:rsidRPr="004F14FC">
        <w:rPr>
          <w:b/>
          <w:color w:val="000000"/>
          <w:sz w:val="28"/>
          <w:szCs w:val="18"/>
        </w:rPr>
        <w:t>HOTELS</w:t>
      </w:r>
    </w:p>
    <w:p w:rsidR="00A34B8C" w:rsidRPr="00A34B8C" w:rsidRDefault="00A34B8C" w:rsidP="00234B62">
      <w:pPr>
        <w:pStyle w:val="NormalWeb"/>
        <w:shd w:val="clear" w:color="auto" w:fill="FFFFFF"/>
        <w:spacing w:line="360" w:lineRule="auto"/>
        <w:jc w:val="both"/>
        <w:rPr>
          <w:color w:val="000000"/>
        </w:rPr>
      </w:pPr>
      <w:r w:rsidRPr="00A34B8C">
        <w:rPr>
          <w:color w:val="000000"/>
        </w:rPr>
        <w:lastRenderedPageBreak/>
        <w:t>Launched in 1975,</w:t>
      </w:r>
      <w:r w:rsidRPr="00A34B8C">
        <w:rPr>
          <w:rStyle w:val="apple-converted-space"/>
          <w:color w:val="000000"/>
        </w:rPr>
        <w:t> </w:t>
      </w:r>
      <w:r w:rsidR="00513D1D">
        <w:rPr>
          <w:rStyle w:val="Strong"/>
          <w:color w:val="000000"/>
        </w:rPr>
        <w:t>ITC</w:t>
      </w:r>
      <w:r w:rsidRPr="00A34B8C">
        <w:rPr>
          <w:rStyle w:val="Strong"/>
          <w:color w:val="000000"/>
        </w:rPr>
        <w:t xml:space="preserve"> Hotels</w:t>
      </w:r>
      <w:r w:rsidRPr="00A34B8C">
        <w:rPr>
          <w:color w:val="000000"/>
        </w:rPr>
        <w:t xml:space="preserve">, India's premier chain of luxury </w:t>
      </w:r>
      <w:proofErr w:type="gramStart"/>
      <w:r w:rsidRPr="00A34B8C">
        <w:rPr>
          <w:color w:val="000000"/>
        </w:rPr>
        <w:t>hotels,</w:t>
      </w:r>
      <w:proofErr w:type="gramEnd"/>
      <w:r w:rsidRPr="00A34B8C">
        <w:rPr>
          <w:color w:val="000000"/>
        </w:rPr>
        <w:t xml:space="preserve"> has become synonymous with Indian hospitality. </w:t>
      </w:r>
      <w:r w:rsidR="00513D1D">
        <w:rPr>
          <w:color w:val="000000"/>
        </w:rPr>
        <w:t>ITC</w:t>
      </w:r>
      <w:r w:rsidRPr="00A34B8C">
        <w:rPr>
          <w:color w:val="000000"/>
        </w:rPr>
        <w:t xml:space="preserve"> Hotels pioneered the concept of 'Responsible Luxury' in the hospitality industry, drawing on the strengths of the </w:t>
      </w:r>
      <w:r w:rsidR="00513D1D">
        <w:rPr>
          <w:color w:val="000000"/>
        </w:rPr>
        <w:t>ITC</w:t>
      </w:r>
      <w:r w:rsidRPr="00A34B8C">
        <w:rPr>
          <w:color w:val="000000"/>
        </w:rPr>
        <w:t xml:space="preserve"> </w:t>
      </w:r>
      <w:proofErr w:type="gramStart"/>
      <w:r w:rsidRPr="00A34B8C">
        <w:rPr>
          <w:color w:val="000000"/>
        </w:rPr>
        <w:t>groups</w:t>
      </w:r>
      <w:proofErr w:type="gramEnd"/>
      <w:r w:rsidRPr="00A34B8C">
        <w:rPr>
          <w:color w:val="000000"/>
        </w:rPr>
        <w:t xml:space="preserve"> exemplary sustainability practices. Responsible Luxury personifies an ethos that integrates world-class green practices with contemporary design elements to deliver the best of luxury in the greenest possible manner.</w:t>
      </w:r>
    </w:p>
    <w:p w:rsidR="00A34B8C" w:rsidRDefault="00A34B8C" w:rsidP="00234B62">
      <w:pPr>
        <w:pStyle w:val="NormalWeb"/>
        <w:shd w:val="clear" w:color="auto" w:fill="FFFFFF"/>
        <w:spacing w:line="360" w:lineRule="auto"/>
        <w:jc w:val="both"/>
        <w:rPr>
          <w:color w:val="000000"/>
        </w:rPr>
      </w:pPr>
      <w:r w:rsidRPr="00A34B8C">
        <w:rPr>
          <w:color w:val="000000"/>
        </w:rPr>
        <w:t xml:space="preserve">The Responsible Luxury commitment of </w:t>
      </w:r>
      <w:r w:rsidR="00513D1D">
        <w:rPr>
          <w:color w:val="000000"/>
        </w:rPr>
        <w:t>ITC</w:t>
      </w:r>
      <w:r w:rsidRPr="00A34B8C">
        <w:rPr>
          <w:color w:val="000000"/>
        </w:rPr>
        <w:t xml:space="preserve"> Hotels blends elements of nature to deliver a unique value proposition to guests, conscious of their responsibility to be planet positive. Today, these unique interventions have made </w:t>
      </w:r>
      <w:r w:rsidR="00513D1D">
        <w:rPr>
          <w:color w:val="000000"/>
        </w:rPr>
        <w:t>ITC</w:t>
      </w:r>
      <w:r w:rsidRPr="00A34B8C">
        <w:rPr>
          <w:color w:val="000000"/>
        </w:rPr>
        <w:t xml:space="preserve"> Hotels the greenest luxury hotel chain in the world with all its ten premium luxury hotels LEED (Leadership in Energy and Environmental Design) Platinum certified.</w:t>
      </w:r>
    </w:p>
    <w:p w:rsidR="002A7DDD" w:rsidRDefault="002A7DDD" w:rsidP="000822C3">
      <w:pPr>
        <w:pStyle w:val="NormalWeb"/>
        <w:shd w:val="clear" w:color="auto" w:fill="FFFFFF"/>
        <w:spacing w:line="360" w:lineRule="auto"/>
        <w:ind w:firstLine="720"/>
        <w:jc w:val="both"/>
      </w:pPr>
    </w:p>
    <w:p w:rsidR="002A7DDD" w:rsidRDefault="004E1B0F" w:rsidP="004E1B0F">
      <w:pPr>
        <w:pStyle w:val="NormalWeb"/>
        <w:shd w:val="clear" w:color="auto" w:fill="FFFFFF"/>
        <w:spacing w:line="360" w:lineRule="auto"/>
        <w:ind w:firstLine="720"/>
        <w:jc w:val="center"/>
      </w:pPr>
      <w:r>
        <w:rPr>
          <w:noProof/>
        </w:rPr>
        <w:drawing>
          <wp:inline distT="0" distB="0" distL="0" distR="0">
            <wp:extent cx="2781300" cy="2076450"/>
            <wp:effectExtent l="0" t="0" r="0" b="0"/>
            <wp:docPr id="34" name="Picture 34" descr="C:\Users\HRP\Desktop\hote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RP\Desktop\hotels-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p w:rsidR="00A40BAC" w:rsidRPr="00A34B8C" w:rsidRDefault="00A40BAC" w:rsidP="004E1B0F">
      <w:pPr>
        <w:pStyle w:val="NormalWeb"/>
        <w:shd w:val="clear" w:color="auto" w:fill="FFFFFF"/>
        <w:spacing w:line="360" w:lineRule="auto"/>
        <w:jc w:val="both"/>
        <w:rPr>
          <w:color w:val="000000"/>
        </w:rPr>
      </w:pPr>
      <w:r w:rsidRPr="00A40BAC">
        <w:t>With over 90 hotels in 67 destinations,</w:t>
      </w:r>
      <w:r w:rsidRPr="00A40BAC">
        <w:rPr>
          <w:rStyle w:val="apple-converted-space"/>
        </w:rPr>
        <w:t> </w:t>
      </w:r>
      <w:r w:rsidR="00513D1D">
        <w:rPr>
          <w:rStyle w:val="Strong"/>
          <w:b w:val="0"/>
        </w:rPr>
        <w:t>ITC</w:t>
      </w:r>
      <w:r w:rsidRPr="00A40BAC">
        <w:rPr>
          <w:rStyle w:val="Strong"/>
          <w:b w:val="0"/>
        </w:rPr>
        <w:t xml:space="preserve"> Hotels</w:t>
      </w:r>
      <w:r w:rsidRPr="00A40BAC">
        <w:rPr>
          <w:rStyle w:val="apple-converted-space"/>
        </w:rPr>
        <w:t> </w:t>
      </w:r>
      <w:r w:rsidRPr="00A40BAC">
        <w:t>has set new standards of excellence in the hotel industry in Accommodation, Cuisine, Environment and Guest Safety.</w:t>
      </w:r>
    </w:p>
    <w:p w:rsidR="00A40BAC" w:rsidRPr="00A40BAC" w:rsidRDefault="00513D1D" w:rsidP="000822C3">
      <w:pPr>
        <w:pStyle w:val="Heading3"/>
        <w:shd w:val="clear" w:color="auto" w:fill="FFFFFF"/>
        <w:spacing w:before="0" w:line="360" w:lineRule="auto"/>
        <w:jc w:val="both"/>
        <w:rPr>
          <w:rFonts w:ascii="Times New Roman" w:hAnsi="Times New Roman" w:cs="Times New Roman"/>
          <w:b w:val="0"/>
          <w:bCs w:val="0"/>
          <w:color w:val="auto"/>
          <w:sz w:val="24"/>
          <w:szCs w:val="24"/>
        </w:rPr>
      </w:pPr>
      <w:proofErr w:type="gramStart"/>
      <w:r>
        <w:rPr>
          <w:rFonts w:ascii="Times New Roman" w:hAnsi="Times New Roman" w:cs="Times New Roman"/>
          <w:b w:val="0"/>
          <w:bCs w:val="0"/>
          <w:color w:val="auto"/>
          <w:sz w:val="24"/>
          <w:szCs w:val="24"/>
        </w:rPr>
        <w:t>ITC</w:t>
      </w:r>
      <w:r w:rsidR="00A40BAC" w:rsidRPr="00A40BAC">
        <w:rPr>
          <w:rFonts w:ascii="Times New Roman" w:hAnsi="Times New Roman" w:cs="Times New Roman"/>
          <w:b w:val="0"/>
          <w:bCs w:val="0"/>
          <w:color w:val="auto"/>
          <w:sz w:val="24"/>
          <w:szCs w:val="24"/>
        </w:rPr>
        <w:t xml:space="preserve"> Hotels</w:t>
      </w:r>
      <w:proofErr w:type="gramEnd"/>
      <w:r w:rsidR="00A40BAC" w:rsidRPr="00A40BAC">
        <w:rPr>
          <w:rFonts w:ascii="Times New Roman" w:hAnsi="Times New Roman" w:cs="Times New Roman"/>
          <w:b w:val="0"/>
          <w:bCs w:val="0"/>
          <w:color w:val="auto"/>
          <w:sz w:val="24"/>
          <w:szCs w:val="24"/>
        </w:rPr>
        <w:t xml:space="preserve"> properties are classified under four distinct brands:</w:t>
      </w:r>
    </w:p>
    <w:p w:rsidR="00A40BAC" w:rsidRPr="00A40BAC" w:rsidRDefault="00513D1D" w:rsidP="00094890">
      <w:pPr>
        <w:pStyle w:val="NormalWeb"/>
        <w:numPr>
          <w:ilvl w:val="0"/>
          <w:numId w:val="3"/>
        </w:numPr>
        <w:shd w:val="clear" w:color="auto" w:fill="FFFFFF"/>
        <w:spacing w:line="360" w:lineRule="auto"/>
        <w:jc w:val="both"/>
      </w:pPr>
      <w:r>
        <w:rPr>
          <w:rStyle w:val="Strong"/>
          <w:b w:val="0"/>
        </w:rPr>
        <w:t>ITC</w:t>
      </w:r>
      <w:r w:rsidR="00A40BAC" w:rsidRPr="00A40BAC">
        <w:rPr>
          <w:rStyle w:val="Strong"/>
          <w:b w:val="0"/>
        </w:rPr>
        <w:t xml:space="preserve"> Hotels</w:t>
      </w:r>
      <w:r w:rsidR="00A40BAC" w:rsidRPr="00A40BAC">
        <w:rPr>
          <w:rStyle w:val="apple-converted-space"/>
        </w:rPr>
        <w:t> </w:t>
      </w:r>
      <w:r w:rsidR="00A40BAC" w:rsidRPr="00A40BAC">
        <w:t>has an exclusive tie-up with Starwood Hotels &amp; Resorts in bringing its premium brand, the</w:t>
      </w:r>
      <w:r w:rsidR="00A40BAC" w:rsidRPr="00A40BAC">
        <w:rPr>
          <w:rStyle w:val="apple-converted-space"/>
        </w:rPr>
        <w:t> </w:t>
      </w:r>
      <w:r w:rsidR="00A40BAC" w:rsidRPr="00A40BAC">
        <w:rPr>
          <w:rStyle w:val="Strong"/>
          <w:b w:val="0"/>
        </w:rPr>
        <w:t>'Luxury Collection'</w:t>
      </w:r>
      <w:r w:rsidR="00A40BAC" w:rsidRPr="00A40BAC">
        <w:t>, to India.</w:t>
      </w:r>
      <w:r w:rsidR="00A40BAC" w:rsidRPr="00A40BAC">
        <w:rPr>
          <w:rStyle w:val="apple-converted-space"/>
        </w:rPr>
        <w:t> </w:t>
      </w:r>
      <w:r>
        <w:rPr>
          <w:rStyle w:val="Strong"/>
          <w:b w:val="0"/>
        </w:rPr>
        <w:t>ITC</w:t>
      </w:r>
      <w:r w:rsidR="00A40BAC" w:rsidRPr="00A40BAC">
        <w:rPr>
          <w:rStyle w:val="Strong"/>
          <w:b w:val="0"/>
        </w:rPr>
        <w:t xml:space="preserve"> Hotels - Luxury Collection</w:t>
      </w:r>
      <w:r w:rsidR="00A40BAC" w:rsidRPr="00A40BAC">
        <w:rPr>
          <w:rStyle w:val="apple-converted-space"/>
        </w:rPr>
        <w:t> </w:t>
      </w:r>
      <w:r w:rsidR="00A40BAC" w:rsidRPr="00A40BAC">
        <w:t xml:space="preserve">are super deluxe and premium hotels located at strategic business and leisure locations. The ten hotels which are part of this collection are: </w:t>
      </w:r>
      <w:r>
        <w:t>ITC</w:t>
      </w:r>
      <w:r w:rsidR="00A40BAC" w:rsidRPr="00A40BAC">
        <w:t xml:space="preserve"> Grand </w:t>
      </w:r>
      <w:proofErr w:type="spellStart"/>
      <w:r w:rsidR="00A40BAC" w:rsidRPr="00A40BAC">
        <w:t>Chola</w:t>
      </w:r>
      <w:proofErr w:type="spellEnd"/>
      <w:r w:rsidR="00A40BAC" w:rsidRPr="00A40BAC">
        <w:t xml:space="preserve"> in Chennai, </w:t>
      </w:r>
      <w:r>
        <w:t>ITC</w:t>
      </w:r>
      <w:r w:rsidR="00A40BAC" w:rsidRPr="00A40BAC">
        <w:t xml:space="preserve"> </w:t>
      </w:r>
      <w:proofErr w:type="spellStart"/>
      <w:r w:rsidR="00A40BAC" w:rsidRPr="00A40BAC">
        <w:t>Maurya</w:t>
      </w:r>
      <w:proofErr w:type="spellEnd"/>
      <w:r w:rsidR="00A40BAC" w:rsidRPr="00A40BAC">
        <w:t xml:space="preserve"> in Delhi, </w:t>
      </w:r>
      <w:r>
        <w:t>ITC</w:t>
      </w:r>
      <w:r w:rsidR="00A40BAC" w:rsidRPr="00A40BAC">
        <w:t xml:space="preserve"> Maratha in Mumbai, </w:t>
      </w:r>
      <w:r>
        <w:t>ITC</w:t>
      </w:r>
      <w:r w:rsidR="00A40BAC" w:rsidRPr="00A40BAC">
        <w:t xml:space="preserve"> Sonar in Kolkata, </w:t>
      </w:r>
      <w:r>
        <w:t>ITC</w:t>
      </w:r>
      <w:r w:rsidR="00A40BAC" w:rsidRPr="00A40BAC">
        <w:t xml:space="preserve"> Grand Central in Mumbai, </w:t>
      </w:r>
      <w:r>
        <w:lastRenderedPageBreak/>
        <w:t>ITC</w:t>
      </w:r>
      <w:r w:rsidR="00A40BAC" w:rsidRPr="00A40BAC">
        <w:t xml:space="preserve"> Windsor &amp; </w:t>
      </w:r>
      <w:r>
        <w:t>ITC</w:t>
      </w:r>
      <w:r w:rsidR="00A40BAC" w:rsidRPr="00A40BAC">
        <w:t xml:space="preserve"> Gardenia in Bengaluru, </w:t>
      </w:r>
      <w:r>
        <w:t>ITC</w:t>
      </w:r>
      <w:r w:rsidR="00A40BAC" w:rsidRPr="00A40BAC">
        <w:t xml:space="preserve"> </w:t>
      </w:r>
      <w:proofErr w:type="spellStart"/>
      <w:r w:rsidR="00A40BAC" w:rsidRPr="00A40BAC">
        <w:t>Kakatiya</w:t>
      </w:r>
      <w:proofErr w:type="spellEnd"/>
      <w:r w:rsidR="00A40BAC" w:rsidRPr="00A40BAC">
        <w:t xml:space="preserve"> in Hyderabad and </w:t>
      </w:r>
      <w:r>
        <w:t>ITC</w:t>
      </w:r>
      <w:r w:rsidR="00A40BAC" w:rsidRPr="00A40BAC">
        <w:t xml:space="preserve"> Mughal in Agra and </w:t>
      </w:r>
      <w:r>
        <w:t>ITC</w:t>
      </w:r>
      <w:r w:rsidR="00A40BAC" w:rsidRPr="00A40BAC">
        <w:t xml:space="preserve"> </w:t>
      </w:r>
      <w:proofErr w:type="spellStart"/>
      <w:r w:rsidR="00A40BAC" w:rsidRPr="00A40BAC">
        <w:t>Rajputana</w:t>
      </w:r>
      <w:proofErr w:type="spellEnd"/>
      <w:r w:rsidR="00A40BAC" w:rsidRPr="00A40BAC">
        <w:t xml:space="preserve"> in Jaipur.</w:t>
      </w:r>
    </w:p>
    <w:p w:rsidR="00A40BAC" w:rsidRPr="00A40BAC" w:rsidRDefault="00A40BAC" w:rsidP="00094890">
      <w:pPr>
        <w:pStyle w:val="NormalWeb"/>
        <w:numPr>
          <w:ilvl w:val="0"/>
          <w:numId w:val="3"/>
        </w:numPr>
        <w:shd w:val="clear" w:color="auto" w:fill="FFFFFF"/>
        <w:spacing w:line="360" w:lineRule="auto"/>
        <w:jc w:val="both"/>
      </w:pPr>
      <w:proofErr w:type="spellStart"/>
      <w:r w:rsidRPr="00A40BAC">
        <w:rPr>
          <w:rStyle w:val="Strong"/>
          <w:b w:val="0"/>
        </w:rPr>
        <w:t>WelcomHotels</w:t>
      </w:r>
      <w:proofErr w:type="spellEnd"/>
      <w:r w:rsidRPr="00A40BAC">
        <w:rPr>
          <w:rStyle w:val="apple-converted-space"/>
        </w:rPr>
        <w:t> </w:t>
      </w:r>
      <w:r w:rsidRPr="00A40BAC">
        <w:t xml:space="preserve">offer five-star hospitality for the discerning business and leisure traveller. Currently there are three hotels under this brand namely, </w:t>
      </w:r>
      <w:proofErr w:type="spellStart"/>
      <w:r w:rsidRPr="00A40BAC">
        <w:t>WelcomHotel</w:t>
      </w:r>
      <w:proofErr w:type="spellEnd"/>
      <w:r w:rsidRPr="00A40BAC">
        <w:t xml:space="preserve"> Rama International Aurangabad, </w:t>
      </w:r>
      <w:proofErr w:type="spellStart"/>
      <w:r w:rsidRPr="00A40BAC">
        <w:t>WelcomHotel</w:t>
      </w:r>
      <w:proofErr w:type="spellEnd"/>
      <w:r w:rsidRPr="00A40BAC">
        <w:t xml:space="preserve"> Vadodara and </w:t>
      </w:r>
      <w:proofErr w:type="spellStart"/>
      <w:r w:rsidRPr="00A40BAC">
        <w:t>WelcomHotel</w:t>
      </w:r>
      <w:proofErr w:type="spellEnd"/>
      <w:r w:rsidRPr="00A40BAC">
        <w:t xml:space="preserve"> Grand Bay Vishakhapatnam. Two other </w:t>
      </w:r>
      <w:proofErr w:type="spellStart"/>
      <w:r w:rsidRPr="00A40BAC">
        <w:t>WelcomHotel</w:t>
      </w:r>
      <w:proofErr w:type="spellEnd"/>
      <w:r w:rsidRPr="00A40BAC">
        <w:t xml:space="preserve"> Sheratons - Sheraton Park Hotel and Towers, Chennai and Sheraton New Delhi offer warm, comforting services to the global traveller and a chance to connect.</w:t>
      </w:r>
    </w:p>
    <w:p w:rsidR="00A40BAC" w:rsidRPr="00A40BAC" w:rsidRDefault="00A40BAC" w:rsidP="00094890">
      <w:pPr>
        <w:pStyle w:val="NormalWeb"/>
        <w:numPr>
          <w:ilvl w:val="0"/>
          <w:numId w:val="3"/>
        </w:numPr>
        <w:shd w:val="clear" w:color="auto" w:fill="FFFFFF"/>
        <w:spacing w:line="360" w:lineRule="auto"/>
        <w:jc w:val="both"/>
      </w:pPr>
      <w:r w:rsidRPr="00A40BAC">
        <w:rPr>
          <w:rStyle w:val="Strong"/>
          <w:b w:val="0"/>
        </w:rPr>
        <w:t>Fortune Hotels</w:t>
      </w:r>
      <w:r w:rsidRPr="00A40BAC">
        <w:rPr>
          <w:rStyle w:val="apple-converted-space"/>
        </w:rPr>
        <w:t> </w:t>
      </w:r>
      <w:r w:rsidRPr="00A40BAC">
        <w:t>operates mid-market to upscale properties in the first-class, full-service business hotel segment all over India, in major metros, mini metros, state capitals and business towns, promising business and leisure travelers a wide choice of destinations and accommodation.</w:t>
      </w:r>
    </w:p>
    <w:p w:rsidR="00A40BAC" w:rsidRPr="00A40BAC" w:rsidRDefault="00A40BAC" w:rsidP="00094890">
      <w:pPr>
        <w:pStyle w:val="NormalWeb"/>
        <w:numPr>
          <w:ilvl w:val="0"/>
          <w:numId w:val="3"/>
        </w:numPr>
        <w:shd w:val="clear" w:color="auto" w:fill="FFFFFF"/>
        <w:spacing w:line="360" w:lineRule="auto"/>
        <w:jc w:val="both"/>
      </w:pPr>
      <w:proofErr w:type="spellStart"/>
      <w:r w:rsidRPr="00A40BAC">
        <w:rPr>
          <w:rStyle w:val="Strong"/>
          <w:b w:val="0"/>
        </w:rPr>
        <w:t>WelcomHeritage</w:t>
      </w:r>
      <w:proofErr w:type="spellEnd"/>
      <w:r w:rsidRPr="00A40BAC">
        <w:rPr>
          <w:rStyle w:val="apple-converted-space"/>
        </w:rPr>
        <w:t> </w:t>
      </w:r>
      <w:r w:rsidRPr="00A40BAC">
        <w:t xml:space="preserve">brings together a chain of palaces, forts, </w:t>
      </w:r>
      <w:proofErr w:type="spellStart"/>
      <w:r w:rsidRPr="00A40BAC">
        <w:t>havelis</w:t>
      </w:r>
      <w:proofErr w:type="spellEnd"/>
      <w:r w:rsidRPr="00A40BAC">
        <w:t xml:space="preserve"> and resorts that offer a unique experience. </w:t>
      </w:r>
      <w:proofErr w:type="spellStart"/>
      <w:r w:rsidRPr="00A40BAC">
        <w:t>WelcomHeritage</w:t>
      </w:r>
      <w:proofErr w:type="spellEnd"/>
      <w:r w:rsidRPr="00A40BAC">
        <w:t xml:space="preserve"> endeavors to preserve ancient royal homes and the historical Indian grandeur and opulence for the future Indian generations. </w:t>
      </w:r>
      <w:proofErr w:type="spellStart"/>
      <w:r w:rsidRPr="00A40BAC">
        <w:t>WelcomHeritage</w:t>
      </w:r>
      <w:proofErr w:type="spellEnd"/>
      <w:r w:rsidRPr="00A40BAC">
        <w:t xml:space="preserve"> provides a fine range of hotel services inside these architectural legacies present across India.</w:t>
      </w:r>
    </w:p>
    <w:p w:rsidR="00A40BAC" w:rsidRPr="004F14FC" w:rsidRDefault="00A34B8C" w:rsidP="000822C3">
      <w:pPr>
        <w:pStyle w:val="NormalWeb"/>
        <w:shd w:val="clear" w:color="auto" w:fill="FFFFFF"/>
        <w:spacing w:line="360" w:lineRule="auto"/>
        <w:jc w:val="both"/>
        <w:rPr>
          <w:b/>
          <w:color w:val="000000"/>
          <w:sz w:val="28"/>
          <w:szCs w:val="18"/>
        </w:rPr>
      </w:pPr>
      <w:r w:rsidRPr="004F14FC">
        <w:rPr>
          <w:b/>
          <w:color w:val="000000"/>
          <w:sz w:val="28"/>
          <w:szCs w:val="18"/>
        </w:rPr>
        <w:t>PAPERBOARDS AND SPECIALITY PAPERS</w:t>
      </w:r>
    </w:p>
    <w:p w:rsidR="00A34B8C" w:rsidRPr="00A34B8C" w:rsidRDefault="00513D1D"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ITC</w:t>
      </w:r>
      <w:r w:rsidR="00A34B8C" w:rsidRPr="00A34B8C">
        <w:rPr>
          <w:rFonts w:ascii="Times New Roman" w:eastAsia="Times New Roman" w:hAnsi="Times New Roman" w:cs="Times New Roman"/>
          <w:color w:val="000000"/>
          <w:sz w:val="24"/>
          <w:szCs w:val="24"/>
        </w:rPr>
        <w:t>'s Paperboards and Specialty Papers Division is India's largest, technologically advanced and most eco-friendly, paper and paperboards business. The business caters to a wide spectrum of packaging, graphic, communication, writing, printing and specialty paper requirements through its four world-class manufacturing units, 7sales offices and a network of more than 60 dealers in India, along with a robust international trade network of distributors / agents and 5 finishing operations close to the market for providing faster service to the customers.</w:t>
      </w:r>
    </w:p>
    <w:p w:rsidR="00A34B8C" w:rsidRPr="00A34B8C" w:rsidRDefault="00A34B8C"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color w:val="000000"/>
          <w:sz w:val="24"/>
          <w:szCs w:val="24"/>
        </w:rPr>
        <w:t xml:space="preserve">Having pioneered many specialty applications, </w:t>
      </w:r>
      <w:r w:rsidR="00513D1D">
        <w:rPr>
          <w:rFonts w:ascii="Times New Roman" w:eastAsia="Times New Roman" w:hAnsi="Times New Roman" w:cs="Times New Roman"/>
          <w:color w:val="000000"/>
          <w:sz w:val="24"/>
          <w:szCs w:val="24"/>
        </w:rPr>
        <w:t>ITC</w:t>
      </w:r>
      <w:r w:rsidRPr="00A34B8C">
        <w:rPr>
          <w:rFonts w:ascii="Times New Roman" w:eastAsia="Times New Roman" w:hAnsi="Times New Roman" w:cs="Times New Roman"/>
          <w:color w:val="000000"/>
          <w:sz w:val="24"/>
          <w:szCs w:val="24"/>
        </w:rPr>
        <w:t>'s Paperboards and Specialty Papers business enjoys market leadership in the value-added paperboards segment, and also has a significant share of the Indian fine papers market. It is the largest exporter of coated boards from India.</w:t>
      </w:r>
    </w:p>
    <w:tbl>
      <w:tblPr>
        <w:tblW w:w="8250" w:type="dxa"/>
        <w:jc w:val="center"/>
        <w:shd w:val="clear" w:color="auto" w:fill="FFFFFF"/>
        <w:tblCellMar>
          <w:left w:w="0" w:type="dxa"/>
          <w:right w:w="0" w:type="dxa"/>
        </w:tblCellMar>
        <w:tblLook w:val="04A0" w:firstRow="1" w:lastRow="0" w:firstColumn="1" w:lastColumn="0" w:noHBand="0" w:noVBand="1"/>
      </w:tblPr>
      <w:tblGrid>
        <w:gridCol w:w="8250"/>
      </w:tblGrid>
      <w:tr w:rsidR="00A34B8C" w:rsidRPr="00A34B8C" w:rsidTr="00A34B8C">
        <w:trPr>
          <w:jc w:val="center"/>
        </w:trPr>
        <w:tc>
          <w:tcPr>
            <w:tcW w:w="8250" w:type="dxa"/>
            <w:shd w:val="clear" w:color="auto" w:fill="FFFFFF"/>
            <w:vAlign w:val="center"/>
            <w:hideMark/>
          </w:tcPr>
          <w:p w:rsidR="00A34B8C" w:rsidRPr="00A34B8C" w:rsidRDefault="00A34B8C" w:rsidP="000822C3">
            <w:pPr>
              <w:spacing w:line="360" w:lineRule="auto"/>
              <w:jc w:val="both"/>
              <w:rPr>
                <w:rFonts w:ascii="Times New Roman" w:eastAsia="Times New Roman" w:hAnsi="Times New Roman" w:cs="Times New Roman"/>
                <w:color w:val="000000"/>
                <w:sz w:val="24"/>
                <w:szCs w:val="24"/>
              </w:rPr>
            </w:pPr>
          </w:p>
        </w:tc>
      </w:tr>
    </w:tbl>
    <w:p w:rsidR="00A34B8C" w:rsidRPr="00A34B8C" w:rsidRDefault="00513D1D" w:rsidP="00234B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ITC</w:t>
      </w:r>
      <w:r w:rsidR="00A34B8C" w:rsidRPr="00A34B8C">
        <w:rPr>
          <w:rFonts w:ascii="Times New Roman" w:eastAsia="Times New Roman" w:hAnsi="Times New Roman" w:cs="Times New Roman"/>
          <w:color w:val="000000"/>
          <w:sz w:val="24"/>
          <w:szCs w:val="24"/>
        </w:rPr>
        <w:t xml:space="preserve"> takes great pride in servicing a large cross-section of industry requirements - from cigarette tissues to FMCG cartons, from electrical insulation papers to PLA Coated Boards, from decorative laminate base to writing and printing papers and much more. </w:t>
      </w:r>
      <w:r>
        <w:rPr>
          <w:rFonts w:ascii="Times New Roman" w:eastAsia="Times New Roman" w:hAnsi="Times New Roman" w:cs="Times New Roman"/>
          <w:color w:val="000000"/>
          <w:sz w:val="24"/>
          <w:szCs w:val="24"/>
        </w:rPr>
        <w:t>ITC</w:t>
      </w:r>
      <w:r w:rsidR="00A34B8C" w:rsidRPr="00A34B8C">
        <w:rPr>
          <w:rFonts w:ascii="Times New Roman" w:eastAsia="Times New Roman" w:hAnsi="Times New Roman" w:cs="Times New Roman"/>
          <w:color w:val="000000"/>
          <w:sz w:val="24"/>
          <w:szCs w:val="24"/>
        </w:rPr>
        <w:t xml:space="preserve"> straddles the entire spectrum of paperboards - from 100% virgin, food-grade boards which are from renewable and sustainable sources to 100 % recycled boards</w:t>
      </w:r>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Some of </w:t>
      </w:r>
      <w:r w:rsidR="00513D1D">
        <w:rPr>
          <w:rFonts w:ascii="Times New Roman" w:eastAsia="Times New Roman" w:hAnsi="Times New Roman" w:cs="Times New Roman"/>
          <w:b/>
          <w:bCs/>
          <w:color w:val="000000"/>
          <w:sz w:val="24"/>
          <w:szCs w:val="24"/>
        </w:rPr>
        <w:t>ITC</w:t>
      </w:r>
      <w:r w:rsidRPr="00A34B8C">
        <w:rPr>
          <w:rFonts w:ascii="Times New Roman" w:eastAsia="Times New Roman" w:hAnsi="Times New Roman" w:cs="Times New Roman"/>
          <w:b/>
          <w:bCs/>
          <w:color w:val="000000"/>
          <w:sz w:val="24"/>
          <w:szCs w:val="24"/>
        </w:rPr>
        <w:t xml:space="preserve">'s </w:t>
      </w:r>
      <w:proofErr w:type="gramStart"/>
      <w:r w:rsidRPr="00A34B8C">
        <w:rPr>
          <w:rFonts w:ascii="Times New Roman" w:eastAsia="Times New Roman" w:hAnsi="Times New Roman" w:cs="Times New Roman"/>
          <w:b/>
          <w:bCs/>
          <w:color w:val="000000"/>
          <w:sz w:val="24"/>
          <w:szCs w:val="24"/>
        </w:rPr>
        <w:t>prominent  brands</w:t>
      </w:r>
      <w:proofErr w:type="gramEnd"/>
      <w:r w:rsidRPr="00A34B8C">
        <w:rPr>
          <w:rFonts w:ascii="Times New Roman" w:eastAsia="Times New Roman" w:hAnsi="Times New Roman" w:cs="Times New Roman"/>
          <w:b/>
          <w:bCs/>
          <w:color w:val="000000"/>
          <w:sz w:val="24"/>
          <w:szCs w:val="24"/>
        </w:rPr>
        <w:t xml:space="preserve"> are:</w:t>
      </w:r>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Folding Box Boards: </w:t>
      </w:r>
      <w:proofErr w:type="spellStart"/>
      <w:r w:rsidRPr="00A34B8C">
        <w:rPr>
          <w:rFonts w:ascii="Times New Roman" w:eastAsia="Times New Roman" w:hAnsi="Times New Roman" w:cs="Times New Roman"/>
          <w:bCs/>
          <w:color w:val="000000"/>
          <w:sz w:val="24"/>
          <w:szCs w:val="24"/>
        </w:rPr>
        <w:t>CyberXL</w:t>
      </w:r>
      <w:proofErr w:type="spellEnd"/>
      <w:r w:rsidRPr="00A34B8C">
        <w:rPr>
          <w:rFonts w:ascii="Times New Roman" w:eastAsia="Times New Roman" w:hAnsi="Times New Roman" w:cs="Times New Roman"/>
          <w:bCs/>
          <w:color w:val="000000"/>
          <w:sz w:val="24"/>
          <w:szCs w:val="24"/>
        </w:rPr>
        <w:t xml:space="preserve"> Pac, Cyber </w:t>
      </w:r>
      <w:proofErr w:type="spellStart"/>
      <w:r w:rsidRPr="00A34B8C">
        <w:rPr>
          <w:rFonts w:ascii="Times New Roman" w:eastAsia="Times New Roman" w:hAnsi="Times New Roman" w:cs="Times New Roman"/>
          <w:bCs/>
          <w:color w:val="000000"/>
          <w:sz w:val="24"/>
          <w:szCs w:val="24"/>
        </w:rPr>
        <w:t>Cypak</w:t>
      </w:r>
      <w:proofErr w:type="spellEnd"/>
      <w:r w:rsidRPr="00A34B8C">
        <w:rPr>
          <w:rFonts w:ascii="Times New Roman" w:eastAsia="Times New Roman" w:hAnsi="Times New Roman" w:cs="Times New Roman"/>
          <w:bCs/>
          <w:color w:val="000000"/>
          <w:sz w:val="24"/>
          <w:szCs w:val="24"/>
        </w:rPr>
        <w:t xml:space="preserve">, Cyber </w:t>
      </w:r>
      <w:proofErr w:type="spellStart"/>
      <w:r w:rsidRPr="00A34B8C">
        <w:rPr>
          <w:rFonts w:ascii="Times New Roman" w:eastAsia="Times New Roman" w:hAnsi="Times New Roman" w:cs="Times New Roman"/>
          <w:bCs/>
          <w:color w:val="000000"/>
          <w:sz w:val="24"/>
          <w:szCs w:val="24"/>
        </w:rPr>
        <w:t>Propac</w:t>
      </w:r>
      <w:proofErr w:type="spellEnd"/>
      <w:r w:rsidRPr="00A34B8C">
        <w:rPr>
          <w:rFonts w:ascii="Times New Roman" w:eastAsia="Times New Roman" w:hAnsi="Times New Roman" w:cs="Times New Roman"/>
          <w:bCs/>
          <w:color w:val="000000"/>
          <w:sz w:val="24"/>
          <w:szCs w:val="24"/>
        </w:rPr>
        <w:t>, Cyber Premium, Pearl XL</w:t>
      </w:r>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Solid Bleached </w:t>
      </w:r>
      <w:proofErr w:type="spellStart"/>
      <w:r w:rsidRPr="00A34B8C">
        <w:rPr>
          <w:rFonts w:ascii="Times New Roman" w:eastAsia="Times New Roman" w:hAnsi="Times New Roman" w:cs="Times New Roman"/>
          <w:b/>
          <w:bCs/>
          <w:color w:val="000000"/>
          <w:sz w:val="24"/>
          <w:szCs w:val="24"/>
        </w:rPr>
        <w:t>Sulphate</w:t>
      </w:r>
      <w:proofErr w:type="spellEnd"/>
      <w:r w:rsidRPr="00A34B8C">
        <w:rPr>
          <w:rFonts w:ascii="Times New Roman" w:eastAsia="Times New Roman" w:hAnsi="Times New Roman" w:cs="Times New Roman"/>
          <w:b/>
          <w:bCs/>
          <w:color w:val="000000"/>
          <w:sz w:val="24"/>
          <w:szCs w:val="24"/>
        </w:rPr>
        <w:t xml:space="preserve"> Boards: </w:t>
      </w:r>
      <w:r w:rsidRPr="00A34B8C">
        <w:rPr>
          <w:rFonts w:ascii="Times New Roman" w:eastAsia="Times New Roman" w:hAnsi="Times New Roman" w:cs="Times New Roman"/>
          <w:bCs/>
          <w:color w:val="000000"/>
          <w:sz w:val="24"/>
          <w:szCs w:val="24"/>
        </w:rPr>
        <w:t xml:space="preserve">Safire </w:t>
      </w:r>
      <w:proofErr w:type="spellStart"/>
      <w:r w:rsidRPr="00A34B8C">
        <w:rPr>
          <w:rFonts w:ascii="Times New Roman" w:eastAsia="Times New Roman" w:hAnsi="Times New Roman" w:cs="Times New Roman"/>
          <w:bCs/>
          <w:color w:val="000000"/>
          <w:sz w:val="24"/>
          <w:szCs w:val="24"/>
        </w:rPr>
        <w:t>Graphik</w:t>
      </w:r>
      <w:proofErr w:type="spellEnd"/>
      <w:r w:rsidRPr="00A34B8C">
        <w:rPr>
          <w:rFonts w:ascii="Times New Roman" w:eastAsia="Times New Roman" w:hAnsi="Times New Roman" w:cs="Times New Roman"/>
          <w:bCs/>
          <w:color w:val="000000"/>
          <w:sz w:val="24"/>
          <w:szCs w:val="24"/>
        </w:rPr>
        <w:t>, Art Maestro, Carte Persona, Carte Lumina,</w:t>
      </w:r>
      <w:proofErr w:type="gramStart"/>
      <w:r w:rsidRPr="00A34B8C">
        <w:rPr>
          <w:rFonts w:ascii="Times New Roman" w:eastAsia="Times New Roman" w:hAnsi="Times New Roman" w:cs="Times New Roman"/>
          <w:bCs/>
          <w:color w:val="000000"/>
          <w:sz w:val="24"/>
          <w:szCs w:val="24"/>
        </w:rPr>
        <w:t xml:space="preserve">  </w:t>
      </w:r>
      <w:proofErr w:type="spellStart"/>
      <w:r w:rsidRPr="00A34B8C">
        <w:rPr>
          <w:rFonts w:ascii="Times New Roman" w:eastAsia="Times New Roman" w:hAnsi="Times New Roman" w:cs="Times New Roman"/>
          <w:bCs/>
          <w:color w:val="000000"/>
          <w:sz w:val="24"/>
          <w:szCs w:val="24"/>
        </w:rPr>
        <w:t>Digiart</w:t>
      </w:r>
      <w:proofErr w:type="spellEnd"/>
      <w:proofErr w:type="gramEnd"/>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Poly coated boards: </w:t>
      </w:r>
      <w:proofErr w:type="spellStart"/>
      <w:r w:rsidRPr="00A34B8C">
        <w:rPr>
          <w:rFonts w:ascii="Times New Roman" w:eastAsia="Times New Roman" w:hAnsi="Times New Roman" w:cs="Times New Roman"/>
          <w:bCs/>
          <w:color w:val="000000"/>
          <w:sz w:val="24"/>
          <w:szCs w:val="24"/>
        </w:rPr>
        <w:t>Indobev</w:t>
      </w:r>
      <w:proofErr w:type="spellEnd"/>
      <w:r w:rsidRPr="00A34B8C">
        <w:rPr>
          <w:rFonts w:ascii="Times New Roman" w:eastAsia="Times New Roman" w:hAnsi="Times New Roman" w:cs="Times New Roman"/>
          <w:bCs/>
          <w:color w:val="000000"/>
          <w:sz w:val="24"/>
          <w:szCs w:val="24"/>
        </w:rPr>
        <w:t xml:space="preserve">, </w:t>
      </w:r>
      <w:proofErr w:type="spellStart"/>
      <w:r w:rsidRPr="00A34B8C">
        <w:rPr>
          <w:rFonts w:ascii="Times New Roman" w:eastAsia="Times New Roman" w:hAnsi="Times New Roman" w:cs="Times New Roman"/>
          <w:bCs/>
          <w:color w:val="000000"/>
          <w:sz w:val="24"/>
          <w:szCs w:val="24"/>
        </w:rPr>
        <w:t>Indobarr</w:t>
      </w:r>
      <w:proofErr w:type="spellEnd"/>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Recycled boards: </w:t>
      </w:r>
      <w:r w:rsidRPr="00A34B8C">
        <w:rPr>
          <w:rFonts w:ascii="Times New Roman" w:eastAsia="Times New Roman" w:hAnsi="Times New Roman" w:cs="Times New Roman"/>
          <w:bCs/>
          <w:color w:val="000000"/>
          <w:sz w:val="24"/>
          <w:szCs w:val="24"/>
        </w:rPr>
        <w:t xml:space="preserve">Eco Blanca, Eco </w:t>
      </w:r>
      <w:proofErr w:type="spellStart"/>
      <w:r w:rsidRPr="00A34B8C">
        <w:rPr>
          <w:rFonts w:ascii="Times New Roman" w:eastAsia="Times New Roman" w:hAnsi="Times New Roman" w:cs="Times New Roman"/>
          <w:bCs/>
          <w:color w:val="000000"/>
          <w:sz w:val="24"/>
          <w:szCs w:val="24"/>
        </w:rPr>
        <w:t>Natura</w:t>
      </w:r>
      <w:proofErr w:type="spellEnd"/>
      <w:r w:rsidRPr="00A34B8C">
        <w:rPr>
          <w:rFonts w:ascii="Times New Roman" w:eastAsia="Times New Roman" w:hAnsi="Times New Roman" w:cs="Times New Roman"/>
          <w:bCs/>
          <w:color w:val="000000"/>
          <w:sz w:val="24"/>
          <w:szCs w:val="24"/>
        </w:rPr>
        <w:t xml:space="preserve">, </w:t>
      </w:r>
      <w:proofErr w:type="spellStart"/>
      <w:r w:rsidRPr="00A34B8C">
        <w:rPr>
          <w:rFonts w:ascii="Times New Roman" w:eastAsia="Times New Roman" w:hAnsi="Times New Roman" w:cs="Times New Roman"/>
          <w:bCs/>
          <w:color w:val="000000"/>
          <w:sz w:val="24"/>
          <w:szCs w:val="24"/>
        </w:rPr>
        <w:t>NeoWhite</w:t>
      </w:r>
      <w:proofErr w:type="spellEnd"/>
      <w:r w:rsidRPr="00A34B8C">
        <w:rPr>
          <w:rFonts w:ascii="Times New Roman" w:eastAsia="Times New Roman" w:hAnsi="Times New Roman" w:cs="Times New Roman"/>
          <w:bCs/>
          <w:color w:val="000000"/>
          <w:sz w:val="24"/>
          <w:szCs w:val="24"/>
        </w:rPr>
        <w:t xml:space="preserve"> Bliss</w:t>
      </w:r>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Fine Papers: </w:t>
      </w:r>
      <w:proofErr w:type="spellStart"/>
      <w:r w:rsidRPr="00A34B8C">
        <w:rPr>
          <w:rFonts w:ascii="Times New Roman" w:eastAsia="Times New Roman" w:hAnsi="Times New Roman" w:cs="Times New Roman"/>
          <w:bCs/>
          <w:color w:val="000000"/>
          <w:sz w:val="24"/>
          <w:szCs w:val="24"/>
        </w:rPr>
        <w:t>AlfaZap</w:t>
      </w:r>
      <w:proofErr w:type="spellEnd"/>
      <w:r w:rsidRPr="00A34B8C">
        <w:rPr>
          <w:rFonts w:ascii="Times New Roman" w:eastAsia="Times New Roman" w:hAnsi="Times New Roman" w:cs="Times New Roman"/>
          <w:bCs/>
          <w:color w:val="000000"/>
          <w:sz w:val="24"/>
          <w:szCs w:val="24"/>
        </w:rPr>
        <w:t xml:space="preserve">, Alfa Plus, Hi </w:t>
      </w:r>
      <w:proofErr w:type="spellStart"/>
      <w:r w:rsidRPr="00A34B8C">
        <w:rPr>
          <w:rFonts w:ascii="Times New Roman" w:eastAsia="Times New Roman" w:hAnsi="Times New Roman" w:cs="Times New Roman"/>
          <w:bCs/>
          <w:color w:val="000000"/>
          <w:sz w:val="24"/>
          <w:szCs w:val="24"/>
        </w:rPr>
        <w:t>Brite</w:t>
      </w:r>
      <w:proofErr w:type="spellEnd"/>
      <w:r w:rsidRPr="00A34B8C">
        <w:rPr>
          <w:rFonts w:ascii="Times New Roman" w:eastAsia="Times New Roman" w:hAnsi="Times New Roman" w:cs="Times New Roman"/>
          <w:bCs/>
          <w:color w:val="000000"/>
          <w:sz w:val="24"/>
          <w:szCs w:val="24"/>
        </w:rPr>
        <w:t xml:space="preserve">, </w:t>
      </w:r>
      <w:proofErr w:type="spellStart"/>
      <w:proofErr w:type="gramStart"/>
      <w:r w:rsidRPr="00A34B8C">
        <w:rPr>
          <w:rFonts w:ascii="Times New Roman" w:eastAsia="Times New Roman" w:hAnsi="Times New Roman" w:cs="Times New Roman"/>
          <w:bCs/>
          <w:color w:val="000000"/>
          <w:sz w:val="24"/>
          <w:szCs w:val="24"/>
        </w:rPr>
        <w:t>Paperkraft</w:t>
      </w:r>
      <w:proofErr w:type="spellEnd"/>
      <w:r w:rsidRPr="00A34B8C">
        <w:rPr>
          <w:rFonts w:ascii="Times New Roman" w:eastAsia="Times New Roman" w:hAnsi="Times New Roman" w:cs="Times New Roman"/>
          <w:bCs/>
          <w:color w:val="000000"/>
          <w:sz w:val="24"/>
          <w:szCs w:val="24"/>
        </w:rPr>
        <w:t xml:space="preserve"> ,</w:t>
      </w:r>
      <w:proofErr w:type="gramEnd"/>
      <w:r w:rsidRPr="00A34B8C">
        <w:rPr>
          <w:rFonts w:ascii="Times New Roman" w:eastAsia="Times New Roman" w:hAnsi="Times New Roman" w:cs="Times New Roman"/>
          <w:bCs/>
          <w:color w:val="000000"/>
          <w:sz w:val="24"/>
          <w:szCs w:val="24"/>
        </w:rPr>
        <w:t xml:space="preserve">  </w:t>
      </w:r>
      <w:proofErr w:type="spellStart"/>
      <w:r w:rsidRPr="00A34B8C">
        <w:rPr>
          <w:rFonts w:ascii="Times New Roman" w:eastAsia="Times New Roman" w:hAnsi="Times New Roman" w:cs="Times New Roman"/>
          <w:bCs/>
          <w:color w:val="000000"/>
          <w:sz w:val="24"/>
          <w:szCs w:val="24"/>
        </w:rPr>
        <w:t>Perma</w:t>
      </w:r>
      <w:proofErr w:type="spellEnd"/>
      <w:r w:rsidRPr="00A34B8C">
        <w:rPr>
          <w:rFonts w:ascii="Times New Roman" w:eastAsia="Times New Roman" w:hAnsi="Times New Roman" w:cs="Times New Roman"/>
          <w:bCs/>
          <w:color w:val="000000"/>
          <w:sz w:val="24"/>
          <w:szCs w:val="24"/>
        </w:rPr>
        <w:t xml:space="preserve"> White</w:t>
      </w:r>
    </w:p>
    <w:p w:rsidR="00A34B8C" w:rsidRPr="00A34B8C" w:rsidRDefault="00A34B8C" w:rsidP="000822C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b/>
          <w:bCs/>
          <w:color w:val="000000"/>
          <w:sz w:val="24"/>
          <w:szCs w:val="24"/>
        </w:rPr>
        <w:t xml:space="preserve">Specialty </w:t>
      </w:r>
      <w:proofErr w:type="gramStart"/>
      <w:r w:rsidRPr="00A34B8C">
        <w:rPr>
          <w:rFonts w:ascii="Times New Roman" w:eastAsia="Times New Roman" w:hAnsi="Times New Roman" w:cs="Times New Roman"/>
          <w:b/>
          <w:bCs/>
          <w:color w:val="000000"/>
          <w:sz w:val="24"/>
          <w:szCs w:val="24"/>
        </w:rPr>
        <w:t>Papers :</w:t>
      </w:r>
      <w:proofErr w:type="gramEnd"/>
      <w:r w:rsidRPr="00A34B8C">
        <w:rPr>
          <w:rFonts w:ascii="Times New Roman" w:eastAsia="Times New Roman" w:hAnsi="Times New Roman" w:cs="Times New Roman"/>
          <w:b/>
          <w:bCs/>
          <w:color w:val="000000"/>
          <w:sz w:val="24"/>
          <w:szCs w:val="24"/>
        </w:rPr>
        <w:t xml:space="preserve"> </w:t>
      </w:r>
      <w:r w:rsidRPr="00A34B8C">
        <w:rPr>
          <w:rFonts w:ascii="Times New Roman" w:eastAsia="Times New Roman" w:hAnsi="Times New Roman" w:cs="Times New Roman"/>
          <w:bCs/>
          <w:color w:val="000000"/>
          <w:sz w:val="24"/>
          <w:szCs w:val="24"/>
        </w:rPr>
        <w:t xml:space="preserve">Bible Printing, </w:t>
      </w:r>
      <w:proofErr w:type="spellStart"/>
      <w:r w:rsidRPr="00A34B8C">
        <w:rPr>
          <w:rFonts w:ascii="Times New Roman" w:eastAsia="Times New Roman" w:hAnsi="Times New Roman" w:cs="Times New Roman"/>
          <w:bCs/>
          <w:color w:val="000000"/>
          <w:sz w:val="24"/>
          <w:szCs w:val="24"/>
        </w:rPr>
        <w:t>Pharma</w:t>
      </w:r>
      <w:proofErr w:type="spellEnd"/>
      <w:r w:rsidRPr="00A34B8C">
        <w:rPr>
          <w:rFonts w:ascii="Times New Roman" w:eastAsia="Times New Roman" w:hAnsi="Times New Roman" w:cs="Times New Roman"/>
          <w:bCs/>
          <w:color w:val="000000"/>
          <w:sz w:val="24"/>
          <w:szCs w:val="24"/>
        </w:rPr>
        <w:t xml:space="preserve"> Print, Superfine Printing</w:t>
      </w:r>
    </w:p>
    <w:p w:rsidR="00A34B8C" w:rsidRPr="00A34B8C" w:rsidRDefault="00A34B8C"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A34B8C">
        <w:rPr>
          <w:rFonts w:ascii="Times New Roman" w:eastAsia="Times New Roman" w:hAnsi="Times New Roman" w:cs="Times New Roman"/>
          <w:color w:val="000000"/>
          <w:sz w:val="24"/>
          <w:szCs w:val="24"/>
        </w:rPr>
        <w:t xml:space="preserve">Each of the units </w:t>
      </w:r>
      <w:proofErr w:type="spellStart"/>
      <w:r w:rsidRPr="00A34B8C">
        <w:rPr>
          <w:rFonts w:ascii="Times New Roman" w:eastAsia="Times New Roman" w:hAnsi="Times New Roman" w:cs="Times New Roman"/>
          <w:color w:val="000000"/>
          <w:sz w:val="24"/>
          <w:szCs w:val="24"/>
        </w:rPr>
        <w:t>specialises</w:t>
      </w:r>
      <w:proofErr w:type="spellEnd"/>
      <w:r w:rsidRPr="00A34B8C">
        <w:rPr>
          <w:rFonts w:ascii="Times New Roman" w:eastAsia="Times New Roman" w:hAnsi="Times New Roman" w:cs="Times New Roman"/>
          <w:color w:val="000000"/>
          <w:sz w:val="24"/>
          <w:szCs w:val="24"/>
        </w:rPr>
        <w:t xml:space="preserve"> in a range of products. Together, these units have capacity close to 6</w:t>
      </w:r>
      <w:proofErr w:type="gramStart"/>
      <w:r w:rsidRPr="00A34B8C">
        <w:rPr>
          <w:rFonts w:ascii="Times New Roman" w:eastAsia="Times New Roman" w:hAnsi="Times New Roman" w:cs="Times New Roman"/>
          <w:color w:val="000000"/>
          <w:sz w:val="24"/>
          <w:szCs w:val="24"/>
        </w:rPr>
        <w:t>,75,000</w:t>
      </w:r>
      <w:proofErr w:type="gramEnd"/>
      <w:r w:rsidRPr="00A34B8C">
        <w:rPr>
          <w:rFonts w:ascii="Times New Roman" w:eastAsia="Times New Roman" w:hAnsi="Times New Roman" w:cs="Times New Roman"/>
          <w:color w:val="000000"/>
          <w:sz w:val="24"/>
          <w:szCs w:val="24"/>
        </w:rPr>
        <w:t xml:space="preserve"> TPA of paper and paperboards that meet stringent quality requirements across the world. All four manufacturing units are ISO </w:t>
      </w:r>
      <w:proofErr w:type="gramStart"/>
      <w:r w:rsidRPr="00A34B8C">
        <w:rPr>
          <w:rFonts w:ascii="Times New Roman" w:eastAsia="Times New Roman" w:hAnsi="Times New Roman" w:cs="Times New Roman"/>
          <w:color w:val="000000"/>
          <w:sz w:val="24"/>
          <w:szCs w:val="24"/>
        </w:rPr>
        <w:t>9001,</w:t>
      </w:r>
      <w:proofErr w:type="gramEnd"/>
      <w:r w:rsidRPr="00A34B8C">
        <w:rPr>
          <w:rFonts w:ascii="Times New Roman" w:eastAsia="Times New Roman" w:hAnsi="Times New Roman" w:cs="Times New Roman"/>
          <w:color w:val="000000"/>
          <w:sz w:val="24"/>
          <w:szCs w:val="24"/>
        </w:rPr>
        <w:t xml:space="preserve"> ISO 14001 and OHSAS 18001 certified and meet strict Environment, Health and Safety norms.</w:t>
      </w:r>
    </w:p>
    <w:p w:rsidR="00A34B8C" w:rsidRDefault="00513D1D" w:rsidP="004E1B0F">
      <w:pPr>
        <w:pStyle w:val="NormalWeb"/>
        <w:shd w:val="clear" w:color="auto" w:fill="FFFFFF"/>
        <w:spacing w:line="360" w:lineRule="auto"/>
        <w:jc w:val="both"/>
        <w:rPr>
          <w:color w:val="000000"/>
          <w:shd w:val="clear" w:color="auto" w:fill="FFFFFF"/>
        </w:rPr>
      </w:pPr>
      <w:r>
        <w:rPr>
          <w:color w:val="000000"/>
          <w:shd w:val="clear" w:color="auto" w:fill="FFFFFF"/>
        </w:rPr>
        <w:t>ITC</w:t>
      </w:r>
      <w:r w:rsidR="00A34B8C" w:rsidRPr="00A34B8C">
        <w:rPr>
          <w:color w:val="000000"/>
          <w:shd w:val="clear" w:color="auto" w:fill="FFFFFF"/>
        </w:rPr>
        <w:t xml:space="preserve">'s Paperboards and Specialty Papers business has also been a first-mover in the field of collecting and recycling post-consumer waste from residential localities, corporate and educational institutes through its WOW </w:t>
      </w:r>
      <w:proofErr w:type="spellStart"/>
      <w:r w:rsidR="00A34B8C" w:rsidRPr="00A34B8C">
        <w:rPr>
          <w:color w:val="000000"/>
          <w:shd w:val="clear" w:color="auto" w:fill="FFFFFF"/>
        </w:rPr>
        <w:t>programme</w:t>
      </w:r>
      <w:proofErr w:type="spellEnd"/>
      <w:r w:rsidR="00A34B8C" w:rsidRPr="00A34B8C">
        <w:rPr>
          <w:color w:val="000000"/>
          <w:shd w:val="clear" w:color="auto" w:fill="FFFFFF"/>
        </w:rPr>
        <w:t xml:space="preserve">. </w:t>
      </w:r>
      <w:r>
        <w:rPr>
          <w:color w:val="000000"/>
          <w:shd w:val="clear" w:color="auto" w:fill="FFFFFF"/>
        </w:rPr>
        <w:t>ITC</w:t>
      </w:r>
      <w:r w:rsidR="00A34B8C" w:rsidRPr="00A34B8C">
        <w:rPr>
          <w:color w:val="000000"/>
          <w:shd w:val="clear" w:color="auto" w:fill="FFFFFF"/>
        </w:rPr>
        <w:t xml:space="preserve"> reaches out directly to consumers with its Wealth </w:t>
      </w:r>
      <w:proofErr w:type="gramStart"/>
      <w:r w:rsidR="00A34B8C" w:rsidRPr="00A34B8C">
        <w:rPr>
          <w:color w:val="000000"/>
          <w:shd w:val="clear" w:color="auto" w:fill="FFFFFF"/>
        </w:rPr>
        <w:t>Out</w:t>
      </w:r>
      <w:proofErr w:type="gramEnd"/>
      <w:r w:rsidR="00A34B8C" w:rsidRPr="00A34B8C">
        <w:rPr>
          <w:color w:val="000000"/>
          <w:shd w:val="clear" w:color="auto" w:fill="FFFFFF"/>
        </w:rPr>
        <w:t xml:space="preserve"> of Waste (WOW) campaign, that has been successfully implemented in select locations across southern India, and has plans to expand into other locations across the Country.</w:t>
      </w:r>
    </w:p>
    <w:p w:rsidR="00234B62" w:rsidRDefault="00234B62" w:rsidP="007D4484">
      <w:pPr>
        <w:pStyle w:val="NormalWeb"/>
        <w:shd w:val="clear" w:color="auto" w:fill="FFFFFF"/>
        <w:spacing w:line="360" w:lineRule="auto"/>
        <w:jc w:val="both"/>
        <w:rPr>
          <w:b/>
          <w:color w:val="000000"/>
          <w:sz w:val="28"/>
        </w:rPr>
      </w:pPr>
    </w:p>
    <w:p w:rsidR="000822C3" w:rsidRDefault="000822C3" w:rsidP="007D4484">
      <w:pPr>
        <w:pStyle w:val="NormalWeb"/>
        <w:shd w:val="clear" w:color="auto" w:fill="FFFFFF"/>
        <w:spacing w:line="360" w:lineRule="auto"/>
        <w:jc w:val="both"/>
        <w:rPr>
          <w:b/>
          <w:color w:val="000000"/>
          <w:sz w:val="32"/>
        </w:rPr>
      </w:pPr>
      <w:r w:rsidRPr="005A28E7">
        <w:rPr>
          <w:b/>
          <w:color w:val="000000"/>
          <w:sz w:val="28"/>
        </w:rPr>
        <w:lastRenderedPageBreak/>
        <w:t>PACKAGING</w:t>
      </w:r>
    </w:p>
    <w:p w:rsidR="000822C3" w:rsidRPr="000822C3" w:rsidRDefault="00513D1D" w:rsidP="00234B62">
      <w:pPr>
        <w:pStyle w:val="NormalWeb"/>
        <w:shd w:val="clear" w:color="auto" w:fill="FFFFFF"/>
        <w:spacing w:line="360" w:lineRule="auto"/>
        <w:jc w:val="both"/>
      </w:pPr>
      <w:r>
        <w:t>ITC</w:t>
      </w:r>
      <w:r w:rsidR="000822C3" w:rsidRPr="000822C3">
        <w:t xml:space="preserve">'s Packaging &amp; Printing Business is the largest value added converter of paperboard packaging in South Asia. It converts over 70,000 </w:t>
      </w:r>
      <w:proofErr w:type="spellStart"/>
      <w:r w:rsidR="000822C3" w:rsidRPr="000822C3">
        <w:t>tonnes</w:t>
      </w:r>
      <w:proofErr w:type="spellEnd"/>
      <w:r w:rsidR="000822C3" w:rsidRPr="000822C3">
        <w:t xml:space="preserve"> of paper, paperboard and laminates per annum into a variety of value-added packaging solutions for the food &amp; beverage, personal products, cigarette, liquor and consumer goods industries.</w:t>
      </w:r>
    </w:p>
    <w:p w:rsidR="004F14FC" w:rsidRDefault="000822C3" w:rsidP="00234B62">
      <w:pPr>
        <w:pStyle w:val="NormalWeb"/>
        <w:shd w:val="clear" w:color="auto" w:fill="FFFFFF"/>
        <w:spacing w:line="360" w:lineRule="auto"/>
        <w:jc w:val="both"/>
      </w:pPr>
      <w:r w:rsidRPr="000822C3">
        <w:t xml:space="preserve">The Division, which was set up in 1925 as a strategic backward integration for </w:t>
      </w:r>
      <w:r w:rsidR="00513D1D">
        <w:t>ITC</w:t>
      </w:r>
      <w:r w:rsidRPr="000822C3">
        <w:t xml:space="preserve">'s Cigarettes business, is today India's most sophisticated packaging house. State-of-the-art technology, world-class quality and a highly skilled and dedicated team have combined to position </w:t>
      </w:r>
      <w:r w:rsidR="00513D1D">
        <w:t>ITC</w:t>
      </w:r>
      <w:r w:rsidRPr="000822C3">
        <w:t xml:space="preserve"> as the</w:t>
      </w:r>
      <w:r w:rsidRPr="000822C3">
        <w:rPr>
          <w:rStyle w:val="apple-converted-space"/>
        </w:rPr>
        <w:t> </w:t>
      </w:r>
      <w:r w:rsidRPr="000822C3">
        <w:rPr>
          <w:bCs/>
        </w:rPr>
        <w:t>first-choice supplier of high value added packaging.</w:t>
      </w:r>
    </w:p>
    <w:p w:rsidR="000822C3" w:rsidRPr="000822C3" w:rsidRDefault="000822C3" w:rsidP="00234B62">
      <w:pPr>
        <w:pStyle w:val="NormalWeb"/>
        <w:shd w:val="clear" w:color="auto" w:fill="FFFFFF"/>
        <w:spacing w:line="360" w:lineRule="auto"/>
        <w:jc w:val="both"/>
      </w:pPr>
      <w:r w:rsidRPr="000822C3">
        <w:t xml:space="preserve">The Division supplies value-added packaging to </w:t>
      </w:r>
      <w:r w:rsidR="00513D1D">
        <w:t>ITC</w:t>
      </w:r>
      <w:r w:rsidRPr="000822C3">
        <w:t>'s various FMCG businesses. Its client list includes several well-known national and international companies like</w:t>
      </w:r>
      <w:r w:rsidRPr="000822C3">
        <w:rPr>
          <w:rStyle w:val="apple-converted-space"/>
        </w:rPr>
        <w:t> </w:t>
      </w:r>
      <w:r w:rsidRPr="000822C3">
        <w:rPr>
          <w:bCs/>
        </w:rPr>
        <w:t xml:space="preserve">Nokia, Colgate Palmolive, </w:t>
      </w:r>
      <w:proofErr w:type="spellStart"/>
      <w:r w:rsidRPr="000822C3">
        <w:rPr>
          <w:bCs/>
        </w:rPr>
        <w:t>Pernod</w:t>
      </w:r>
      <w:proofErr w:type="spellEnd"/>
      <w:r w:rsidRPr="000822C3">
        <w:rPr>
          <w:bCs/>
        </w:rPr>
        <w:t xml:space="preserve"> </w:t>
      </w:r>
      <w:proofErr w:type="spellStart"/>
      <w:r w:rsidRPr="000822C3">
        <w:rPr>
          <w:bCs/>
        </w:rPr>
        <w:t>Ricard</w:t>
      </w:r>
      <w:proofErr w:type="spellEnd"/>
      <w:r w:rsidRPr="000822C3">
        <w:rPr>
          <w:bCs/>
        </w:rPr>
        <w:t xml:space="preserve">, Diageo, British American Tobacco, Philip Morris International, </w:t>
      </w:r>
      <w:proofErr w:type="spellStart"/>
      <w:r w:rsidRPr="000822C3">
        <w:rPr>
          <w:bCs/>
        </w:rPr>
        <w:t>Agio</w:t>
      </w:r>
      <w:proofErr w:type="spellEnd"/>
      <w:r w:rsidRPr="000822C3">
        <w:rPr>
          <w:bCs/>
        </w:rPr>
        <w:t xml:space="preserve"> Cigars, UB Group, Tata Tetley, Tata Tea, Reckitt Benckiser, </w:t>
      </w:r>
      <w:proofErr w:type="spellStart"/>
      <w:r w:rsidRPr="000822C3">
        <w:rPr>
          <w:bCs/>
        </w:rPr>
        <w:t>Radico</w:t>
      </w:r>
      <w:proofErr w:type="spellEnd"/>
      <w:r w:rsidRPr="000822C3">
        <w:rPr>
          <w:bCs/>
        </w:rPr>
        <w:t xml:space="preserve"> </w:t>
      </w:r>
      <w:proofErr w:type="spellStart"/>
      <w:r w:rsidRPr="000822C3">
        <w:rPr>
          <w:bCs/>
        </w:rPr>
        <w:t>Khaitan</w:t>
      </w:r>
      <w:proofErr w:type="spellEnd"/>
      <w:r w:rsidRPr="000822C3">
        <w:rPr>
          <w:bCs/>
        </w:rPr>
        <w:t>, Akbar Brothers, Surya Nepal, VST Industries, etc.</w:t>
      </w:r>
      <w:r>
        <w:t xml:space="preserve"> </w:t>
      </w:r>
      <w:r w:rsidRPr="000822C3">
        <w:t>With three packaging factories at</w:t>
      </w:r>
      <w:r w:rsidRPr="000822C3">
        <w:rPr>
          <w:rStyle w:val="apple-converted-space"/>
        </w:rPr>
        <w:t> </w:t>
      </w:r>
      <w:proofErr w:type="spellStart"/>
      <w:r w:rsidRPr="000822C3">
        <w:rPr>
          <w:bCs/>
        </w:rPr>
        <w:t>Tiruvottiyur</w:t>
      </w:r>
      <w:proofErr w:type="spellEnd"/>
      <w:r w:rsidRPr="000822C3">
        <w:rPr>
          <w:rStyle w:val="apple-converted-space"/>
        </w:rPr>
        <w:t> </w:t>
      </w:r>
      <w:r w:rsidRPr="000822C3">
        <w:t>near Chennai (in the South),</w:t>
      </w:r>
      <w:r w:rsidRPr="000822C3">
        <w:rPr>
          <w:rStyle w:val="apple-converted-space"/>
        </w:rPr>
        <w:t> </w:t>
      </w:r>
      <w:proofErr w:type="spellStart"/>
      <w:r w:rsidRPr="000822C3">
        <w:rPr>
          <w:bCs/>
        </w:rPr>
        <w:t>Munger</w:t>
      </w:r>
      <w:proofErr w:type="spellEnd"/>
      <w:r w:rsidRPr="000822C3">
        <w:rPr>
          <w:rStyle w:val="apple-converted-space"/>
        </w:rPr>
        <w:t> </w:t>
      </w:r>
      <w:r w:rsidRPr="000822C3">
        <w:t>in Bihar (in the East), and</w:t>
      </w:r>
      <w:r w:rsidR="007D4484">
        <w:t xml:space="preserve"> </w:t>
      </w:r>
      <w:proofErr w:type="spellStart"/>
      <w:r w:rsidRPr="000822C3">
        <w:rPr>
          <w:bCs/>
        </w:rPr>
        <w:t>Haridwar</w:t>
      </w:r>
      <w:proofErr w:type="spellEnd"/>
      <w:r w:rsidRPr="000822C3">
        <w:rPr>
          <w:rStyle w:val="apple-converted-space"/>
        </w:rPr>
        <w:t> </w:t>
      </w:r>
      <w:r w:rsidRPr="000822C3">
        <w:t>(in the North of India), the Company offers a comprehensive product range in packaging backed by its packaging expertise over the decades and cutting edge technology making it truly a</w:t>
      </w:r>
      <w:r w:rsidRPr="000822C3">
        <w:rPr>
          <w:rStyle w:val="apple-converted-space"/>
        </w:rPr>
        <w:t> </w:t>
      </w:r>
      <w:r w:rsidRPr="000822C3">
        <w:rPr>
          <w:bCs/>
        </w:rPr>
        <w:t>"One stop shop for Packaging"</w:t>
      </w:r>
      <w:r w:rsidRPr="000822C3">
        <w:t>.</w:t>
      </w:r>
    </w:p>
    <w:p w:rsidR="000822C3" w:rsidRPr="007D4484" w:rsidRDefault="000822C3" w:rsidP="007D4484">
      <w:pPr>
        <w:pStyle w:val="Heading3"/>
        <w:shd w:val="clear" w:color="auto" w:fill="FFFFFF"/>
        <w:spacing w:before="0" w:line="360" w:lineRule="auto"/>
        <w:jc w:val="both"/>
        <w:rPr>
          <w:rFonts w:ascii="Times New Roman" w:hAnsi="Times New Roman" w:cs="Times New Roman"/>
          <w:bCs w:val="0"/>
          <w:color w:val="auto"/>
          <w:sz w:val="24"/>
          <w:szCs w:val="24"/>
        </w:rPr>
      </w:pPr>
      <w:r w:rsidRPr="007D4484">
        <w:rPr>
          <w:rFonts w:ascii="Times New Roman" w:hAnsi="Times New Roman" w:cs="Times New Roman"/>
          <w:bCs w:val="0"/>
          <w:color w:val="auto"/>
          <w:sz w:val="24"/>
          <w:szCs w:val="24"/>
        </w:rPr>
        <w:t>Product Lines</w:t>
      </w:r>
    </w:p>
    <w:p w:rsidR="000822C3" w:rsidRPr="007D4484" w:rsidRDefault="00513D1D" w:rsidP="007D4484">
      <w:pPr>
        <w:pStyle w:val="NormalWeb"/>
        <w:shd w:val="clear" w:color="auto" w:fill="FFFFFF"/>
        <w:spacing w:line="360" w:lineRule="auto"/>
        <w:jc w:val="both"/>
      </w:pPr>
      <w:r>
        <w:t>ITC</w:t>
      </w:r>
      <w:r w:rsidR="000822C3" w:rsidRPr="007D4484">
        <w:t>'s Packaging Business has 3 major product lines</w:t>
      </w:r>
    </w:p>
    <w:p w:rsidR="000822C3" w:rsidRPr="007D4484" w:rsidRDefault="002A5337" w:rsidP="007D4484">
      <w:pPr>
        <w:numPr>
          <w:ilvl w:val="0"/>
          <w:numId w:val="1"/>
        </w:numPr>
        <w:shd w:val="clear" w:color="auto" w:fill="FFFFFF"/>
        <w:spacing w:before="100" w:beforeAutospacing="1" w:after="100" w:afterAutospacing="1" w:line="360" w:lineRule="auto"/>
        <w:jc w:val="both"/>
        <w:rPr>
          <w:rFonts w:ascii="Times New Roman" w:hAnsi="Times New Roman" w:cs="Times New Roman"/>
          <w:sz w:val="24"/>
          <w:szCs w:val="24"/>
        </w:rPr>
      </w:pPr>
      <w:hyperlink r:id="rId23" w:anchor="cbp" w:history="1">
        <w:r w:rsidR="000822C3" w:rsidRPr="007D4484">
          <w:rPr>
            <w:rStyle w:val="Hyperlink"/>
            <w:rFonts w:ascii="Times New Roman" w:hAnsi="Times New Roman" w:cs="Times New Roman"/>
            <w:color w:val="auto"/>
            <w:sz w:val="24"/>
            <w:szCs w:val="24"/>
            <w:u w:val="none"/>
          </w:rPr>
          <w:t>Carton Board Packaging</w:t>
        </w:r>
      </w:hyperlink>
    </w:p>
    <w:p w:rsidR="000822C3" w:rsidRPr="007D4484" w:rsidRDefault="000822C3" w:rsidP="007D4484">
      <w:pPr>
        <w:numPr>
          <w:ilvl w:val="1"/>
          <w:numId w:val="1"/>
        </w:numPr>
        <w:shd w:val="clear" w:color="auto" w:fill="FFFFFF"/>
        <w:spacing w:before="100" w:beforeAutospacing="1" w:after="100" w:afterAutospacing="1" w:line="360" w:lineRule="auto"/>
        <w:jc w:val="both"/>
        <w:rPr>
          <w:rFonts w:ascii="Times New Roman" w:hAnsi="Times New Roman" w:cs="Times New Roman"/>
          <w:sz w:val="24"/>
          <w:szCs w:val="24"/>
        </w:rPr>
      </w:pPr>
      <w:r w:rsidRPr="007D4484">
        <w:rPr>
          <w:rFonts w:ascii="Times New Roman" w:hAnsi="Times New Roman" w:cs="Times New Roman"/>
          <w:sz w:val="24"/>
          <w:szCs w:val="24"/>
        </w:rPr>
        <w:t>Printed Cartons</w:t>
      </w:r>
    </w:p>
    <w:p w:rsidR="000822C3" w:rsidRPr="007D4484" w:rsidRDefault="000822C3" w:rsidP="007D4484">
      <w:pPr>
        <w:numPr>
          <w:ilvl w:val="1"/>
          <w:numId w:val="1"/>
        </w:numPr>
        <w:shd w:val="clear" w:color="auto" w:fill="FFFFFF"/>
        <w:spacing w:before="100" w:beforeAutospacing="1" w:after="100" w:afterAutospacing="1" w:line="360" w:lineRule="auto"/>
        <w:jc w:val="both"/>
        <w:rPr>
          <w:rFonts w:ascii="Times New Roman" w:hAnsi="Times New Roman" w:cs="Times New Roman"/>
          <w:sz w:val="24"/>
          <w:szCs w:val="24"/>
        </w:rPr>
      </w:pPr>
      <w:r w:rsidRPr="007D4484">
        <w:rPr>
          <w:rFonts w:ascii="Times New Roman" w:hAnsi="Times New Roman" w:cs="Times New Roman"/>
          <w:sz w:val="24"/>
          <w:szCs w:val="24"/>
        </w:rPr>
        <w:t>Fluted cartons</w:t>
      </w:r>
    </w:p>
    <w:p w:rsidR="000822C3" w:rsidRPr="007D4484" w:rsidRDefault="002A5337" w:rsidP="007D4484">
      <w:pPr>
        <w:numPr>
          <w:ilvl w:val="0"/>
          <w:numId w:val="1"/>
        </w:numPr>
        <w:shd w:val="clear" w:color="auto" w:fill="FFFFFF"/>
        <w:spacing w:before="100" w:beforeAutospacing="1" w:after="100" w:afterAutospacing="1" w:line="360" w:lineRule="auto"/>
        <w:jc w:val="both"/>
        <w:rPr>
          <w:rFonts w:ascii="Times New Roman" w:hAnsi="Times New Roman" w:cs="Times New Roman"/>
          <w:sz w:val="24"/>
          <w:szCs w:val="24"/>
        </w:rPr>
      </w:pPr>
      <w:hyperlink r:id="rId24" w:anchor="fp" w:history="1">
        <w:r w:rsidR="000822C3" w:rsidRPr="007D4484">
          <w:rPr>
            <w:rStyle w:val="Hyperlink"/>
            <w:rFonts w:ascii="Times New Roman" w:hAnsi="Times New Roman" w:cs="Times New Roman"/>
            <w:color w:val="auto"/>
            <w:sz w:val="24"/>
            <w:szCs w:val="24"/>
            <w:u w:val="none"/>
          </w:rPr>
          <w:t>Flexible Packaging</w:t>
        </w:r>
      </w:hyperlink>
    </w:p>
    <w:p w:rsidR="004E1B0F" w:rsidRDefault="002A5337" w:rsidP="0000413B">
      <w:pPr>
        <w:numPr>
          <w:ilvl w:val="0"/>
          <w:numId w:val="1"/>
        </w:numPr>
        <w:shd w:val="clear" w:color="auto" w:fill="FFFFFF"/>
        <w:spacing w:before="100" w:beforeAutospacing="1" w:after="100" w:afterAutospacing="1" w:line="360" w:lineRule="auto"/>
        <w:jc w:val="both"/>
        <w:rPr>
          <w:rFonts w:ascii="Times New Roman" w:hAnsi="Times New Roman" w:cs="Times New Roman"/>
          <w:sz w:val="24"/>
          <w:szCs w:val="24"/>
        </w:rPr>
      </w:pPr>
      <w:hyperlink r:id="rId25" w:anchor="tp" w:history="1">
        <w:r w:rsidR="000822C3" w:rsidRPr="007D4484">
          <w:rPr>
            <w:rStyle w:val="Hyperlink"/>
            <w:rFonts w:ascii="Times New Roman" w:hAnsi="Times New Roman" w:cs="Times New Roman"/>
            <w:color w:val="auto"/>
            <w:sz w:val="24"/>
            <w:szCs w:val="24"/>
            <w:u w:val="none"/>
          </w:rPr>
          <w:t>Tobacco Packaging</w:t>
        </w:r>
      </w:hyperlink>
      <w:bookmarkStart w:id="0" w:name="cbp"/>
      <w:bookmarkEnd w:id="0"/>
    </w:p>
    <w:p w:rsidR="004E1B0F" w:rsidRDefault="004E1B0F" w:rsidP="004E1B0F">
      <w:pPr>
        <w:shd w:val="clear" w:color="auto" w:fill="FFFFFF"/>
        <w:spacing w:before="100" w:beforeAutospacing="1" w:after="100" w:afterAutospacing="1" w:line="360" w:lineRule="auto"/>
        <w:jc w:val="both"/>
        <w:rPr>
          <w:rFonts w:ascii="Times New Roman" w:hAnsi="Times New Roman" w:cs="Times New Roman"/>
          <w:sz w:val="24"/>
          <w:szCs w:val="24"/>
        </w:rPr>
      </w:pPr>
    </w:p>
    <w:p w:rsidR="004E1B0F" w:rsidRDefault="004E1B0F" w:rsidP="004E1B0F">
      <w:pPr>
        <w:shd w:val="clear" w:color="auto" w:fill="FFFFFF"/>
        <w:spacing w:before="100" w:beforeAutospacing="1" w:after="100" w:afterAutospacing="1" w:line="360" w:lineRule="auto"/>
        <w:jc w:val="both"/>
        <w:rPr>
          <w:rFonts w:ascii="Times New Roman" w:hAnsi="Times New Roman" w:cs="Times New Roman"/>
          <w:sz w:val="24"/>
          <w:szCs w:val="24"/>
        </w:rPr>
      </w:pPr>
    </w:p>
    <w:p w:rsidR="0000413B" w:rsidRPr="004E1B0F" w:rsidRDefault="008B2F27" w:rsidP="004E1B0F">
      <w:pPr>
        <w:shd w:val="clear" w:color="auto" w:fill="FFFFFF"/>
        <w:spacing w:before="100" w:beforeAutospacing="1" w:after="100" w:afterAutospacing="1" w:line="360" w:lineRule="auto"/>
        <w:jc w:val="both"/>
        <w:rPr>
          <w:rFonts w:ascii="Times New Roman" w:hAnsi="Times New Roman" w:cs="Times New Roman"/>
          <w:sz w:val="24"/>
          <w:szCs w:val="24"/>
        </w:rPr>
      </w:pPr>
      <w:r w:rsidRPr="004E1B0F">
        <w:rPr>
          <w:rFonts w:ascii="Times New Roman" w:hAnsi="Times New Roman" w:cs="Times New Roman"/>
          <w:b/>
          <w:sz w:val="24"/>
          <w:szCs w:val="24"/>
        </w:rPr>
        <w:lastRenderedPageBreak/>
        <w:t>AGRI-BUSINESS</w:t>
      </w:r>
    </w:p>
    <w:p w:rsidR="008B2F27" w:rsidRPr="008B2F27" w:rsidRDefault="00513D1D" w:rsidP="008B2F27">
      <w:pPr>
        <w:pStyle w:val="NormalWeb"/>
        <w:shd w:val="clear" w:color="auto" w:fill="FFFFFF"/>
        <w:spacing w:line="360" w:lineRule="auto"/>
        <w:jc w:val="both"/>
        <w:rPr>
          <w:color w:val="000000"/>
        </w:rPr>
      </w:pPr>
      <w:r>
        <w:rPr>
          <w:color w:val="000000"/>
        </w:rPr>
        <w:t>ITC</w:t>
      </w:r>
      <w:r w:rsidR="008B2F27" w:rsidRPr="008B2F27">
        <w:rPr>
          <w:color w:val="000000"/>
        </w:rPr>
        <w:t xml:space="preserve">'s pre-eminent position as one of India's leading corporates in the agricultural sector is based on strong and enduring farmer partnerships that has revolutionized and transformed the rural agricultural sector. A unique rural digital infrastructure network, coupled with deep understanding of agricultural practices and intensive research, has built a competitive and efficient supply chain that creates and delivers immense value across the agricultural value chain. One of the largest exporters of </w:t>
      </w:r>
      <w:proofErr w:type="spellStart"/>
      <w:r w:rsidR="008B2F27" w:rsidRPr="008B2F27">
        <w:rPr>
          <w:color w:val="000000"/>
        </w:rPr>
        <w:t>agri</w:t>
      </w:r>
      <w:proofErr w:type="spellEnd"/>
      <w:r w:rsidR="008B2F27" w:rsidRPr="008B2F27">
        <w:rPr>
          <w:color w:val="000000"/>
        </w:rPr>
        <w:t xml:space="preserve"> products from the country, </w:t>
      </w:r>
      <w:r>
        <w:rPr>
          <w:color w:val="000000"/>
        </w:rPr>
        <w:t>ITC</w:t>
      </w:r>
      <w:r w:rsidR="008B2F27" w:rsidRPr="008B2F27">
        <w:rPr>
          <w:color w:val="000000"/>
        </w:rPr>
        <w:t xml:space="preserve"> sources the finest of Indian Feed Ingredients, Food Grains, Marine Products, </w:t>
      </w:r>
      <w:proofErr w:type="gramStart"/>
      <w:r w:rsidR="008B2F27" w:rsidRPr="008B2F27">
        <w:rPr>
          <w:color w:val="000000"/>
        </w:rPr>
        <w:t>Processed</w:t>
      </w:r>
      <w:proofErr w:type="gramEnd"/>
      <w:r w:rsidR="008B2F27" w:rsidRPr="008B2F27">
        <w:rPr>
          <w:color w:val="000000"/>
        </w:rPr>
        <w:t xml:space="preserve"> Fruits &amp; Coffee.</w:t>
      </w:r>
    </w:p>
    <w:p w:rsidR="008B2F27" w:rsidRPr="008B2F27" w:rsidRDefault="00513D1D" w:rsidP="008B2F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ITC</w:t>
      </w:r>
      <w:r w:rsidR="008B2F27" w:rsidRPr="008B2F27">
        <w:rPr>
          <w:rFonts w:ascii="Times New Roman" w:eastAsia="Times New Roman" w:hAnsi="Times New Roman" w:cs="Times New Roman"/>
          <w:b/>
          <w:bCs/>
          <w:color w:val="000000"/>
          <w:sz w:val="24"/>
          <w:szCs w:val="24"/>
        </w:rPr>
        <w:t xml:space="preserve">'s </w:t>
      </w:r>
      <w:proofErr w:type="spellStart"/>
      <w:r w:rsidR="008B2F27" w:rsidRPr="008B2F27">
        <w:rPr>
          <w:rFonts w:ascii="Times New Roman" w:eastAsia="Times New Roman" w:hAnsi="Times New Roman" w:cs="Times New Roman"/>
          <w:b/>
          <w:bCs/>
          <w:color w:val="000000"/>
          <w:sz w:val="24"/>
          <w:szCs w:val="24"/>
        </w:rPr>
        <w:t>Agri</w:t>
      </w:r>
      <w:proofErr w:type="spellEnd"/>
      <w:r w:rsidR="008B2F27" w:rsidRPr="008B2F27">
        <w:rPr>
          <w:rFonts w:ascii="Times New Roman" w:eastAsia="Times New Roman" w:hAnsi="Times New Roman" w:cs="Times New Roman"/>
          <w:b/>
          <w:bCs/>
          <w:color w:val="000000"/>
          <w:sz w:val="24"/>
          <w:szCs w:val="24"/>
        </w:rPr>
        <w:t xml:space="preserve"> Business Division</w:t>
      </w:r>
      <w:r w:rsidR="008B2F27" w:rsidRPr="008B2F27">
        <w:rPr>
          <w:rFonts w:ascii="Times New Roman" w:eastAsia="Times New Roman" w:hAnsi="Times New Roman" w:cs="Times New Roman"/>
          <w:color w:val="000000"/>
          <w:sz w:val="24"/>
          <w:szCs w:val="24"/>
        </w:rPr>
        <w:t> is the country's second largest exporter of </w:t>
      </w:r>
      <w:proofErr w:type="spellStart"/>
      <w:r w:rsidR="008B2F27" w:rsidRPr="008B2F27">
        <w:rPr>
          <w:rFonts w:ascii="Times New Roman" w:eastAsia="Times New Roman" w:hAnsi="Times New Roman" w:cs="Times New Roman"/>
          <w:b/>
          <w:bCs/>
          <w:color w:val="000000"/>
          <w:sz w:val="24"/>
          <w:szCs w:val="24"/>
        </w:rPr>
        <w:t>agri</w:t>
      </w:r>
      <w:proofErr w:type="spellEnd"/>
      <w:r w:rsidR="008B2F27" w:rsidRPr="008B2F27">
        <w:rPr>
          <w:rFonts w:ascii="Times New Roman" w:eastAsia="Times New Roman" w:hAnsi="Times New Roman" w:cs="Times New Roman"/>
          <w:b/>
          <w:bCs/>
          <w:color w:val="000000"/>
          <w:sz w:val="24"/>
          <w:szCs w:val="24"/>
        </w:rPr>
        <w:t>-products</w:t>
      </w:r>
      <w:r w:rsidR="008B2F27" w:rsidRPr="008B2F27">
        <w:rPr>
          <w:rFonts w:ascii="Times New Roman" w:eastAsia="Times New Roman" w:hAnsi="Times New Roman" w:cs="Times New Roman"/>
          <w:color w:val="000000"/>
          <w:sz w:val="24"/>
          <w:szCs w:val="24"/>
        </w:rPr>
        <w:t>. It currently focuses on exports and domestic trading of:</w:t>
      </w:r>
    </w:p>
    <w:p w:rsidR="008B2F27" w:rsidRPr="008B2F27" w:rsidRDefault="008B2F27" w:rsidP="008B2F2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B2F27">
        <w:rPr>
          <w:rFonts w:ascii="Times New Roman" w:eastAsia="Times New Roman" w:hAnsi="Times New Roman" w:cs="Times New Roman"/>
          <w:b/>
          <w:bCs/>
          <w:color w:val="000000"/>
          <w:sz w:val="24"/>
          <w:szCs w:val="24"/>
        </w:rPr>
        <w:t>Feed Ingredients</w:t>
      </w:r>
      <w:r w:rsidRPr="008B2F27">
        <w:rPr>
          <w:rFonts w:ascii="Times New Roman" w:eastAsia="Times New Roman" w:hAnsi="Times New Roman" w:cs="Times New Roman"/>
          <w:color w:val="000000"/>
          <w:sz w:val="24"/>
          <w:szCs w:val="24"/>
        </w:rPr>
        <w:t xml:space="preserve"> - </w:t>
      </w:r>
      <w:proofErr w:type="spellStart"/>
      <w:r w:rsidRPr="008B2F27">
        <w:rPr>
          <w:rFonts w:ascii="Times New Roman" w:eastAsia="Times New Roman" w:hAnsi="Times New Roman" w:cs="Times New Roman"/>
          <w:color w:val="000000"/>
          <w:sz w:val="24"/>
          <w:szCs w:val="24"/>
        </w:rPr>
        <w:t>Soyameal</w:t>
      </w:r>
      <w:proofErr w:type="spellEnd"/>
    </w:p>
    <w:p w:rsidR="008B2F27" w:rsidRPr="008B2F27" w:rsidRDefault="008B2F27" w:rsidP="008B2F2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B2F27">
        <w:rPr>
          <w:rFonts w:ascii="Times New Roman" w:eastAsia="Times New Roman" w:hAnsi="Times New Roman" w:cs="Times New Roman"/>
          <w:b/>
          <w:bCs/>
          <w:color w:val="000000"/>
          <w:sz w:val="24"/>
          <w:szCs w:val="24"/>
        </w:rPr>
        <w:t>Food Grains</w:t>
      </w:r>
      <w:r w:rsidRPr="008B2F27">
        <w:rPr>
          <w:rFonts w:ascii="Times New Roman" w:eastAsia="Times New Roman" w:hAnsi="Times New Roman" w:cs="Times New Roman"/>
          <w:color w:val="000000"/>
          <w:sz w:val="24"/>
          <w:szCs w:val="24"/>
        </w:rPr>
        <w:t> - Wheat</w:t>
      </w:r>
    </w:p>
    <w:p w:rsidR="008B2F27" w:rsidRPr="008B2F27" w:rsidRDefault="008B2F27" w:rsidP="008B2F2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B2F27">
        <w:rPr>
          <w:rFonts w:ascii="Times New Roman" w:eastAsia="Times New Roman" w:hAnsi="Times New Roman" w:cs="Times New Roman"/>
          <w:b/>
          <w:bCs/>
          <w:color w:val="000000"/>
          <w:sz w:val="24"/>
          <w:szCs w:val="24"/>
        </w:rPr>
        <w:t>Marine Products</w:t>
      </w:r>
      <w:r w:rsidRPr="008B2F27">
        <w:rPr>
          <w:rFonts w:ascii="Times New Roman" w:eastAsia="Times New Roman" w:hAnsi="Times New Roman" w:cs="Times New Roman"/>
          <w:color w:val="000000"/>
          <w:sz w:val="24"/>
          <w:szCs w:val="24"/>
        </w:rPr>
        <w:t> - Shrimps and Prawns</w:t>
      </w:r>
    </w:p>
    <w:p w:rsidR="008B2F27" w:rsidRPr="008B2F27" w:rsidRDefault="008B2F27" w:rsidP="008B2F2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B2F27">
        <w:rPr>
          <w:rFonts w:ascii="Times New Roman" w:eastAsia="Times New Roman" w:hAnsi="Times New Roman" w:cs="Times New Roman"/>
          <w:b/>
          <w:bCs/>
          <w:color w:val="000000"/>
          <w:sz w:val="24"/>
          <w:szCs w:val="24"/>
        </w:rPr>
        <w:t>Processed Fruits</w:t>
      </w:r>
      <w:r w:rsidRPr="008B2F27">
        <w:rPr>
          <w:rFonts w:ascii="Times New Roman" w:eastAsia="Times New Roman" w:hAnsi="Times New Roman" w:cs="Times New Roman"/>
          <w:color w:val="000000"/>
          <w:sz w:val="24"/>
          <w:szCs w:val="24"/>
        </w:rPr>
        <w:t> - Fruit Purees/Concentrates, IQF/Frozen Fruits, Organic Fruit Products</w:t>
      </w:r>
    </w:p>
    <w:p w:rsidR="008B2F27" w:rsidRPr="008B2F27" w:rsidRDefault="008B2F27" w:rsidP="008B2F27">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B2F27">
        <w:rPr>
          <w:rFonts w:ascii="Times New Roman" w:eastAsia="Times New Roman" w:hAnsi="Times New Roman" w:cs="Times New Roman"/>
          <w:b/>
          <w:bCs/>
          <w:color w:val="000000"/>
          <w:sz w:val="24"/>
          <w:szCs w:val="24"/>
        </w:rPr>
        <w:t>Coffee</w:t>
      </w:r>
    </w:p>
    <w:p w:rsidR="008B2F27" w:rsidRPr="008B2F27" w:rsidRDefault="008B2F27" w:rsidP="008B2F27">
      <w:pPr>
        <w:pStyle w:val="Heading3"/>
        <w:shd w:val="clear" w:color="auto" w:fill="FFFFFF"/>
        <w:spacing w:before="0" w:line="360" w:lineRule="auto"/>
        <w:jc w:val="both"/>
        <w:rPr>
          <w:rFonts w:ascii="Times New Roman" w:hAnsi="Times New Roman" w:cs="Times New Roman"/>
          <w:bCs w:val="0"/>
          <w:color w:val="auto"/>
          <w:sz w:val="24"/>
          <w:szCs w:val="24"/>
        </w:rPr>
      </w:pPr>
      <w:r w:rsidRPr="008B2F27">
        <w:rPr>
          <w:rFonts w:ascii="Times New Roman" w:hAnsi="Times New Roman" w:cs="Times New Roman"/>
          <w:bCs w:val="0"/>
          <w:color w:val="auto"/>
          <w:sz w:val="24"/>
          <w:szCs w:val="24"/>
        </w:rPr>
        <w:t>A Customer Centric Approach</w:t>
      </w:r>
    </w:p>
    <w:p w:rsidR="008B2F27" w:rsidRPr="008B2F27" w:rsidRDefault="00513D1D" w:rsidP="00234B62">
      <w:pPr>
        <w:pStyle w:val="NormalWeb"/>
        <w:shd w:val="clear" w:color="auto" w:fill="FFFFFF"/>
        <w:spacing w:line="360" w:lineRule="auto"/>
        <w:jc w:val="both"/>
      </w:pPr>
      <w:r>
        <w:t>ITC</w:t>
      </w:r>
      <w:r w:rsidR="008B2F27" w:rsidRPr="008B2F27">
        <w:t xml:space="preserve">'s </w:t>
      </w:r>
      <w:proofErr w:type="spellStart"/>
      <w:r w:rsidR="008B2F27" w:rsidRPr="008B2F27">
        <w:t>Agri</w:t>
      </w:r>
      <w:proofErr w:type="spellEnd"/>
      <w:r w:rsidR="008B2F27" w:rsidRPr="008B2F27">
        <w:t xml:space="preserve"> Business Division continues to use innovation as its core strategy to retain its position as the one-stop shop for sourcing </w:t>
      </w:r>
      <w:proofErr w:type="spellStart"/>
      <w:r w:rsidR="008B2F27" w:rsidRPr="008B2F27">
        <w:t>agri</w:t>
      </w:r>
      <w:proofErr w:type="spellEnd"/>
      <w:r w:rsidR="008B2F27" w:rsidRPr="008B2F27">
        <w:t xml:space="preserve">-commodities from India. Besides setting benchmarks in quality, reliability and value-added services, </w:t>
      </w:r>
      <w:r>
        <w:t>ITC</w:t>
      </w:r>
      <w:r w:rsidR="008B2F27" w:rsidRPr="008B2F27">
        <w:t xml:space="preserve"> is a trendsetter in customer care particularly in commodity trading. Major customers include</w:t>
      </w:r>
      <w:r w:rsidR="008B2F27" w:rsidRPr="008B2F27">
        <w:rPr>
          <w:rStyle w:val="apple-converted-space"/>
        </w:rPr>
        <w:t> </w:t>
      </w:r>
      <w:r w:rsidR="008B2F27" w:rsidRPr="008B2F27">
        <w:rPr>
          <w:rStyle w:val="Strong"/>
        </w:rPr>
        <w:t xml:space="preserve">Cargill, Marubeni, </w:t>
      </w:r>
      <w:proofErr w:type="spellStart"/>
      <w:r w:rsidR="008B2F27" w:rsidRPr="008B2F27">
        <w:rPr>
          <w:rStyle w:val="Strong"/>
        </w:rPr>
        <w:t>Toepfer</w:t>
      </w:r>
      <w:proofErr w:type="spellEnd"/>
      <w:r w:rsidR="008B2F27" w:rsidRPr="008B2F27">
        <w:t>, among others, who source agriculture commodities and food products from India. Customers can log onto</w:t>
      </w:r>
      <w:r w:rsidR="008B2F27" w:rsidRPr="008B2F27">
        <w:rPr>
          <w:rStyle w:val="apple-converted-space"/>
        </w:rPr>
        <w:t> </w:t>
      </w:r>
      <w:hyperlink r:id="rId26" w:tgtFrame="_blank" w:history="1">
        <w:r w:rsidR="008B2F27" w:rsidRPr="008B2F27">
          <w:rPr>
            <w:rStyle w:val="Hyperlink"/>
            <w:rFonts w:eastAsiaTheme="majorEastAsia"/>
            <w:color w:val="auto"/>
            <w:u w:val="none"/>
          </w:rPr>
          <w:t>www.</w:t>
        </w:r>
        <w:r>
          <w:rPr>
            <w:rStyle w:val="Hyperlink"/>
            <w:rFonts w:eastAsiaTheme="majorEastAsia"/>
            <w:color w:val="auto"/>
            <w:u w:val="none"/>
          </w:rPr>
          <w:t>ITC</w:t>
        </w:r>
        <w:r w:rsidR="008B2F27" w:rsidRPr="008B2F27">
          <w:rPr>
            <w:rStyle w:val="Hyperlink"/>
            <w:rFonts w:eastAsiaTheme="majorEastAsia"/>
            <w:color w:val="auto"/>
            <w:u w:val="none"/>
          </w:rPr>
          <w:t>abd.com</w:t>
        </w:r>
      </w:hyperlink>
      <w:r w:rsidR="008B2F27" w:rsidRPr="008B2F27">
        <w:t>, and readily access information on crop production and forecast, market updates, the latest shipment status and the prevailing foreign exchange rates.</w:t>
      </w:r>
    </w:p>
    <w:p w:rsidR="008B2F27" w:rsidRPr="008B2F27" w:rsidRDefault="008B2F27" w:rsidP="008B2F27">
      <w:pPr>
        <w:pStyle w:val="Heading3"/>
        <w:shd w:val="clear" w:color="auto" w:fill="FFFFFF"/>
        <w:spacing w:before="0" w:line="360" w:lineRule="auto"/>
        <w:jc w:val="both"/>
        <w:rPr>
          <w:rFonts w:ascii="Times New Roman" w:hAnsi="Times New Roman" w:cs="Times New Roman"/>
          <w:bCs w:val="0"/>
          <w:color w:val="auto"/>
          <w:sz w:val="24"/>
          <w:szCs w:val="24"/>
        </w:rPr>
      </w:pPr>
      <w:r w:rsidRPr="008B2F27">
        <w:rPr>
          <w:rFonts w:ascii="Times New Roman" w:hAnsi="Times New Roman" w:cs="Times New Roman"/>
          <w:bCs w:val="0"/>
          <w:color w:val="auto"/>
          <w:sz w:val="24"/>
          <w:szCs w:val="24"/>
        </w:rPr>
        <w:t xml:space="preserve">Sourcing for </w:t>
      </w:r>
      <w:r w:rsidR="00513D1D">
        <w:rPr>
          <w:rFonts w:ascii="Times New Roman" w:hAnsi="Times New Roman" w:cs="Times New Roman"/>
          <w:bCs w:val="0"/>
          <w:color w:val="auto"/>
          <w:sz w:val="24"/>
          <w:szCs w:val="24"/>
        </w:rPr>
        <w:t>ITC</w:t>
      </w:r>
    </w:p>
    <w:p w:rsidR="008B2F27" w:rsidRDefault="00513D1D" w:rsidP="00234B62">
      <w:pPr>
        <w:pStyle w:val="NormalWeb"/>
        <w:shd w:val="clear" w:color="auto" w:fill="FFFFFF"/>
        <w:spacing w:line="360" w:lineRule="auto"/>
        <w:jc w:val="both"/>
      </w:pPr>
      <w:r>
        <w:t>ITC</w:t>
      </w:r>
      <w:r w:rsidR="008B2F27" w:rsidRPr="008B2F27">
        <w:t xml:space="preserve">'s </w:t>
      </w:r>
      <w:proofErr w:type="spellStart"/>
      <w:r w:rsidR="008B2F27" w:rsidRPr="008B2F27">
        <w:t>Agri</w:t>
      </w:r>
      <w:proofErr w:type="spellEnd"/>
      <w:r w:rsidR="008B2F27" w:rsidRPr="008B2F27">
        <w:t xml:space="preserve"> business is progressively aligning its commodity portfolio with the sourcing needs of the Company's Foods business to generate higher order value from its </w:t>
      </w:r>
      <w:proofErr w:type="spellStart"/>
      <w:r w:rsidR="008B2F27" w:rsidRPr="008B2F27">
        <w:t>agri</w:t>
      </w:r>
      <w:proofErr w:type="spellEnd"/>
      <w:r w:rsidR="008B2F27" w:rsidRPr="008B2F27">
        <w:t xml:space="preserve"> procurement </w:t>
      </w:r>
      <w:r w:rsidR="008B2F27" w:rsidRPr="008B2F27">
        <w:lastRenderedPageBreak/>
        <w:t xml:space="preserve">infrastructure. The business has commenced procurement of </w:t>
      </w:r>
      <w:proofErr w:type="spellStart"/>
      <w:r w:rsidR="008B2F27" w:rsidRPr="008B2F27">
        <w:t>chipstock</w:t>
      </w:r>
      <w:proofErr w:type="spellEnd"/>
      <w:r w:rsidR="008B2F27" w:rsidRPr="008B2F27">
        <w:t xml:space="preserve"> potatoes, one of the critical raw materials in the manufacture of the Company's 'Bingo!' brand of potato chips. The acquisition of</w:t>
      </w:r>
      <w:r w:rsidR="008B2F27" w:rsidRPr="008B2F27">
        <w:rPr>
          <w:rStyle w:val="apple-converted-space"/>
        </w:rPr>
        <w:t> </w:t>
      </w:r>
      <w:proofErr w:type="spellStart"/>
      <w:r w:rsidR="008B2F27" w:rsidRPr="008B2F27">
        <w:rPr>
          <w:rStyle w:val="Strong"/>
        </w:rPr>
        <w:t>Technico</w:t>
      </w:r>
      <w:proofErr w:type="spellEnd"/>
      <w:r w:rsidR="008B2F27" w:rsidRPr="008B2F27">
        <w:t xml:space="preserve">, an Australian company with technology leadership in the production of early generation seed potatoes, helped the business access a ready pipeline of new high-yielding varieties of </w:t>
      </w:r>
      <w:proofErr w:type="spellStart"/>
      <w:r w:rsidR="008B2F27" w:rsidRPr="008B2F27">
        <w:t>chipstock</w:t>
      </w:r>
      <w:proofErr w:type="spellEnd"/>
      <w:r w:rsidR="008B2F27" w:rsidRPr="008B2F27">
        <w:t xml:space="preserve"> potato seeds.</w:t>
      </w:r>
    </w:p>
    <w:p w:rsidR="008B2F27" w:rsidRDefault="008B2F27" w:rsidP="008B2F27">
      <w:pPr>
        <w:pStyle w:val="NormalWeb"/>
        <w:shd w:val="clear" w:color="auto" w:fill="FFFFFF"/>
        <w:spacing w:line="360" w:lineRule="auto"/>
        <w:jc w:val="both"/>
        <w:rPr>
          <w:b/>
        </w:rPr>
      </w:pPr>
      <w:r>
        <w:rPr>
          <w:b/>
        </w:rPr>
        <w:t>AGRI</w:t>
      </w:r>
      <w:r w:rsidRPr="008B2F27">
        <w:rPr>
          <w:b/>
        </w:rPr>
        <w:t xml:space="preserve">BUSINESS </w:t>
      </w:r>
      <w:r>
        <w:rPr>
          <w:b/>
        </w:rPr>
        <w:t>–</w:t>
      </w:r>
      <w:r w:rsidRPr="008B2F27">
        <w:rPr>
          <w:b/>
        </w:rPr>
        <w:t>ILTD</w:t>
      </w:r>
    </w:p>
    <w:p w:rsidR="008B2F27" w:rsidRPr="008B2F27" w:rsidRDefault="00513D1D"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ITC</w:t>
      </w:r>
      <w:r w:rsidR="008B2F27" w:rsidRPr="008B2F27">
        <w:rPr>
          <w:rFonts w:ascii="Times New Roman" w:eastAsia="Times New Roman" w:hAnsi="Times New Roman" w:cs="Times New Roman"/>
          <w:bCs/>
          <w:color w:val="000000"/>
          <w:sz w:val="24"/>
          <w:szCs w:val="24"/>
        </w:rPr>
        <w:t xml:space="preserve"> pioneered the cultivation and development of Leaf Tobaccos in India.</w:t>
      </w:r>
      <w:r w:rsidR="008B2F27" w:rsidRPr="008B2F27">
        <w:rPr>
          <w:rFonts w:ascii="Times New Roman" w:eastAsia="Times New Roman" w:hAnsi="Times New Roman" w:cs="Times New Roman"/>
          <w:color w:val="000000"/>
          <w:sz w:val="24"/>
          <w:szCs w:val="24"/>
        </w:rPr>
        <w:t xml:space="preserve"> Nearly a century of creating customer delight ensures that globally, </w:t>
      </w:r>
      <w:r>
        <w:rPr>
          <w:rFonts w:ascii="Times New Roman" w:eastAsia="Times New Roman" w:hAnsi="Times New Roman" w:cs="Times New Roman"/>
          <w:color w:val="000000"/>
          <w:sz w:val="24"/>
          <w:szCs w:val="24"/>
        </w:rPr>
        <w:t>ITC</w:t>
      </w:r>
      <w:r w:rsidR="008B2F27" w:rsidRPr="008B2F27">
        <w:rPr>
          <w:rFonts w:ascii="Times New Roman" w:eastAsia="Times New Roman" w:hAnsi="Times New Roman" w:cs="Times New Roman"/>
          <w:color w:val="000000"/>
          <w:sz w:val="24"/>
          <w:szCs w:val="24"/>
        </w:rPr>
        <w:t xml:space="preserve">'s Leaf Tobacco business is synonymous with being "The One Stop Shop for Quality Indian Tobaccos". The Leaf Tobacco business' partnership with the farmer is also almost </w:t>
      </w:r>
      <w:proofErr w:type="gramStart"/>
      <w:r w:rsidR="008B2F27" w:rsidRPr="008B2F27">
        <w:rPr>
          <w:rFonts w:ascii="Times New Roman" w:eastAsia="Times New Roman" w:hAnsi="Times New Roman" w:cs="Times New Roman"/>
          <w:color w:val="000000"/>
          <w:sz w:val="24"/>
          <w:szCs w:val="24"/>
        </w:rPr>
        <w:t>a 100</w:t>
      </w:r>
      <w:proofErr w:type="gramEnd"/>
      <w:r w:rsidR="008B2F27" w:rsidRPr="008B2F27">
        <w:rPr>
          <w:rFonts w:ascii="Times New Roman" w:eastAsia="Times New Roman" w:hAnsi="Times New Roman" w:cs="Times New Roman"/>
          <w:color w:val="000000"/>
          <w:sz w:val="24"/>
          <w:szCs w:val="24"/>
        </w:rPr>
        <w:t xml:space="preserve"> years old. In a spirit that truly embodies the Company's "commitment beyond the market", </w:t>
      </w:r>
      <w:r>
        <w:rPr>
          <w:rFonts w:ascii="Times New Roman" w:eastAsia="Times New Roman" w:hAnsi="Times New Roman" w:cs="Times New Roman"/>
          <w:color w:val="000000"/>
          <w:sz w:val="24"/>
          <w:szCs w:val="24"/>
        </w:rPr>
        <w:t>ITC</w:t>
      </w:r>
      <w:r w:rsidR="008B2F27" w:rsidRPr="008B2F27">
        <w:rPr>
          <w:rFonts w:ascii="Times New Roman" w:eastAsia="Times New Roman" w:hAnsi="Times New Roman" w:cs="Times New Roman"/>
          <w:color w:val="000000"/>
          <w:sz w:val="24"/>
          <w:szCs w:val="24"/>
        </w:rPr>
        <w:t xml:space="preserve"> has helped the Indian farmer grow quality leaf tobaccos and linked him to global markets.</w:t>
      </w:r>
    </w:p>
    <w:p w:rsidR="008B2F27" w:rsidRPr="008B2F27" w:rsidRDefault="00513D1D"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ITC</w:t>
      </w:r>
      <w:r w:rsidR="008B2F27" w:rsidRPr="008B2F27">
        <w:rPr>
          <w:rFonts w:ascii="Times New Roman" w:eastAsia="Times New Roman" w:hAnsi="Times New Roman" w:cs="Times New Roman"/>
          <w:bCs/>
          <w:color w:val="000000"/>
          <w:sz w:val="24"/>
          <w:szCs w:val="24"/>
        </w:rPr>
        <w:t xml:space="preserve"> is the largest buyer, processor and exporter of leaf tobaccos in India - creating a global benchmark as the single largest integrated source of quality tobaccos. Serving customers in 50 countries across more than 70 destinations, </w:t>
      </w:r>
      <w:r>
        <w:rPr>
          <w:rFonts w:ascii="Times New Roman" w:eastAsia="Times New Roman" w:hAnsi="Times New Roman" w:cs="Times New Roman"/>
          <w:bCs/>
          <w:color w:val="000000"/>
          <w:sz w:val="24"/>
          <w:szCs w:val="24"/>
        </w:rPr>
        <w:t>ITC</w:t>
      </w:r>
      <w:r w:rsidR="008B2F27" w:rsidRPr="008B2F27">
        <w:rPr>
          <w:rFonts w:ascii="Times New Roman" w:eastAsia="Times New Roman" w:hAnsi="Times New Roman" w:cs="Times New Roman"/>
          <w:bCs/>
          <w:color w:val="000000"/>
          <w:sz w:val="24"/>
          <w:szCs w:val="24"/>
        </w:rPr>
        <w:t xml:space="preserve"> co-creates and delivers value at every stage of the leaf tobacco value chain.</w:t>
      </w:r>
    </w:p>
    <w:p w:rsidR="004A5C8C" w:rsidRDefault="00513D1D"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ITC</w:t>
      </w:r>
      <w:r w:rsidR="008B2F27" w:rsidRPr="008B2F27">
        <w:rPr>
          <w:rFonts w:ascii="Times New Roman" w:eastAsia="Times New Roman" w:hAnsi="Times New Roman" w:cs="Times New Roman"/>
          <w:bCs/>
          <w:color w:val="000000"/>
          <w:sz w:val="24"/>
          <w:szCs w:val="24"/>
        </w:rPr>
        <w:t xml:space="preserve"> buys nearly 50 per cent of all cigarette tobacco types grown in India</w:t>
      </w:r>
      <w:r w:rsidR="00234B62">
        <w:rPr>
          <w:rFonts w:ascii="Times New Roman" w:eastAsia="Times New Roman" w:hAnsi="Times New Roman" w:cs="Times New Roman"/>
          <w:color w:val="000000"/>
          <w:sz w:val="24"/>
          <w:szCs w:val="24"/>
        </w:rPr>
        <w:t xml:space="preserve">. It has a team of </w:t>
      </w:r>
      <w:r w:rsidR="008B2F27" w:rsidRPr="008B2F27">
        <w:rPr>
          <w:rFonts w:ascii="Times New Roman" w:eastAsia="Times New Roman" w:hAnsi="Times New Roman" w:cs="Times New Roman"/>
          <w:color w:val="000000"/>
          <w:sz w:val="24"/>
          <w:szCs w:val="24"/>
        </w:rPr>
        <w:t>experienced, highly skilled and professional buyers and classifiers who source and segregate tobaccos to exacting customer specifications. A large inventory base of quality tobaccos provides an edge in serving customers through product customization, portfolio rationalization, product bundling and value added services. This strategic direction insulates customers from crop fluctuations, a key 'winning proposition' acknowledged worldwide.</w:t>
      </w:r>
    </w:p>
    <w:p w:rsidR="008B2F27" w:rsidRDefault="00513D1D"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ITC</w:t>
      </w:r>
      <w:r w:rsidR="008B2F27" w:rsidRPr="008B2F27">
        <w:rPr>
          <w:rFonts w:ascii="Times New Roman" w:eastAsia="Times New Roman" w:hAnsi="Times New Roman" w:cs="Times New Roman"/>
          <w:color w:val="000000"/>
          <w:sz w:val="24"/>
          <w:szCs w:val="24"/>
        </w:rPr>
        <w:t xml:space="preserve">'s comprehensive and sophisticated R&amp;D facilities cover all aspects of cultivation, product development and processing through fundamental and applied research. Thus, </w:t>
      </w:r>
      <w:r>
        <w:rPr>
          <w:rFonts w:ascii="Times New Roman" w:eastAsia="Times New Roman" w:hAnsi="Times New Roman" w:cs="Times New Roman"/>
          <w:color w:val="000000"/>
          <w:sz w:val="24"/>
          <w:szCs w:val="24"/>
        </w:rPr>
        <w:t>ITC</w:t>
      </w:r>
      <w:r w:rsidR="008B2F27" w:rsidRPr="008B2F27">
        <w:rPr>
          <w:rFonts w:ascii="Times New Roman" w:eastAsia="Times New Roman" w:hAnsi="Times New Roman" w:cs="Times New Roman"/>
          <w:color w:val="000000"/>
          <w:sz w:val="24"/>
          <w:szCs w:val="24"/>
        </w:rPr>
        <w:t xml:space="preserve">'s value proposition to its customers is "On Time </w:t>
      </w:r>
      <w:proofErr w:type="gramStart"/>
      <w:r w:rsidR="008B2F27" w:rsidRPr="008B2F27">
        <w:rPr>
          <w:rFonts w:ascii="Times New Roman" w:eastAsia="Times New Roman" w:hAnsi="Times New Roman" w:cs="Times New Roman"/>
          <w:color w:val="000000"/>
          <w:sz w:val="24"/>
          <w:szCs w:val="24"/>
        </w:rPr>
        <w:t>In</w:t>
      </w:r>
      <w:proofErr w:type="gramEnd"/>
      <w:r w:rsidR="008B2F27" w:rsidRPr="008B2F27">
        <w:rPr>
          <w:rFonts w:ascii="Times New Roman" w:eastAsia="Times New Roman" w:hAnsi="Times New Roman" w:cs="Times New Roman"/>
          <w:color w:val="000000"/>
          <w:sz w:val="24"/>
          <w:szCs w:val="24"/>
        </w:rPr>
        <w:t xml:space="preserve"> Full" delivery of quality tobaccos spanning across all tobacco types at competitive prices.</w:t>
      </w:r>
    </w:p>
    <w:p w:rsidR="007A7C56" w:rsidRDefault="007A7C56" w:rsidP="00234B6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p>
    <w:p w:rsidR="007A7C56" w:rsidRPr="007A7C56" w:rsidRDefault="007A7C56" w:rsidP="00234B62">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sidRPr="007A7C56">
        <w:rPr>
          <w:rFonts w:ascii="Times New Roman" w:eastAsia="Times New Roman" w:hAnsi="Times New Roman" w:cs="Times New Roman"/>
          <w:b/>
          <w:color w:val="000000"/>
          <w:sz w:val="24"/>
          <w:szCs w:val="24"/>
        </w:rPr>
        <w:lastRenderedPageBreak/>
        <w:t>FY2013 AGRI BUSINESS HIGHLIGHTS</w:t>
      </w:r>
    </w:p>
    <w:p w:rsidR="00094890" w:rsidRPr="007A7C56" w:rsidRDefault="007A7C56" w:rsidP="007A7C56">
      <w:pPr>
        <w:autoSpaceDE w:val="0"/>
        <w:autoSpaceDN w:val="0"/>
        <w:adjustRightInd w:val="0"/>
        <w:spacing w:after="0" w:line="360" w:lineRule="auto"/>
        <w:jc w:val="both"/>
        <w:rPr>
          <w:rFonts w:ascii="Times New Roman" w:hAnsi="Times New Roman" w:cs="Times New Roman"/>
          <w:sz w:val="24"/>
          <w:szCs w:val="24"/>
        </w:rPr>
      </w:pPr>
      <w:r w:rsidRPr="007A7C56">
        <w:rPr>
          <w:rFonts w:ascii="Times New Roman" w:hAnsi="Times New Roman" w:cs="Times New Roman"/>
          <w:sz w:val="24"/>
          <w:szCs w:val="24"/>
        </w:rPr>
        <w:t xml:space="preserve">ITC’s </w:t>
      </w:r>
      <w:proofErr w:type="spellStart"/>
      <w:r w:rsidRPr="007A7C56">
        <w:rPr>
          <w:rFonts w:ascii="Times New Roman" w:hAnsi="Times New Roman" w:cs="Times New Roman"/>
          <w:sz w:val="24"/>
          <w:szCs w:val="24"/>
        </w:rPr>
        <w:t>Agri</w:t>
      </w:r>
      <w:proofErr w:type="spellEnd"/>
      <w:r w:rsidRPr="007A7C56">
        <w:rPr>
          <w:rFonts w:ascii="Times New Roman" w:hAnsi="Times New Roman" w:cs="Times New Roman"/>
          <w:sz w:val="24"/>
          <w:szCs w:val="24"/>
        </w:rPr>
        <w:t xml:space="preserve"> business reporte</w:t>
      </w:r>
      <w:r w:rsidR="00B362B2">
        <w:rPr>
          <w:rFonts w:ascii="Times New Roman" w:hAnsi="Times New Roman" w:cs="Times New Roman"/>
          <w:sz w:val="24"/>
          <w:szCs w:val="24"/>
        </w:rPr>
        <w:t xml:space="preserve">d a sales growth of 26% </w:t>
      </w:r>
      <w:proofErr w:type="spellStart"/>
      <w:proofErr w:type="gramStart"/>
      <w:r w:rsidR="00B362B2">
        <w:rPr>
          <w:rFonts w:ascii="Times New Roman" w:hAnsi="Times New Roman" w:cs="Times New Roman"/>
          <w:sz w:val="24"/>
          <w:szCs w:val="24"/>
        </w:rPr>
        <w:t>YoY</w:t>
      </w:r>
      <w:proofErr w:type="spellEnd"/>
      <w:r w:rsidR="00B362B2">
        <w:rPr>
          <w:rFonts w:ascii="Times New Roman" w:hAnsi="Times New Roman" w:cs="Times New Roman"/>
          <w:sz w:val="24"/>
          <w:szCs w:val="24"/>
        </w:rPr>
        <w:t>(</w:t>
      </w:r>
      <w:proofErr w:type="gramEnd"/>
      <w:r w:rsidR="00B362B2">
        <w:rPr>
          <w:rFonts w:ascii="Times New Roman" w:hAnsi="Times New Roman" w:cs="Times New Roman"/>
          <w:sz w:val="24"/>
          <w:szCs w:val="24"/>
        </w:rPr>
        <w:t xml:space="preserve">year on year) to </w:t>
      </w:r>
      <w:r w:rsidRPr="007A7C56">
        <w:rPr>
          <w:rFonts w:ascii="Times New Roman" w:hAnsi="Times New Roman" w:cs="Times New Roman"/>
          <w:sz w:val="24"/>
          <w:szCs w:val="24"/>
        </w:rPr>
        <w:t xml:space="preserve">72.0 </w:t>
      </w:r>
      <w:proofErr w:type="spellStart"/>
      <w:r w:rsidRPr="007A7C56">
        <w:rPr>
          <w:rFonts w:ascii="Times New Roman" w:hAnsi="Times New Roman" w:cs="Times New Roman"/>
          <w:sz w:val="24"/>
          <w:szCs w:val="24"/>
        </w:rPr>
        <w:t>bn</w:t>
      </w:r>
      <w:proofErr w:type="spellEnd"/>
      <w:r w:rsidRPr="007A7C56">
        <w:rPr>
          <w:rFonts w:ascii="Times New Roman" w:hAnsi="Times New Roman" w:cs="Times New Roman"/>
          <w:sz w:val="24"/>
          <w:szCs w:val="24"/>
        </w:rPr>
        <w:t xml:space="preserve"> in FY’13, driven by strong performance of leaf tobacco exports. Currently, </w:t>
      </w:r>
      <w:proofErr w:type="spellStart"/>
      <w:r w:rsidRPr="007A7C56">
        <w:rPr>
          <w:rFonts w:ascii="Times New Roman" w:hAnsi="Times New Roman" w:cs="Times New Roman"/>
          <w:sz w:val="24"/>
          <w:szCs w:val="24"/>
        </w:rPr>
        <w:t>agri</w:t>
      </w:r>
      <w:proofErr w:type="spellEnd"/>
      <w:r w:rsidRPr="007A7C56">
        <w:rPr>
          <w:rFonts w:ascii="Times New Roman" w:hAnsi="Times New Roman" w:cs="Times New Roman"/>
          <w:sz w:val="24"/>
          <w:szCs w:val="24"/>
        </w:rPr>
        <w:t xml:space="preserve"> business which contributes ~20% to the total revenues is the fastest growing business followed by FMCG segment, which contributing ~ 25% to the revenues. The company trades in agriculture product like tobacco leaves, soya, wheat and coffee; where the company enjoys strong competencies in procurement which has been created by long-term association with farmers through its E-</w:t>
      </w:r>
      <w:proofErr w:type="spellStart"/>
      <w:r w:rsidRPr="007A7C56">
        <w:rPr>
          <w:rFonts w:ascii="Times New Roman" w:hAnsi="Times New Roman" w:cs="Times New Roman"/>
          <w:sz w:val="24"/>
          <w:szCs w:val="24"/>
        </w:rPr>
        <w:t>choupal</w:t>
      </w:r>
      <w:proofErr w:type="spellEnd"/>
      <w:r w:rsidRPr="007A7C56">
        <w:rPr>
          <w:rFonts w:ascii="Times New Roman" w:hAnsi="Times New Roman" w:cs="Times New Roman"/>
          <w:sz w:val="24"/>
          <w:szCs w:val="24"/>
        </w:rPr>
        <w:t xml:space="preserve"> program. ITC has recently commissioned a threshing plant in Mysore having an annual capacity of 35 </w:t>
      </w:r>
      <w:proofErr w:type="spellStart"/>
      <w:r w:rsidRPr="007A7C56">
        <w:rPr>
          <w:rFonts w:ascii="Times New Roman" w:hAnsi="Times New Roman" w:cs="Times New Roman"/>
          <w:sz w:val="24"/>
          <w:szCs w:val="24"/>
        </w:rPr>
        <w:t>mn</w:t>
      </w:r>
      <w:proofErr w:type="spellEnd"/>
      <w:r w:rsidRPr="007A7C56">
        <w:rPr>
          <w:rFonts w:ascii="Times New Roman" w:hAnsi="Times New Roman" w:cs="Times New Roman"/>
          <w:sz w:val="24"/>
          <w:szCs w:val="24"/>
        </w:rPr>
        <w:t xml:space="preserve"> </w:t>
      </w:r>
      <w:proofErr w:type="spellStart"/>
      <w:r w:rsidRPr="007A7C56">
        <w:rPr>
          <w:rFonts w:ascii="Times New Roman" w:hAnsi="Times New Roman" w:cs="Times New Roman"/>
          <w:sz w:val="24"/>
          <w:szCs w:val="24"/>
        </w:rPr>
        <w:t>kgs</w:t>
      </w:r>
      <w:proofErr w:type="spellEnd"/>
      <w:r w:rsidRPr="007A7C56">
        <w:rPr>
          <w:rFonts w:ascii="Times New Roman" w:hAnsi="Times New Roman" w:cs="Times New Roman"/>
          <w:sz w:val="24"/>
          <w:szCs w:val="24"/>
        </w:rPr>
        <w:t xml:space="preserve"> green leaf tobacco, which in turn will augur well for the company. </w:t>
      </w:r>
      <w:r w:rsidRPr="007A7C56">
        <w:rPr>
          <w:rFonts w:ascii="Times New Roman" w:hAnsi="Times New Roman" w:cs="Times New Roman"/>
          <w:sz w:val="24"/>
          <w:szCs w:val="24"/>
        </w:rPr>
        <w:cr/>
      </w:r>
      <w:r w:rsidR="00513D1D">
        <w:rPr>
          <w:rFonts w:ascii="Times New Roman" w:eastAsia="Times New Roman" w:hAnsi="Times New Roman" w:cs="Times New Roman"/>
          <w:b/>
          <w:color w:val="000000"/>
          <w:sz w:val="24"/>
          <w:szCs w:val="24"/>
        </w:rPr>
        <w:t>ITC</w:t>
      </w:r>
      <w:r w:rsidR="00094890" w:rsidRPr="00094890">
        <w:rPr>
          <w:rFonts w:ascii="Times New Roman" w:eastAsia="Times New Roman" w:hAnsi="Times New Roman" w:cs="Times New Roman"/>
          <w:b/>
          <w:color w:val="000000"/>
          <w:sz w:val="24"/>
          <w:szCs w:val="24"/>
        </w:rPr>
        <w:t xml:space="preserve"> INFOTECH</w:t>
      </w:r>
    </w:p>
    <w:p w:rsidR="00094890" w:rsidRDefault="00513D1D" w:rsidP="00234B62">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ITC</w:t>
      </w:r>
      <w:r w:rsidR="00094890" w:rsidRPr="00094890">
        <w:rPr>
          <w:rFonts w:ascii="Times New Roman" w:hAnsi="Times New Roman" w:cs="Times New Roman"/>
          <w:sz w:val="24"/>
          <w:szCs w:val="24"/>
          <w:shd w:val="clear" w:color="auto" w:fill="FFFFFF"/>
        </w:rPr>
        <w:t xml:space="preserve"> </w:t>
      </w:r>
      <w:proofErr w:type="spellStart"/>
      <w:r w:rsidR="00094890" w:rsidRPr="00094890">
        <w:rPr>
          <w:rFonts w:ascii="Times New Roman" w:hAnsi="Times New Roman" w:cs="Times New Roman"/>
          <w:sz w:val="24"/>
          <w:szCs w:val="24"/>
          <w:shd w:val="clear" w:color="auto" w:fill="FFFFFF"/>
        </w:rPr>
        <w:t>Infotech</w:t>
      </w:r>
      <w:proofErr w:type="spellEnd"/>
      <w:r w:rsidR="00094890" w:rsidRPr="00094890">
        <w:rPr>
          <w:rFonts w:ascii="Times New Roman" w:hAnsi="Times New Roman" w:cs="Times New Roman"/>
          <w:sz w:val="24"/>
          <w:szCs w:val="24"/>
          <w:shd w:val="clear" w:color="auto" w:fill="FFFFFF"/>
        </w:rPr>
        <w:t xml:space="preserve"> is a fully owned subsidiary of </w:t>
      </w:r>
      <w:r>
        <w:rPr>
          <w:rFonts w:ascii="Times New Roman" w:hAnsi="Times New Roman" w:cs="Times New Roman"/>
          <w:sz w:val="24"/>
          <w:szCs w:val="24"/>
          <w:shd w:val="clear" w:color="auto" w:fill="FFFFFF"/>
        </w:rPr>
        <w:t>ITC</w:t>
      </w:r>
      <w:r w:rsidR="00094890" w:rsidRPr="00094890">
        <w:rPr>
          <w:rFonts w:ascii="Times New Roman" w:hAnsi="Times New Roman" w:cs="Times New Roman"/>
          <w:sz w:val="24"/>
          <w:szCs w:val="24"/>
          <w:shd w:val="clear" w:color="auto" w:fill="FFFFFF"/>
        </w:rPr>
        <w:t xml:space="preserve"> Ltd. Formed in </w:t>
      </w:r>
      <w:proofErr w:type="gramStart"/>
      <w:r w:rsidR="00094890" w:rsidRPr="00094890">
        <w:rPr>
          <w:rFonts w:ascii="Times New Roman" w:hAnsi="Times New Roman" w:cs="Times New Roman"/>
          <w:sz w:val="24"/>
          <w:szCs w:val="24"/>
          <w:shd w:val="clear" w:color="auto" w:fill="FFFFFF"/>
        </w:rPr>
        <w:t>2000,</w:t>
      </w:r>
      <w:proofErr w:type="gramEnd"/>
      <w:r w:rsidR="00094890" w:rsidRPr="0009489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ITC</w:t>
      </w:r>
      <w:r w:rsidR="00094890" w:rsidRPr="00094890">
        <w:rPr>
          <w:rFonts w:ascii="Times New Roman" w:hAnsi="Times New Roman" w:cs="Times New Roman"/>
          <w:sz w:val="24"/>
          <w:szCs w:val="24"/>
          <w:shd w:val="clear" w:color="auto" w:fill="FFFFFF"/>
        </w:rPr>
        <w:t xml:space="preserve"> </w:t>
      </w:r>
      <w:proofErr w:type="spellStart"/>
      <w:r w:rsidR="00094890" w:rsidRPr="00094890">
        <w:rPr>
          <w:rFonts w:ascii="Times New Roman" w:hAnsi="Times New Roman" w:cs="Times New Roman"/>
          <w:sz w:val="24"/>
          <w:szCs w:val="24"/>
          <w:shd w:val="clear" w:color="auto" w:fill="FFFFFF"/>
        </w:rPr>
        <w:t>Infotech</w:t>
      </w:r>
      <w:proofErr w:type="spellEnd"/>
      <w:r w:rsidR="00094890" w:rsidRPr="00094890">
        <w:rPr>
          <w:rFonts w:ascii="Times New Roman" w:hAnsi="Times New Roman" w:cs="Times New Roman"/>
          <w:sz w:val="24"/>
          <w:szCs w:val="24"/>
          <w:shd w:val="clear" w:color="auto" w:fill="FFFFFF"/>
        </w:rPr>
        <w:t xml:space="preserve"> has today carved a niche for itself in the arena of global IT services and solutions. The company has established technology Centers of Excellence (</w:t>
      </w:r>
      <w:proofErr w:type="spellStart"/>
      <w:r w:rsidR="00094890" w:rsidRPr="00094890">
        <w:rPr>
          <w:rFonts w:ascii="Times New Roman" w:hAnsi="Times New Roman" w:cs="Times New Roman"/>
          <w:sz w:val="24"/>
          <w:szCs w:val="24"/>
          <w:shd w:val="clear" w:color="auto" w:fill="FFFFFF"/>
        </w:rPr>
        <w:t>CoE</w:t>
      </w:r>
      <w:proofErr w:type="spellEnd"/>
      <w:r w:rsidR="00094890" w:rsidRPr="00094890">
        <w:rPr>
          <w:rFonts w:ascii="Times New Roman" w:hAnsi="Times New Roman" w:cs="Times New Roman"/>
          <w:sz w:val="24"/>
          <w:szCs w:val="24"/>
          <w:shd w:val="clear" w:color="auto" w:fill="FFFFFF"/>
        </w:rPr>
        <w:t>) to deepen capabilities and incubate cutting-edge technical competencies. A robust outsourcing model, comprehensive suite of differentiated solutions &amp; services and focus on excellence in execution has provided the company a leadership position in chosen domains.</w:t>
      </w:r>
    </w:p>
    <w:p w:rsidR="004E1B0F" w:rsidRDefault="004E1B0F" w:rsidP="004E1B0F">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7548C133" wp14:editId="0328A663">
            <wp:extent cx="2428875" cy="2019300"/>
            <wp:effectExtent l="0" t="0" r="9525" b="0"/>
            <wp:docPr id="35" name="Picture 35" descr="C:\Users\HRP\Desktop\10866118-itc-info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RP\Desktop\10866118-itc-infote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875" cy="2019300"/>
                    </a:xfrm>
                    <a:prstGeom prst="rect">
                      <a:avLst/>
                    </a:prstGeom>
                    <a:noFill/>
                    <a:ln>
                      <a:noFill/>
                    </a:ln>
                  </pic:spPr>
                </pic:pic>
              </a:graphicData>
            </a:graphic>
          </wp:inline>
        </w:drawing>
      </w:r>
    </w:p>
    <w:p w:rsidR="00094890" w:rsidRPr="004E1B0F" w:rsidRDefault="00094890" w:rsidP="00B362B2">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094890">
        <w:rPr>
          <w:rFonts w:ascii="Times New Roman" w:eastAsia="Times New Roman" w:hAnsi="Times New Roman" w:cs="Times New Roman"/>
          <w:sz w:val="24"/>
          <w:szCs w:val="24"/>
        </w:rPr>
        <w:t xml:space="preserve">With over 5600 employees, </w:t>
      </w:r>
      <w:r w:rsidR="00513D1D">
        <w:rPr>
          <w:rFonts w:ascii="Times New Roman" w:eastAsia="Times New Roman" w:hAnsi="Times New Roman" w:cs="Times New Roman"/>
          <w:sz w:val="24"/>
          <w:szCs w:val="24"/>
        </w:rPr>
        <w:t>ITC</w:t>
      </w:r>
      <w:r w:rsidRPr="00094890">
        <w:rPr>
          <w:rFonts w:ascii="Times New Roman" w:eastAsia="Times New Roman" w:hAnsi="Times New Roman" w:cs="Times New Roman"/>
          <w:sz w:val="24"/>
          <w:szCs w:val="24"/>
        </w:rPr>
        <w:t xml:space="preserve"> </w:t>
      </w:r>
      <w:proofErr w:type="spellStart"/>
      <w:r w:rsidRPr="00094890">
        <w:rPr>
          <w:rFonts w:ascii="Times New Roman" w:eastAsia="Times New Roman" w:hAnsi="Times New Roman" w:cs="Times New Roman"/>
          <w:sz w:val="24"/>
          <w:szCs w:val="24"/>
        </w:rPr>
        <w:t>Infotech</w:t>
      </w:r>
      <w:proofErr w:type="spellEnd"/>
      <w:r w:rsidRPr="00094890">
        <w:rPr>
          <w:rFonts w:ascii="Times New Roman" w:eastAsia="Times New Roman" w:hAnsi="Times New Roman" w:cs="Times New Roman"/>
          <w:sz w:val="24"/>
          <w:szCs w:val="24"/>
        </w:rPr>
        <w:t xml:space="preserve"> conforms to the highest standards in process quality, with ISO 27001, ISO 9001 and </w:t>
      </w:r>
      <w:proofErr w:type="spellStart"/>
      <w:r w:rsidRPr="00094890">
        <w:rPr>
          <w:rFonts w:ascii="Times New Roman" w:eastAsia="Times New Roman" w:hAnsi="Times New Roman" w:cs="Times New Roman"/>
          <w:sz w:val="24"/>
          <w:szCs w:val="24"/>
        </w:rPr>
        <w:t>CMMi</w:t>
      </w:r>
      <w:proofErr w:type="spellEnd"/>
      <w:r w:rsidRPr="00094890">
        <w:rPr>
          <w:rFonts w:ascii="Times New Roman" w:eastAsia="Times New Roman" w:hAnsi="Times New Roman" w:cs="Times New Roman"/>
          <w:sz w:val="24"/>
          <w:szCs w:val="24"/>
        </w:rPr>
        <w:t xml:space="preserve"> Level 3 accreditations. </w:t>
      </w:r>
      <w:r w:rsidRPr="00094890">
        <w:rPr>
          <w:rFonts w:ascii="Times New Roman" w:eastAsia="Times New Roman" w:hAnsi="Times New Roman" w:cs="Times New Roman"/>
          <w:noProof/>
          <w:sz w:val="24"/>
          <w:szCs w:val="24"/>
        </w:rPr>
        <mc:AlternateContent>
          <mc:Choice Requires="wps">
            <w:drawing>
              <wp:anchor distT="0" distB="0" distL="0" distR="0" simplePos="0" relativeHeight="251658240" behindDoc="0" locked="0" layoutInCell="1" allowOverlap="0" wp14:anchorId="5EFBBD9B" wp14:editId="7AA5D93E">
                <wp:simplePos x="0" y="0"/>
                <wp:positionH relativeFrom="column">
                  <wp:align>right</wp:align>
                </wp:positionH>
                <wp:positionV relativeFrom="line">
                  <wp:posOffset>0</wp:posOffset>
                </wp:positionV>
                <wp:extent cx="304800" cy="304800"/>
                <wp:effectExtent l="0" t="0" r="0" b="0"/>
                <wp:wrapSquare wrapText="bothSides"/>
                <wp:docPr id="3" name="Rectangle 3" descr="http://www.itcportal.com/businesses/images/img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http://www.itcportal.com/businesses/images/img2.jpg" style="position:absolute;margin-left:-27.2pt;margin-top:0;width:24pt;height:24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4/c6g3AIAAPMFAAAOAAAAAAAAAAAAAAAAAC4CAABkcnMv&#10;ZTJvRG9jLnhtbFBLAQItABQABgAIAAAAIQBMoOks2AAAAAMBAAAPAAAAAAAAAAAAAAAAADYFAABk&#10;cnMvZG93bnJldi54bWxQSwUGAAAAAAQABADzAAAAOwYAAAAA&#10;" o:allowoverlap="f" filled="f" stroked="f">
                <o:lock v:ext="edit" aspectratio="t"/>
                <w10:wrap type="square" anchory="line"/>
              </v:rect>
            </w:pict>
          </mc:Fallback>
        </mc:AlternateContent>
      </w:r>
      <w:r w:rsidR="00513D1D">
        <w:rPr>
          <w:rFonts w:ascii="Times New Roman" w:eastAsia="Times New Roman" w:hAnsi="Times New Roman" w:cs="Times New Roman"/>
          <w:sz w:val="24"/>
          <w:szCs w:val="24"/>
        </w:rPr>
        <w:t>ITC</w:t>
      </w:r>
      <w:r w:rsidRPr="00094890">
        <w:rPr>
          <w:rFonts w:ascii="Times New Roman" w:eastAsia="Times New Roman" w:hAnsi="Times New Roman" w:cs="Times New Roman"/>
          <w:sz w:val="24"/>
          <w:szCs w:val="24"/>
        </w:rPr>
        <w:t xml:space="preserve"> </w:t>
      </w:r>
      <w:proofErr w:type="spellStart"/>
      <w:r w:rsidRPr="00094890">
        <w:rPr>
          <w:rFonts w:ascii="Times New Roman" w:eastAsia="Times New Roman" w:hAnsi="Times New Roman" w:cs="Times New Roman"/>
          <w:sz w:val="24"/>
          <w:szCs w:val="24"/>
        </w:rPr>
        <w:t>Infotech’s</w:t>
      </w:r>
      <w:proofErr w:type="spellEnd"/>
      <w:r w:rsidRPr="00094890">
        <w:rPr>
          <w:rFonts w:ascii="Times New Roman" w:eastAsia="Times New Roman" w:hAnsi="Times New Roman" w:cs="Times New Roman"/>
          <w:sz w:val="24"/>
          <w:szCs w:val="24"/>
        </w:rPr>
        <w:t xml:space="preserve"> customer centric go-to-market approach is organized by industry verticals: </w:t>
      </w:r>
    </w:p>
    <w:p w:rsidR="00094890" w:rsidRPr="00094890" w:rsidRDefault="00094890" w:rsidP="00B362B2">
      <w:pPr>
        <w:pStyle w:val="ListParagraph"/>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94890">
        <w:rPr>
          <w:rFonts w:ascii="Times New Roman" w:eastAsia="Times New Roman" w:hAnsi="Times New Roman" w:cs="Times New Roman"/>
          <w:sz w:val="24"/>
          <w:szCs w:val="24"/>
        </w:rPr>
        <w:t xml:space="preserve">Banking Financial Services &amp; Insurance (BFSI), </w:t>
      </w:r>
    </w:p>
    <w:p w:rsidR="00094890" w:rsidRPr="00094890" w:rsidRDefault="00094890" w:rsidP="00094890">
      <w:pPr>
        <w:pStyle w:val="ListParagraph"/>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94890">
        <w:rPr>
          <w:rFonts w:ascii="Times New Roman" w:eastAsia="Times New Roman" w:hAnsi="Times New Roman" w:cs="Times New Roman"/>
          <w:sz w:val="24"/>
          <w:szCs w:val="24"/>
        </w:rPr>
        <w:lastRenderedPageBreak/>
        <w:t xml:space="preserve">Consumer Packaged Goods, </w:t>
      </w:r>
    </w:p>
    <w:p w:rsidR="00094890" w:rsidRPr="00094890" w:rsidRDefault="00094890" w:rsidP="00094890">
      <w:pPr>
        <w:pStyle w:val="ListParagraph"/>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94890">
        <w:rPr>
          <w:rFonts w:ascii="Times New Roman" w:eastAsia="Times New Roman" w:hAnsi="Times New Roman" w:cs="Times New Roman"/>
          <w:sz w:val="24"/>
          <w:szCs w:val="24"/>
        </w:rPr>
        <w:t xml:space="preserve">Retail, Manufacturing, </w:t>
      </w:r>
    </w:p>
    <w:p w:rsidR="00094890" w:rsidRPr="00094890" w:rsidRDefault="00094890" w:rsidP="00094890">
      <w:pPr>
        <w:pStyle w:val="ListParagraph"/>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94890">
        <w:rPr>
          <w:rFonts w:ascii="Times New Roman" w:eastAsia="Times New Roman" w:hAnsi="Times New Roman" w:cs="Times New Roman"/>
          <w:sz w:val="24"/>
          <w:szCs w:val="24"/>
        </w:rPr>
        <w:t>Media &amp; Entertainment, Travel, Hospitality, Life Sciences and Transportation &amp; Logistics.</w:t>
      </w:r>
    </w:p>
    <w:p w:rsidR="00094890" w:rsidRPr="00094890" w:rsidRDefault="00094890" w:rsidP="004E1B0F">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94890">
        <w:rPr>
          <w:rFonts w:ascii="Times New Roman" w:eastAsia="Times New Roman" w:hAnsi="Times New Roman" w:cs="Times New Roman"/>
          <w:sz w:val="24"/>
          <w:szCs w:val="24"/>
        </w:rPr>
        <w:t xml:space="preserve">The company enjoys the rare advantage of having a practitioner's expertise in some of these industry verticals, which has in part been bequeathed by parent </w:t>
      </w:r>
      <w:r w:rsidR="00513D1D">
        <w:rPr>
          <w:rFonts w:ascii="Times New Roman" w:eastAsia="Times New Roman" w:hAnsi="Times New Roman" w:cs="Times New Roman"/>
          <w:sz w:val="24"/>
          <w:szCs w:val="24"/>
        </w:rPr>
        <w:t>ITC</w:t>
      </w:r>
      <w:r w:rsidRPr="00094890">
        <w:rPr>
          <w:rFonts w:ascii="Times New Roman" w:eastAsia="Times New Roman" w:hAnsi="Times New Roman" w:cs="Times New Roman"/>
          <w:sz w:val="24"/>
          <w:szCs w:val="24"/>
        </w:rPr>
        <w:t xml:space="preserve"> Limited, which runs market leading businesses in these verticals. While an enterprise range of technology capabilities and world class quality processes form the foundation of </w:t>
      </w:r>
      <w:r w:rsidR="00513D1D">
        <w:rPr>
          <w:rFonts w:ascii="Times New Roman" w:eastAsia="Times New Roman" w:hAnsi="Times New Roman" w:cs="Times New Roman"/>
          <w:sz w:val="24"/>
          <w:szCs w:val="24"/>
        </w:rPr>
        <w:t>ITC</w:t>
      </w:r>
      <w:r w:rsidRPr="00094890">
        <w:rPr>
          <w:rFonts w:ascii="Times New Roman" w:eastAsia="Times New Roman" w:hAnsi="Times New Roman" w:cs="Times New Roman"/>
          <w:sz w:val="24"/>
          <w:szCs w:val="24"/>
        </w:rPr>
        <w:t xml:space="preserve"> </w:t>
      </w:r>
      <w:proofErr w:type="spellStart"/>
      <w:r w:rsidRPr="00094890">
        <w:rPr>
          <w:rFonts w:ascii="Times New Roman" w:eastAsia="Times New Roman" w:hAnsi="Times New Roman" w:cs="Times New Roman"/>
          <w:sz w:val="24"/>
          <w:szCs w:val="24"/>
        </w:rPr>
        <w:t>Infotech's</w:t>
      </w:r>
      <w:proofErr w:type="spellEnd"/>
      <w:r w:rsidRPr="00094890">
        <w:rPr>
          <w:rFonts w:ascii="Times New Roman" w:eastAsia="Times New Roman" w:hAnsi="Times New Roman" w:cs="Times New Roman"/>
          <w:sz w:val="24"/>
          <w:szCs w:val="24"/>
        </w:rPr>
        <w:t xml:space="preserve"> cutting-edge IT service strength ensures that IT services delivery always places business needs ahead of technology.</w:t>
      </w:r>
    </w:p>
    <w:p w:rsidR="00094890" w:rsidRPr="00094890" w:rsidRDefault="00094890" w:rsidP="00094890">
      <w:pPr>
        <w:pStyle w:val="Heading3"/>
        <w:shd w:val="clear" w:color="auto" w:fill="FFFFFF"/>
        <w:spacing w:before="0" w:line="300" w:lineRule="atLeast"/>
        <w:jc w:val="both"/>
        <w:rPr>
          <w:rFonts w:ascii="Times New Roman" w:hAnsi="Times New Roman" w:cs="Times New Roman"/>
          <w:bCs w:val="0"/>
          <w:color w:val="auto"/>
          <w:sz w:val="24"/>
          <w:szCs w:val="24"/>
        </w:rPr>
      </w:pPr>
      <w:r w:rsidRPr="00094890">
        <w:rPr>
          <w:rFonts w:ascii="Times New Roman" w:hAnsi="Times New Roman" w:cs="Times New Roman"/>
          <w:bCs w:val="0"/>
          <w:color w:val="auto"/>
          <w:sz w:val="24"/>
          <w:szCs w:val="24"/>
        </w:rPr>
        <w:t xml:space="preserve">World’s leading companies trust </w:t>
      </w:r>
      <w:r w:rsidR="00513D1D">
        <w:rPr>
          <w:rFonts w:ascii="Times New Roman" w:hAnsi="Times New Roman" w:cs="Times New Roman"/>
          <w:bCs w:val="0"/>
          <w:color w:val="auto"/>
          <w:sz w:val="24"/>
          <w:szCs w:val="24"/>
        </w:rPr>
        <w:t>ITC</w:t>
      </w:r>
      <w:r w:rsidRPr="00094890">
        <w:rPr>
          <w:rFonts w:ascii="Times New Roman" w:hAnsi="Times New Roman" w:cs="Times New Roman"/>
          <w:bCs w:val="0"/>
          <w:color w:val="auto"/>
          <w:sz w:val="24"/>
          <w:szCs w:val="24"/>
        </w:rPr>
        <w:t xml:space="preserve"> </w:t>
      </w:r>
      <w:proofErr w:type="spellStart"/>
      <w:r w:rsidRPr="00094890">
        <w:rPr>
          <w:rFonts w:ascii="Times New Roman" w:hAnsi="Times New Roman" w:cs="Times New Roman"/>
          <w:bCs w:val="0"/>
          <w:color w:val="auto"/>
          <w:sz w:val="24"/>
          <w:szCs w:val="24"/>
        </w:rPr>
        <w:t>Infotech</w:t>
      </w:r>
      <w:proofErr w:type="spellEnd"/>
    </w:p>
    <w:p w:rsidR="00094890" w:rsidRPr="00094890" w:rsidRDefault="00094890" w:rsidP="004A5C8C">
      <w:pPr>
        <w:pStyle w:val="NormalWeb"/>
        <w:numPr>
          <w:ilvl w:val="0"/>
          <w:numId w:val="21"/>
        </w:numPr>
        <w:shd w:val="clear" w:color="auto" w:fill="FFFFFF"/>
        <w:spacing w:line="360" w:lineRule="auto"/>
        <w:jc w:val="both"/>
      </w:pPr>
      <w:r w:rsidRPr="00094890">
        <w:rPr>
          <w:rStyle w:val="Strong"/>
          <w:b w:val="0"/>
        </w:rPr>
        <w:t>Services for the Banking, Financial Services &amp; Insurance industry</w:t>
      </w:r>
    </w:p>
    <w:p w:rsidR="00094890" w:rsidRPr="00094890" w:rsidRDefault="00513D1D" w:rsidP="004A5C8C">
      <w:pPr>
        <w:pStyle w:val="NormalWeb"/>
        <w:numPr>
          <w:ilvl w:val="0"/>
          <w:numId w:val="21"/>
        </w:numPr>
        <w:shd w:val="clear" w:color="auto" w:fill="FFFFFF"/>
        <w:spacing w:line="360" w:lineRule="auto"/>
        <w:jc w:val="both"/>
      </w:pPr>
      <w:r>
        <w:t>ITC</w:t>
      </w:r>
      <w:r w:rsidR="00094890" w:rsidRPr="00094890">
        <w:t xml:space="preserve"> </w:t>
      </w:r>
      <w:proofErr w:type="spellStart"/>
      <w:r w:rsidR="00094890" w:rsidRPr="00094890">
        <w:t>Infotech</w:t>
      </w:r>
      <w:proofErr w:type="spellEnd"/>
      <w:r w:rsidR="00094890" w:rsidRPr="00094890">
        <w:t xml:space="preserve"> is working with a bevy of Fortune listed global customers. Today, </w:t>
      </w:r>
      <w:r>
        <w:t>ITC</w:t>
      </w:r>
      <w:r w:rsidR="00094890" w:rsidRPr="00094890">
        <w:t xml:space="preserve"> </w:t>
      </w:r>
      <w:proofErr w:type="spellStart"/>
      <w:r w:rsidR="00094890" w:rsidRPr="00094890">
        <w:t>Infotech</w:t>
      </w:r>
      <w:proofErr w:type="spellEnd"/>
      <w:r w:rsidR="00094890" w:rsidRPr="00094890">
        <w:t xml:space="preserve"> has a customer base of over 200 globally; 9 out of the top 10 customers have been with </w:t>
      </w:r>
      <w:r>
        <w:t>ITC</w:t>
      </w:r>
      <w:r w:rsidR="00094890" w:rsidRPr="00094890">
        <w:t xml:space="preserve"> </w:t>
      </w:r>
      <w:proofErr w:type="spellStart"/>
      <w:r w:rsidR="00094890" w:rsidRPr="00094890">
        <w:t>Infotech</w:t>
      </w:r>
      <w:proofErr w:type="spellEnd"/>
      <w:r w:rsidR="00094890" w:rsidRPr="00094890">
        <w:t xml:space="preserve"> for over 5 years.</w:t>
      </w:r>
    </w:p>
    <w:p w:rsidR="00094890" w:rsidRPr="00094890" w:rsidRDefault="00094890" w:rsidP="004A5C8C">
      <w:pPr>
        <w:pStyle w:val="NormalWeb"/>
        <w:numPr>
          <w:ilvl w:val="0"/>
          <w:numId w:val="21"/>
        </w:numPr>
        <w:shd w:val="clear" w:color="auto" w:fill="FFFFFF"/>
        <w:spacing w:line="360" w:lineRule="auto"/>
        <w:jc w:val="both"/>
      </w:pPr>
      <w:r w:rsidRPr="00094890">
        <w:t xml:space="preserve">The company has established 7 development centers globally, with offices in 18 countries and client engagements in 35+ countries. </w:t>
      </w:r>
      <w:r w:rsidR="00513D1D">
        <w:t>ITC</w:t>
      </w:r>
      <w:r w:rsidRPr="00094890">
        <w:t xml:space="preserve"> </w:t>
      </w:r>
      <w:proofErr w:type="spellStart"/>
      <w:r w:rsidRPr="00094890">
        <w:t>Infotech's</w:t>
      </w:r>
      <w:proofErr w:type="spellEnd"/>
      <w:r w:rsidRPr="00094890">
        <w:t xml:space="preserve"> service delivery footprint spans five continents and is spread across 140 countries.</w:t>
      </w:r>
    </w:p>
    <w:p w:rsidR="009026CF" w:rsidRPr="009E2D9D" w:rsidRDefault="009026CF" w:rsidP="009026CF">
      <w:pPr>
        <w:jc w:val="center"/>
        <w:rPr>
          <w:rFonts w:ascii="Times New Roman" w:hAnsi="Times New Roman" w:cs="Times New Roman"/>
          <w:b/>
          <w:bCs/>
          <w:sz w:val="24"/>
          <w:szCs w:val="24"/>
        </w:rPr>
      </w:pPr>
    </w:p>
    <w:p w:rsidR="009026CF" w:rsidRPr="009E2D9D" w:rsidRDefault="009026CF" w:rsidP="009026CF">
      <w:pPr>
        <w:jc w:val="center"/>
        <w:rPr>
          <w:rFonts w:ascii="Times New Roman" w:hAnsi="Times New Roman" w:cs="Times New Roman"/>
          <w:b/>
          <w:bCs/>
          <w:sz w:val="24"/>
          <w:szCs w:val="24"/>
        </w:rPr>
      </w:pPr>
    </w:p>
    <w:p w:rsidR="009026CF" w:rsidRPr="009E2D9D" w:rsidRDefault="009026CF" w:rsidP="009026CF">
      <w:pPr>
        <w:jc w:val="center"/>
        <w:rPr>
          <w:rFonts w:ascii="Times New Roman" w:hAnsi="Times New Roman" w:cs="Times New Roman"/>
          <w:b/>
          <w:bCs/>
          <w:sz w:val="24"/>
          <w:szCs w:val="24"/>
        </w:rPr>
      </w:pPr>
    </w:p>
    <w:p w:rsidR="009026CF" w:rsidRPr="009E2D9D" w:rsidRDefault="009026CF" w:rsidP="009026CF">
      <w:pPr>
        <w:jc w:val="center"/>
        <w:rPr>
          <w:rFonts w:ascii="Times New Roman" w:hAnsi="Times New Roman" w:cs="Times New Roman"/>
          <w:b/>
          <w:bCs/>
          <w:sz w:val="24"/>
          <w:szCs w:val="24"/>
        </w:rPr>
      </w:pPr>
    </w:p>
    <w:p w:rsidR="0039018F" w:rsidRDefault="0039018F" w:rsidP="0039018F">
      <w:pPr>
        <w:rPr>
          <w:rFonts w:ascii="Times New Roman" w:hAnsi="Times New Roman" w:cs="Times New Roman"/>
          <w:b/>
          <w:bCs/>
          <w:sz w:val="24"/>
          <w:szCs w:val="24"/>
        </w:rPr>
      </w:pPr>
    </w:p>
    <w:p w:rsidR="004E1B0F" w:rsidRDefault="004E1B0F" w:rsidP="0039018F">
      <w:pPr>
        <w:jc w:val="center"/>
        <w:rPr>
          <w:rFonts w:ascii="Times New Roman" w:hAnsi="Times New Roman" w:cs="Times New Roman"/>
          <w:b/>
          <w:bCs/>
          <w:sz w:val="28"/>
          <w:szCs w:val="24"/>
        </w:rPr>
      </w:pPr>
    </w:p>
    <w:p w:rsidR="004E1B0F" w:rsidRDefault="004E1B0F" w:rsidP="0039018F">
      <w:pPr>
        <w:jc w:val="center"/>
        <w:rPr>
          <w:rFonts w:ascii="Times New Roman" w:hAnsi="Times New Roman" w:cs="Times New Roman"/>
          <w:b/>
          <w:bCs/>
          <w:sz w:val="28"/>
          <w:szCs w:val="24"/>
        </w:rPr>
      </w:pPr>
    </w:p>
    <w:p w:rsidR="004E1B0F" w:rsidRDefault="004E1B0F" w:rsidP="0039018F">
      <w:pPr>
        <w:jc w:val="center"/>
        <w:rPr>
          <w:rFonts w:ascii="Times New Roman" w:hAnsi="Times New Roman" w:cs="Times New Roman"/>
          <w:b/>
          <w:bCs/>
          <w:sz w:val="28"/>
          <w:szCs w:val="24"/>
        </w:rPr>
      </w:pPr>
    </w:p>
    <w:p w:rsidR="004E1B0F" w:rsidRDefault="004E1B0F" w:rsidP="0039018F">
      <w:pPr>
        <w:jc w:val="center"/>
        <w:rPr>
          <w:rFonts w:ascii="Times New Roman" w:hAnsi="Times New Roman" w:cs="Times New Roman"/>
          <w:b/>
          <w:bCs/>
          <w:sz w:val="28"/>
          <w:szCs w:val="24"/>
        </w:rPr>
      </w:pPr>
    </w:p>
    <w:p w:rsidR="009026CF" w:rsidRDefault="005740B1" w:rsidP="007A7C56">
      <w:pPr>
        <w:jc w:val="center"/>
        <w:rPr>
          <w:rFonts w:ascii="Times New Roman" w:hAnsi="Times New Roman" w:cs="Times New Roman"/>
          <w:b/>
          <w:bCs/>
          <w:sz w:val="28"/>
          <w:szCs w:val="24"/>
        </w:rPr>
      </w:pPr>
      <w:r w:rsidRPr="000635EF">
        <w:rPr>
          <w:rFonts w:ascii="Times New Roman" w:hAnsi="Times New Roman" w:cs="Times New Roman"/>
          <w:b/>
          <w:bCs/>
          <w:sz w:val="28"/>
          <w:szCs w:val="24"/>
        </w:rPr>
        <w:lastRenderedPageBreak/>
        <w:t>FINANCIAL STATEMENT ANALYSIS</w:t>
      </w:r>
    </w:p>
    <w:p w:rsidR="009026CF" w:rsidRPr="000635EF" w:rsidRDefault="009026CF" w:rsidP="009026CF">
      <w:pPr>
        <w:jc w:val="center"/>
        <w:rPr>
          <w:rFonts w:ascii="Times New Roman" w:hAnsi="Times New Roman" w:cs="Times New Roman"/>
          <w:b/>
          <w:bCs/>
        </w:rPr>
      </w:pPr>
    </w:p>
    <w:p w:rsidR="001C27B8" w:rsidRPr="001C27B8" w:rsidRDefault="001C27B8" w:rsidP="001C27B8">
      <w:pPr>
        <w:spacing w:after="0" w:line="240" w:lineRule="auto"/>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 xml:space="preserve">INTRODUCTION </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term financial analysis also known as analysis and interpretation of financial statements refers to the process of determining financial strength and weakness of the firm by establishing strategic relationship between the items of the balance sheet, profit and loss account and other operative data.</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purpose of financial analysis is to diagnose the information contained in financial statement so as judge the profitability and financial soundness of firm the analysis and interpretation of financial statements is essential to bring out the mystery behind the figures in financial statements. Financial statements analysis is an attempt to determine the significance meaning of the financial statement data so earnings, ability to pay interest and debt maturities and profitability of a sound dividend policy.  </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term financial statement analysis includes both analysis and interpretation. A distinction should, therefore, be made between two terms analysis is used to mean the simplification of financial data by methodical classification of the data given in the financial statements. Interpretation means exploring the meaning and significance of the data so simplified.</w:t>
      </w:r>
    </w:p>
    <w:p w:rsidR="001C27B8" w:rsidRPr="001C27B8" w:rsidRDefault="001C27B8" w:rsidP="001C27B8">
      <w:pPr>
        <w:spacing w:after="0" w:line="240" w:lineRule="auto"/>
        <w:rPr>
          <w:rFonts w:ascii="Times New Roman" w:eastAsia="Times New Roman" w:hAnsi="Times New Roman" w:cs="Times New Roman"/>
          <w:sz w:val="32"/>
          <w:szCs w:val="32"/>
        </w:rPr>
      </w:pPr>
    </w:p>
    <w:p w:rsidR="001C27B8" w:rsidRPr="001C27B8" w:rsidRDefault="001C27B8" w:rsidP="001C27B8">
      <w:pPr>
        <w:spacing w:after="0" w:line="360" w:lineRule="auto"/>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MEANING AND SCOPE OF FINANCIAL MANAGEMENT:</w:t>
      </w:r>
    </w:p>
    <w:p w:rsidR="001C27B8" w:rsidRPr="001C27B8" w:rsidRDefault="001C27B8" w:rsidP="001C27B8">
      <w:pPr>
        <w:spacing w:after="0" w:line="360" w:lineRule="auto"/>
        <w:jc w:val="both"/>
        <w:rPr>
          <w:rFonts w:ascii="Times New Roman" w:eastAsia="Times New Roman" w:hAnsi="Times New Roman" w:cs="Times New Roman"/>
          <w:b/>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Financial is considered as the life-blood of any business. It is defined as the provision of money at the time it is needed. All the plans of businessman would remain mere dreams unless adequate money is available to convert them into reality.</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Finance management is very important to every type of organization. It refers to that part of managerial activity concerned with the procurement and utilization of funds for business purposes. The financial manager is also responsible for affective utilization of funds. He is to </w:t>
      </w:r>
      <w:r w:rsidRPr="001C27B8">
        <w:rPr>
          <w:rFonts w:ascii="Times New Roman" w:eastAsia="Times New Roman" w:hAnsi="Times New Roman" w:cs="Times New Roman"/>
          <w:sz w:val="24"/>
          <w:szCs w:val="24"/>
        </w:rPr>
        <w:lastRenderedPageBreak/>
        <w:t>point out situations where the funds are being kept idle or where a proper use of funds is not being made. This is also as an important consideration in dividend decision. Hence, it is crucial to employ the funds properly and profitably.</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funds have to invest that the company can produce at its optimum level without endangering its financial solvency. Thus financial implications of each asset are to be properly analyzed. For this, the financial manager must have a detailed knowledge of techniques of capital budgeting and qualifying uncertainty.</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He must also keep in view the needs of working capital and ensure that while true forms enjoy an optimum level of working capital they do not keep </w:t>
      </w:r>
      <w:proofErr w:type="spellStart"/>
      <w:r w:rsidRPr="001C27B8">
        <w:rPr>
          <w:rFonts w:ascii="Times New Roman" w:eastAsia="Times New Roman" w:hAnsi="Times New Roman" w:cs="Times New Roman"/>
          <w:sz w:val="24"/>
          <w:szCs w:val="24"/>
        </w:rPr>
        <w:t>to</w:t>
      </w:r>
      <w:proofErr w:type="spellEnd"/>
      <w:r w:rsidRPr="001C27B8">
        <w:rPr>
          <w:rFonts w:ascii="Times New Roman" w:eastAsia="Times New Roman" w:hAnsi="Times New Roman" w:cs="Times New Roman"/>
          <w:sz w:val="24"/>
          <w:szCs w:val="24"/>
        </w:rPr>
        <w:t xml:space="preserve"> much Funds blocked inventories, book debts and cash etc.</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twin aspects of procurement and effective utilization of funds therefore, are the crucial tasks which the financier manager performs.</w:t>
      </w:r>
    </w:p>
    <w:p w:rsidR="001C27B8" w:rsidRPr="001C27B8" w:rsidRDefault="001C27B8" w:rsidP="001C27B8">
      <w:pPr>
        <w:spacing w:after="0" w:line="240" w:lineRule="auto"/>
        <w:rPr>
          <w:rFonts w:ascii="Times New Roman" w:eastAsia="Times New Roman" w:hAnsi="Times New Roman" w:cs="Times New Roman"/>
          <w:sz w:val="32"/>
          <w:szCs w:val="36"/>
        </w:rPr>
      </w:pPr>
    </w:p>
    <w:p w:rsidR="001C27B8" w:rsidRPr="001C27B8" w:rsidRDefault="001C27B8" w:rsidP="001C27B8">
      <w:pPr>
        <w:spacing w:after="0" w:line="240" w:lineRule="auto"/>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Thus financial management is concerned with:</w:t>
      </w:r>
    </w:p>
    <w:p w:rsidR="001C27B8" w:rsidRPr="001C27B8" w:rsidRDefault="001C27B8" w:rsidP="001C27B8">
      <w:pPr>
        <w:spacing w:after="0" w:line="240" w:lineRule="auto"/>
        <w:rPr>
          <w:rFonts w:ascii="Times New Roman" w:eastAsia="Times New Roman" w:hAnsi="Times New Roman" w:cs="Times New Roman"/>
          <w:b/>
          <w:sz w:val="28"/>
          <w:szCs w:val="28"/>
        </w:rPr>
      </w:pPr>
    </w:p>
    <w:p w:rsidR="001C27B8" w:rsidRPr="001C27B8" w:rsidRDefault="001C27B8" w:rsidP="001C27B8">
      <w:pPr>
        <w:numPr>
          <w:ilvl w:val="0"/>
          <w:numId w:val="31"/>
        </w:numPr>
        <w:spacing w:after="0" w:line="360" w:lineRule="auto"/>
        <w:jc w:val="both"/>
        <w:rPr>
          <w:rFonts w:ascii="Times New Roman" w:eastAsia="Times New Roman" w:hAnsi="Times New Roman" w:cs="Times New Roman"/>
          <w:sz w:val="24"/>
          <w:szCs w:val="28"/>
        </w:rPr>
      </w:pPr>
      <w:r w:rsidRPr="001C27B8">
        <w:rPr>
          <w:rFonts w:ascii="Times New Roman" w:eastAsia="Times New Roman" w:hAnsi="Times New Roman" w:cs="Times New Roman"/>
          <w:sz w:val="24"/>
          <w:szCs w:val="28"/>
        </w:rPr>
        <w:t xml:space="preserve"> Estimation of the fixed and working capital requirements,</w:t>
      </w:r>
    </w:p>
    <w:p w:rsidR="001C27B8" w:rsidRPr="001C27B8" w:rsidRDefault="001C27B8" w:rsidP="001C27B8">
      <w:pPr>
        <w:numPr>
          <w:ilvl w:val="0"/>
          <w:numId w:val="31"/>
        </w:numPr>
        <w:spacing w:after="0" w:line="360" w:lineRule="auto"/>
        <w:jc w:val="both"/>
        <w:rPr>
          <w:rFonts w:ascii="Times New Roman" w:eastAsia="Times New Roman" w:hAnsi="Times New Roman" w:cs="Times New Roman"/>
          <w:sz w:val="24"/>
          <w:szCs w:val="28"/>
        </w:rPr>
      </w:pPr>
      <w:r w:rsidRPr="001C27B8">
        <w:rPr>
          <w:rFonts w:ascii="Times New Roman" w:eastAsia="Times New Roman" w:hAnsi="Times New Roman" w:cs="Times New Roman"/>
          <w:sz w:val="24"/>
          <w:szCs w:val="28"/>
        </w:rPr>
        <w:t xml:space="preserve"> Formulation of capital,</w:t>
      </w:r>
    </w:p>
    <w:p w:rsidR="001C27B8" w:rsidRPr="001C27B8" w:rsidRDefault="001C27B8" w:rsidP="001C27B8">
      <w:pPr>
        <w:numPr>
          <w:ilvl w:val="0"/>
          <w:numId w:val="31"/>
        </w:numPr>
        <w:spacing w:after="0" w:line="360" w:lineRule="auto"/>
        <w:jc w:val="both"/>
        <w:rPr>
          <w:rFonts w:ascii="Times New Roman" w:eastAsia="Times New Roman" w:hAnsi="Times New Roman" w:cs="Times New Roman"/>
          <w:sz w:val="24"/>
          <w:szCs w:val="28"/>
        </w:rPr>
      </w:pPr>
      <w:r w:rsidRPr="001C27B8">
        <w:rPr>
          <w:rFonts w:ascii="Times New Roman" w:eastAsia="Times New Roman" w:hAnsi="Times New Roman" w:cs="Times New Roman"/>
          <w:sz w:val="24"/>
          <w:szCs w:val="28"/>
        </w:rPr>
        <w:t xml:space="preserve"> Procurement of fixed and working capital, and </w:t>
      </w:r>
    </w:p>
    <w:p w:rsidR="001C27B8" w:rsidRPr="001C27B8" w:rsidRDefault="001C27B8" w:rsidP="001C27B8">
      <w:pPr>
        <w:numPr>
          <w:ilvl w:val="0"/>
          <w:numId w:val="31"/>
        </w:numPr>
        <w:spacing w:after="0" w:line="360" w:lineRule="auto"/>
        <w:jc w:val="both"/>
        <w:rPr>
          <w:rFonts w:ascii="Times New Roman" w:eastAsia="Times New Roman" w:hAnsi="Times New Roman" w:cs="Times New Roman"/>
          <w:sz w:val="24"/>
          <w:szCs w:val="28"/>
        </w:rPr>
      </w:pPr>
      <w:r w:rsidRPr="001C27B8">
        <w:rPr>
          <w:rFonts w:ascii="Times New Roman" w:eastAsia="Times New Roman" w:hAnsi="Times New Roman" w:cs="Times New Roman"/>
          <w:sz w:val="24"/>
          <w:szCs w:val="28"/>
        </w:rPr>
        <w:t xml:space="preserve"> Management of earnings.</w:t>
      </w:r>
    </w:p>
    <w:p w:rsidR="001C27B8" w:rsidRPr="001C27B8" w:rsidRDefault="001C27B8" w:rsidP="001C27B8">
      <w:pPr>
        <w:ind w:left="360"/>
        <w:contextualSpacing/>
        <w:rPr>
          <w:rFonts w:ascii="Calibri" w:eastAsia="Times New Roman" w:hAnsi="Calibri" w:cs="Times New Roman"/>
          <w:sz w:val="28"/>
          <w:szCs w:val="28"/>
        </w:rPr>
      </w:pPr>
    </w:p>
    <w:p w:rsidR="001C27B8" w:rsidRPr="001C27B8" w:rsidRDefault="001C27B8" w:rsidP="001C27B8">
      <w:pPr>
        <w:spacing w:after="0" w:line="360" w:lineRule="auto"/>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IMPORTANCE OF FINANCIAL MANAGEMENT:-</w:t>
      </w:r>
    </w:p>
    <w:p w:rsidR="001C27B8" w:rsidRPr="001C27B8" w:rsidRDefault="001C27B8" w:rsidP="001C27B8">
      <w:pPr>
        <w:spacing w:after="0" w:line="240" w:lineRule="auto"/>
        <w:rPr>
          <w:rFonts w:ascii="Times New Roman" w:eastAsia="Times New Roman" w:hAnsi="Times New Roman" w:cs="Times New Roman"/>
          <w:b/>
          <w:sz w:val="28"/>
          <w:szCs w:val="28"/>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i</w:t>
      </w:r>
      <w:r w:rsidRPr="001C27B8">
        <w:rPr>
          <w:rFonts w:ascii="Times New Roman" w:eastAsia="Times New Roman" w:hAnsi="Times New Roman" w:cs="Times New Roman"/>
          <w:sz w:val="24"/>
          <w:szCs w:val="24"/>
        </w:rPr>
        <w:t>mportance of financial management cannot be over emphasized. In every organization where funds are involved, sound financial management is necessary. As Collin Brooks has remarked, Bad production management and bad sales management have slain in hundreds, but faulty financial management has slain in thousands.</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lastRenderedPageBreak/>
        <w:t xml:space="preserve">             Financial management also helps in ascertain how the company </w:t>
      </w:r>
      <w:proofErr w:type="gramStart"/>
      <w:r w:rsidRPr="001C27B8">
        <w:rPr>
          <w:rFonts w:ascii="Times New Roman" w:eastAsia="Times New Roman" w:hAnsi="Times New Roman" w:cs="Times New Roman"/>
          <w:sz w:val="24"/>
          <w:szCs w:val="24"/>
        </w:rPr>
        <w:t>would  perform</w:t>
      </w:r>
      <w:proofErr w:type="gramEnd"/>
      <w:r w:rsidRPr="001C27B8">
        <w:rPr>
          <w:rFonts w:ascii="Times New Roman" w:eastAsia="Times New Roman" w:hAnsi="Times New Roman" w:cs="Times New Roman"/>
          <w:sz w:val="24"/>
          <w:szCs w:val="24"/>
        </w:rPr>
        <w:t xml:space="preserve"> in future it helps in indicating  whether the firm will generate enough funds to meet its various obligations. It also helps in profit planning, capital spending, measuring costs, controlling inventory accounts, receivable, etc.</w:t>
      </w:r>
    </w:p>
    <w:p w:rsidR="001C27B8" w:rsidRPr="001C27B8" w:rsidRDefault="001C27B8" w:rsidP="001C27B8">
      <w:pPr>
        <w:spacing w:after="0" w:line="240" w:lineRule="auto"/>
        <w:rPr>
          <w:rFonts w:ascii="Times New Roman" w:eastAsia="Times New Roman" w:hAnsi="Times New Roman" w:cs="Times New Roman"/>
          <w:sz w:val="32"/>
          <w:szCs w:val="28"/>
        </w:rPr>
      </w:pPr>
    </w:p>
    <w:p w:rsidR="001C27B8" w:rsidRPr="001C27B8" w:rsidRDefault="001C27B8" w:rsidP="001C27B8">
      <w:pPr>
        <w:spacing w:after="0" w:line="360" w:lineRule="auto"/>
        <w:jc w:val="both"/>
        <w:rPr>
          <w:rFonts w:ascii="Times New Roman" w:eastAsia="Times New Roman" w:hAnsi="Times New Roman" w:cs="Times New Roman"/>
          <w:b/>
          <w:sz w:val="24"/>
          <w:szCs w:val="28"/>
        </w:rPr>
      </w:pPr>
      <w:r w:rsidRPr="001C27B8">
        <w:rPr>
          <w:rFonts w:ascii="Times New Roman" w:eastAsia="Times New Roman" w:hAnsi="Times New Roman" w:cs="Times New Roman"/>
          <w:b/>
          <w:sz w:val="24"/>
          <w:szCs w:val="28"/>
        </w:rPr>
        <w:t>Functions of financial management:-</w:t>
      </w:r>
    </w:p>
    <w:p w:rsidR="001C27B8" w:rsidRPr="001C27B8" w:rsidRDefault="001C27B8" w:rsidP="001C27B8">
      <w:pPr>
        <w:spacing w:after="0" w:line="240" w:lineRule="auto"/>
        <w:rPr>
          <w:rFonts w:ascii="Times New Roman" w:eastAsia="Times New Roman" w:hAnsi="Times New Roman" w:cs="Times New Roman"/>
          <w:b/>
          <w:sz w:val="28"/>
          <w:szCs w:val="28"/>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w:t>
      </w:r>
      <w:proofErr w:type="gramStart"/>
      <w:r w:rsidRPr="001C27B8">
        <w:rPr>
          <w:rFonts w:ascii="Times New Roman" w:eastAsia="Times New Roman" w:hAnsi="Times New Roman" w:cs="Times New Roman"/>
          <w:sz w:val="24"/>
          <w:szCs w:val="24"/>
        </w:rPr>
        <w:t>In the context of achieving the goals like maximization of risks, liquidity, profitability, wealth maximization etc.</w:t>
      </w:r>
      <w:proofErr w:type="gramEnd"/>
      <w:r w:rsidRPr="001C27B8">
        <w:rPr>
          <w:rFonts w:ascii="Times New Roman" w:eastAsia="Times New Roman" w:hAnsi="Times New Roman" w:cs="Times New Roman"/>
          <w:sz w:val="24"/>
          <w:szCs w:val="24"/>
        </w:rPr>
        <w:t xml:space="preserve"> The total functions of financial management can be dividing into three different groups.</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numPr>
          <w:ilvl w:val="0"/>
          <w:numId w:val="32"/>
        </w:numPr>
        <w:spacing w:after="0" w:line="48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Liquidity function</w:t>
      </w:r>
    </w:p>
    <w:p w:rsidR="001C27B8" w:rsidRPr="001C27B8" w:rsidRDefault="001C27B8" w:rsidP="001C27B8">
      <w:pPr>
        <w:numPr>
          <w:ilvl w:val="0"/>
          <w:numId w:val="32"/>
        </w:numPr>
        <w:spacing w:after="0" w:line="48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Profitability functions</w:t>
      </w:r>
    </w:p>
    <w:p w:rsidR="001C27B8" w:rsidRPr="001C27B8" w:rsidRDefault="001C27B8" w:rsidP="001C27B8">
      <w:pPr>
        <w:numPr>
          <w:ilvl w:val="0"/>
          <w:numId w:val="32"/>
        </w:numPr>
        <w:spacing w:after="0" w:line="48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Management functions</w:t>
      </w:r>
    </w:p>
    <w:p w:rsidR="001C27B8" w:rsidRPr="001C27B8" w:rsidRDefault="001C27B8" w:rsidP="001C27B8">
      <w:pPr>
        <w:numPr>
          <w:ilvl w:val="0"/>
          <w:numId w:val="32"/>
        </w:numPr>
        <w:spacing w:after="0" w:line="48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Managing funds and</w:t>
      </w:r>
    </w:p>
    <w:p w:rsidR="001C27B8" w:rsidRPr="001C27B8" w:rsidRDefault="001C27B8" w:rsidP="001C27B8">
      <w:pPr>
        <w:numPr>
          <w:ilvl w:val="0"/>
          <w:numId w:val="32"/>
        </w:numPr>
        <w:spacing w:after="0" w:line="48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Management assets</w:t>
      </w:r>
    </w:p>
    <w:p w:rsidR="001C27B8" w:rsidRPr="001C27B8" w:rsidRDefault="001C27B8" w:rsidP="001C27B8">
      <w:pPr>
        <w:spacing w:after="0" w:line="360" w:lineRule="auto"/>
        <w:jc w:val="both"/>
        <w:rPr>
          <w:rFonts w:ascii="Times New Roman" w:eastAsia="Times New Roman" w:hAnsi="Times New Roman" w:cs="Times New Roman"/>
          <w:b/>
          <w:sz w:val="36"/>
          <w:szCs w:val="28"/>
        </w:rPr>
      </w:pPr>
    </w:p>
    <w:p w:rsidR="001C27B8" w:rsidRDefault="001C27B8" w:rsidP="001C27B8">
      <w:pPr>
        <w:spacing w:after="0" w:line="240" w:lineRule="auto"/>
        <w:contextualSpacing/>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Liquidity function:-</w:t>
      </w:r>
    </w:p>
    <w:p w:rsidR="001C27B8" w:rsidRPr="001C27B8" w:rsidRDefault="001C27B8" w:rsidP="001C27B8">
      <w:pPr>
        <w:spacing w:after="0" w:line="360" w:lineRule="auto"/>
        <w:contextualSpacing/>
        <w:jc w:val="both"/>
        <w:rPr>
          <w:rFonts w:ascii="Times New Roman" w:eastAsia="Times New Roman" w:hAnsi="Times New Roman" w:cs="Times New Roman"/>
          <w:b/>
          <w:sz w:val="28"/>
          <w:szCs w:val="28"/>
        </w:rPr>
      </w:pPr>
      <w:r w:rsidRPr="001C27B8">
        <w:rPr>
          <w:rFonts w:ascii="Times New Roman" w:eastAsia="Times New Roman" w:hAnsi="Times New Roman" w:cs="Times New Roman"/>
          <w:sz w:val="24"/>
          <w:szCs w:val="24"/>
        </w:rPr>
        <w:t xml:space="preserve"> In seeking sufficient liquidity to carry the firms activities the financial managers perform the following the tasks. Forecasting the cash flows and managing the flow of internal funds.</w:t>
      </w:r>
    </w:p>
    <w:p w:rsidR="001C27B8" w:rsidRPr="001C27B8" w:rsidRDefault="001C27B8" w:rsidP="001C27B8">
      <w:pPr>
        <w:spacing w:after="0" w:line="360" w:lineRule="auto"/>
        <w:jc w:val="both"/>
        <w:rPr>
          <w:rFonts w:ascii="Times New Roman" w:eastAsia="Times New Roman" w:hAnsi="Times New Roman" w:cs="Times New Roman"/>
          <w:sz w:val="24"/>
          <w:szCs w:val="24"/>
        </w:rPr>
      </w:pPr>
    </w:p>
    <w:p w:rsidR="001C27B8" w:rsidRPr="001C27B8" w:rsidRDefault="001C27B8" w:rsidP="001C27B8">
      <w:pPr>
        <w:spacing w:after="0" w:line="240" w:lineRule="auto"/>
        <w:contextualSpacing/>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Profitability function:-</w:t>
      </w:r>
    </w:p>
    <w:p w:rsid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w:t>
      </w:r>
    </w:p>
    <w:p w:rsid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The other function of financial manager is to provide reasonable and adequate return on capital employed. With respect tom profitability important financial functions are cost control and measuring required return.</w:t>
      </w:r>
    </w:p>
    <w:p w:rsidR="001C27B8" w:rsidRDefault="001C27B8" w:rsidP="001C27B8">
      <w:pPr>
        <w:spacing w:after="0" w:line="360" w:lineRule="auto"/>
        <w:jc w:val="both"/>
        <w:rPr>
          <w:rFonts w:ascii="Times New Roman" w:eastAsia="Times New Roman" w:hAnsi="Times New Roman" w:cs="Times New Roman"/>
          <w:b/>
          <w:sz w:val="28"/>
          <w:szCs w:val="28"/>
        </w:rPr>
      </w:pPr>
    </w:p>
    <w:p w:rsidR="001C27B8" w:rsidRDefault="001C27B8" w:rsidP="001C27B8">
      <w:pPr>
        <w:spacing w:after="0" w:line="360" w:lineRule="auto"/>
        <w:jc w:val="both"/>
        <w:rPr>
          <w:rFonts w:ascii="Times New Roman" w:eastAsia="Times New Roman" w:hAnsi="Times New Roman" w:cs="Times New Roman"/>
          <w:b/>
          <w:sz w:val="28"/>
          <w:szCs w:val="28"/>
        </w:rPr>
      </w:pPr>
    </w:p>
    <w:p w:rsidR="001C27B8" w:rsidRDefault="001C27B8" w:rsidP="001C27B8">
      <w:pPr>
        <w:spacing w:after="0" w:line="360" w:lineRule="auto"/>
        <w:jc w:val="both"/>
        <w:rPr>
          <w:rFonts w:ascii="Times New Roman" w:eastAsia="Times New Roman" w:hAnsi="Times New Roman" w:cs="Times New Roman"/>
          <w:b/>
          <w:sz w:val="28"/>
          <w:szCs w:val="28"/>
        </w:rPr>
      </w:pP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b/>
          <w:sz w:val="28"/>
          <w:szCs w:val="28"/>
        </w:rPr>
        <w:lastRenderedPageBreak/>
        <w:t>Managing functions:-</w:t>
      </w:r>
    </w:p>
    <w:p w:rsidR="001C27B8" w:rsidRPr="001C27B8" w:rsidRDefault="001C27B8" w:rsidP="001C27B8">
      <w:pPr>
        <w:spacing w:after="0" w:line="360" w:lineRule="auto"/>
        <w:jc w:val="both"/>
        <w:rPr>
          <w:rFonts w:ascii="Times New Roman" w:eastAsia="Times New Roman" w:hAnsi="Times New Roman" w:cs="Times New Roman"/>
          <w:sz w:val="24"/>
          <w:szCs w:val="24"/>
        </w:rPr>
      </w:pPr>
      <w:r w:rsidRPr="001C27B8">
        <w:rPr>
          <w:rFonts w:ascii="Times New Roman" w:eastAsia="Times New Roman" w:hAnsi="Times New Roman" w:cs="Times New Roman"/>
          <w:b/>
          <w:sz w:val="24"/>
          <w:szCs w:val="24"/>
        </w:rPr>
        <w:t xml:space="preserve"> </w:t>
      </w:r>
      <w:r w:rsidRPr="001C27B8">
        <w:rPr>
          <w:rFonts w:ascii="Times New Roman" w:eastAsia="Times New Roman" w:hAnsi="Times New Roman" w:cs="Times New Roman"/>
          <w:sz w:val="24"/>
          <w:szCs w:val="24"/>
        </w:rPr>
        <w:t>Managing functions are divided into two types. They are</w:t>
      </w:r>
    </w:p>
    <w:p w:rsidR="001C27B8" w:rsidRPr="001C27B8" w:rsidRDefault="001C27B8" w:rsidP="001C27B8">
      <w:pPr>
        <w:numPr>
          <w:ilvl w:val="0"/>
          <w:numId w:val="34"/>
        </w:numPr>
        <w:spacing w:after="0" w:line="36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Managing assets.</w:t>
      </w:r>
    </w:p>
    <w:p w:rsidR="001C27B8" w:rsidRPr="001C27B8" w:rsidRDefault="001C27B8" w:rsidP="001C27B8">
      <w:pPr>
        <w:numPr>
          <w:ilvl w:val="0"/>
          <w:numId w:val="34"/>
        </w:numPr>
        <w:spacing w:after="0" w:line="360" w:lineRule="auto"/>
        <w:contextualSpacing/>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Managing funds</w:t>
      </w:r>
    </w:p>
    <w:p w:rsidR="001C27B8" w:rsidRPr="001C27B8" w:rsidRDefault="001C27B8" w:rsidP="001C27B8">
      <w:pPr>
        <w:spacing w:after="0" w:line="240" w:lineRule="auto"/>
        <w:rPr>
          <w:rFonts w:ascii="Times New Roman" w:eastAsia="Times New Roman" w:hAnsi="Times New Roman" w:cs="Times New Roman"/>
          <w:sz w:val="36"/>
          <w:szCs w:val="28"/>
        </w:rPr>
      </w:pPr>
    </w:p>
    <w:p w:rsidR="001C27B8" w:rsidRPr="001C27B8" w:rsidRDefault="001C27B8" w:rsidP="001C27B8">
      <w:pPr>
        <w:numPr>
          <w:ilvl w:val="0"/>
          <w:numId w:val="35"/>
        </w:numPr>
        <w:spacing w:after="0" w:line="240" w:lineRule="auto"/>
        <w:contextualSpacing/>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 xml:space="preserve"> Managing assets:-</w:t>
      </w:r>
    </w:p>
    <w:p w:rsidR="001C27B8" w:rsidRPr="001C27B8" w:rsidRDefault="001C27B8" w:rsidP="001C27B8">
      <w:pPr>
        <w:spacing w:after="0" w:line="360" w:lineRule="auto"/>
        <w:ind w:left="360"/>
        <w:jc w:val="both"/>
        <w:rPr>
          <w:rFonts w:ascii="Times New Roman" w:eastAsia="Times New Roman" w:hAnsi="Times New Roman" w:cs="Times New Roman"/>
          <w:sz w:val="24"/>
          <w:szCs w:val="24"/>
        </w:rPr>
      </w:pPr>
      <w:r w:rsidRPr="001C27B8">
        <w:rPr>
          <w:rFonts w:ascii="Times New Roman" w:eastAsia="Times New Roman" w:hAnsi="Times New Roman" w:cs="Times New Roman"/>
          <w:sz w:val="24"/>
          <w:szCs w:val="24"/>
        </w:rPr>
        <w:t xml:space="preserve">                  Assets are the resources by which the firm is able to conduct business. The function of asset management recognizes the decision making role of financial manager. Asset management includes knowing the total amount of the assets needed by the firm to carry out its operation.</w:t>
      </w:r>
    </w:p>
    <w:p w:rsidR="001C27B8" w:rsidRPr="001C27B8" w:rsidRDefault="001C27B8" w:rsidP="001C27B8">
      <w:pPr>
        <w:spacing w:after="0" w:line="240" w:lineRule="auto"/>
        <w:ind w:left="360"/>
        <w:rPr>
          <w:rFonts w:ascii="Times New Roman" w:eastAsia="Times New Roman" w:hAnsi="Times New Roman" w:cs="Times New Roman"/>
          <w:sz w:val="36"/>
          <w:szCs w:val="28"/>
        </w:rPr>
      </w:pPr>
    </w:p>
    <w:p w:rsidR="001C27B8" w:rsidRPr="001C27B8" w:rsidRDefault="001C27B8" w:rsidP="001C27B8">
      <w:pPr>
        <w:spacing w:after="0" w:line="240" w:lineRule="auto"/>
        <w:ind w:left="360"/>
        <w:rPr>
          <w:rFonts w:ascii="Times New Roman" w:eastAsia="Times New Roman" w:hAnsi="Times New Roman" w:cs="Times New Roman"/>
          <w:sz w:val="36"/>
          <w:szCs w:val="28"/>
        </w:rPr>
      </w:pPr>
    </w:p>
    <w:p w:rsidR="001C27B8" w:rsidRPr="001C27B8" w:rsidRDefault="001C27B8" w:rsidP="001C27B8">
      <w:pPr>
        <w:numPr>
          <w:ilvl w:val="0"/>
          <w:numId w:val="35"/>
        </w:numPr>
        <w:spacing w:after="0" w:line="240" w:lineRule="auto"/>
        <w:contextualSpacing/>
        <w:rPr>
          <w:rFonts w:ascii="Times New Roman" w:eastAsia="Times New Roman" w:hAnsi="Times New Roman" w:cs="Times New Roman"/>
          <w:b/>
          <w:sz w:val="28"/>
          <w:szCs w:val="28"/>
        </w:rPr>
      </w:pPr>
      <w:r w:rsidRPr="001C27B8">
        <w:rPr>
          <w:rFonts w:ascii="Times New Roman" w:eastAsia="Times New Roman" w:hAnsi="Times New Roman" w:cs="Times New Roman"/>
          <w:b/>
          <w:sz w:val="28"/>
          <w:szCs w:val="28"/>
        </w:rPr>
        <w:t>Managing funds:-</w:t>
      </w:r>
    </w:p>
    <w:p w:rsidR="001C27B8" w:rsidRPr="001C27B8" w:rsidRDefault="001C27B8" w:rsidP="001C27B8">
      <w:pPr>
        <w:ind w:left="720"/>
        <w:contextualSpacing/>
        <w:rPr>
          <w:rFonts w:ascii="Times New Roman" w:eastAsia="Times New Roman" w:hAnsi="Times New Roman" w:cs="Times New Roman"/>
          <w:b/>
          <w:sz w:val="28"/>
          <w:szCs w:val="28"/>
        </w:rPr>
      </w:pPr>
    </w:p>
    <w:p w:rsidR="001C27B8" w:rsidRPr="001C27B8" w:rsidRDefault="001C27B8" w:rsidP="001C27B8">
      <w:pPr>
        <w:tabs>
          <w:tab w:val="left" w:pos="450"/>
        </w:tabs>
        <w:spacing w:after="0" w:line="360" w:lineRule="auto"/>
        <w:ind w:left="450" w:hanging="270"/>
        <w:jc w:val="both"/>
        <w:rPr>
          <w:rFonts w:ascii="Times New Roman" w:eastAsia="Times New Roman" w:hAnsi="Times New Roman" w:cs="Times New Roman"/>
          <w:sz w:val="24"/>
          <w:szCs w:val="24"/>
        </w:rPr>
      </w:pPr>
      <w:r w:rsidRPr="001C27B8">
        <w:rPr>
          <w:rFonts w:ascii="Calibri" w:eastAsia="Times New Roman" w:hAnsi="Calibri" w:cs="Times New Roman"/>
          <w:sz w:val="32"/>
          <w:szCs w:val="28"/>
        </w:rPr>
        <w:t xml:space="preserve">            </w:t>
      </w:r>
      <w:r w:rsidRPr="001C27B8">
        <w:rPr>
          <w:rFonts w:ascii="Times New Roman" w:eastAsia="Times New Roman" w:hAnsi="Times New Roman" w:cs="Times New Roman"/>
          <w:sz w:val="24"/>
          <w:szCs w:val="24"/>
        </w:rPr>
        <w:t xml:space="preserve">Funds may be viewed as the liquid assets of a firm the term includes cash held by the firm, money, borrowed by the firm and money gained from purchases of common and preferred stock. </w:t>
      </w:r>
    </w:p>
    <w:p w:rsidR="009026CF" w:rsidRDefault="009026CF" w:rsidP="009026CF">
      <w:pPr>
        <w:rPr>
          <w:rFonts w:ascii="Times New Roman" w:hAnsi="Times New Roman" w:cs="Times New Roman"/>
          <w:sz w:val="24"/>
        </w:rPr>
      </w:pPr>
    </w:p>
    <w:p w:rsidR="009026CF" w:rsidRPr="001C27B8" w:rsidRDefault="009026CF" w:rsidP="009026CF">
      <w:pPr>
        <w:rPr>
          <w:rFonts w:ascii="Times New Roman" w:hAnsi="Times New Roman" w:cs="Times New Roman"/>
          <w:b/>
          <w:sz w:val="28"/>
        </w:rPr>
      </w:pPr>
      <w:r w:rsidRPr="001C27B8">
        <w:rPr>
          <w:rFonts w:ascii="Times New Roman" w:hAnsi="Times New Roman" w:cs="Times New Roman"/>
          <w:b/>
          <w:sz w:val="28"/>
        </w:rPr>
        <w:t>Financial Ratio Analysis</w:t>
      </w:r>
    </w:p>
    <w:p w:rsidR="009026CF" w:rsidRPr="00573B11" w:rsidRDefault="009026CF" w:rsidP="001C27B8">
      <w:pPr>
        <w:pStyle w:val="ListParagraph"/>
        <w:numPr>
          <w:ilvl w:val="0"/>
          <w:numId w:val="8"/>
        </w:numPr>
        <w:spacing w:after="160" w:line="360" w:lineRule="auto"/>
        <w:rPr>
          <w:rFonts w:ascii="Times New Roman" w:hAnsi="Times New Roman" w:cs="Times New Roman"/>
          <w:sz w:val="24"/>
        </w:rPr>
      </w:pPr>
      <w:r w:rsidRPr="00573B11">
        <w:rPr>
          <w:rFonts w:ascii="Times New Roman" w:hAnsi="Times New Roman" w:cs="Times New Roman"/>
          <w:sz w:val="24"/>
        </w:rPr>
        <w:t xml:space="preserve">A </w:t>
      </w:r>
      <w:r w:rsidRPr="00573B11">
        <w:rPr>
          <w:rFonts w:ascii="Times New Roman" w:hAnsi="Times New Roman" w:cs="Times New Roman"/>
          <w:b/>
          <w:bCs/>
          <w:sz w:val="24"/>
        </w:rPr>
        <w:t>Liquidity Ratio</w:t>
      </w:r>
      <w:r w:rsidRPr="00573B11">
        <w:rPr>
          <w:rFonts w:ascii="Times New Roman" w:hAnsi="Times New Roman" w:cs="Times New Roman"/>
          <w:sz w:val="24"/>
        </w:rPr>
        <w:t xml:space="preserve"> provides information on a company's ability to meet its short−term, immediate obligations.</w:t>
      </w:r>
    </w:p>
    <w:p w:rsidR="009026CF" w:rsidRPr="00573B11" w:rsidRDefault="009026CF" w:rsidP="001C27B8">
      <w:pPr>
        <w:pStyle w:val="ListParagraph"/>
        <w:numPr>
          <w:ilvl w:val="0"/>
          <w:numId w:val="8"/>
        </w:numPr>
        <w:spacing w:after="160" w:line="360" w:lineRule="auto"/>
        <w:rPr>
          <w:rFonts w:ascii="Times New Roman" w:hAnsi="Times New Roman" w:cs="Times New Roman"/>
          <w:sz w:val="24"/>
        </w:rPr>
      </w:pPr>
      <w:r w:rsidRPr="00573B11">
        <w:rPr>
          <w:rFonts w:ascii="Times New Roman" w:hAnsi="Times New Roman" w:cs="Times New Roman"/>
          <w:sz w:val="24"/>
        </w:rPr>
        <w:t xml:space="preserve">A </w:t>
      </w:r>
      <w:r w:rsidRPr="00573B11">
        <w:rPr>
          <w:rFonts w:ascii="Times New Roman" w:hAnsi="Times New Roman" w:cs="Times New Roman"/>
          <w:b/>
          <w:bCs/>
          <w:sz w:val="24"/>
        </w:rPr>
        <w:t>Profitability Ratio</w:t>
      </w:r>
      <w:r w:rsidRPr="00573B11">
        <w:rPr>
          <w:rFonts w:ascii="Times New Roman" w:hAnsi="Times New Roman" w:cs="Times New Roman"/>
          <w:sz w:val="24"/>
        </w:rPr>
        <w:t xml:space="preserve"> provides information on the amount of income from each dollar of sales.</w:t>
      </w:r>
    </w:p>
    <w:p w:rsidR="009026CF" w:rsidRPr="00573B11" w:rsidRDefault="009026CF" w:rsidP="001C27B8">
      <w:pPr>
        <w:pStyle w:val="ListParagraph"/>
        <w:numPr>
          <w:ilvl w:val="0"/>
          <w:numId w:val="8"/>
        </w:numPr>
        <w:spacing w:after="160" w:line="360" w:lineRule="auto"/>
        <w:rPr>
          <w:rFonts w:ascii="Times New Roman" w:hAnsi="Times New Roman" w:cs="Times New Roman"/>
          <w:sz w:val="24"/>
        </w:rPr>
      </w:pPr>
      <w:r w:rsidRPr="00573B11">
        <w:rPr>
          <w:rFonts w:ascii="Times New Roman" w:hAnsi="Times New Roman" w:cs="Times New Roman"/>
          <w:sz w:val="24"/>
        </w:rPr>
        <w:t xml:space="preserve">An </w:t>
      </w:r>
      <w:r w:rsidRPr="00573B11">
        <w:rPr>
          <w:rFonts w:ascii="Times New Roman" w:hAnsi="Times New Roman" w:cs="Times New Roman"/>
          <w:b/>
          <w:bCs/>
          <w:sz w:val="24"/>
        </w:rPr>
        <w:t>Activity Ratio</w:t>
      </w:r>
      <w:r w:rsidRPr="00573B11">
        <w:rPr>
          <w:rFonts w:ascii="Times New Roman" w:hAnsi="Times New Roman" w:cs="Times New Roman"/>
          <w:sz w:val="24"/>
        </w:rPr>
        <w:t xml:space="preserve"> relates information on a company's ability to manage its resources (that is, its assets) efficiently.</w:t>
      </w:r>
    </w:p>
    <w:p w:rsidR="009026CF" w:rsidRPr="00573B11" w:rsidRDefault="009026CF" w:rsidP="001C27B8">
      <w:pPr>
        <w:pStyle w:val="ListParagraph"/>
        <w:numPr>
          <w:ilvl w:val="0"/>
          <w:numId w:val="8"/>
        </w:numPr>
        <w:spacing w:after="160" w:line="360" w:lineRule="auto"/>
        <w:rPr>
          <w:rFonts w:ascii="Times New Roman" w:hAnsi="Times New Roman" w:cs="Times New Roman"/>
          <w:sz w:val="24"/>
        </w:rPr>
      </w:pPr>
      <w:r w:rsidRPr="00573B11">
        <w:rPr>
          <w:rFonts w:ascii="Times New Roman" w:hAnsi="Times New Roman" w:cs="Times New Roman"/>
          <w:sz w:val="24"/>
        </w:rPr>
        <w:t xml:space="preserve">A </w:t>
      </w:r>
      <w:r w:rsidRPr="00573B11">
        <w:rPr>
          <w:rFonts w:ascii="Times New Roman" w:hAnsi="Times New Roman" w:cs="Times New Roman"/>
          <w:b/>
          <w:bCs/>
          <w:sz w:val="24"/>
        </w:rPr>
        <w:t>Financial Leverage Ratio</w:t>
      </w:r>
      <w:r w:rsidRPr="00573B11">
        <w:rPr>
          <w:rFonts w:ascii="Times New Roman" w:hAnsi="Times New Roman" w:cs="Times New Roman"/>
          <w:sz w:val="24"/>
        </w:rPr>
        <w:t xml:space="preserve"> provides information on the degree of a company's fixed financing obligations and its ability to satisfy these financing obligations.</w:t>
      </w:r>
    </w:p>
    <w:p w:rsidR="009026CF" w:rsidRDefault="009026CF" w:rsidP="001C27B8">
      <w:pPr>
        <w:pStyle w:val="ListParagraph"/>
        <w:numPr>
          <w:ilvl w:val="0"/>
          <w:numId w:val="8"/>
        </w:numPr>
        <w:spacing w:after="160" w:line="360" w:lineRule="auto"/>
        <w:rPr>
          <w:rFonts w:ascii="Times New Roman" w:hAnsi="Times New Roman" w:cs="Times New Roman"/>
          <w:sz w:val="24"/>
        </w:rPr>
      </w:pPr>
      <w:r w:rsidRPr="00573B11">
        <w:rPr>
          <w:rFonts w:ascii="Times New Roman" w:hAnsi="Times New Roman" w:cs="Times New Roman"/>
          <w:sz w:val="24"/>
        </w:rPr>
        <w:t xml:space="preserve">A </w:t>
      </w:r>
      <w:r>
        <w:rPr>
          <w:rFonts w:ascii="Times New Roman" w:hAnsi="Times New Roman" w:cs="Times New Roman"/>
          <w:b/>
          <w:bCs/>
          <w:sz w:val="24"/>
        </w:rPr>
        <w:t>Market</w:t>
      </w:r>
      <w:r w:rsidRPr="00573B11">
        <w:rPr>
          <w:rFonts w:ascii="Times New Roman" w:hAnsi="Times New Roman" w:cs="Times New Roman"/>
          <w:b/>
          <w:bCs/>
          <w:sz w:val="24"/>
        </w:rPr>
        <w:t xml:space="preserve"> Ratio</w:t>
      </w:r>
      <w:r w:rsidRPr="00573B11">
        <w:rPr>
          <w:rFonts w:ascii="Times New Roman" w:hAnsi="Times New Roman" w:cs="Times New Roman"/>
          <w:sz w:val="24"/>
        </w:rPr>
        <w:t xml:space="preserve"> describes the company's financial condition in terms of amounts per</w:t>
      </w:r>
      <w:r>
        <w:rPr>
          <w:rFonts w:ascii="Times New Roman" w:hAnsi="Times New Roman" w:cs="Times New Roman"/>
          <w:sz w:val="24"/>
        </w:rPr>
        <w:t xml:space="preserve"> </w:t>
      </w:r>
      <w:r w:rsidRPr="00573B11">
        <w:rPr>
          <w:rFonts w:ascii="Times New Roman" w:hAnsi="Times New Roman" w:cs="Times New Roman"/>
          <w:sz w:val="24"/>
        </w:rPr>
        <w:t>share of stock.</w:t>
      </w:r>
    </w:p>
    <w:p w:rsidR="001C27B8" w:rsidRDefault="001C27B8" w:rsidP="009026CF">
      <w:pPr>
        <w:rPr>
          <w:rFonts w:ascii="Times New Roman" w:hAnsi="Times New Roman" w:cs="Times New Roman"/>
          <w:sz w:val="24"/>
        </w:rPr>
      </w:pPr>
    </w:p>
    <w:p w:rsidR="009026CF" w:rsidRPr="005A28E7" w:rsidRDefault="009026CF" w:rsidP="009026CF">
      <w:pPr>
        <w:rPr>
          <w:rFonts w:ascii="Times New Roman" w:hAnsi="Times New Roman" w:cs="Times New Roman"/>
          <w:b/>
          <w:bCs/>
          <w:sz w:val="24"/>
          <w:szCs w:val="24"/>
        </w:rPr>
      </w:pPr>
      <w:r w:rsidRPr="005A28E7">
        <w:rPr>
          <w:rFonts w:ascii="Times New Roman" w:hAnsi="Times New Roman" w:cs="Times New Roman"/>
          <w:b/>
          <w:bCs/>
          <w:sz w:val="24"/>
          <w:szCs w:val="24"/>
        </w:rPr>
        <w:lastRenderedPageBreak/>
        <w:t>Liquidity Ratio</w:t>
      </w:r>
    </w:p>
    <w:p w:rsidR="009026CF" w:rsidRDefault="009026CF" w:rsidP="009026CF">
      <w:pPr>
        <w:rPr>
          <w:rFonts w:ascii="Times New Roman" w:hAnsi="Times New Roman" w:cs="Times New Roman"/>
          <w:sz w:val="24"/>
        </w:rPr>
      </w:pPr>
      <w:r>
        <w:rPr>
          <w:rFonts w:ascii="Times New Roman" w:hAnsi="Times New Roman" w:cs="Times New Roman"/>
          <w:noProof/>
          <w:sz w:val="24"/>
        </w:rPr>
        <w:drawing>
          <wp:inline distT="0" distB="0" distL="0" distR="0" wp14:anchorId="4ED5A917" wp14:editId="75C4C100">
            <wp:extent cx="5743575" cy="2838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2838450"/>
                    </a:xfrm>
                    <a:prstGeom prst="rect">
                      <a:avLst/>
                    </a:prstGeom>
                    <a:noFill/>
                    <a:ln>
                      <a:noFill/>
                    </a:ln>
                  </pic:spPr>
                </pic:pic>
              </a:graphicData>
            </a:graphic>
          </wp:inline>
        </w:drawing>
      </w:r>
    </w:p>
    <w:p w:rsidR="00F92E04" w:rsidRPr="00F92E04" w:rsidRDefault="00F92E04" w:rsidP="00901148">
      <w:pPr>
        <w:spacing w:line="360" w:lineRule="auto"/>
        <w:jc w:val="both"/>
        <w:rPr>
          <w:rFonts w:ascii="Times New Roman" w:hAnsi="Times New Roman" w:cs="Times New Roman"/>
          <w:b/>
          <w:sz w:val="24"/>
        </w:rPr>
      </w:pPr>
      <w:r w:rsidRPr="00F92E04">
        <w:rPr>
          <w:rFonts w:ascii="Times New Roman" w:hAnsi="Times New Roman" w:cs="Times New Roman"/>
          <w:b/>
          <w:sz w:val="24"/>
        </w:rPr>
        <w:t>INTERPRETATION</w:t>
      </w:r>
    </w:p>
    <w:p w:rsidR="00513D1D" w:rsidRDefault="00513D1D" w:rsidP="00901148">
      <w:pPr>
        <w:spacing w:line="360" w:lineRule="auto"/>
        <w:jc w:val="both"/>
        <w:rPr>
          <w:rFonts w:ascii="Times New Roman" w:hAnsi="Times New Roman" w:cs="Times New Roman"/>
          <w:sz w:val="24"/>
        </w:rPr>
      </w:pPr>
      <w:r>
        <w:rPr>
          <w:rFonts w:ascii="Times New Roman" w:hAnsi="Times New Roman" w:cs="Times New Roman"/>
          <w:sz w:val="24"/>
        </w:rPr>
        <w:t>ITC</w:t>
      </w:r>
      <w:r w:rsidR="009026CF">
        <w:rPr>
          <w:rFonts w:ascii="Times New Roman" w:hAnsi="Times New Roman" w:cs="Times New Roman"/>
          <w:sz w:val="24"/>
        </w:rPr>
        <w:t xml:space="preserve"> have high liquidity ratios,</w:t>
      </w:r>
      <w:r w:rsidR="009026CF" w:rsidRPr="003451BF">
        <w:rPr>
          <w:rFonts w:ascii="Times New Roman" w:hAnsi="Times New Roman" w:cs="Times New Roman"/>
          <w:sz w:val="24"/>
        </w:rPr>
        <w:t xml:space="preserve"> the higher the margin of safety that the </w:t>
      </w:r>
      <w:proofErr w:type="gramStart"/>
      <w:r w:rsidR="009026CF" w:rsidRPr="003451BF">
        <w:rPr>
          <w:rFonts w:ascii="Times New Roman" w:hAnsi="Times New Roman" w:cs="Times New Roman"/>
          <w:sz w:val="24"/>
        </w:rPr>
        <w:t>company possess</w:t>
      </w:r>
      <w:proofErr w:type="gramEnd"/>
      <w:r w:rsidR="009026CF" w:rsidRPr="003451BF">
        <w:rPr>
          <w:rFonts w:ascii="Times New Roman" w:hAnsi="Times New Roman" w:cs="Times New Roman"/>
          <w:sz w:val="24"/>
        </w:rPr>
        <w:t xml:space="preserve"> to meet its current liabilities. Liquidity ratios greater than 1 indicate that the company is in good financial health and it is less likely fall into financial difficulties.</w:t>
      </w:r>
      <w:r w:rsidR="009026CF">
        <w:rPr>
          <w:rFonts w:ascii="Times New Roman" w:hAnsi="Times New Roman" w:cs="Times New Roman"/>
          <w:sz w:val="24"/>
        </w:rPr>
        <w:t xml:space="preserve"> </w:t>
      </w:r>
    </w:p>
    <w:p w:rsidR="009026CF" w:rsidRDefault="009026CF" w:rsidP="00901148">
      <w:pPr>
        <w:spacing w:line="360" w:lineRule="auto"/>
        <w:jc w:val="both"/>
        <w:rPr>
          <w:rFonts w:ascii="Times New Roman" w:hAnsi="Times New Roman" w:cs="Times New Roman"/>
          <w:sz w:val="24"/>
        </w:rPr>
      </w:pPr>
      <w:r>
        <w:rPr>
          <w:rFonts w:ascii="Times New Roman" w:hAnsi="Times New Roman" w:cs="Times New Roman"/>
          <w:sz w:val="24"/>
        </w:rPr>
        <w:t xml:space="preserve">Current ratio indicates </w:t>
      </w:r>
      <w:r w:rsidR="00513D1D">
        <w:rPr>
          <w:rFonts w:ascii="Times New Roman" w:hAnsi="Times New Roman" w:cs="Times New Roman"/>
          <w:sz w:val="24"/>
        </w:rPr>
        <w:t>ITC</w:t>
      </w:r>
      <w:r w:rsidRPr="003451BF">
        <w:rPr>
          <w:rFonts w:ascii="Times New Roman" w:hAnsi="Times New Roman" w:cs="Times New Roman"/>
          <w:sz w:val="24"/>
        </w:rPr>
        <w:t>'s ability to meet short-term debt obligations. The current ratio measures whether or not a firm has enough resources to pay its debts over the next 12 month</w:t>
      </w:r>
      <w:r>
        <w:rPr>
          <w:rFonts w:ascii="Times New Roman" w:hAnsi="Times New Roman" w:cs="Times New Roman"/>
          <w:sz w:val="24"/>
        </w:rPr>
        <w:t>.</w:t>
      </w:r>
    </w:p>
    <w:p w:rsidR="009026CF" w:rsidRDefault="009026CF" w:rsidP="00901148">
      <w:pPr>
        <w:spacing w:line="360" w:lineRule="auto"/>
        <w:jc w:val="both"/>
        <w:rPr>
          <w:rFonts w:ascii="Times New Roman" w:hAnsi="Times New Roman" w:cs="Times New Roman"/>
          <w:b/>
          <w:bCs/>
          <w:sz w:val="28"/>
          <w:szCs w:val="24"/>
        </w:rPr>
      </w:pPr>
    </w:p>
    <w:p w:rsidR="009026CF" w:rsidRDefault="009026CF" w:rsidP="00901148">
      <w:pPr>
        <w:spacing w:line="360" w:lineRule="auto"/>
        <w:jc w:val="both"/>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9026CF" w:rsidRDefault="009026CF" w:rsidP="009026CF">
      <w:pPr>
        <w:rPr>
          <w:rFonts w:ascii="Times New Roman" w:hAnsi="Times New Roman" w:cs="Times New Roman"/>
          <w:b/>
          <w:bCs/>
          <w:sz w:val="28"/>
          <w:szCs w:val="24"/>
        </w:rPr>
      </w:pPr>
    </w:p>
    <w:p w:rsidR="007A7C56" w:rsidRDefault="007A7C56" w:rsidP="009026CF">
      <w:pPr>
        <w:rPr>
          <w:rFonts w:ascii="Times New Roman" w:hAnsi="Times New Roman" w:cs="Times New Roman"/>
          <w:b/>
          <w:bCs/>
          <w:sz w:val="28"/>
          <w:szCs w:val="24"/>
        </w:rPr>
      </w:pPr>
    </w:p>
    <w:p w:rsidR="009026CF" w:rsidRPr="005A28E7" w:rsidRDefault="009026CF" w:rsidP="009026CF">
      <w:pPr>
        <w:rPr>
          <w:rFonts w:ascii="Times New Roman" w:hAnsi="Times New Roman" w:cs="Times New Roman"/>
          <w:b/>
          <w:bCs/>
          <w:sz w:val="24"/>
          <w:szCs w:val="24"/>
        </w:rPr>
      </w:pPr>
      <w:r w:rsidRPr="005A28E7">
        <w:rPr>
          <w:rFonts w:ascii="Times New Roman" w:hAnsi="Times New Roman" w:cs="Times New Roman"/>
          <w:b/>
          <w:bCs/>
          <w:sz w:val="24"/>
          <w:szCs w:val="24"/>
        </w:rPr>
        <w:t>Profitability Ratio</w:t>
      </w:r>
    </w:p>
    <w:p w:rsidR="009026CF" w:rsidRDefault="009026CF" w:rsidP="009026CF">
      <w:pPr>
        <w:rPr>
          <w:rFonts w:ascii="Times New Roman" w:hAnsi="Times New Roman" w:cs="Times New Roman"/>
          <w:sz w:val="24"/>
        </w:rPr>
      </w:pPr>
      <w:r>
        <w:rPr>
          <w:rFonts w:ascii="Times New Roman" w:hAnsi="Times New Roman" w:cs="Times New Roman"/>
          <w:noProof/>
          <w:sz w:val="24"/>
        </w:rPr>
        <w:drawing>
          <wp:inline distT="0" distB="0" distL="0" distR="0" wp14:anchorId="5E0A28C2" wp14:editId="46CA71FE">
            <wp:extent cx="5724525" cy="2562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rsidR="00F92E04" w:rsidRPr="00F92E04" w:rsidRDefault="00F92E04" w:rsidP="00F92E04">
      <w:pPr>
        <w:spacing w:line="360" w:lineRule="auto"/>
        <w:jc w:val="both"/>
        <w:rPr>
          <w:rFonts w:ascii="Times New Roman" w:hAnsi="Times New Roman" w:cs="Times New Roman"/>
          <w:b/>
          <w:sz w:val="24"/>
        </w:rPr>
      </w:pPr>
      <w:r w:rsidRPr="00F92E04">
        <w:rPr>
          <w:rFonts w:ascii="Times New Roman" w:hAnsi="Times New Roman" w:cs="Times New Roman"/>
          <w:b/>
          <w:sz w:val="24"/>
        </w:rPr>
        <w:t>INTERPRETATION</w:t>
      </w:r>
    </w:p>
    <w:p w:rsidR="007A7C56" w:rsidRDefault="009026CF" w:rsidP="007A7C56">
      <w:pPr>
        <w:spacing w:line="360" w:lineRule="auto"/>
        <w:jc w:val="both"/>
        <w:rPr>
          <w:rFonts w:ascii="Times New Roman" w:hAnsi="Times New Roman" w:cs="Times New Roman"/>
          <w:sz w:val="24"/>
        </w:rPr>
      </w:pPr>
      <w:r w:rsidRPr="003451BF">
        <w:rPr>
          <w:rFonts w:ascii="Times New Roman" w:hAnsi="Times New Roman" w:cs="Times New Roman"/>
          <w:sz w:val="24"/>
        </w:rPr>
        <w:t>An increase in profit margin compared to the previous period's margin signals an improvement in both operational efficiency</w:t>
      </w:r>
      <w:r>
        <w:rPr>
          <w:rFonts w:ascii="Times New Roman" w:hAnsi="Times New Roman" w:cs="Times New Roman"/>
          <w:sz w:val="24"/>
        </w:rPr>
        <w:t xml:space="preserve"> and profitability m</w:t>
      </w:r>
      <w:r w:rsidRPr="003451BF">
        <w:rPr>
          <w:rFonts w:ascii="Times New Roman" w:hAnsi="Times New Roman" w:cs="Times New Roman"/>
          <w:sz w:val="24"/>
        </w:rPr>
        <w:t>eans the company improved its prof</w:t>
      </w:r>
      <w:r>
        <w:rPr>
          <w:rFonts w:ascii="Times New Roman" w:hAnsi="Times New Roman" w:cs="Times New Roman"/>
          <w:sz w:val="24"/>
        </w:rPr>
        <w:t>its and efficiency</w:t>
      </w:r>
      <w:r w:rsidRPr="003451BF">
        <w:rPr>
          <w:rFonts w:ascii="Times New Roman" w:hAnsi="Times New Roman" w:cs="Times New Roman"/>
          <w:sz w:val="24"/>
        </w:rPr>
        <w:t>. A margin higher than those of other companies or higher than</w:t>
      </w:r>
      <w:r>
        <w:rPr>
          <w:rFonts w:ascii="Times New Roman" w:hAnsi="Times New Roman" w:cs="Times New Roman"/>
          <w:sz w:val="24"/>
        </w:rPr>
        <w:t xml:space="preserve"> the industry average means </w:t>
      </w:r>
      <w:r w:rsidR="00513D1D">
        <w:rPr>
          <w:rFonts w:ascii="Times New Roman" w:hAnsi="Times New Roman" w:cs="Times New Roman"/>
          <w:sz w:val="24"/>
        </w:rPr>
        <w:t>ITC</w:t>
      </w:r>
      <w:r w:rsidRPr="003451BF">
        <w:rPr>
          <w:rFonts w:ascii="Times New Roman" w:hAnsi="Times New Roman" w:cs="Times New Roman"/>
          <w:sz w:val="24"/>
        </w:rPr>
        <w:t xml:space="preserve"> business performed better than those companies during that period.</w:t>
      </w: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F92E04" w:rsidRDefault="00F92E04" w:rsidP="007A7C56">
      <w:pPr>
        <w:spacing w:line="360" w:lineRule="auto"/>
        <w:jc w:val="both"/>
        <w:rPr>
          <w:rFonts w:ascii="Times New Roman" w:hAnsi="Times New Roman" w:cs="Times New Roman"/>
          <w:b/>
          <w:bCs/>
          <w:sz w:val="24"/>
          <w:szCs w:val="24"/>
        </w:rPr>
      </w:pPr>
    </w:p>
    <w:p w:rsidR="009026CF" w:rsidRPr="007A7C56" w:rsidRDefault="009026CF" w:rsidP="007A7C56">
      <w:pPr>
        <w:spacing w:line="360" w:lineRule="auto"/>
        <w:jc w:val="both"/>
        <w:rPr>
          <w:rFonts w:ascii="Times New Roman" w:hAnsi="Times New Roman" w:cs="Times New Roman"/>
          <w:sz w:val="24"/>
        </w:rPr>
      </w:pPr>
      <w:r w:rsidRPr="005A28E7">
        <w:rPr>
          <w:rFonts w:ascii="Times New Roman" w:hAnsi="Times New Roman" w:cs="Times New Roman"/>
          <w:b/>
          <w:bCs/>
          <w:sz w:val="24"/>
          <w:szCs w:val="24"/>
        </w:rPr>
        <w:lastRenderedPageBreak/>
        <w:t>Activity Ratio</w:t>
      </w:r>
    </w:p>
    <w:p w:rsidR="009026CF" w:rsidRDefault="007A7C56" w:rsidP="009026CF">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0288" behindDoc="0" locked="0" layoutInCell="1" allowOverlap="1" wp14:anchorId="5D58C95A" wp14:editId="323158EA">
            <wp:simplePos x="0" y="0"/>
            <wp:positionH relativeFrom="column">
              <wp:posOffset>351790</wp:posOffset>
            </wp:positionH>
            <wp:positionV relativeFrom="paragraph">
              <wp:posOffset>321310</wp:posOffset>
            </wp:positionV>
            <wp:extent cx="5572125" cy="3388360"/>
            <wp:effectExtent l="0" t="0" r="952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38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26CF" w:rsidRDefault="009026CF"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7A7C56" w:rsidRDefault="007A7C56" w:rsidP="009026CF">
      <w:pPr>
        <w:rPr>
          <w:rFonts w:ascii="Times New Roman" w:hAnsi="Times New Roman" w:cs="Times New Roman"/>
          <w:sz w:val="24"/>
        </w:rPr>
      </w:pPr>
    </w:p>
    <w:p w:rsidR="00F92E04" w:rsidRDefault="00F92E04" w:rsidP="007A7C56">
      <w:pPr>
        <w:spacing w:line="360" w:lineRule="auto"/>
        <w:jc w:val="both"/>
        <w:rPr>
          <w:rFonts w:ascii="Times New Roman" w:hAnsi="Times New Roman" w:cs="Times New Roman"/>
          <w:sz w:val="24"/>
        </w:rPr>
      </w:pPr>
    </w:p>
    <w:p w:rsidR="00F92E04" w:rsidRDefault="00F92E04" w:rsidP="00F92E04">
      <w:pPr>
        <w:spacing w:line="360" w:lineRule="auto"/>
        <w:jc w:val="both"/>
        <w:rPr>
          <w:rFonts w:ascii="Times New Roman" w:hAnsi="Times New Roman" w:cs="Times New Roman"/>
          <w:b/>
          <w:sz w:val="24"/>
        </w:rPr>
      </w:pPr>
    </w:p>
    <w:p w:rsidR="00F92E04" w:rsidRDefault="00F92E04" w:rsidP="007A7C56">
      <w:pPr>
        <w:spacing w:line="360" w:lineRule="auto"/>
        <w:jc w:val="both"/>
        <w:rPr>
          <w:rFonts w:ascii="Times New Roman" w:hAnsi="Times New Roman" w:cs="Times New Roman"/>
          <w:b/>
          <w:sz w:val="24"/>
        </w:rPr>
      </w:pPr>
      <w:r>
        <w:rPr>
          <w:rFonts w:ascii="Times New Roman" w:hAnsi="Times New Roman" w:cs="Times New Roman"/>
          <w:b/>
          <w:sz w:val="24"/>
        </w:rPr>
        <w:t>INTERPRETATION</w:t>
      </w:r>
    </w:p>
    <w:p w:rsidR="009026CF" w:rsidRPr="00F92E04" w:rsidRDefault="009026CF" w:rsidP="007A7C56">
      <w:pPr>
        <w:spacing w:line="360" w:lineRule="auto"/>
        <w:jc w:val="both"/>
        <w:rPr>
          <w:rFonts w:ascii="Times New Roman" w:hAnsi="Times New Roman" w:cs="Times New Roman"/>
          <w:b/>
          <w:sz w:val="24"/>
        </w:rPr>
      </w:pPr>
      <w:r>
        <w:rPr>
          <w:rFonts w:ascii="Times New Roman" w:hAnsi="Times New Roman" w:cs="Times New Roman"/>
          <w:sz w:val="24"/>
        </w:rPr>
        <w:t>A high debtor</w:t>
      </w:r>
      <w:r w:rsidRPr="003451BF">
        <w:rPr>
          <w:rFonts w:ascii="Times New Roman" w:hAnsi="Times New Roman" w:cs="Times New Roman"/>
          <w:sz w:val="24"/>
        </w:rPr>
        <w:t xml:space="preserve"> turnover ratio implies either that the company operates on a cash basis or that its extension of credit and collection of accounts receivable are efficient. Also, a high ratio reflects a short lapse of time between sales and the collection of cash, while a low number means collection takes longer.</w:t>
      </w:r>
    </w:p>
    <w:p w:rsidR="009026CF" w:rsidRDefault="009026CF" w:rsidP="007A7C56">
      <w:pPr>
        <w:spacing w:line="360" w:lineRule="auto"/>
        <w:jc w:val="both"/>
        <w:rPr>
          <w:rFonts w:ascii="Times New Roman" w:hAnsi="Times New Roman" w:cs="Times New Roman"/>
          <w:sz w:val="24"/>
        </w:rPr>
      </w:pPr>
      <w:r w:rsidRPr="003451BF">
        <w:rPr>
          <w:rFonts w:ascii="Times New Roman" w:hAnsi="Times New Roman" w:cs="Times New Roman"/>
          <w:sz w:val="24"/>
        </w:rPr>
        <w:t>A lo</w:t>
      </w:r>
      <w:r>
        <w:rPr>
          <w:rFonts w:ascii="Times New Roman" w:hAnsi="Times New Roman" w:cs="Times New Roman"/>
          <w:sz w:val="24"/>
        </w:rPr>
        <w:t>w inventory turnover ratio can be seen because of rescission but it is very well aligned with FMCG industry average.</w:t>
      </w: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9026CF" w:rsidRPr="005A28E7" w:rsidRDefault="009026CF" w:rsidP="009026CF">
      <w:pPr>
        <w:rPr>
          <w:rFonts w:ascii="Times New Roman" w:hAnsi="Times New Roman" w:cs="Times New Roman"/>
          <w:b/>
          <w:bCs/>
          <w:sz w:val="24"/>
          <w:szCs w:val="24"/>
        </w:rPr>
      </w:pPr>
      <w:r w:rsidRPr="005A28E7">
        <w:rPr>
          <w:rFonts w:ascii="Times New Roman" w:hAnsi="Times New Roman" w:cs="Times New Roman"/>
          <w:b/>
          <w:bCs/>
          <w:sz w:val="24"/>
          <w:szCs w:val="24"/>
        </w:rPr>
        <w:lastRenderedPageBreak/>
        <w:t>Leverage Ratio</w:t>
      </w:r>
    </w:p>
    <w:p w:rsidR="009026CF" w:rsidRDefault="009026CF" w:rsidP="009026CF">
      <w:pPr>
        <w:rPr>
          <w:rFonts w:ascii="Times New Roman" w:hAnsi="Times New Roman" w:cs="Times New Roman"/>
          <w:b/>
          <w:bCs/>
          <w:sz w:val="24"/>
        </w:rPr>
      </w:pPr>
      <w:r>
        <w:rPr>
          <w:rFonts w:ascii="Times New Roman" w:hAnsi="Times New Roman" w:cs="Times New Roman"/>
          <w:noProof/>
          <w:sz w:val="24"/>
        </w:rPr>
        <w:drawing>
          <wp:inline distT="0" distB="0" distL="0" distR="0" wp14:anchorId="69A8C7C7" wp14:editId="0B05181B">
            <wp:extent cx="5731510" cy="2780068"/>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780068"/>
                    </a:xfrm>
                    <a:prstGeom prst="rect">
                      <a:avLst/>
                    </a:prstGeom>
                    <a:noFill/>
                    <a:ln>
                      <a:noFill/>
                    </a:ln>
                  </pic:spPr>
                </pic:pic>
              </a:graphicData>
            </a:graphic>
          </wp:inline>
        </w:drawing>
      </w:r>
    </w:p>
    <w:p w:rsidR="00F92E04" w:rsidRPr="00F92E04" w:rsidRDefault="00F92E04" w:rsidP="00F92E04">
      <w:pPr>
        <w:spacing w:line="360" w:lineRule="auto"/>
        <w:jc w:val="both"/>
        <w:rPr>
          <w:rFonts w:ascii="Times New Roman" w:hAnsi="Times New Roman" w:cs="Times New Roman"/>
          <w:b/>
          <w:sz w:val="24"/>
        </w:rPr>
      </w:pPr>
      <w:r w:rsidRPr="00F92E04">
        <w:rPr>
          <w:rFonts w:ascii="Times New Roman" w:hAnsi="Times New Roman" w:cs="Times New Roman"/>
          <w:b/>
          <w:sz w:val="24"/>
        </w:rPr>
        <w:t>INTERPRETATION</w:t>
      </w:r>
    </w:p>
    <w:p w:rsidR="009026CF" w:rsidRDefault="009026CF" w:rsidP="00901148">
      <w:pPr>
        <w:spacing w:line="360" w:lineRule="auto"/>
        <w:jc w:val="both"/>
        <w:rPr>
          <w:rFonts w:ascii="Times New Roman" w:hAnsi="Times New Roman" w:cs="Times New Roman"/>
          <w:sz w:val="24"/>
        </w:rPr>
      </w:pPr>
      <w:r>
        <w:rPr>
          <w:rFonts w:ascii="Times New Roman" w:hAnsi="Times New Roman" w:cs="Times New Roman"/>
          <w:sz w:val="24"/>
        </w:rPr>
        <w:t>A very high interest cover suggest</w:t>
      </w:r>
      <w:r w:rsidRPr="00260ACC">
        <w:rPr>
          <w:rFonts w:ascii="Times New Roman" w:hAnsi="Times New Roman" w:cs="Times New Roman"/>
          <w:sz w:val="24"/>
        </w:rPr>
        <w:t xml:space="preserve"> that the company is not capitalizing on the relatively cheaper source of finance (i.e. debt) and in such instances an increase in gearing ratio may actually add value to the </w:t>
      </w:r>
      <w:r>
        <w:rPr>
          <w:rFonts w:ascii="Times New Roman" w:hAnsi="Times New Roman" w:cs="Times New Roman"/>
          <w:sz w:val="24"/>
        </w:rPr>
        <w:t xml:space="preserve">enterprise. </w:t>
      </w:r>
    </w:p>
    <w:p w:rsidR="009026CF" w:rsidRDefault="009026CF" w:rsidP="00901148">
      <w:pPr>
        <w:spacing w:line="360" w:lineRule="auto"/>
        <w:jc w:val="both"/>
        <w:rPr>
          <w:rFonts w:ascii="Times New Roman" w:hAnsi="Times New Roman" w:cs="Times New Roman"/>
          <w:sz w:val="24"/>
        </w:rPr>
      </w:pPr>
      <w:r w:rsidRPr="008202A8">
        <w:rPr>
          <w:rFonts w:ascii="Times New Roman" w:hAnsi="Times New Roman" w:cs="Times New Roman"/>
          <w:sz w:val="24"/>
        </w:rPr>
        <w:t xml:space="preserve">Interest coverage is an indication of the margin of safety it </w:t>
      </w:r>
      <w:r>
        <w:rPr>
          <w:rFonts w:ascii="Times New Roman" w:hAnsi="Times New Roman" w:cs="Times New Roman"/>
          <w:sz w:val="24"/>
        </w:rPr>
        <w:t>does not run</w:t>
      </w:r>
      <w:r w:rsidRPr="008202A8">
        <w:rPr>
          <w:rFonts w:ascii="Times New Roman" w:hAnsi="Times New Roman" w:cs="Times New Roman"/>
          <w:sz w:val="24"/>
        </w:rPr>
        <w:t xml:space="preserve"> the risk of non-payment of interest cost which could potentially threaten its solvency.</w:t>
      </w:r>
    </w:p>
    <w:p w:rsidR="007A7C56" w:rsidRDefault="007A7C56" w:rsidP="009026CF">
      <w:pPr>
        <w:rPr>
          <w:rFonts w:ascii="Times New Roman" w:hAnsi="Times New Roman" w:cs="Times New Roman"/>
          <w:b/>
          <w:bCs/>
          <w:sz w:val="24"/>
          <w:szCs w:val="24"/>
        </w:rPr>
      </w:pPr>
    </w:p>
    <w:p w:rsidR="007A7C56" w:rsidRDefault="007A7C56" w:rsidP="009026CF">
      <w:pPr>
        <w:rPr>
          <w:rFonts w:ascii="Times New Roman" w:hAnsi="Times New Roman" w:cs="Times New Roman"/>
          <w:b/>
          <w:bCs/>
          <w:sz w:val="24"/>
          <w:szCs w:val="24"/>
        </w:rPr>
      </w:pPr>
    </w:p>
    <w:p w:rsidR="007A7C56" w:rsidRDefault="007A7C56" w:rsidP="009026CF">
      <w:pPr>
        <w:rPr>
          <w:rFonts w:ascii="Times New Roman" w:hAnsi="Times New Roman" w:cs="Times New Roman"/>
          <w:b/>
          <w:bCs/>
          <w:sz w:val="24"/>
          <w:szCs w:val="24"/>
        </w:rPr>
      </w:pPr>
    </w:p>
    <w:p w:rsidR="007A7C56" w:rsidRDefault="007A7C56" w:rsidP="009026CF">
      <w:pPr>
        <w:rPr>
          <w:rFonts w:ascii="Times New Roman" w:hAnsi="Times New Roman" w:cs="Times New Roman"/>
          <w:b/>
          <w:bCs/>
          <w:sz w:val="24"/>
          <w:szCs w:val="24"/>
        </w:rPr>
      </w:pPr>
    </w:p>
    <w:p w:rsidR="007A7C56" w:rsidRDefault="007A7C56"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F92E04" w:rsidRDefault="00F92E04" w:rsidP="009026CF">
      <w:pPr>
        <w:rPr>
          <w:rFonts w:ascii="Times New Roman" w:hAnsi="Times New Roman" w:cs="Times New Roman"/>
          <w:b/>
          <w:bCs/>
          <w:sz w:val="24"/>
          <w:szCs w:val="24"/>
        </w:rPr>
      </w:pPr>
    </w:p>
    <w:p w:rsidR="009026CF" w:rsidRPr="005A28E7" w:rsidRDefault="009026CF" w:rsidP="009026CF">
      <w:pPr>
        <w:rPr>
          <w:rFonts w:ascii="Times New Roman" w:hAnsi="Times New Roman" w:cs="Times New Roman"/>
          <w:b/>
          <w:bCs/>
          <w:sz w:val="24"/>
          <w:szCs w:val="24"/>
        </w:rPr>
      </w:pPr>
      <w:r w:rsidRPr="005A28E7">
        <w:rPr>
          <w:rFonts w:ascii="Times New Roman" w:hAnsi="Times New Roman" w:cs="Times New Roman"/>
          <w:b/>
          <w:bCs/>
          <w:sz w:val="24"/>
          <w:szCs w:val="24"/>
        </w:rPr>
        <w:lastRenderedPageBreak/>
        <w:t>Market Ratio</w:t>
      </w:r>
    </w:p>
    <w:p w:rsidR="009026CF" w:rsidRDefault="009026CF" w:rsidP="009026CF">
      <w:pPr>
        <w:rPr>
          <w:rFonts w:ascii="Times New Roman" w:hAnsi="Times New Roman" w:cs="Times New Roman"/>
          <w:sz w:val="24"/>
        </w:rPr>
      </w:pPr>
      <w:r>
        <w:rPr>
          <w:rFonts w:ascii="Times New Roman" w:hAnsi="Times New Roman" w:cs="Times New Roman"/>
          <w:noProof/>
          <w:sz w:val="24"/>
        </w:rPr>
        <w:drawing>
          <wp:inline distT="0" distB="0" distL="0" distR="0" wp14:anchorId="5D7A6C1E" wp14:editId="3C92B076">
            <wp:extent cx="576072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rsidR="009026CF" w:rsidRDefault="009026CF" w:rsidP="009026CF">
      <w:pPr>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056"/>
      </w:tblGrid>
      <w:tr w:rsidR="009026CF" w:rsidRPr="008202A8" w:rsidTr="00F92E04">
        <w:trPr>
          <w:trHeight w:val="300"/>
        </w:trPr>
        <w:tc>
          <w:tcPr>
            <w:tcW w:w="2216" w:type="dxa"/>
            <w:noWrap/>
            <w:hideMark/>
          </w:tcPr>
          <w:p w:rsidR="009026CF" w:rsidRPr="008202A8" w:rsidRDefault="009026CF" w:rsidP="00513D1D">
            <w:pPr>
              <w:rPr>
                <w:rFonts w:ascii="Times New Roman" w:hAnsi="Times New Roman" w:cs="Times New Roman"/>
                <w:sz w:val="24"/>
              </w:rPr>
            </w:pPr>
            <w:r w:rsidRPr="008202A8">
              <w:rPr>
                <w:rFonts w:ascii="Times New Roman" w:hAnsi="Times New Roman" w:cs="Times New Roman"/>
                <w:sz w:val="24"/>
              </w:rPr>
              <w:t>PE Ratios</w:t>
            </w:r>
          </w:p>
        </w:tc>
        <w:tc>
          <w:tcPr>
            <w:tcW w:w="1056" w:type="dxa"/>
            <w:noWrap/>
            <w:hideMark/>
          </w:tcPr>
          <w:p w:rsidR="009026CF" w:rsidRPr="008202A8" w:rsidRDefault="009026CF" w:rsidP="00513D1D">
            <w:pPr>
              <w:rPr>
                <w:rFonts w:ascii="Times New Roman" w:hAnsi="Times New Roman" w:cs="Times New Roman"/>
                <w:sz w:val="24"/>
              </w:rPr>
            </w:pPr>
            <w:r w:rsidRPr="008202A8">
              <w:rPr>
                <w:rFonts w:ascii="Times New Roman" w:hAnsi="Times New Roman" w:cs="Times New Roman"/>
                <w:sz w:val="24"/>
              </w:rPr>
              <w:t>33.2</w:t>
            </w:r>
          </w:p>
        </w:tc>
      </w:tr>
      <w:tr w:rsidR="009026CF" w:rsidRPr="008202A8" w:rsidTr="00F92E04">
        <w:trPr>
          <w:trHeight w:val="300"/>
        </w:trPr>
        <w:tc>
          <w:tcPr>
            <w:tcW w:w="2216" w:type="dxa"/>
            <w:noWrap/>
          </w:tcPr>
          <w:p w:rsidR="009026CF" w:rsidRPr="008202A8" w:rsidRDefault="009026CF" w:rsidP="00513D1D">
            <w:pPr>
              <w:rPr>
                <w:rFonts w:ascii="Times New Roman" w:hAnsi="Times New Roman" w:cs="Times New Roman"/>
                <w:sz w:val="24"/>
              </w:rPr>
            </w:pPr>
            <w:r>
              <w:rPr>
                <w:rFonts w:ascii="Times New Roman" w:hAnsi="Times New Roman" w:cs="Times New Roman"/>
                <w:sz w:val="24"/>
              </w:rPr>
              <w:t>Current Share price</w:t>
            </w:r>
          </w:p>
        </w:tc>
        <w:tc>
          <w:tcPr>
            <w:tcW w:w="1056" w:type="dxa"/>
            <w:noWrap/>
          </w:tcPr>
          <w:p w:rsidR="009026CF" w:rsidRPr="008202A8" w:rsidRDefault="00513D1D" w:rsidP="00513D1D">
            <w:pPr>
              <w:rPr>
                <w:rFonts w:ascii="Times New Roman" w:hAnsi="Times New Roman" w:cs="Times New Roman"/>
                <w:sz w:val="24"/>
              </w:rPr>
            </w:pPr>
            <w:r>
              <w:rPr>
                <w:rFonts w:ascii="Times New Roman" w:hAnsi="Times New Roman" w:cs="Times New Roman"/>
                <w:sz w:val="24"/>
              </w:rPr>
              <w:t>337.70</w:t>
            </w:r>
          </w:p>
        </w:tc>
      </w:tr>
    </w:tbl>
    <w:p w:rsidR="009026CF" w:rsidRDefault="009026CF" w:rsidP="009026CF">
      <w:pPr>
        <w:rPr>
          <w:rFonts w:ascii="Times New Roman" w:hAnsi="Times New Roman" w:cs="Times New Roman"/>
          <w:sz w:val="24"/>
        </w:rPr>
      </w:pPr>
    </w:p>
    <w:p w:rsidR="00F92E04" w:rsidRPr="00F92E04" w:rsidRDefault="00F92E04" w:rsidP="00F92E04">
      <w:pPr>
        <w:spacing w:line="360" w:lineRule="auto"/>
        <w:jc w:val="both"/>
        <w:rPr>
          <w:rFonts w:ascii="Times New Roman" w:hAnsi="Times New Roman" w:cs="Times New Roman"/>
          <w:b/>
          <w:sz w:val="24"/>
        </w:rPr>
      </w:pPr>
      <w:r w:rsidRPr="00F92E04">
        <w:rPr>
          <w:rFonts w:ascii="Times New Roman" w:hAnsi="Times New Roman" w:cs="Times New Roman"/>
          <w:b/>
          <w:sz w:val="24"/>
        </w:rPr>
        <w:t>INTERPRETATION</w:t>
      </w:r>
    </w:p>
    <w:p w:rsidR="009026CF" w:rsidRDefault="009026CF" w:rsidP="00E2376A">
      <w:pPr>
        <w:spacing w:line="360" w:lineRule="auto"/>
        <w:jc w:val="both"/>
        <w:rPr>
          <w:rFonts w:ascii="Times New Roman" w:hAnsi="Times New Roman" w:cs="Times New Roman"/>
          <w:sz w:val="24"/>
        </w:rPr>
      </w:pPr>
      <w:r w:rsidRPr="008202A8">
        <w:rPr>
          <w:rFonts w:ascii="Times New Roman" w:hAnsi="Times New Roman" w:cs="Times New Roman"/>
          <w:sz w:val="24"/>
        </w:rPr>
        <w:t>Generally, stocks that are expected to grow earnin</w:t>
      </w:r>
      <w:r>
        <w:rPr>
          <w:rFonts w:ascii="Times New Roman" w:hAnsi="Times New Roman" w:cs="Times New Roman"/>
          <w:sz w:val="24"/>
        </w:rPr>
        <w:t>gs will have a higher P/</w:t>
      </w:r>
      <w:proofErr w:type="gramStart"/>
      <w:r>
        <w:rPr>
          <w:rFonts w:ascii="Times New Roman" w:hAnsi="Times New Roman" w:cs="Times New Roman"/>
          <w:sz w:val="24"/>
        </w:rPr>
        <w:t>E,</w:t>
      </w:r>
      <w:proofErr w:type="gramEnd"/>
      <w:r>
        <w:rPr>
          <w:rFonts w:ascii="Times New Roman" w:hAnsi="Times New Roman" w:cs="Times New Roman"/>
          <w:sz w:val="24"/>
        </w:rPr>
        <w:t xml:space="preserve"> </w:t>
      </w:r>
      <w:r w:rsidR="00513D1D">
        <w:rPr>
          <w:rFonts w:ascii="Times New Roman" w:hAnsi="Times New Roman" w:cs="Times New Roman"/>
          <w:sz w:val="24"/>
        </w:rPr>
        <w:t>ITC</w:t>
      </w:r>
      <w:r>
        <w:rPr>
          <w:rFonts w:ascii="Times New Roman" w:hAnsi="Times New Roman" w:cs="Times New Roman"/>
          <w:sz w:val="24"/>
        </w:rPr>
        <w:t xml:space="preserve"> companies with high growth have a higher</w:t>
      </w:r>
      <w:r w:rsidRPr="008202A8">
        <w:rPr>
          <w:rFonts w:ascii="Times New Roman" w:hAnsi="Times New Roman" w:cs="Times New Roman"/>
          <w:sz w:val="24"/>
        </w:rPr>
        <w:t xml:space="preserve"> ratio.  </w:t>
      </w:r>
      <w:r w:rsidR="00513D1D">
        <w:rPr>
          <w:rFonts w:ascii="Times New Roman" w:hAnsi="Times New Roman" w:cs="Times New Roman"/>
          <w:sz w:val="24"/>
        </w:rPr>
        <w:t>ITC</w:t>
      </w:r>
      <w:r>
        <w:rPr>
          <w:rFonts w:ascii="Times New Roman" w:hAnsi="Times New Roman" w:cs="Times New Roman"/>
          <w:sz w:val="24"/>
        </w:rPr>
        <w:t xml:space="preserve"> with the higher P/E is said to be overvalued by the market. </w:t>
      </w:r>
    </w:p>
    <w:p w:rsidR="00901148" w:rsidRDefault="009026CF" w:rsidP="00901148">
      <w:pPr>
        <w:spacing w:line="360" w:lineRule="auto"/>
        <w:jc w:val="both"/>
        <w:rPr>
          <w:rFonts w:ascii="Times New Roman" w:hAnsi="Times New Roman" w:cs="Times New Roman"/>
          <w:sz w:val="24"/>
        </w:rPr>
      </w:pPr>
      <w:r>
        <w:rPr>
          <w:rFonts w:ascii="Times New Roman" w:hAnsi="Times New Roman" w:cs="Times New Roman"/>
          <w:sz w:val="24"/>
        </w:rPr>
        <w:t>The</w:t>
      </w:r>
      <w:r w:rsidRPr="00861051">
        <w:rPr>
          <w:rFonts w:ascii="Times New Roman" w:hAnsi="Times New Roman" w:cs="Times New Roman"/>
          <w:sz w:val="24"/>
        </w:rPr>
        <w:t xml:space="preserve"> share price should reflect a firm’s future value creation potential, greater value creation can indicate greater future dividends from the company.  A higher P/E ratio should reflect greater expected future gains because of perceived growth opportunities and/or some competitive advantages and/or lesser risk, but at the same time it indicates that the share price is relatively more expensive.</w:t>
      </w:r>
    </w:p>
    <w:p w:rsidR="007A7C56" w:rsidRDefault="007A7C56" w:rsidP="00901148">
      <w:pPr>
        <w:spacing w:line="360" w:lineRule="auto"/>
        <w:jc w:val="both"/>
        <w:rPr>
          <w:rFonts w:ascii="Times New Roman" w:hAnsi="Times New Roman" w:cs="Times New Roman"/>
          <w:b/>
          <w:bCs/>
          <w:sz w:val="28"/>
          <w:szCs w:val="24"/>
        </w:rPr>
      </w:pPr>
    </w:p>
    <w:p w:rsidR="007A7C56" w:rsidRDefault="007A7C56" w:rsidP="00901148">
      <w:pPr>
        <w:spacing w:line="360" w:lineRule="auto"/>
        <w:jc w:val="both"/>
        <w:rPr>
          <w:rFonts w:ascii="Times New Roman" w:hAnsi="Times New Roman" w:cs="Times New Roman"/>
          <w:b/>
          <w:bCs/>
          <w:sz w:val="28"/>
          <w:szCs w:val="24"/>
        </w:rPr>
      </w:pPr>
    </w:p>
    <w:p w:rsidR="00F92E04" w:rsidRDefault="00F92E04" w:rsidP="00901148">
      <w:pPr>
        <w:spacing w:line="360" w:lineRule="auto"/>
        <w:jc w:val="both"/>
        <w:rPr>
          <w:rFonts w:ascii="Times New Roman" w:hAnsi="Times New Roman" w:cs="Times New Roman"/>
          <w:b/>
          <w:bCs/>
          <w:sz w:val="28"/>
          <w:szCs w:val="24"/>
        </w:rPr>
      </w:pPr>
    </w:p>
    <w:p w:rsidR="009026CF" w:rsidRPr="00901148" w:rsidRDefault="009026CF" w:rsidP="00901148">
      <w:pPr>
        <w:spacing w:line="360" w:lineRule="auto"/>
        <w:jc w:val="both"/>
        <w:rPr>
          <w:rFonts w:ascii="Times New Roman" w:hAnsi="Times New Roman" w:cs="Times New Roman"/>
          <w:sz w:val="24"/>
        </w:rPr>
      </w:pPr>
      <w:r w:rsidRPr="00297049">
        <w:rPr>
          <w:rFonts w:ascii="Times New Roman" w:hAnsi="Times New Roman" w:cs="Times New Roman"/>
          <w:b/>
          <w:bCs/>
          <w:sz w:val="28"/>
          <w:szCs w:val="24"/>
        </w:rPr>
        <w:lastRenderedPageBreak/>
        <w:t>Du Point Analysis</w:t>
      </w:r>
    </w:p>
    <w:p w:rsidR="009026CF" w:rsidRPr="00EE7BF1" w:rsidRDefault="009026CF" w:rsidP="009026CF">
      <w:pPr>
        <w:rPr>
          <w:rFonts w:ascii="Times New Roman" w:hAnsi="Times New Roman" w:cs="Times New Roman"/>
          <w:sz w:val="24"/>
        </w:rPr>
      </w:pPr>
      <w:r w:rsidRPr="00EE7BF1">
        <w:rPr>
          <w:rFonts w:ascii="Times New Roman" w:hAnsi="Times New Roman" w:cs="Times New Roman"/>
          <w:sz w:val="24"/>
        </w:rPr>
        <w:t xml:space="preserve">DuPont analysis tells us that ROE is affected by three things: </w:t>
      </w:r>
    </w:p>
    <w:p w:rsidR="009026CF" w:rsidRPr="00EE7BF1" w:rsidRDefault="009026CF" w:rsidP="009026CF">
      <w:pPr>
        <w:pStyle w:val="ListParagraph"/>
        <w:numPr>
          <w:ilvl w:val="0"/>
          <w:numId w:val="9"/>
        </w:numPr>
        <w:spacing w:after="160" w:line="259" w:lineRule="auto"/>
        <w:ind w:left="426" w:firstLine="0"/>
        <w:rPr>
          <w:rFonts w:ascii="Times New Roman" w:hAnsi="Times New Roman" w:cs="Times New Roman"/>
          <w:sz w:val="24"/>
        </w:rPr>
      </w:pPr>
      <w:r w:rsidRPr="00EE7BF1">
        <w:rPr>
          <w:rFonts w:ascii="Times New Roman" w:hAnsi="Times New Roman" w:cs="Times New Roman"/>
          <w:sz w:val="24"/>
        </w:rPr>
        <w:t>Operating efficiency, which is measured by profit margin</w:t>
      </w:r>
    </w:p>
    <w:p w:rsidR="009026CF" w:rsidRPr="00EE7BF1" w:rsidRDefault="009026CF" w:rsidP="009026CF">
      <w:pPr>
        <w:pStyle w:val="ListParagraph"/>
        <w:numPr>
          <w:ilvl w:val="0"/>
          <w:numId w:val="9"/>
        </w:numPr>
        <w:spacing w:after="160" w:line="259" w:lineRule="auto"/>
        <w:ind w:left="426" w:firstLine="0"/>
        <w:rPr>
          <w:rFonts w:ascii="Times New Roman" w:hAnsi="Times New Roman" w:cs="Times New Roman"/>
          <w:sz w:val="24"/>
        </w:rPr>
      </w:pPr>
      <w:r w:rsidRPr="00EE7BF1">
        <w:rPr>
          <w:rFonts w:ascii="Times New Roman" w:hAnsi="Times New Roman" w:cs="Times New Roman"/>
          <w:sz w:val="24"/>
        </w:rPr>
        <w:t>Asset use efficiency, which is measured by total asset turnover</w:t>
      </w:r>
    </w:p>
    <w:p w:rsidR="009026CF" w:rsidRDefault="009026CF" w:rsidP="009026CF">
      <w:pPr>
        <w:pStyle w:val="ListParagraph"/>
        <w:numPr>
          <w:ilvl w:val="0"/>
          <w:numId w:val="9"/>
        </w:numPr>
        <w:spacing w:after="160" w:line="259" w:lineRule="auto"/>
        <w:ind w:left="426" w:firstLine="0"/>
        <w:rPr>
          <w:rFonts w:ascii="Times New Roman" w:hAnsi="Times New Roman" w:cs="Times New Roman"/>
          <w:sz w:val="24"/>
        </w:rPr>
      </w:pPr>
      <w:r w:rsidRPr="00EE7BF1">
        <w:rPr>
          <w:rFonts w:ascii="Times New Roman" w:hAnsi="Times New Roman" w:cs="Times New Roman"/>
          <w:sz w:val="24"/>
        </w:rPr>
        <w:t>Financial leverage, which is measured by the equity multiplier</w:t>
      </w:r>
    </w:p>
    <w:p w:rsidR="007A7C56" w:rsidRDefault="007A7C56" w:rsidP="007A7C56">
      <w:pPr>
        <w:pStyle w:val="ListParagraph"/>
        <w:spacing w:after="160" w:line="259" w:lineRule="auto"/>
        <w:ind w:left="426"/>
        <w:rPr>
          <w:rFonts w:ascii="Times New Roman" w:hAnsi="Times New Roman" w:cs="Times New Roman"/>
          <w:sz w:val="24"/>
        </w:rPr>
      </w:pPr>
    </w:p>
    <w:p w:rsidR="009026CF" w:rsidRDefault="009026CF" w:rsidP="009026CF">
      <w:pPr>
        <w:pStyle w:val="ListParagraph"/>
        <w:ind w:left="426"/>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00"/>
        <w:gridCol w:w="976"/>
      </w:tblGrid>
      <w:tr w:rsidR="009026CF" w:rsidRPr="00EE7BF1" w:rsidTr="00B362B2">
        <w:trPr>
          <w:trHeight w:val="300"/>
        </w:trPr>
        <w:tc>
          <w:tcPr>
            <w:tcW w:w="1555" w:type="dxa"/>
            <w:noWrap/>
            <w:hideMark/>
          </w:tcPr>
          <w:p w:rsidR="009026CF" w:rsidRPr="00EE7BF1" w:rsidRDefault="009026CF" w:rsidP="00513D1D">
            <w:pPr>
              <w:rPr>
                <w:rFonts w:ascii="Times New Roman" w:hAnsi="Times New Roman" w:cs="Times New Roman"/>
                <w:sz w:val="24"/>
              </w:rPr>
            </w:pPr>
          </w:p>
        </w:tc>
        <w:tc>
          <w:tcPr>
            <w:tcW w:w="481"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Mar'13</w:t>
            </w:r>
          </w:p>
        </w:tc>
        <w:tc>
          <w:tcPr>
            <w:tcW w:w="976"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Mar'12</w:t>
            </w:r>
          </w:p>
        </w:tc>
      </w:tr>
      <w:tr w:rsidR="009026CF" w:rsidRPr="00EE7BF1" w:rsidTr="00B362B2">
        <w:trPr>
          <w:trHeight w:val="300"/>
        </w:trPr>
        <w:tc>
          <w:tcPr>
            <w:tcW w:w="1555"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 ROA (%)</w:t>
            </w:r>
          </w:p>
        </w:tc>
        <w:tc>
          <w:tcPr>
            <w:tcW w:w="481"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23.55</w:t>
            </w:r>
          </w:p>
        </w:tc>
        <w:tc>
          <w:tcPr>
            <w:tcW w:w="976"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22.65</w:t>
            </w:r>
          </w:p>
        </w:tc>
      </w:tr>
      <w:tr w:rsidR="009026CF" w:rsidRPr="00EE7BF1" w:rsidTr="00B362B2">
        <w:trPr>
          <w:trHeight w:val="300"/>
        </w:trPr>
        <w:tc>
          <w:tcPr>
            <w:tcW w:w="1555" w:type="dxa"/>
            <w:noWrap/>
            <w:hideMark/>
          </w:tcPr>
          <w:p w:rsidR="009026CF" w:rsidRPr="00EE7BF1" w:rsidRDefault="009026CF" w:rsidP="00513D1D">
            <w:pPr>
              <w:rPr>
                <w:rFonts w:ascii="Times New Roman" w:hAnsi="Times New Roman" w:cs="Times New Roman"/>
                <w:sz w:val="24"/>
              </w:rPr>
            </w:pPr>
            <w:r>
              <w:rPr>
                <w:rFonts w:ascii="Times New Roman" w:hAnsi="Times New Roman" w:cs="Times New Roman"/>
                <w:sz w:val="24"/>
              </w:rPr>
              <w:t> </w:t>
            </w:r>
            <w:r w:rsidRPr="00EE7BF1">
              <w:rPr>
                <w:rFonts w:ascii="Times New Roman" w:hAnsi="Times New Roman" w:cs="Times New Roman"/>
                <w:sz w:val="24"/>
              </w:rPr>
              <w:t>ROE (%)</w:t>
            </w:r>
          </w:p>
        </w:tc>
        <w:tc>
          <w:tcPr>
            <w:tcW w:w="481"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36.21</w:t>
            </w:r>
          </w:p>
        </w:tc>
        <w:tc>
          <w:tcPr>
            <w:tcW w:w="976"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35.58</w:t>
            </w:r>
          </w:p>
        </w:tc>
      </w:tr>
      <w:tr w:rsidR="009026CF" w:rsidRPr="00EE7BF1" w:rsidTr="00B362B2">
        <w:trPr>
          <w:trHeight w:val="300"/>
        </w:trPr>
        <w:tc>
          <w:tcPr>
            <w:tcW w:w="1555" w:type="dxa"/>
            <w:noWrap/>
            <w:hideMark/>
          </w:tcPr>
          <w:p w:rsidR="009026CF" w:rsidRPr="00EE7BF1" w:rsidRDefault="009026CF" w:rsidP="00513D1D">
            <w:pPr>
              <w:rPr>
                <w:rFonts w:ascii="Times New Roman" w:hAnsi="Times New Roman" w:cs="Times New Roman"/>
                <w:sz w:val="24"/>
              </w:rPr>
            </w:pPr>
            <w:r>
              <w:rPr>
                <w:rFonts w:ascii="Times New Roman" w:hAnsi="Times New Roman" w:cs="Times New Roman"/>
                <w:sz w:val="24"/>
              </w:rPr>
              <w:t> </w:t>
            </w:r>
            <w:r w:rsidRPr="00EE7BF1">
              <w:rPr>
                <w:rFonts w:ascii="Times New Roman" w:hAnsi="Times New Roman" w:cs="Times New Roman"/>
                <w:sz w:val="24"/>
              </w:rPr>
              <w:t>ROCE (%)</w:t>
            </w:r>
          </w:p>
        </w:tc>
        <w:tc>
          <w:tcPr>
            <w:tcW w:w="481"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52.45</w:t>
            </w:r>
          </w:p>
        </w:tc>
        <w:tc>
          <w:tcPr>
            <w:tcW w:w="976" w:type="dxa"/>
            <w:noWrap/>
            <w:hideMark/>
          </w:tcPr>
          <w:p w:rsidR="009026CF" w:rsidRPr="00EE7BF1" w:rsidRDefault="009026CF" w:rsidP="00513D1D">
            <w:pPr>
              <w:rPr>
                <w:rFonts w:ascii="Times New Roman" w:hAnsi="Times New Roman" w:cs="Times New Roman"/>
                <w:sz w:val="24"/>
              </w:rPr>
            </w:pPr>
            <w:r w:rsidRPr="00EE7BF1">
              <w:rPr>
                <w:rFonts w:ascii="Times New Roman" w:hAnsi="Times New Roman" w:cs="Times New Roman"/>
                <w:sz w:val="24"/>
              </w:rPr>
              <w:t>51.66</w:t>
            </w:r>
          </w:p>
        </w:tc>
      </w:tr>
    </w:tbl>
    <w:p w:rsidR="009026CF" w:rsidRDefault="009026CF" w:rsidP="009026CF">
      <w:pPr>
        <w:rPr>
          <w:rFonts w:ascii="Times New Roman" w:hAnsi="Times New Roman" w:cs="Times New Roman"/>
          <w:sz w:val="24"/>
        </w:rPr>
      </w:pPr>
    </w:p>
    <w:p w:rsidR="009026CF" w:rsidRDefault="009026CF" w:rsidP="005A28E7">
      <w:pPr>
        <w:spacing w:line="360" w:lineRule="auto"/>
        <w:jc w:val="both"/>
        <w:rPr>
          <w:rFonts w:ascii="Times New Roman" w:hAnsi="Times New Roman" w:cs="Times New Roman"/>
          <w:sz w:val="24"/>
        </w:rPr>
      </w:pPr>
      <w:r w:rsidRPr="00EE7BF1">
        <w:rPr>
          <w:rFonts w:ascii="Times New Roman" w:hAnsi="Times New Roman" w:cs="Times New Roman"/>
          <w:sz w:val="24"/>
        </w:rPr>
        <w:t>The return on capital employed is another measure of the returns that the</w:t>
      </w:r>
      <w:r>
        <w:rPr>
          <w:rFonts w:ascii="Times New Roman" w:hAnsi="Times New Roman" w:cs="Times New Roman"/>
          <w:sz w:val="24"/>
        </w:rPr>
        <w:t xml:space="preserve"> </w:t>
      </w:r>
      <w:r w:rsidRPr="00EE7BF1">
        <w:rPr>
          <w:rFonts w:ascii="Times New Roman" w:hAnsi="Times New Roman" w:cs="Times New Roman"/>
          <w:sz w:val="24"/>
        </w:rPr>
        <w:t>business generates. This is expressed as the ratio between the profit before</w:t>
      </w:r>
      <w:r>
        <w:rPr>
          <w:rFonts w:ascii="Times New Roman" w:hAnsi="Times New Roman" w:cs="Times New Roman"/>
          <w:sz w:val="24"/>
        </w:rPr>
        <w:t xml:space="preserve"> </w:t>
      </w:r>
      <w:r w:rsidRPr="00EE7BF1">
        <w:rPr>
          <w:rFonts w:ascii="Times New Roman" w:hAnsi="Times New Roman" w:cs="Times New Roman"/>
          <w:sz w:val="24"/>
        </w:rPr>
        <w:t>interest and taxes (PBIT) to the Capital Employed (Loans and Owner’s F</w:t>
      </w:r>
      <w:r>
        <w:rPr>
          <w:rFonts w:ascii="Times New Roman" w:hAnsi="Times New Roman" w:cs="Times New Roman"/>
          <w:sz w:val="24"/>
        </w:rPr>
        <w:t>und) in the business. The ROCE is increased to</w:t>
      </w:r>
      <w:r w:rsidRPr="00EE7BF1">
        <w:rPr>
          <w:rFonts w:ascii="Times New Roman" w:hAnsi="Times New Roman" w:cs="Times New Roman"/>
          <w:sz w:val="24"/>
        </w:rPr>
        <w:t xml:space="preserve"> 52.45%</w:t>
      </w:r>
      <w:r>
        <w:rPr>
          <w:rFonts w:ascii="Times New Roman" w:hAnsi="Times New Roman" w:cs="Times New Roman"/>
          <w:sz w:val="24"/>
        </w:rPr>
        <w:t xml:space="preserve"> from 51.66% </w:t>
      </w:r>
      <w:r w:rsidRPr="00EE7BF1">
        <w:rPr>
          <w:rFonts w:ascii="Times New Roman" w:hAnsi="Times New Roman" w:cs="Times New Roman"/>
          <w:sz w:val="24"/>
        </w:rPr>
        <w:t>signifies that the company is getting</w:t>
      </w:r>
      <w:r>
        <w:rPr>
          <w:rFonts w:ascii="Times New Roman" w:hAnsi="Times New Roman" w:cs="Times New Roman"/>
          <w:sz w:val="24"/>
        </w:rPr>
        <w:t xml:space="preserve"> </w:t>
      </w:r>
      <w:r w:rsidRPr="00EE7BF1">
        <w:rPr>
          <w:rFonts w:ascii="Times New Roman" w:hAnsi="Times New Roman" w:cs="Times New Roman"/>
          <w:sz w:val="24"/>
        </w:rPr>
        <w:t>good return out of its investment decisions.</w:t>
      </w:r>
    </w:p>
    <w:p w:rsidR="004F14FC" w:rsidRDefault="009026CF" w:rsidP="005A28E7">
      <w:pPr>
        <w:shd w:val="clear" w:color="auto" w:fill="FFFFFF"/>
        <w:spacing w:before="100" w:beforeAutospacing="1" w:after="100" w:afterAutospacing="1" w:line="360" w:lineRule="auto"/>
        <w:jc w:val="both"/>
        <w:rPr>
          <w:rFonts w:ascii="Times New Roman" w:hAnsi="Times New Roman" w:cs="Times New Roman"/>
          <w:sz w:val="24"/>
        </w:rPr>
      </w:pPr>
      <w:r w:rsidRPr="00EE7BF1">
        <w:rPr>
          <w:rFonts w:ascii="Times New Roman" w:hAnsi="Times New Roman" w:cs="Times New Roman"/>
          <w:sz w:val="24"/>
        </w:rPr>
        <w:t>The return on Total Assets is yet another method of calculating the return of the company. This is calculated by taking the ratio between the PBIT (Profit</w:t>
      </w:r>
      <w:r>
        <w:rPr>
          <w:rFonts w:ascii="Times New Roman" w:hAnsi="Times New Roman" w:cs="Times New Roman"/>
          <w:sz w:val="24"/>
        </w:rPr>
        <w:t xml:space="preserve"> </w:t>
      </w:r>
      <w:r w:rsidRPr="00EE7BF1">
        <w:rPr>
          <w:rFonts w:ascii="Times New Roman" w:hAnsi="Times New Roman" w:cs="Times New Roman"/>
          <w:sz w:val="24"/>
        </w:rPr>
        <w:t xml:space="preserve">before Interest and Taxes) to the Total Assets of the </w:t>
      </w:r>
      <w:r w:rsidR="004F14FC">
        <w:rPr>
          <w:rFonts w:ascii="Times New Roman" w:hAnsi="Times New Roman" w:cs="Times New Roman"/>
          <w:sz w:val="24"/>
        </w:rPr>
        <w:t>compan</w:t>
      </w:r>
      <w:r w:rsidRPr="00EE7BF1">
        <w:rPr>
          <w:rFonts w:ascii="Times New Roman" w:hAnsi="Times New Roman" w:cs="Times New Roman"/>
          <w:sz w:val="24"/>
        </w:rPr>
        <w:t>y.</w:t>
      </w:r>
      <w:r>
        <w:rPr>
          <w:rFonts w:ascii="Times New Roman" w:hAnsi="Times New Roman" w:cs="Times New Roman"/>
          <w:sz w:val="24"/>
        </w:rPr>
        <w:t xml:space="preserve"> </w:t>
      </w:r>
      <w:r w:rsidRPr="00EE7BF1">
        <w:rPr>
          <w:rFonts w:ascii="Times New Roman" w:hAnsi="Times New Roman" w:cs="Times New Roman"/>
          <w:sz w:val="24"/>
        </w:rPr>
        <w:t>Earning power of the company, i.e.</w:t>
      </w:r>
      <w:r>
        <w:rPr>
          <w:rFonts w:ascii="Times New Roman" w:hAnsi="Times New Roman" w:cs="Times New Roman"/>
          <w:sz w:val="24"/>
        </w:rPr>
        <w:t xml:space="preserve"> 23.55</w:t>
      </w:r>
      <w:r w:rsidRPr="00EE7BF1">
        <w:rPr>
          <w:rFonts w:ascii="Times New Roman" w:hAnsi="Times New Roman" w:cs="Times New Roman"/>
          <w:sz w:val="24"/>
        </w:rPr>
        <w:t>%is quiet good and the company is</w:t>
      </w:r>
      <w:r>
        <w:rPr>
          <w:rFonts w:ascii="Times New Roman" w:hAnsi="Times New Roman" w:cs="Times New Roman"/>
          <w:sz w:val="24"/>
        </w:rPr>
        <w:t xml:space="preserve"> </w:t>
      </w:r>
      <w:r w:rsidRPr="00EE7BF1">
        <w:rPr>
          <w:rFonts w:ascii="Times New Roman" w:hAnsi="Times New Roman" w:cs="Times New Roman"/>
          <w:sz w:val="24"/>
        </w:rPr>
        <w:t>doing we</w:t>
      </w:r>
      <w:r>
        <w:rPr>
          <w:rFonts w:ascii="Times New Roman" w:hAnsi="Times New Roman" w:cs="Times New Roman"/>
          <w:sz w:val="24"/>
        </w:rPr>
        <w:t>ll.</w:t>
      </w:r>
    </w:p>
    <w:p w:rsidR="00821941" w:rsidRPr="004F14FC" w:rsidRDefault="00821941" w:rsidP="004F14FC">
      <w:pPr>
        <w:shd w:val="clear" w:color="auto" w:fill="FFFFFF"/>
        <w:spacing w:before="100" w:beforeAutospacing="1" w:after="100" w:afterAutospacing="1" w:line="360" w:lineRule="auto"/>
        <w:jc w:val="both"/>
        <w:rPr>
          <w:rFonts w:ascii="Times New Roman" w:hAnsi="Times New Roman" w:cs="Times New Roman"/>
          <w:sz w:val="24"/>
        </w:rPr>
      </w:pPr>
      <w:r w:rsidRPr="00F77B01">
        <w:rPr>
          <w:rFonts w:ascii="Times New Roman" w:hAnsi="Times New Roman" w:cs="Times New Roman"/>
          <w:b/>
          <w:bCs/>
          <w:sz w:val="28"/>
          <w:szCs w:val="24"/>
        </w:rPr>
        <w:t>Trend Analysis</w:t>
      </w:r>
    </w:p>
    <w:p w:rsidR="00821941" w:rsidRPr="00226A14" w:rsidRDefault="00821941" w:rsidP="00E2376A">
      <w:pPr>
        <w:spacing w:line="360" w:lineRule="auto"/>
        <w:jc w:val="both"/>
        <w:rPr>
          <w:rFonts w:ascii="Times New Roman" w:hAnsi="Times New Roman" w:cs="Times New Roman"/>
          <w:sz w:val="24"/>
        </w:rPr>
      </w:pPr>
      <w:r w:rsidRPr="00226A14">
        <w:rPr>
          <w:rFonts w:ascii="Times New Roman" w:hAnsi="Times New Roman" w:cs="Times New Roman"/>
          <w:sz w:val="24"/>
        </w:rPr>
        <w:t>From the analysis we can see that co</w:t>
      </w:r>
      <w:r>
        <w:rPr>
          <w:rFonts w:ascii="Times New Roman" w:hAnsi="Times New Roman" w:cs="Times New Roman"/>
          <w:sz w:val="24"/>
        </w:rPr>
        <w:t>mpany</w:t>
      </w:r>
      <w:r w:rsidRPr="00226A14">
        <w:rPr>
          <w:rFonts w:ascii="Times New Roman" w:hAnsi="Times New Roman" w:cs="Times New Roman"/>
          <w:sz w:val="24"/>
        </w:rPr>
        <w:t xml:space="preserve"> is</w:t>
      </w:r>
      <w:r>
        <w:rPr>
          <w:rFonts w:ascii="Times New Roman" w:hAnsi="Times New Roman" w:cs="Times New Roman"/>
          <w:sz w:val="24"/>
        </w:rPr>
        <w:t xml:space="preserve"> </w:t>
      </w:r>
      <w:r w:rsidRPr="00226A14">
        <w:rPr>
          <w:rFonts w:ascii="Times New Roman" w:hAnsi="Times New Roman" w:cs="Times New Roman"/>
          <w:sz w:val="24"/>
        </w:rPr>
        <w:t>growing at steady rate and remarkable</w:t>
      </w:r>
      <w:r>
        <w:rPr>
          <w:rFonts w:ascii="Times New Roman" w:hAnsi="Times New Roman" w:cs="Times New Roman"/>
          <w:sz w:val="24"/>
        </w:rPr>
        <w:t xml:space="preserve"> </w:t>
      </w:r>
      <w:r w:rsidRPr="00226A14">
        <w:rPr>
          <w:rFonts w:ascii="Times New Roman" w:hAnsi="Times New Roman" w:cs="Times New Roman"/>
          <w:sz w:val="24"/>
        </w:rPr>
        <w:t>points are:</w:t>
      </w:r>
    </w:p>
    <w:p w:rsidR="00821941" w:rsidRPr="00AD73C4" w:rsidRDefault="00821941" w:rsidP="00E2376A">
      <w:pPr>
        <w:pStyle w:val="ListParagraph"/>
        <w:numPr>
          <w:ilvl w:val="0"/>
          <w:numId w:val="10"/>
        </w:numPr>
        <w:spacing w:after="160" w:line="360" w:lineRule="auto"/>
        <w:jc w:val="both"/>
        <w:rPr>
          <w:rFonts w:ascii="Times New Roman" w:hAnsi="Times New Roman" w:cs="Times New Roman"/>
          <w:sz w:val="24"/>
        </w:rPr>
      </w:pPr>
      <w:r w:rsidRPr="00226A14">
        <w:rPr>
          <w:rFonts w:ascii="Times New Roman" w:hAnsi="Times New Roman" w:cs="Times New Roman"/>
          <w:sz w:val="24"/>
        </w:rPr>
        <w:t xml:space="preserve">We can see </w:t>
      </w:r>
      <w:r>
        <w:rPr>
          <w:rFonts w:ascii="Times New Roman" w:hAnsi="Times New Roman" w:cs="Times New Roman"/>
          <w:sz w:val="24"/>
        </w:rPr>
        <w:t xml:space="preserve">below </w:t>
      </w:r>
      <w:r w:rsidRPr="00226A14">
        <w:rPr>
          <w:rFonts w:ascii="Times New Roman" w:hAnsi="Times New Roman" w:cs="Times New Roman"/>
          <w:sz w:val="24"/>
        </w:rPr>
        <w:t>that company’s capital is increased by 105.33%</w:t>
      </w:r>
      <w:proofErr w:type="gramStart"/>
      <w:r w:rsidRPr="00226A14">
        <w:rPr>
          <w:rFonts w:ascii="Times New Roman" w:hAnsi="Times New Roman" w:cs="Times New Roman"/>
          <w:sz w:val="24"/>
        </w:rPr>
        <w:t>,</w:t>
      </w:r>
      <w:proofErr w:type="gramEnd"/>
      <w:r w:rsidRPr="00226A14">
        <w:rPr>
          <w:rFonts w:ascii="Times New Roman" w:hAnsi="Times New Roman" w:cs="Times New Roman"/>
          <w:sz w:val="24"/>
        </w:rPr>
        <w:t xml:space="preserve"> this is because of issue of bonus shares in the year 2010-2011. This shows that the company’s owned fund is increasing. Reserve and Surplus is constantly increasing which show</w:t>
      </w:r>
      <w:r w:rsidR="00AD73C4">
        <w:rPr>
          <w:rFonts w:ascii="Times New Roman" w:hAnsi="Times New Roman" w:cs="Times New Roman"/>
          <w:sz w:val="24"/>
        </w:rPr>
        <w:t>s that the company’s accumulated profits are</w:t>
      </w:r>
      <w:r w:rsidRPr="00AD73C4">
        <w:rPr>
          <w:rFonts w:ascii="Times New Roman" w:hAnsi="Times New Roman" w:cs="Times New Roman"/>
          <w:sz w:val="24"/>
        </w:rPr>
        <w:t xml:space="preserve"> increasing. It shows that company is making more profit.</w:t>
      </w:r>
    </w:p>
    <w:p w:rsidR="00821941" w:rsidRPr="00226A14" w:rsidRDefault="00821941" w:rsidP="00E2376A">
      <w:pPr>
        <w:pStyle w:val="ListParagraph"/>
        <w:numPr>
          <w:ilvl w:val="0"/>
          <w:numId w:val="10"/>
        </w:numPr>
        <w:spacing w:after="160" w:line="360" w:lineRule="auto"/>
        <w:jc w:val="both"/>
        <w:rPr>
          <w:rFonts w:ascii="Times New Roman" w:hAnsi="Times New Roman" w:cs="Times New Roman"/>
          <w:sz w:val="24"/>
        </w:rPr>
      </w:pPr>
      <w:r w:rsidRPr="00226A14">
        <w:rPr>
          <w:rFonts w:ascii="Times New Roman" w:hAnsi="Times New Roman" w:cs="Times New Roman"/>
          <w:sz w:val="24"/>
        </w:rPr>
        <w:lastRenderedPageBreak/>
        <w:t xml:space="preserve">By </w:t>
      </w:r>
      <w:r w:rsidR="002B74CF" w:rsidRPr="00226A14">
        <w:rPr>
          <w:rFonts w:ascii="Times New Roman" w:hAnsi="Times New Roman" w:cs="Times New Roman"/>
          <w:sz w:val="24"/>
        </w:rPr>
        <w:t>analyzing</w:t>
      </w:r>
      <w:r w:rsidRPr="00226A14">
        <w:rPr>
          <w:rFonts w:ascii="Times New Roman" w:hAnsi="Times New Roman" w:cs="Times New Roman"/>
          <w:sz w:val="24"/>
        </w:rPr>
        <w:t xml:space="preserve"> sources of fund we can state that, company is more dependent on owners fund rather than borrowed fund.</w:t>
      </w:r>
    </w:p>
    <w:p w:rsidR="00821941" w:rsidRPr="00226A14" w:rsidRDefault="00821941" w:rsidP="00E2376A">
      <w:pPr>
        <w:pStyle w:val="ListParagraph"/>
        <w:numPr>
          <w:ilvl w:val="0"/>
          <w:numId w:val="10"/>
        </w:numPr>
        <w:spacing w:after="160" w:line="360" w:lineRule="auto"/>
        <w:jc w:val="both"/>
        <w:rPr>
          <w:rFonts w:ascii="Times New Roman" w:hAnsi="Times New Roman" w:cs="Times New Roman"/>
          <w:sz w:val="24"/>
        </w:rPr>
      </w:pPr>
      <w:r w:rsidRPr="00226A14">
        <w:rPr>
          <w:rFonts w:ascii="Times New Roman" w:hAnsi="Times New Roman" w:cs="Times New Roman"/>
          <w:sz w:val="24"/>
        </w:rPr>
        <w:t xml:space="preserve">Investment is also growing at increasing rate. In last 4 years it has increased by 89.28%. </w:t>
      </w:r>
    </w:p>
    <w:p w:rsidR="00821941" w:rsidRPr="00226A14" w:rsidRDefault="00821941" w:rsidP="00E2376A">
      <w:pPr>
        <w:pStyle w:val="ListParagraph"/>
        <w:numPr>
          <w:ilvl w:val="0"/>
          <w:numId w:val="10"/>
        </w:numPr>
        <w:spacing w:after="160" w:line="360" w:lineRule="auto"/>
        <w:jc w:val="both"/>
        <w:rPr>
          <w:rFonts w:ascii="Times New Roman" w:hAnsi="Times New Roman" w:cs="Times New Roman"/>
          <w:sz w:val="24"/>
        </w:rPr>
      </w:pPr>
      <w:r w:rsidRPr="00226A14">
        <w:rPr>
          <w:rFonts w:ascii="Times New Roman" w:hAnsi="Times New Roman" w:cs="Times New Roman"/>
          <w:sz w:val="24"/>
        </w:rPr>
        <w:t>Current asset is increasing by 45.09%. This is due to increase in cash and bank balance and other current assets.</w:t>
      </w:r>
    </w:p>
    <w:p w:rsidR="005A28E7" w:rsidRDefault="00821941" w:rsidP="005A28E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226A14">
        <w:rPr>
          <w:rFonts w:ascii="Times New Roman" w:hAnsi="Times New Roman" w:cs="Times New Roman"/>
          <w:sz w:val="24"/>
        </w:rPr>
        <w:t>Net income and expenses are increasing by 51.02% and 47.38% respectively. This shows that the income of the co</w:t>
      </w:r>
      <w:r>
        <w:rPr>
          <w:rFonts w:ascii="Times New Roman" w:hAnsi="Times New Roman" w:cs="Times New Roman"/>
          <w:sz w:val="24"/>
        </w:rPr>
        <w:t xml:space="preserve">mpany </w:t>
      </w:r>
      <w:r w:rsidRPr="00226A14">
        <w:rPr>
          <w:rFonts w:ascii="Times New Roman" w:hAnsi="Times New Roman" w:cs="Times New Roman"/>
          <w:sz w:val="24"/>
        </w:rPr>
        <w:t>is 3.64% higher than its expenses.</w:t>
      </w:r>
    </w:p>
    <w:p w:rsidR="00ED256B" w:rsidRPr="005A28E7" w:rsidRDefault="00ED256B" w:rsidP="005A28E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B0249">
        <w:rPr>
          <w:rFonts w:ascii="Times New Roman" w:eastAsia="Times New Roman" w:hAnsi="Times New Roman" w:cs="Times New Roman"/>
          <w:b/>
          <w:sz w:val="24"/>
          <w:szCs w:val="24"/>
        </w:rPr>
        <w:t>Current ratio:</w:t>
      </w:r>
      <w:r w:rsidRPr="005B0249">
        <w:rPr>
          <w:rFonts w:ascii="Times New Roman" w:eastAsia="Times New Roman" w:hAnsi="Times New Roman" w:cs="Times New Roman"/>
          <w:sz w:val="24"/>
          <w:szCs w:val="24"/>
        </w:rPr>
        <w:t xml:space="preserve"> current ratio is defined as an indicator of short-term </w:t>
      </w:r>
      <w:hyperlink r:id="rId33" w:history="1">
        <w:r w:rsidRPr="005B0249">
          <w:rPr>
            <w:rFonts w:ascii="Times New Roman" w:eastAsia="Times New Roman" w:hAnsi="Times New Roman" w:cs="Times New Roman"/>
            <w:sz w:val="24"/>
            <w:szCs w:val="24"/>
          </w:rPr>
          <w:t>debt</w:t>
        </w:r>
      </w:hyperlink>
      <w:r w:rsidRPr="005B0249">
        <w:rPr>
          <w:rFonts w:ascii="Times New Roman" w:eastAsia="Times New Roman" w:hAnsi="Times New Roman" w:cs="Times New Roman"/>
          <w:sz w:val="24"/>
          <w:szCs w:val="24"/>
        </w:rPr>
        <w:t xml:space="preserve"> paying ability of a company. It is determined by dividing </w:t>
      </w:r>
      <w:hyperlink r:id="rId34" w:history="1">
        <w:r w:rsidRPr="005B0249">
          <w:rPr>
            <w:rFonts w:ascii="Times New Roman" w:eastAsia="Times New Roman" w:hAnsi="Times New Roman" w:cs="Times New Roman"/>
            <w:sz w:val="24"/>
            <w:szCs w:val="24"/>
          </w:rPr>
          <w:t>current assets</w:t>
        </w:r>
      </w:hyperlink>
      <w:r w:rsidRPr="005B0249">
        <w:rPr>
          <w:rFonts w:ascii="Times New Roman" w:eastAsia="Times New Roman" w:hAnsi="Times New Roman" w:cs="Times New Roman"/>
          <w:sz w:val="24"/>
          <w:szCs w:val="24"/>
        </w:rPr>
        <w:t xml:space="preserve"> by </w:t>
      </w:r>
      <w:hyperlink r:id="rId35" w:history="1">
        <w:r w:rsidRPr="005B0249">
          <w:rPr>
            <w:rFonts w:ascii="Times New Roman" w:eastAsia="Times New Roman" w:hAnsi="Times New Roman" w:cs="Times New Roman"/>
            <w:sz w:val="24"/>
            <w:szCs w:val="24"/>
          </w:rPr>
          <w:t>current liabilities</w:t>
        </w:r>
      </w:hyperlink>
      <w:r w:rsidRPr="005B0249">
        <w:rPr>
          <w:rFonts w:ascii="Times New Roman" w:eastAsia="Times New Roman" w:hAnsi="Times New Roman" w:cs="Times New Roman"/>
          <w:sz w:val="24"/>
          <w:szCs w:val="24"/>
        </w:rPr>
        <w:t>. The higher the ratio, it is believed that, the more liquid the company.</w:t>
      </w:r>
      <w:r w:rsidRPr="00ED256B">
        <w:rPr>
          <w:rFonts w:ascii="Times New Roman" w:hAnsi="Times New Roman" w:cs="Times New Roman"/>
          <w:sz w:val="24"/>
          <w:szCs w:val="24"/>
        </w:rPr>
        <w:t xml:space="preserve"> The reason why the ratio increases/decreases mainly is because of a more than proportionate increase</w:t>
      </w:r>
      <w:r>
        <w:rPr>
          <w:rFonts w:ascii="Times New Roman" w:hAnsi="Times New Roman" w:cs="Times New Roman"/>
          <w:sz w:val="24"/>
          <w:szCs w:val="24"/>
        </w:rPr>
        <w:t>/decrease</w:t>
      </w:r>
      <w:r w:rsidRPr="00ED256B">
        <w:rPr>
          <w:rFonts w:ascii="Times New Roman" w:hAnsi="Times New Roman" w:cs="Times New Roman"/>
          <w:sz w:val="24"/>
          <w:szCs w:val="24"/>
        </w:rPr>
        <w:t xml:space="preserve"> of the current assets when compared to the current liabilities.</w:t>
      </w:r>
    </w:p>
    <w:p w:rsidR="00ED256B" w:rsidRDefault="00ED256B" w:rsidP="00ED256B">
      <w:pPr>
        <w:ind w:left="720"/>
        <w:jc w:val="center"/>
      </w:pPr>
      <w:r>
        <w:rPr>
          <w:noProof/>
        </w:rPr>
        <w:drawing>
          <wp:inline distT="0" distB="0" distL="0" distR="0" wp14:anchorId="3F748AFE" wp14:editId="7505054B">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0249" w:rsidRPr="005B0249" w:rsidRDefault="005B0249" w:rsidP="005B0249">
      <w:pPr>
        <w:spacing w:after="0" w:line="360" w:lineRule="auto"/>
        <w:ind w:left="720"/>
        <w:jc w:val="both"/>
        <w:rPr>
          <w:rFonts w:ascii="Arial" w:eastAsia="Times New Roman" w:hAnsi="Arial" w:cs="Arial"/>
          <w:sz w:val="18"/>
          <w:szCs w:val="18"/>
        </w:rPr>
      </w:pPr>
    </w:p>
    <w:p w:rsidR="00BA79AA" w:rsidRPr="00A91354" w:rsidRDefault="00ED256B" w:rsidP="00A91354">
      <w:pPr>
        <w:spacing w:line="360" w:lineRule="auto"/>
        <w:ind w:left="180"/>
        <w:jc w:val="both"/>
        <w:rPr>
          <w:rFonts w:ascii="Times New Roman" w:hAnsi="Times New Roman" w:cs="Times New Roman"/>
          <w:sz w:val="24"/>
          <w:szCs w:val="24"/>
        </w:rPr>
      </w:pPr>
      <w:r w:rsidRPr="00ED256B">
        <w:rPr>
          <w:rFonts w:ascii="Times New Roman" w:hAnsi="Times New Roman" w:cs="Times New Roman"/>
          <w:b/>
          <w:sz w:val="24"/>
          <w:szCs w:val="24"/>
        </w:rPr>
        <w:t xml:space="preserve">Debt-Equity Ratio: </w:t>
      </w:r>
      <w:r w:rsidRPr="00ED256B">
        <w:rPr>
          <w:rFonts w:ascii="Times New Roman" w:hAnsi="Times New Roman" w:cs="Times New Roman"/>
          <w:sz w:val="24"/>
          <w:szCs w:val="24"/>
        </w:rPr>
        <w:t>The debt-to-equity ratio offers one of the best pictures of a company's leverage. The higher the figure, the higher is the leverage the company enjoys. Mathematically, it is defined as the ratio of the total debt to the total equity of the company under consideration at any point of time.</w:t>
      </w:r>
      <w:r w:rsidR="00B5053C">
        <w:rPr>
          <w:rFonts w:ascii="Times New Roman" w:hAnsi="Times New Roman" w:cs="Times New Roman"/>
          <w:sz w:val="24"/>
          <w:szCs w:val="24"/>
        </w:rPr>
        <w:t xml:space="preserve"> </w:t>
      </w:r>
      <w:r w:rsidR="00ED14AD">
        <w:rPr>
          <w:rFonts w:ascii="Times New Roman" w:hAnsi="Times New Roman" w:cs="Times New Roman"/>
          <w:sz w:val="24"/>
          <w:szCs w:val="24"/>
        </w:rPr>
        <w:t>Over the last ten</w:t>
      </w:r>
      <w:r w:rsidRPr="00ED256B">
        <w:rPr>
          <w:rFonts w:ascii="Times New Roman" w:hAnsi="Times New Roman" w:cs="Times New Roman"/>
          <w:sz w:val="24"/>
          <w:szCs w:val="24"/>
        </w:rPr>
        <w:t xml:space="preserve"> years, </w:t>
      </w:r>
      <w:r w:rsidR="00513D1D">
        <w:rPr>
          <w:rFonts w:ascii="Times New Roman" w:hAnsi="Times New Roman" w:cs="Times New Roman"/>
          <w:sz w:val="24"/>
          <w:szCs w:val="24"/>
        </w:rPr>
        <w:t>ITC</w:t>
      </w:r>
      <w:r w:rsidRPr="00ED256B">
        <w:rPr>
          <w:rFonts w:ascii="Times New Roman" w:hAnsi="Times New Roman" w:cs="Times New Roman"/>
          <w:sz w:val="24"/>
          <w:szCs w:val="24"/>
        </w:rPr>
        <w:t xml:space="preserve"> Limited has shown a mix-match of the debt-equity ratio. </w:t>
      </w:r>
      <w:r w:rsidR="00B5053C">
        <w:rPr>
          <w:rFonts w:ascii="Times New Roman" w:hAnsi="Times New Roman" w:cs="Times New Roman"/>
          <w:sz w:val="24"/>
          <w:szCs w:val="24"/>
        </w:rPr>
        <w:t xml:space="preserve">From the graph it is evident that the company’s D/E ratio has been declining and </w:t>
      </w:r>
      <w:r w:rsidR="00B5053C">
        <w:rPr>
          <w:rFonts w:ascii="Times New Roman" w:hAnsi="Times New Roman" w:cs="Times New Roman"/>
          <w:sz w:val="24"/>
          <w:szCs w:val="24"/>
        </w:rPr>
        <w:lastRenderedPageBreak/>
        <w:t>this affects the leverage of the company.</w:t>
      </w:r>
      <w:r w:rsidR="00A91354" w:rsidRPr="00A91354">
        <w:rPr>
          <w:rFonts w:eastAsiaTheme="minorEastAsia" w:hAnsi="Lucida Sans Unicode"/>
          <w:color w:val="000000" w:themeColor="text1"/>
          <w:kern w:val="24"/>
          <w:sz w:val="36"/>
          <w:szCs w:val="36"/>
          <w:lang w:val="en-SG"/>
        </w:rPr>
        <w:t xml:space="preserve"> </w:t>
      </w:r>
      <w:r w:rsidR="00A91354" w:rsidRPr="00A91354">
        <w:rPr>
          <w:rFonts w:ascii="Times New Roman" w:hAnsi="Times New Roman" w:cs="Times New Roman"/>
          <w:sz w:val="24"/>
          <w:szCs w:val="24"/>
          <w:lang w:val="en-SG"/>
        </w:rPr>
        <w:t xml:space="preserve">The difference between company’s long term </w:t>
      </w:r>
      <w:r w:rsidR="00A91354">
        <w:rPr>
          <w:rFonts w:ascii="Times New Roman" w:hAnsi="Times New Roman" w:cs="Times New Roman"/>
          <w:sz w:val="24"/>
          <w:szCs w:val="24"/>
          <w:lang w:val="en-SG"/>
        </w:rPr>
        <w:t>a</w:t>
      </w:r>
      <w:r w:rsidR="00A91354" w:rsidRPr="00A91354">
        <w:rPr>
          <w:rFonts w:ascii="Times New Roman" w:hAnsi="Times New Roman" w:cs="Times New Roman"/>
          <w:sz w:val="24"/>
          <w:szCs w:val="24"/>
          <w:lang w:val="en-SG"/>
        </w:rPr>
        <w:t>n</w:t>
      </w:r>
      <w:r w:rsidR="00A91354">
        <w:rPr>
          <w:rFonts w:ascii="Times New Roman" w:hAnsi="Times New Roman" w:cs="Times New Roman"/>
          <w:sz w:val="24"/>
          <w:szCs w:val="24"/>
          <w:lang w:val="en-SG"/>
        </w:rPr>
        <w:t>d</w:t>
      </w:r>
      <w:r w:rsidR="00A91354" w:rsidRPr="00A91354">
        <w:rPr>
          <w:rFonts w:ascii="Times New Roman" w:hAnsi="Times New Roman" w:cs="Times New Roman"/>
          <w:sz w:val="24"/>
          <w:szCs w:val="24"/>
          <w:lang w:val="en-SG"/>
        </w:rPr>
        <w:t xml:space="preserve"> total debt - equity ratio is close to 0 which shows total debt of company comprises of long term debts.</w:t>
      </w:r>
      <w:r w:rsidR="00A91354">
        <w:rPr>
          <w:rFonts w:ascii="Times New Roman" w:hAnsi="Times New Roman" w:cs="Times New Roman"/>
          <w:sz w:val="24"/>
          <w:szCs w:val="24"/>
          <w:lang w:val="en-SG"/>
        </w:rPr>
        <w:t xml:space="preserve"> </w:t>
      </w:r>
      <w:r w:rsidR="00A91354" w:rsidRPr="00A91354">
        <w:rPr>
          <w:rFonts w:ascii="Times New Roman" w:hAnsi="Times New Roman" w:cs="Times New Roman"/>
          <w:sz w:val="24"/>
          <w:szCs w:val="24"/>
          <w:lang w:val="en-SG"/>
        </w:rPr>
        <w:t>The company can go for raising funds through loans as i</w:t>
      </w:r>
      <w:r w:rsidR="00A91354">
        <w:rPr>
          <w:rFonts w:ascii="Times New Roman" w:hAnsi="Times New Roman" w:cs="Times New Roman"/>
          <w:sz w:val="24"/>
          <w:szCs w:val="24"/>
          <w:lang w:val="en-SG"/>
        </w:rPr>
        <w:t xml:space="preserve">t has very low debt as compared </w:t>
      </w:r>
      <w:r w:rsidR="00A91354" w:rsidRPr="00A91354">
        <w:rPr>
          <w:rFonts w:ascii="Times New Roman" w:hAnsi="Times New Roman" w:cs="Times New Roman"/>
          <w:sz w:val="24"/>
          <w:szCs w:val="24"/>
          <w:lang w:val="en-SG"/>
        </w:rPr>
        <w:t>to its equity.</w:t>
      </w:r>
    </w:p>
    <w:p w:rsidR="00ED256B" w:rsidRDefault="00ED256B" w:rsidP="00ED14AD">
      <w:pPr>
        <w:spacing w:line="360" w:lineRule="auto"/>
        <w:ind w:left="720"/>
        <w:jc w:val="both"/>
        <w:rPr>
          <w:rFonts w:ascii="Times New Roman" w:hAnsi="Times New Roman" w:cs="Times New Roman"/>
          <w:sz w:val="24"/>
          <w:szCs w:val="24"/>
        </w:rPr>
      </w:pPr>
    </w:p>
    <w:p w:rsidR="003D2015" w:rsidRPr="00ED256B" w:rsidRDefault="003D2015" w:rsidP="00ED14AD">
      <w:pPr>
        <w:spacing w:line="360" w:lineRule="auto"/>
        <w:ind w:left="720"/>
        <w:jc w:val="both"/>
        <w:rPr>
          <w:rFonts w:ascii="Times New Roman" w:hAnsi="Times New Roman" w:cs="Times New Roman"/>
          <w:sz w:val="24"/>
          <w:szCs w:val="24"/>
        </w:rPr>
      </w:pPr>
      <w:r>
        <w:rPr>
          <w:noProof/>
        </w:rPr>
        <w:drawing>
          <wp:inline distT="0" distB="0" distL="0" distR="0" wp14:anchorId="4795FF92" wp14:editId="607A5064">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0249" w:rsidRDefault="005B0249" w:rsidP="00F5535B">
      <w:pPr>
        <w:spacing w:line="360" w:lineRule="auto"/>
        <w:ind w:left="720"/>
        <w:jc w:val="both"/>
        <w:rPr>
          <w:rFonts w:ascii="Times New Roman" w:hAnsi="Times New Roman" w:cs="Times New Roman"/>
          <w:b/>
          <w:sz w:val="24"/>
          <w:szCs w:val="24"/>
        </w:rPr>
      </w:pPr>
    </w:p>
    <w:p w:rsidR="001A0F57" w:rsidRDefault="001A0F57" w:rsidP="003D2015">
      <w:pPr>
        <w:spacing w:line="360" w:lineRule="auto"/>
        <w:jc w:val="both"/>
        <w:rPr>
          <w:rFonts w:ascii="Times New Roman" w:hAnsi="Times New Roman" w:cs="Times New Roman"/>
          <w:sz w:val="24"/>
          <w:szCs w:val="24"/>
        </w:rPr>
      </w:pPr>
      <w:r w:rsidRPr="001A0F57">
        <w:rPr>
          <w:rFonts w:ascii="Times New Roman" w:hAnsi="Times New Roman" w:cs="Times New Roman"/>
          <w:b/>
          <w:sz w:val="24"/>
          <w:szCs w:val="24"/>
        </w:rPr>
        <w:t xml:space="preserve">Earnings per share: (EPS): </w:t>
      </w:r>
      <w:r w:rsidRPr="001A0F57">
        <w:rPr>
          <w:rFonts w:ascii="Times New Roman" w:hAnsi="Times New Roman" w:cs="Times New Roman"/>
          <w:sz w:val="24"/>
          <w:szCs w:val="24"/>
        </w:rPr>
        <w:t>Earnings per share, as it is called, are a company's profit after tax (PAT) divided by its number of outstanding (equity) shares. It is therefore measured as the portion of a company's profit allocated to each outstanding share of common stock. EPS serves as an indicator of a company's profitability.</w:t>
      </w:r>
      <w:r w:rsidR="00403F76">
        <w:rPr>
          <w:rFonts w:ascii="Times New Roman" w:hAnsi="Times New Roman" w:cs="Times New Roman"/>
          <w:sz w:val="24"/>
          <w:szCs w:val="24"/>
        </w:rPr>
        <w:t xml:space="preserve"> </w:t>
      </w:r>
      <w:r w:rsidRPr="001A0F57">
        <w:rPr>
          <w:rFonts w:ascii="Times New Roman" w:hAnsi="Times New Roman" w:cs="Times New Roman"/>
          <w:sz w:val="24"/>
          <w:szCs w:val="24"/>
        </w:rPr>
        <w:t xml:space="preserve">The PAT (profit after tax or earnings) for </w:t>
      </w:r>
      <w:r w:rsidR="00513D1D">
        <w:rPr>
          <w:rFonts w:ascii="Times New Roman" w:hAnsi="Times New Roman" w:cs="Times New Roman"/>
          <w:sz w:val="24"/>
          <w:szCs w:val="24"/>
        </w:rPr>
        <w:t>ITC</w:t>
      </w:r>
      <w:r w:rsidR="00F5535B">
        <w:rPr>
          <w:rFonts w:ascii="Times New Roman" w:hAnsi="Times New Roman" w:cs="Times New Roman"/>
          <w:sz w:val="24"/>
          <w:szCs w:val="24"/>
        </w:rPr>
        <w:t xml:space="preserve"> Limited has risen</w:t>
      </w:r>
      <w:r w:rsidR="00403F76">
        <w:rPr>
          <w:rFonts w:ascii="Times New Roman" w:hAnsi="Times New Roman" w:cs="Times New Roman"/>
          <w:sz w:val="24"/>
          <w:szCs w:val="24"/>
        </w:rPr>
        <w:t xml:space="preserve"> by over 41.54% in the last five</w:t>
      </w:r>
      <w:r w:rsidRPr="001A0F57">
        <w:rPr>
          <w:rFonts w:ascii="Times New Roman" w:hAnsi="Times New Roman" w:cs="Times New Roman"/>
          <w:sz w:val="24"/>
          <w:szCs w:val="24"/>
        </w:rPr>
        <w:t xml:space="preserve"> years of operation. </w:t>
      </w:r>
      <w:r w:rsidR="00AD73C4">
        <w:rPr>
          <w:rFonts w:ascii="Times New Roman" w:hAnsi="Times New Roman" w:cs="Times New Roman"/>
          <w:sz w:val="24"/>
          <w:szCs w:val="24"/>
        </w:rPr>
        <w:t>The PAT has considerably increased over the years due to which the EPS has risen consistently.</w:t>
      </w:r>
      <w:r w:rsidR="00C54FC9">
        <w:rPr>
          <w:rFonts w:ascii="Times New Roman" w:hAnsi="Times New Roman" w:cs="Times New Roman"/>
          <w:sz w:val="24"/>
          <w:szCs w:val="24"/>
        </w:rPr>
        <w:t xml:space="preserve"> In 2010 there was a 100% bonus issue which is reflected in 2011. Diluted EPS values are taken into consideration as they are more conservative.</w:t>
      </w:r>
    </w:p>
    <w:p w:rsidR="002E6ECE" w:rsidRDefault="002E6ECE" w:rsidP="003D2015">
      <w:pPr>
        <w:spacing w:line="360" w:lineRule="auto"/>
        <w:jc w:val="both"/>
        <w:rPr>
          <w:rFonts w:ascii="Times New Roman" w:hAnsi="Times New Roman" w:cs="Times New Roman"/>
          <w:sz w:val="24"/>
          <w:szCs w:val="24"/>
        </w:rPr>
      </w:pPr>
    </w:p>
    <w:p w:rsidR="00403F76" w:rsidRPr="001A0F57" w:rsidRDefault="00403F76" w:rsidP="00AD73C4">
      <w:pPr>
        <w:pStyle w:val="Heading2"/>
        <w:jc w:val="center"/>
        <w:rPr>
          <w:rFonts w:ascii="Times New Roman" w:hAnsi="Times New Roman" w:cs="Times New Roman"/>
          <w:sz w:val="24"/>
          <w:szCs w:val="24"/>
        </w:rPr>
      </w:pPr>
      <w:r>
        <w:rPr>
          <w:noProof/>
        </w:rPr>
        <w:lastRenderedPageBreak/>
        <w:drawing>
          <wp:inline distT="0" distB="0" distL="0" distR="0" wp14:anchorId="27B32399" wp14:editId="1E696386">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A0F57" w:rsidRPr="001A0F57" w:rsidRDefault="001A0F57" w:rsidP="001A0F57">
      <w:pPr>
        <w:spacing w:line="360" w:lineRule="auto"/>
        <w:ind w:left="720"/>
        <w:jc w:val="both"/>
        <w:rPr>
          <w:rFonts w:ascii="Times New Roman" w:hAnsi="Times New Roman" w:cs="Times New Roman"/>
          <w:sz w:val="24"/>
          <w:szCs w:val="24"/>
        </w:rPr>
      </w:pPr>
    </w:p>
    <w:p w:rsidR="005545B4" w:rsidRDefault="00C54FC9" w:rsidP="005545B4">
      <w:pPr>
        <w:spacing w:line="360" w:lineRule="auto"/>
        <w:jc w:val="both"/>
        <w:rPr>
          <w:rFonts w:ascii="Times New Roman" w:hAnsi="Times New Roman" w:cs="Times New Roman"/>
          <w:sz w:val="24"/>
          <w:szCs w:val="24"/>
        </w:rPr>
      </w:pPr>
      <w:r w:rsidRPr="00C54FC9">
        <w:rPr>
          <w:rFonts w:ascii="Times New Roman" w:hAnsi="Times New Roman" w:cs="Times New Roman"/>
          <w:b/>
          <w:sz w:val="24"/>
          <w:szCs w:val="24"/>
        </w:rPr>
        <w:t xml:space="preserve">Interest Coverage Ratio: </w:t>
      </w:r>
      <w:r w:rsidRPr="00C54FC9">
        <w:rPr>
          <w:rFonts w:ascii="Times New Roman" w:hAnsi="Times New Roman" w:cs="Times New Roman"/>
          <w:sz w:val="24"/>
          <w:szCs w:val="24"/>
        </w:rPr>
        <w:t>The interest coverage ratio is a measurement of the number of times a company could make its interest payments with its earnings before interest and taxes. Lower the ratio, higher is the company’s debt burden. This is measured as the ratio between the profit before interest and taxes to the interest amount paid that year.</w:t>
      </w:r>
    </w:p>
    <w:p w:rsidR="00C54FC9" w:rsidRPr="00C54FC9" w:rsidRDefault="00C54FC9" w:rsidP="005545B4">
      <w:pPr>
        <w:spacing w:line="360" w:lineRule="auto"/>
        <w:jc w:val="both"/>
        <w:rPr>
          <w:rFonts w:ascii="Times New Roman" w:hAnsi="Times New Roman" w:cs="Times New Roman"/>
          <w:sz w:val="24"/>
          <w:szCs w:val="24"/>
        </w:rPr>
      </w:pPr>
      <w:r w:rsidRPr="00C54FC9">
        <w:rPr>
          <w:rFonts w:ascii="Times New Roman" w:hAnsi="Times New Roman" w:cs="Times New Roman"/>
          <w:sz w:val="24"/>
          <w:szCs w:val="24"/>
        </w:rPr>
        <w:t>The graph below shows the interest coverage rat</w:t>
      </w:r>
      <w:r>
        <w:rPr>
          <w:rFonts w:ascii="Times New Roman" w:hAnsi="Times New Roman" w:cs="Times New Roman"/>
          <w:sz w:val="24"/>
          <w:szCs w:val="24"/>
        </w:rPr>
        <w:t xml:space="preserve">io of </w:t>
      </w:r>
      <w:r w:rsidR="00513D1D">
        <w:rPr>
          <w:rFonts w:ascii="Times New Roman" w:hAnsi="Times New Roman" w:cs="Times New Roman"/>
          <w:sz w:val="24"/>
          <w:szCs w:val="24"/>
        </w:rPr>
        <w:t>ITC</w:t>
      </w:r>
      <w:r>
        <w:rPr>
          <w:rFonts w:ascii="Times New Roman" w:hAnsi="Times New Roman" w:cs="Times New Roman"/>
          <w:sz w:val="24"/>
          <w:szCs w:val="24"/>
        </w:rPr>
        <w:t xml:space="preserve"> Limited over the five</w:t>
      </w:r>
      <w:r w:rsidRPr="00C54FC9">
        <w:rPr>
          <w:rFonts w:ascii="Times New Roman" w:hAnsi="Times New Roman" w:cs="Times New Roman"/>
          <w:sz w:val="24"/>
          <w:szCs w:val="24"/>
        </w:rPr>
        <w:t xml:space="preserve"> year period. It is observed that </w:t>
      </w:r>
      <w:r w:rsidR="00513D1D">
        <w:rPr>
          <w:rFonts w:ascii="Times New Roman" w:hAnsi="Times New Roman" w:cs="Times New Roman"/>
          <w:sz w:val="24"/>
          <w:szCs w:val="24"/>
        </w:rPr>
        <w:t>ITC</w:t>
      </w:r>
      <w:r w:rsidRPr="00C54FC9">
        <w:rPr>
          <w:rFonts w:ascii="Times New Roman" w:hAnsi="Times New Roman" w:cs="Times New Roman"/>
          <w:sz w:val="24"/>
          <w:szCs w:val="24"/>
        </w:rPr>
        <w:t xml:space="preserve"> has reported a gradual and continuous increa</w:t>
      </w:r>
      <w:r>
        <w:rPr>
          <w:rFonts w:ascii="Times New Roman" w:hAnsi="Times New Roman" w:cs="Times New Roman"/>
          <w:sz w:val="24"/>
          <w:szCs w:val="24"/>
        </w:rPr>
        <w:t>se in profit over the last five</w:t>
      </w:r>
      <w:r w:rsidRPr="00C54FC9">
        <w:rPr>
          <w:rFonts w:ascii="Times New Roman" w:hAnsi="Times New Roman" w:cs="Times New Roman"/>
          <w:sz w:val="24"/>
          <w:szCs w:val="24"/>
        </w:rPr>
        <w:t xml:space="preserve"> years of operation. Also, th</w:t>
      </w:r>
      <w:r>
        <w:rPr>
          <w:rFonts w:ascii="Times New Roman" w:hAnsi="Times New Roman" w:cs="Times New Roman"/>
          <w:sz w:val="24"/>
          <w:szCs w:val="24"/>
        </w:rPr>
        <w:t>e company’s interest amount has been fluctuating over the last five</w:t>
      </w:r>
      <w:r w:rsidRPr="00C54FC9">
        <w:rPr>
          <w:rFonts w:ascii="Times New Roman" w:hAnsi="Times New Roman" w:cs="Times New Roman"/>
          <w:sz w:val="24"/>
          <w:szCs w:val="24"/>
        </w:rPr>
        <w:t xml:space="preserve"> years. This has resulted in a two way push in the figure for Interest coverage ratio, </w:t>
      </w:r>
      <w:r>
        <w:rPr>
          <w:rFonts w:ascii="Times New Roman" w:hAnsi="Times New Roman" w:cs="Times New Roman"/>
          <w:sz w:val="24"/>
          <w:szCs w:val="24"/>
        </w:rPr>
        <w:t>which is measured as shown below</w:t>
      </w:r>
      <w:r w:rsidRPr="00C54FC9">
        <w:rPr>
          <w:rFonts w:ascii="Times New Roman" w:hAnsi="Times New Roman" w:cs="Times New Roman"/>
          <w:sz w:val="24"/>
          <w:szCs w:val="24"/>
        </w:rPr>
        <w:t>.</w:t>
      </w:r>
      <w:r w:rsidR="00E073A3">
        <w:rPr>
          <w:rFonts w:ascii="Times New Roman" w:hAnsi="Times New Roman" w:cs="Times New Roman"/>
          <w:sz w:val="24"/>
          <w:szCs w:val="24"/>
        </w:rPr>
        <w:t xml:space="preserve"> In FY2013 the interest coverage ratio has dropped significantly, this is because the interest paid on the debt during this year is </w:t>
      </w:r>
      <w:r w:rsidR="009A7ADC">
        <w:rPr>
          <w:rFonts w:ascii="Times New Roman" w:hAnsi="Times New Roman" w:cs="Times New Roman"/>
          <w:sz w:val="24"/>
          <w:szCs w:val="24"/>
        </w:rPr>
        <w:t>very much high compared to the earlier four consecutive years.</w:t>
      </w:r>
    </w:p>
    <w:p w:rsidR="009026CF" w:rsidRDefault="00C54FC9" w:rsidP="00C54FC9">
      <w:pPr>
        <w:shd w:val="clear" w:color="auto" w:fill="FFFFFF"/>
        <w:tabs>
          <w:tab w:val="left" w:pos="2220"/>
        </w:tabs>
        <w:spacing w:before="100" w:beforeAutospacing="1" w:after="100" w:afterAutospacing="1" w:line="360" w:lineRule="auto"/>
        <w:jc w:val="center"/>
        <w:rPr>
          <w:rFonts w:ascii="Times New Roman" w:eastAsia="Times New Roman" w:hAnsi="Times New Roman" w:cs="Times New Roman"/>
          <w:b/>
          <w:color w:val="000000"/>
          <w:sz w:val="24"/>
          <w:szCs w:val="24"/>
        </w:rPr>
      </w:pPr>
      <w:r>
        <w:rPr>
          <w:noProof/>
        </w:rPr>
        <w:lastRenderedPageBreak/>
        <w:drawing>
          <wp:inline distT="0" distB="0" distL="0" distR="0" wp14:anchorId="7EDAA957" wp14:editId="259F60E0">
            <wp:extent cx="4286250" cy="305752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45B4" w:rsidRDefault="002E6ECE" w:rsidP="005545B4">
      <w:pPr>
        <w:spacing w:line="360" w:lineRule="auto"/>
        <w:jc w:val="both"/>
        <w:rPr>
          <w:rFonts w:ascii="Times New Roman" w:hAnsi="Times New Roman" w:cs="Times New Roman"/>
          <w:sz w:val="24"/>
          <w:szCs w:val="24"/>
        </w:rPr>
      </w:pPr>
      <w:r w:rsidRPr="002E6ECE">
        <w:rPr>
          <w:rFonts w:ascii="Times New Roman" w:hAnsi="Times New Roman" w:cs="Times New Roman"/>
          <w:b/>
          <w:sz w:val="24"/>
          <w:szCs w:val="24"/>
        </w:rPr>
        <w:t xml:space="preserve">PBIT (Operating Income) to Sales: </w:t>
      </w:r>
      <w:r w:rsidRPr="002E6ECE">
        <w:rPr>
          <w:rFonts w:ascii="Times New Roman" w:hAnsi="Times New Roman" w:cs="Times New Roman"/>
          <w:sz w:val="24"/>
          <w:szCs w:val="24"/>
        </w:rPr>
        <w:t>The ratio between the profit before interest and taxes (equal to the operating income, in our case) to that of the sales for the given period during which the profit has been earned is a measure of the profitability of the company for that period.</w:t>
      </w:r>
    </w:p>
    <w:p w:rsidR="005545B4" w:rsidRDefault="002E6ECE" w:rsidP="005545B4">
      <w:pPr>
        <w:spacing w:line="360" w:lineRule="auto"/>
        <w:jc w:val="both"/>
        <w:rPr>
          <w:rFonts w:ascii="Times New Roman" w:hAnsi="Times New Roman" w:cs="Times New Roman"/>
          <w:sz w:val="24"/>
          <w:szCs w:val="24"/>
        </w:rPr>
      </w:pPr>
      <w:r w:rsidRPr="005545B4">
        <w:rPr>
          <w:rFonts w:ascii="Times New Roman" w:hAnsi="Times New Roman" w:cs="Times New Roman"/>
          <w:sz w:val="24"/>
          <w:szCs w:val="24"/>
        </w:rPr>
        <w:t xml:space="preserve">As reported earlier, </w:t>
      </w:r>
      <w:r w:rsidR="00513D1D">
        <w:rPr>
          <w:rFonts w:ascii="Times New Roman" w:hAnsi="Times New Roman" w:cs="Times New Roman"/>
          <w:sz w:val="24"/>
          <w:szCs w:val="24"/>
        </w:rPr>
        <w:t>ITC</w:t>
      </w:r>
      <w:r w:rsidRPr="005545B4">
        <w:rPr>
          <w:rFonts w:ascii="Times New Roman" w:hAnsi="Times New Roman" w:cs="Times New Roman"/>
          <w:sz w:val="24"/>
          <w:szCs w:val="24"/>
        </w:rPr>
        <w:t xml:space="preserve"> Limited has done well in the last few years and has continuously reported higher and higher profit every subsequent time. The sales of the company have also experienced a similar trend that has led to the expansion of profit. Because the growth in the two components has nearly been equal, the ratio between them has not changed significantly.</w:t>
      </w:r>
      <w:r w:rsidR="005545B4" w:rsidRPr="005545B4">
        <w:rPr>
          <w:rFonts w:ascii="Times New Roman" w:hAnsi="Times New Roman" w:cs="Times New Roman"/>
          <w:sz w:val="24"/>
          <w:szCs w:val="24"/>
        </w:rPr>
        <w:t xml:space="preserve"> The Indian economy staged a remarkable recovery to grow at</w:t>
      </w:r>
      <w:r w:rsidR="005545B4">
        <w:rPr>
          <w:rFonts w:ascii="Times New Roman" w:hAnsi="Times New Roman" w:cs="Times New Roman"/>
          <w:sz w:val="24"/>
          <w:szCs w:val="24"/>
        </w:rPr>
        <w:t xml:space="preserve"> </w:t>
      </w:r>
      <w:r w:rsidR="005545B4" w:rsidRPr="005545B4">
        <w:rPr>
          <w:rFonts w:ascii="Times New Roman" w:hAnsi="Times New Roman" w:cs="Times New Roman"/>
          <w:sz w:val="24"/>
          <w:szCs w:val="24"/>
        </w:rPr>
        <w:t>7.2% during the year, facilitated b</w:t>
      </w:r>
      <w:r w:rsidR="005545B4">
        <w:rPr>
          <w:rFonts w:ascii="Times New Roman" w:hAnsi="Times New Roman" w:cs="Times New Roman"/>
          <w:sz w:val="24"/>
          <w:szCs w:val="24"/>
        </w:rPr>
        <w:t xml:space="preserve">y policy stimulus and increased </w:t>
      </w:r>
      <w:r w:rsidR="005545B4" w:rsidRPr="005545B4">
        <w:rPr>
          <w:rFonts w:ascii="Times New Roman" w:hAnsi="Times New Roman" w:cs="Times New Roman"/>
          <w:sz w:val="24"/>
          <w:szCs w:val="24"/>
        </w:rPr>
        <w:t>government spending. A faster</w:t>
      </w:r>
      <w:r w:rsidR="005545B4">
        <w:rPr>
          <w:rFonts w:ascii="Times New Roman" w:hAnsi="Times New Roman" w:cs="Times New Roman"/>
          <w:sz w:val="24"/>
          <w:szCs w:val="24"/>
        </w:rPr>
        <w:t xml:space="preserve"> pace of growth in investments, </w:t>
      </w:r>
      <w:r w:rsidR="005545B4" w:rsidRPr="005545B4">
        <w:rPr>
          <w:rFonts w:ascii="Times New Roman" w:hAnsi="Times New Roman" w:cs="Times New Roman"/>
          <w:sz w:val="24"/>
          <w:szCs w:val="24"/>
        </w:rPr>
        <w:t>the sharp pick up in capital inflo</w:t>
      </w:r>
      <w:r w:rsidR="005545B4">
        <w:rPr>
          <w:rFonts w:ascii="Times New Roman" w:hAnsi="Times New Roman" w:cs="Times New Roman"/>
          <w:sz w:val="24"/>
          <w:szCs w:val="24"/>
        </w:rPr>
        <w:t xml:space="preserve">ws and a resurgent stock market </w:t>
      </w:r>
      <w:r w:rsidR="005545B4" w:rsidRPr="005545B4">
        <w:rPr>
          <w:rFonts w:ascii="Times New Roman" w:hAnsi="Times New Roman" w:cs="Times New Roman"/>
          <w:sz w:val="24"/>
          <w:szCs w:val="24"/>
        </w:rPr>
        <w:t>are some of the key positives that augur well for the economy.</w:t>
      </w:r>
    </w:p>
    <w:p w:rsidR="003D2015" w:rsidRDefault="002E6ECE" w:rsidP="005545B4">
      <w:pPr>
        <w:spacing w:line="360" w:lineRule="auto"/>
        <w:jc w:val="both"/>
        <w:rPr>
          <w:rFonts w:ascii="Times New Roman" w:hAnsi="Times New Roman" w:cs="Times New Roman"/>
          <w:sz w:val="24"/>
          <w:szCs w:val="24"/>
        </w:rPr>
      </w:pPr>
      <w:r w:rsidRPr="005545B4">
        <w:rPr>
          <w:rFonts w:ascii="Times New Roman" w:hAnsi="Times New Roman" w:cs="Times New Roman"/>
          <w:sz w:val="24"/>
          <w:szCs w:val="24"/>
        </w:rPr>
        <w:t xml:space="preserve"> In the given socio-economic environment in 2009 which created a </w:t>
      </w:r>
      <w:r w:rsidR="005545B4" w:rsidRPr="005545B4">
        <w:rPr>
          <w:rFonts w:ascii="Times New Roman" w:hAnsi="Times New Roman" w:cs="Times New Roman"/>
          <w:sz w:val="24"/>
          <w:szCs w:val="24"/>
        </w:rPr>
        <w:t xml:space="preserve">deepest downturn, the financial year 2009-2010 had a smart recovery due to which the growth in the Industrial sector was fuelled which created a renewed momentum in </w:t>
      </w:r>
      <w:proofErr w:type="gramStart"/>
      <w:r w:rsidR="005545B4" w:rsidRPr="005545B4">
        <w:rPr>
          <w:rFonts w:ascii="Times New Roman" w:hAnsi="Times New Roman" w:cs="Times New Roman"/>
          <w:sz w:val="24"/>
          <w:szCs w:val="24"/>
        </w:rPr>
        <w:t>Manufacturing</w:t>
      </w:r>
      <w:proofErr w:type="gramEnd"/>
      <w:r w:rsidR="005545B4" w:rsidRPr="005545B4">
        <w:rPr>
          <w:rFonts w:ascii="Times New Roman" w:hAnsi="Times New Roman" w:cs="Times New Roman"/>
          <w:sz w:val="24"/>
          <w:szCs w:val="24"/>
        </w:rPr>
        <w:t xml:space="preserve"> which grew by 8.9% during the year after eight consecutive quarters of decline in growth rates since 2007/08</w:t>
      </w:r>
      <w:r w:rsidR="005545B4">
        <w:rPr>
          <w:rFonts w:ascii="Times New Roman" w:hAnsi="Times New Roman" w:cs="Times New Roman"/>
          <w:sz w:val="24"/>
          <w:szCs w:val="24"/>
        </w:rPr>
        <w:t>.</w:t>
      </w:r>
    </w:p>
    <w:p w:rsidR="005545B4" w:rsidRDefault="005545B4" w:rsidP="005545B4">
      <w:pPr>
        <w:spacing w:line="360" w:lineRule="auto"/>
        <w:ind w:left="720"/>
        <w:jc w:val="both"/>
        <w:rPr>
          <w:rFonts w:ascii="Times New Roman" w:hAnsi="Times New Roman" w:cs="Times New Roman"/>
          <w:sz w:val="24"/>
          <w:szCs w:val="24"/>
        </w:rPr>
      </w:pPr>
    </w:p>
    <w:p w:rsidR="005545B4" w:rsidRDefault="005545B4" w:rsidP="005545B4">
      <w:pPr>
        <w:spacing w:line="360" w:lineRule="auto"/>
        <w:ind w:left="720"/>
        <w:jc w:val="both"/>
        <w:rPr>
          <w:rFonts w:ascii="Times New Roman" w:hAnsi="Times New Roman" w:cs="Times New Roman"/>
          <w:sz w:val="24"/>
          <w:szCs w:val="24"/>
        </w:rPr>
      </w:pPr>
    </w:p>
    <w:p w:rsidR="005545B4" w:rsidRDefault="005545B4" w:rsidP="005545B4">
      <w:pPr>
        <w:spacing w:line="360" w:lineRule="auto"/>
        <w:ind w:left="720"/>
        <w:jc w:val="both"/>
        <w:rPr>
          <w:rFonts w:ascii="Times New Roman" w:hAnsi="Times New Roman" w:cs="Times New Roman"/>
          <w:sz w:val="24"/>
          <w:szCs w:val="24"/>
        </w:rPr>
      </w:pPr>
    </w:p>
    <w:p w:rsidR="005545B4" w:rsidRPr="005545B4" w:rsidRDefault="003202F6" w:rsidP="005545B4">
      <w:pPr>
        <w:spacing w:line="360" w:lineRule="auto"/>
        <w:ind w:left="720"/>
        <w:jc w:val="both"/>
        <w:rPr>
          <w:rFonts w:ascii="Times New Roman" w:hAnsi="Times New Roman" w:cs="Times New Roman"/>
          <w:sz w:val="24"/>
          <w:szCs w:val="24"/>
        </w:rPr>
      </w:pPr>
      <w:r>
        <w:rPr>
          <w:noProof/>
        </w:rPr>
        <w:drawing>
          <wp:inline distT="0" distB="0" distL="0" distR="0" wp14:anchorId="4B55D322" wp14:editId="3691AD1F">
            <wp:extent cx="5153025" cy="3648076"/>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26CF" w:rsidRDefault="00F723A0" w:rsidP="00F723A0">
      <w:pPr>
        <w:spacing w:line="360" w:lineRule="auto"/>
        <w:jc w:val="both"/>
        <w:rPr>
          <w:rFonts w:ascii="Times New Roman" w:hAnsi="Times New Roman" w:cs="Times New Roman"/>
          <w:sz w:val="24"/>
          <w:szCs w:val="24"/>
        </w:rPr>
      </w:pPr>
      <w:r w:rsidRPr="00F723A0">
        <w:rPr>
          <w:rFonts w:ascii="Times New Roman" w:hAnsi="Times New Roman" w:cs="Times New Roman"/>
          <w:b/>
          <w:sz w:val="24"/>
          <w:szCs w:val="24"/>
        </w:rPr>
        <w:t xml:space="preserve">PAT to Sales: </w:t>
      </w:r>
      <w:r w:rsidRPr="00F723A0">
        <w:rPr>
          <w:rFonts w:ascii="Times New Roman" w:hAnsi="Times New Roman" w:cs="Times New Roman"/>
          <w:sz w:val="24"/>
          <w:szCs w:val="24"/>
        </w:rPr>
        <w:t xml:space="preserve">PAT or, the profit after tax is directly correlated with the profit before tax. The interest component is the sole parameter that can differentiate the trend followed by the ratio above and this one. PAT for </w:t>
      </w:r>
      <w:r w:rsidR="00513D1D">
        <w:rPr>
          <w:rFonts w:ascii="Times New Roman" w:hAnsi="Times New Roman" w:cs="Times New Roman"/>
          <w:sz w:val="24"/>
          <w:szCs w:val="24"/>
        </w:rPr>
        <w:t>ITC</w:t>
      </w:r>
      <w:r w:rsidRPr="00F723A0">
        <w:rPr>
          <w:rFonts w:ascii="Times New Roman" w:hAnsi="Times New Roman" w:cs="Times New Roman"/>
          <w:sz w:val="24"/>
          <w:szCs w:val="24"/>
        </w:rPr>
        <w:t xml:space="preserve"> Limited, like PBIT, has shown an upward trend. The financing decisions and also the tax have altered the overall impact on the profitability of the company</w:t>
      </w:r>
      <w:r>
        <w:rPr>
          <w:rFonts w:ascii="Times New Roman" w:hAnsi="Times New Roman" w:cs="Times New Roman"/>
          <w:sz w:val="24"/>
          <w:szCs w:val="24"/>
        </w:rPr>
        <w:t>.</w:t>
      </w:r>
    </w:p>
    <w:p w:rsidR="00C46A4A" w:rsidRPr="00F723A0" w:rsidRDefault="00C46A4A" w:rsidP="003202F6">
      <w:pPr>
        <w:spacing w:line="360" w:lineRule="auto"/>
        <w:jc w:val="center"/>
        <w:rPr>
          <w:rFonts w:ascii="Times New Roman" w:hAnsi="Times New Roman" w:cs="Times New Roman"/>
          <w:sz w:val="24"/>
          <w:szCs w:val="24"/>
        </w:rPr>
      </w:pPr>
      <w:r>
        <w:rPr>
          <w:noProof/>
        </w:rPr>
        <w:lastRenderedPageBreak/>
        <w:drawing>
          <wp:inline distT="0" distB="0" distL="0" distR="0" wp14:anchorId="3CABACCD" wp14:editId="21111642">
            <wp:extent cx="4762500" cy="31718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02F6" w:rsidRPr="00936EFB" w:rsidRDefault="003202F6" w:rsidP="00936EFB">
      <w:pPr>
        <w:autoSpaceDE w:val="0"/>
        <w:autoSpaceDN w:val="0"/>
        <w:adjustRightInd w:val="0"/>
        <w:spacing w:after="0" w:line="360" w:lineRule="auto"/>
        <w:jc w:val="both"/>
        <w:rPr>
          <w:rFonts w:ascii="Times New Roman" w:hAnsi="Times New Roman" w:cs="Times New Roman"/>
          <w:sz w:val="24"/>
          <w:szCs w:val="24"/>
        </w:rPr>
      </w:pPr>
      <w:r w:rsidRPr="00936EFB">
        <w:rPr>
          <w:rFonts w:ascii="Times New Roman" w:hAnsi="Times New Roman" w:cs="Times New Roman"/>
          <w:b/>
          <w:sz w:val="24"/>
          <w:szCs w:val="24"/>
        </w:rPr>
        <w:t xml:space="preserve">Market Capitalization: </w:t>
      </w:r>
      <w:r w:rsidRPr="00936EFB">
        <w:rPr>
          <w:rFonts w:ascii="Times New Roman" w:hAnsi="Times New Roman" w:cs="Times New Roman"/>
          <w:sz w:val="24"/>
          <w:szCs w:val="24"/>
        </w:rPr>
        <w:t>The market capitalization of the company is defined as the market value of the number of equity shares being traded in the market at that point of time.</w:t>
      </w:r>
      <w:r w:rsidR="00936EFB" w:rsidRPr="00936EFB">
        <w:rPr>
          <w:rFonts w:ascii="Times New Roman" w:hAnsi="Times New Roman" w:cs="Times New Roman"/>
          <w:sz w:val="24"/>
          <w:szCs w:val="24"/>
        </w:rPr>
        <w:t xml:space="preserve"> </w:t>
      </w:r>
      <w:r w:rsidRPr="00936EFB">
        <w:rPr>
          <w:rFonts w:ascii="Times New Roman" w:hAnsi="Times New Roman" w:cs="Times New Roman"/>
          <w:sz w:val="24"/>
          <w:szCs w:val="24"/>
        </w:rPr>
        <w:t>It is evident from the graph below that the market capitalization for the company has</w:t>
      </w:r>
      <w:r w:rsidR="00936EFB" w:rsidRPr="00936EFB">
        <w:rPr>
          <w:rFonts w:ascii="Times New Roman" w:hAnsi="Times New Roman" w:cs="Times New Roman"/>
          <w:sz w:val="24"/>
          <w:szCs w:val="24"/>
        </w:rPr>
        <w:t xml:space="preserve"> increased during the last five years by about 250.17</w:t>
      </w:r>
      <w:r w:rsidR="00A82650">
        <w:rPr>
          <w:rFonts w:ascii="Times New Roman" w:hAnsi="Times New Roman" w:cs="Times New Roman"/>
          <w:sz w:val="24"/>
          <w:szCs w:val="24"/>
        </w:rPr>
        <w:t>%</w:t>
      </w:r>
      <w:r w:rsidRPr="00936EFB">
        <w:rPr>
          <w:rFonts w:ascii="Times New Roman" w:hAnsi="Times New Roman" w:cs="Times New Roman"/>
          <w:sz w:val="24"/>
          <w:szCs w:val="24"/>
        </w:rPr>
        <w:t xml:space="preserve">. </w:t>
      </w:r>
      <w:r w:rsidR="00936EFB" w:rsidRPr="00936EFB">
        <w:rPr>
          <w:rFonts w:ascii="Times New Roman" w:hAnsi="Times New Roman" w:cs="Times New Roman"/>
          <w:sz w:val="24"/>
          <w:szCs w:val="24"/>
        </w:rPr>
        <w:t xml:space="preserve">Also the socio-economic environment has facilitated this increase after a slump in 2007. As the manufacturing sector reached new heights, the Market Cap made a considerable surge. The Company’s shares are among the most liquid and actively traded shares on  the Indian Stock Exchanges and consistently rank among the top frequently traded shares, both in terms of number of shares traded as well as in terms of value. The Company’s market capitalization stood at </w:t>
      </w:r>
      <w:r w:rsidR="00936EFB">
        <w:rPr>
          <w:rFonts w:ascii="Times New Roman" w:hAnsi="Times New Roman" w:cs="Times New Roman"/>
          <w:sz w:val="24"/>
          <w:szCs w:val="24"/>
        </w:rPr>
        <w:t>2</w:t>
      </w:r>
      <w:proofErr w:type="gramStart"/>
      <w:r w:rsidR="00936EFB">
        <w:rPr>
          <w:rFonts w:ascii="Times New Roman" w:hAnsi="Times New Roman" w:cs="Times New Roman"/>
          <w:sz w:val="24"/>
          <w:szCs w:val="24"/>
        </w:rPr>
        <w:t>,44,245</w:t>
      </w:r>
      <w:proofErr w:type="gramEnd"/>
      <w:r w:rsidR="00936EFB" w:rsidRPr="00936EFB">
        <w:rPr>
          <w:rFonts w:ascii="Times New Roman" w:hAnsi="Times New Roman" w:cs="Times New Roman"/>
          <w:sz w:val="24"/>
          <w:szCs w:val="24"/>
        </w:rPr>
        <w:t xml:space="preserve"> </w:t>
      </w:r>
      <w:proofErr w:type="spellStart"/>
      <w:r w:rsidR="00936EFB" w:rsidRPr="00936EFB">
        <w:rPr>
          <w:rFonts w:ascii="Times New Roman" w:hAnsi="Times New Roman" w:cs="Times New Roman"/>
          <w:sz w:val="24"/>
          <w:szCs w:val="24"/>
        </w:rPr>
        <w:t>crores</w:t>
      </w:r>
      <w:proofErr w:type="spellEnd"/>
      <w:r w:rsidR="00936EFB" w:rsidRPr="00936EFB">
        <w:rPr>
          <w:rFonts w:ascii="Times New Roman" w:hAnsi="Times New Roman" w:cs="Times New Roman"/>
          <w:sz w:val="24"/>
          <w:szCs w:val="24"/>
        </w:rPr>
        <w:t xml:space="preserve"> (US$ 45.04 billion) on 31st March, 2013 as compared to ` </w:t>
      </w:r>
      <w:r w:rsidR="00A82650">
        <w:rPr>
          <w:rFonts w:ascii="Times New Roman" w:hAnsi="Times New Roman" w:cs="Times New Roman"/>
          <w:sz w:val="24"/>
          <w:szCs w:val="24"/>
        </w:rPr>
        <w:t>1,77,360</w:t>
      </w:r>
      <w:r w:rsidR="00936EFB" w:rsidRPr="00936EFB">
        <w:rPr>
          <w:rFonts w:ascii="Times New Roman" w:hAnsi="Times New Roman" w:cs="Times New Roman"/>
          <w:sz w:val="24"/>
          <w:szCs w:val="24"/>
        </w:rPr>
        <w:t xml:space="preserve"> </w:t>
      </w:r>
      <w:proofErr w:type="spellStart"/>
      <w:r w:rsidR="00936EFB" w:rsidRPr="00936EFB">
        <w:rPr>
          <w:rFonts w:ascii="Times New Roman" w:hAnsi="Times New Roman" w:cs="Times New Roman"/>
          <w:sz w:val="24"/>
          <w:szCs w:val="24"/>
        </w:rPr>
        <w:t>crores</w:t>
      </w:r>
      <w:proofErr w:type="spellEnd"/>
      <w:r w:rsidR="00936EFB" w:rsidRPr="00936EFB">
        <w:rPr>
          <w:rFonts w:ascii="Times New Roman" w:hAnsi="Times New Roman" w:cs="Times New Roman"/>
          <w:sz w:val="24"/>
          <w:szCs w:val="24"/>
        </w:rPr>
        <w:t xml:space="preserve"> (US$ 34.87 billion) on 31st March, 2012.</w:t>
      </w:r>
    </w:p>
    <w:p w:rsidR="00936EFB" w:rsidRPr="00936EFB" w:rsidRDefault="00936EFB" w:rsidP="00936EFB">
      <w:pPr>
        <w:spacing w:line="360" w:lineRule="auto"/>
        <w:ind w:left="720"/>
        <w:jc w:val="both"/>
        <w:rPr>
          <w:rFonts w:ascii="Times New Roman" w:hAnsi="Times New Roman" w:cs="Times New Roman"/>
          <w:sz w:val="24"/>
          <w:szCs w:val="24"/>
        </w:rPr>
      </w:pPr>
    </w:p>
    <w:p w:rsidR="00936EFB" w:rsidRPr="003202F6" w:rsidRDefault="00936EFB" w:rsidP="003202F6">
      <w:pPr>
        <w:spacing w:line="360" w:lineRule="auto"/>
        <w:ind w:left="720"/>
        <w:jc w:val="both"/>
        <w:rPr>
          <w:rFonts w:ascii="Times New Roman" w:hAnsi="Times New Roman" w:cs="Times New Roman"/>
          <w:sz w:val="24"/>
          <w:szCs w:val="24"/>
        </w:rPr>
      </w:pPr>
    </w:p>
    <w:p w:rsidR="00CD5448" w:rsidRDefault="00CD5448" w:rsidP="003202F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CD5448" w:rsidRDefault="00CD5448" w:rsidP="003202F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CD5448" w:rsidRDefault="00CD5448" w:rsidP="003202F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CD5448" w:rsidRDefault="00CD5448" w:rsidP="003202F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CD5448" w:rsidRDefault="00CD5448" w:rsidP="003202F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9026CF" w:rsidRPr="003202F6" w:rsidRDefault="00936EFB" w:rsidP="00CD5448">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4"/>
          <w:szCs w:val="24"/>
        </w:rPr>
      </w:pPr>
      <w:r>
        <w:rPr>
          <w:noProof/>
        </w:rPr>
        <w:drawing>
          <wp:inline distT="0" distB="0" distL="0" distR="0" wp14:anchorId="278F9707" wp14:editId="4AA1B219">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D5448" w:rsidRDefault="00D71DCF" w:rsidP="00D71DCF">
      <w:pPr>
        <w:spacing w:line="360" w:lineRule="auto"/>
        <w:jc w:val="both"/>
        <w:rPr>
          <w:rFonts w:ascii="Times New Roman" w:hAnsi="Times New Roman" w:cs="Times New Roman"/>
          <w:sz w:val="24"/>
        </w:rPr>
      </w:pPr>
      <w:r w:rsidRPr="00D71DCF">
        <w:rPr>
          <w:rFonts w:ascii="Times New Roman" w:hAnsi="Times New Roman" w:cs="Times New Roman"/>
          <w:b/>
          <w:sz w:val="24"/>
        </w:rPr>
        <w:t xml:space="preserve">Return on Total Assets (ROTA): </w:t>
      </w:r>
      <w:r w:rsidRPr="00D71DCF">
        <w:rPr>
          <w:rFonts w:ascii="Times New Roman" w:hAnsi="Times New Roman" w:cs="Times New Roman"/>
          <w:sz w:val="24"/>
        </w:rPr>
        <w:t xml:space="preserve">The return on Total Assets is yet another method of calculating the return of the company. This is calculated by taking the ratio between the PBIT (Profit before Interest and Taxes) to the Total Assets of the company. </w:t>
      </w:r>
    </w:p>
    <w:p w:rsidR="00D71DCF" w:rsidRPr="00D71DCF" w:rsidRDefault="00D71DCF" w:rsidP="00D71DCF">
      <w:pPr>
        <w:spacing w:line="360" w:lineRule="auto"/>
        <w:jc w:val="both"/>
        <w:rPr>
          <w:rFonts w:ascii="Times New Roman" w:hAnsi="Times New Roman" w:cs="Times New Roman"/>
          <w:sz w:val="24"/>
        </w:rPr>
      </w:pPr>
      <w:r w:rsidRPr="00D71DCF">
        <w:rPr>
          <w:rFonts w:ascii="Times New Roman" w:hAnsi="Times New Roman" w:cs="Times New Roman"/>
          <w:sz w:val="24"/>
        </w:rPr>
        <w:t xml:space="preserve">The total assets for </w:t>
      </w:r>
      <w:r w:rsidR="00513D1D">
        <w:rPr>
          <w:rFonts w:ascii="Times New Roman" w:hAnsi="Times New Roman" w:cs="Times New Roman"/>
          <w:sz w:val="24"/>
        </w:rPr>
        <w:t>ITC</w:t>
      </w:r>
      <w:r w:rsidRPr="00D71DCF">
        <w:rPr>
          <w:rFonts w:ascii="Times New Roman" w:hAnsi="Times New Roman" w:cs="Times New Roman"/>
          <w:sz w:val="24"/>
        </w:rPr>
        <w:t xml:space="preserve"> L</w:t>
      </w:r>
      <w:r>
        <w:rPr>
          <w:rFonts w:ascii="Times New Roman" w:hAnsi="Times New Roman" w:cs="Times New Roman"/>
          <w:sz w:val="24"/>
        </w:rPr>
        <w:t>imited have increased by over 74.5% in the last five</w:t>
      </w:r>
      <w:r w:rsidRPr="00D71DCF">
        <w:rPr>
          <w:rFonts w:ascii="Times New Roman" w:hAnsi="Times New Roman" w:cs="Times New Roman"/>
          <w:sz w:val="24"/>
        </w:rPr>
        <w:t xml:space="preserve"> years. As reported earlier, the profit before interest and tax, PB</w:t>
      </w:r>
      <w:r w:rsidR="00CD5448">
        <w:rPr>
          <w:rFonts w:ascii="Times New Roman" w:hAnsi="Times New Roman" w:cs="Times New Roman"/>
          <w:sz w:val="24"/>
        </w:rPr>
        <w:t xml:space="preserve">IT, has shown approximately </w:t>
      </w:r>
      <w:proofErr w:type="gramStart"/>
      <w:r w:rsidR="00CD5448">
        <w:rPr>
          <w:rFonts w:ascii="Times New Roman" w:hAnsi="Times New Roman" w:cs="Times New Roman"/>
          <w:sz w:val="24"/>
        </w:rPr>
        <w:t>a</w:t>
      </w:r>
      <w:proofErr w:type="gramEnd"/>
      <w:r w:rsidR="00CD5448">
        <w:rPr>
          <w:rFonts w:ascii="Times New Roman" w:hAnsi="Times New Roman" w:cs="Times New Roman"/>
          <w:sz w:val="24"/>
        </w:rPr>
        <w:t xml:space="preserve"> 80</w:t>
      </w:r>
      <w:r w:rsidRPr="00D71DCF">
        <w:rPr>
          <w:rFonts w:ascii="Times New Roman" w:hAnsi="Times New Roman" w:cs="Times New Roman"/>
          <w:sz w:val="24"/>
        </w:rPr>
        <w:t xml:space="preserve">% increase in the stipulated time period. Therefore, </w:t>
      </w:r>
      <w:smartTag w:uri="urn:schemas-microsoft-com:office:smarttags" w:element="place">
        <w:r w:rsidRPr="00D71DCF">
          <w:rPr>
            <w:rFonts w:ascii="Times New Roman" w:hAnsi="Times New Roman" w:cs="Times New Roman"/>
            <w:sz w:val="24"/>
          </w:rPr>
          <w:t>ROTA</w:t>
        </w:r>
      </w:smartTag>
      <w:r w:rsidRPr="00D71DCF">
        <w:rPr>
          <w:rFonts w:ascii="Times New Roman" w:hAnsi="Times New Roman" w:cs="Times New Roman"/>
          <w:sz w:val="24"/>
        </w:rPr>
        <w:t>, which is a measure of these two figures, has shown an increase over the years under consideration. The return on total assets has risen from a</w:t>
      </w:r>
      <w:r w:rsidR="00CD5448">
        <w:rPr>
          <w:rFonts w:ascii="Times New Roman" w:hAnsi="Times New Roman" w:cs="Times New Roman"/>
          <w:sz w:val="24"/>
        </w:rPr>
        <w:t>bout 23% in 2004-05 to over 30.1% in 2009-2013</w:t>
      </w:r>
      <w:r w:rsidRPr="00D71DCF">
        <w:rPr>
          <w:rFonts w:ascii="Times New Roman" w:hAnsi="Times New Roman" w:cs="Times New Roman"/>
          <w:sz w:val="24"/>
        </w:rPr>
        <w:t xml:space="preserve">. </w:t>
      </w:r>
    </w:p>
    <w:p w:rsidR="009026CF" w:rsidRDefault="009026CF" w:rsidP="0009489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9026CF" w:rsidRDefault="009026CF" w:rsidP="0009489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913D4B" w:rsidRDefault="005D35C0" w:rsidP="00901148">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4"/>
          <w:szCs w:val="24"/>
        </w:rPr>
      </w:pPr>
      <w:r>
        <w:rPr>
          <w:noProof/>
        </w:rPr>
        <w:lastRenderedPageBreak/>
        <w:drawing>
          <wp:inline distT="0" distB="0" distL="0" distR="0" wp14:anchorId="43F963DF" wp14:editId="51792DFD">
            <wp:extent cx="4924425" cy="32670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3D4B" w:rsidRPr="00913D4B" w:rsidRDefault="00913D4B" w:rsidP="00913D4B">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sidRPr="00913D4B">
        <w:rPr>
          <w:rFonts w:ascii="Times New Roman" w:hAnsi="Times New Roman" w:cs="Times New Roman"/>
          <w:b/>
          <w:sz w:val="24"/>
          <w:szCs w:val="24"/>
        </w:rPr>
        <w:t>Price-Earning</w:t>
      </w:r>
      <w:r>
        <w:rPr>
          <w:rFonts w:ascii="Times New Roman" w:hAnsi="Times New Roman" w:cs="Times New Roman"/>
          <w:b/>
          <w:sz w:val="24"/>
          <w:szCs w:val="24"/>
        </w:rPr>
        <w:t>s</w:t>
      </w:r>
      <w:r w:rsidRPr="00913D4B">
        <w:rPr>
          <w:rFonts w:ascii="Times New Roman" w:hAnsi="Times New Roman" w:cs="Times New Roman"/>
          <w:b/>
          <w:sz w:val="24"/>
          <w:szCs w:val="24"/>
        </w:rPr>
        <w:t xml:space="preserve"> Ratio (PER): </w:t>
      </w:r>
      <w:r w:rsidRPr="00913D4B">
        <w:rPr>
          <w:rFonts w:ascii="Times New Roman" w:hAnsi="Times New Roman" w:cs="Times New Roman"/>
          <w:sz w:val="24"/>
          <w:szCs w:val="24"/>
        </w:rPr>
        <w:t xml:space="preserve">Price-Earnings ratio is </w:t>
      </w:r>
      <w:r w:rsidRPr="00913D4B">
        <w:rPr>
          <w:rFonts w:ascii="Times New Roman" w:hAnsi="Times New Roman" w:cs="Times New Roman"/>
          <w:sz w:val="24"/>
          <w:szCs w:val="24"/>
          <w:lang/>
        </w:rPr>
        <w:t>a measure of the price paid for a share relative to the income or profit earned by the firm per share. A higher P/E ratio means that investors are paying more for each unit of income</w:t>
      </w:r>
      <w:r w:rsidRPr="00913D4B">
        <w:rPr>
          <w:rFonts w:ascii="Times New Roman" w:hAnsi="Times New Roman" w:cs="Times New Roman"/>
          <w:sz w:val="24"/>
          <w:szCs w:val="24"/>
        </w:rPr>
        <w:t>.</w:t>
      </w:r>
      <w:r>
        <w:rPr>
          <w:rFonts w:ascii="Times New Roman" w:hAnsi="Times New Roman" w:cs="Times New Roman"/>
          <w:sz w:val="24"/>
          <w:szCs w:val="24"/>
        </w:rPr>
        <w:t xml:space="preserve"> The Bonus issue of 1:1 in 2011 has also affected the stock price of the company.</w:t>
      </w:r>
    </w:p>
    <w:p w:rsidR="00913D4B" w:rsidRDefault="00913D4B" w:rsidP="00913D4B">
      <w:pPr>
        <w:jc w:val="both"/>
      </w:pPr>
    </w:p>
    <w:p w:rsidR="00913D4B" w:rsidRDefault="00913D4B" w:rsidP="00913D4B">
      <w:pPr>
        <w:shd w:val="clear" w:color="auto" w:fill="FFFFFF"/>
        <w:tabs>
          <w:tab w:val="left" w:pos="2145"/>
        </w:tabs>
        <w:spacing w:before="100" w:beforeAutospacing="1" w:after="100" w:afterAutospacing="1" w:line="360" w:lineRule="auto"/>
        <w:jc w:val="center"/>
        <w:rPr>
          <w:rFonts w:ascii="Times New Roman" w:eastAsia="Times New Roman" w:hAnsi="Times New Roman" w:cs="Times New Roman"/>
          <w:b/>
          <w:color w:val="000000"/>
          <w:sz w:val="24"/>
          <w:szCs w:val="24"/>
        </w:rPr>
      </w:pPr>
      <w:r>
        <w:rPr>
          <w:noProof/>
        </w:rPr>
        <w:drawing>
          <wp:inline distT="0" distB="0" distL="0" distR="0" wp14:anchorId="2DC2EFE0" wp14:editId="042A25A3">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4890" w:rsidRDefault="00170488" w:rsidP="0009489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CROSS SECTIONAL ANALYSIS</w:t>
      </w:r>
    </w:p>
    <w:p w:rsidR="00170488" w:rsidRPr="00094890" w:rsidRDefault="00821941" w:rsidP="0009489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noProof/>
        </w:rPr>
        <w:drawing>
          <wp:inline distT="0" distB="0" distL="0" distR="0" wp14:anchorId="583674DA" wp14:editId="1DAD5D17">
            <wp:extent cx="5943600" cy="5186680"/>
            <wp:effectExtent l="0" t="0" r="1905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026CF" w:rsidRPr="001103CB" w:rsidRDefault="005A53E3" w:rsidP="001103CB">
      <w:pPr>
        <w:autoSpaceDE w:val="0"/>
        <w:autoSpaceDN w:val="0"/>
        <w:adjustRightInd w:val="0"/>
        <w:spacing w:after="0" w:line="360" w:lineRule="auto"/>
        <w:jc w:val="both"/>
        <w:rPr>
          <w:rFonts w:ascii="Times New Roman" w:hAnsi="Times New Roman" w:cs="Times New Roman"/>
          <w:sz w:val="24"/>
          <w:szCs w:val="24"/>
        </w:rPr>
      </w:pPr>
      <w:r w:rsidRPr="001103CB">
        <w:rPr>
          <w:rFonts w:ascii="Times New Roman" w:hAnsi="Times New Roman" w:cs="Times New Roman"/>
          <w:sz w:val="24"/>
          <w:szCs w:val="24"/>
        </w:rPr>
        <w:t>As clearly seen from the above graph, ITC is the market leader in FMCG-</w:t>
      </w:r>
      <w:r w:rsidR="00247B6D" w:rsidRPr="001103CB">
        <w:rPr>
          <w:rFonts w:ascii="Times New Roman" w:hAnsi="Times New Roman" w:cs="Times New Roman"/>
          <w:sz w:val="24"/>
          <w:szCs w:val="24"/>
        </w:rPr>
        <w:t>Cigarettes</w:t>
      </w:r>
      <w:r w:rsidRPr="001103CB">
        <w:rPr>
          <w:rFonts w:ascii="Times New Roman" w:hAnsi="Times New Roman" w:cs="Times New Roman"/>
          <w:sz w:val="24"/>
          <w:szCs w:val="24"/>
        </w:rPr>
        <w:t xml:space="preserve"> segment with more than 85% of the market share.</w:t>
      </w:r>
      <w:r w:rsidR="00247B6D" w:rsidRPr="001103CB">
        <w:rPr>
          <w:rFonts w:ascii="Times New Roman" w:hAnsi="Times New Roman" w:cs="Times New Roman"/>
          <w:sz w:val="24"/>
          <w:szCs w:val="24"/>
        </w:rPr>
        <w:t xml:space="preserve"> Godfrey Philip is the immediate market player in the Cigarettes segment. The market cap of Godfrey Philip is 30,105 </w:t>
      </w:r>
      <w:proofErr w:type="spellStart"/>
      <w:r w:rsidR="00247B6D" w:rsidRPr="001103CB">
        <w:rPr>
          <w:rFonts w:ascii="Times New Roman" w:hAnsi="Times New Roman" w:cs="Times New Roman"/>
          <w:sz w:val="24"/>
          <w:szCs w:val="24"/>
        </w:rPr>
        <w:t>crores</w:t>
      </w:r>
      <w:proofErr w:type="spellEnd"/>
      <w:r w:rsidR="00247B6D" w:rsidRPr="001103CB">
        <w:rPr>
          <w:rFonts w:ascii="Times New Roman" w:hAnsi="Times New Roman" w:cs="Times New Roman"/>
          <w:sz w:val="24"/>
          <w:szCs w:val="24"/>
        </w:rPr>
        <w:t xml:space="preserve">. </w:t>
      </w:r>
      <w:r w:rsidR="001103CB" w:rsidRPr="001103CB">
        <w:rPr>
          <w:rFonts w:ascii="Times New Roman" w:hAnsi="Times New Roman" w:cs="Times New Roman"/>
          <w:sz w:val="24"/>
          <w:szCs w:val="24"/>
        </w:rPr>
        <w:t>The introduction of a new segment of filter cigarettes of</w:t>
      </w:r>
      <w:r w:rsidR="001103CB">
        <w:rPr>
          <w:rFonts w:ascii="Times New Roman" w:hAnsi="Times New Roman" w:cs="Times New Roman"/>
          <w:sz w:val="24"/>
          <w:szCs w:val="24"/>
        </w:rPr>
        <w:t xml:space="preserve"> </w:t>
      </w:r>
      <w:r w:rsidR="001103CB" w:rsidRPr="001103CB">
        <w:rPr>
          <w:rFonts w:ascii="Times New Roman" w:hAnsi="Times New Roman" w:cs="Times New Roman"/>
          <w:sz w:val="24"/>
          <w:szCs w:val="24"/>
        </w:rPr>
        <w:t>length not exceeding 65 mm announced in the U</w:t>
      </w:r>
      <w:r w:rsidR="001103CB">
        <w:rPr>
          <w:rFonts w:ascii="Times New Roman" w:hAnsi="Times New Roman" w:cs="Times New Roman"/>
          <w:sz w:val="24"/>
          <w:szCs w:val="24"/>
        </w:rPr>
        <w:t xml:space="preserve">nion </w:t>
      </w:r>
      <w:r w:rsidR="001103CB" w:rsidRPr="001103CB">
        <w:rPr>
          <w:rFonts w:ascii="Times New Roman" w:hAnsi="Times New Roman" w:cs="Times New Roman"/>
          <w:sz w:val="24"/>
          <w:szCs w:val="24"/>
        </w:rPr>
        <w:t>Budget 2012, was a posi</w:t>
      </w:r>
      <w:r w:rsidR="001103CB">
        <w:rPr>
          <w:rFonts w:ascii="Times New Roman" w:hAnsi="Times New Roman" w:cs="Times New Roman"/>
          <w:sz w:val="24"/>
          <w:szCs w:val="24"/>
        </w:rPr>
        <w:t xml:space="preserve">tive step towards arresting the </w:t>
      </w:r>
      <w:r w:rsidR="001103CB" w:rsidRPr="001103CB">
        <w:rPr>
          <w:rFonts w:ascii="Times New Roman" w:hAnsi="Times New Roman" w:cs="Times New Roman"/>
          <w:sz w:val="24"/>
          <w:szCs w:val="24"/>
        </w:rPr>
        <w:t>growth of illegal ci</w:t>
      </w:r>
      <w:r w:rsidR="001103CB">
        <w:rPr>
          <w:rFonts w:ascii="Times New Roman" w:hAnsi="Times New Roman" w:cs="Times New Roman"/>
          <w:sz w:val="24"/>
          <w:szCs w:val="24"/>
        </w:rPr>
        <w:t xml:space="preserve">garette trade. The industry has </w:t>
      </w:r>
      <w:r w:rsidR="001103CB" w:rsidRPr="001103CB">
        <w:rPr>
          <w:rFonts w:ascii="Times New Roman" w:hAnsi="Times New Roman" w:cs="Times New Roman"/>
          <w:sz w:val="24"/>
          <w:szCs w:val="24"/>
        </w:rPr>
        <w:t>responded swiftly mak</w:t>
      </w:r>
      <w:r w:rsidR="001103CB">
        <w:rPr>
          <w:rFonts w:ascii="Times New Roman" w:hAnsi="Times New Roman" w:cs="Times New Roman"/>
          <w:sz w:val="24"/>
          <w:szCs w:val="24"/>
        </w:rPr>
        <w:t xml:space="preserve">ing significant investments and </w:t>
      </w:r>
      <w:r w:rsidR="001103CB" w:rsidRPr="001103CB">
        <w:rPr>
          <w:rFonts w:ascii="Times New Roman" w:hAnsi="Times New Roman" w:cs="Times New Roman"/>
          <w:sz w:val="24"/>
          <w:szCs w:val="24"/>
        </w:rPr>
        <w:t>launched several offe</w:t>
      </w:r>
      <w:r w:rsidR="001103CB">
        <w:rPr>
          <w:rFonts w:ascii="Times New Roman" w:hAnsi="Times New Roman" w:cs="Times New Roman"/>
          <w:sz w:val="24"/>
          <w:szCs w:val="24"/>
        </w:rPr>
        <w:t xml:space="preserve">rings in the new segment. While </w:t>
      </w:r>
      <w:r w:rsidR="001103CB" w:rsidRPr="001103CB">
        <w:rPr>
          <w:rFonts w:ascii="Times New Roman" w:hAnsi="Times New Roman" w:cs="Times New Roman"/>
          <w:sz w:val="24"/>
          <w:szCs w:val="24"/>
        </w:rPr>
        <w:t>initial response from t</w:t>
      </w:r>
      <w:r w:rsidR="001103CB">
        <w:rPr>
          <w:rFonts w:ascii="Times New Roman" w:hAnsi="Times New Roman" w:cs="Times New Roman"/>
          <w:sz w:val="24"/>
          <w:szCs w:val="24"/>
        </w:rPr>
        <w:t xml:space="preserve">he market has been encouraging, the high central Excise </w:t>
      </w:r>
      <w:r w:rsidR="001103CB" w:rsidRPr="001103CB">
        <w:rPr>
          <w:rFonts w:ascii="Times New Roman" w:hAnsi="Times New Roman" w:cs="Times New Roman"/>
          <w:sz w:val="24"/>
          <w:szCs w:val="24"/>
        </w:rPr>
        <w:t xml:space="preserve">Duty rate of </w:t>
      </w:r>
      <w:r w:rsidR="001103CB">
        <w:rPr>
          <w:rFonts w:ascii="Times New Roman" w:hAnsi="Times New Roman" w:cs="Times New Roman"/>
          <w:sz w:val="24"/>
          <w:szCs w:val="24"/>
        </w:rPr>
        <w:t xml:space="preserve">689 per thousand </w:t>
      </w:r>
      <w:r w:rsidR="001103CB" w:rsidRPr="001103CB">
        <w:rPr>
          <w:rFonts w:ascii="Times New Roman" w:hAnsi="Times New Roman" w:cs="Times New Roman"/>
          <w:sz w:val="24"/>
          <w:szCs w:val="24"/>
        </w:rPr>
        <w:t>cigarettes applicable to this segment coupled with a</w:t>
      </w:r>
      <w:r w:rsidR="005A28E7">
        <w:rPr>
          <w:rFonts w:ascii="Times New Roman" w:hAnsi="Times New Roman" w:cs="Times New Roman"/>
          <w:sz w:val="24"/>
          <w:szCs w:val="24"/>
        </w:rPr>
        <w:t xml:space="preserve"> </w:t>
      </w:r>
      <w:r w:rsidR="001103CB" w:rsidRPr="001103CB">
        <w:rPr>
          <w:rFonts w:ascii="Times New Roman" w:hAnsi="Times New Roman" w:cs="Times New Roman"/>
          <w:sz w:val="24"/>
          <w:szCs w:val="24"/>
        </w:rPr>
        <w:t xml:space="preserve">steep increase </w:t>
      </w:r>
      <w:r w:rsidR="001103CB" w:rsidRPr="001103CB">
        <w:rPr>
          <w:rFonts w:ascii="Times New Roman" w:hAnsi="Times New Roman" w:cs="Times New Roman"/>
          <w:sz w:val="24"/>
          <w:szCs w:val="24"/>
        </w:rPr>
        <w:lastRenderedPageBreak/>
        <w:t>in the rate and incidence of VAT, have</w:t>
      </w:r>
      <w:r w:rsidR="001103CB">
        <w:rPr>
          <w:rFonts w:ascii="Times New Roman" w:hAnsi="Times New Roman" w:cs="Times New Roman"/>
          <w:sz w:val="24"/>
          <w:szCs w:val="24"/>
        </w:rPr>
        <w:t xml:space="preserve"> </w:t>
      </w:r>
      <w:r w:rsidR="001103CB" w:rsidRPr="001103CB">
        <w:rPr>
          <w:rFonts w:ascii="Times New Roman" w:hAnsi="Times New Roman" w:cs="Times New Roman"/>
          <w:sz w:val="24"/>
          <w:szCs w:val="24"/>
        </w:rPr>
        <w:t>made it difficult for the legitimate i</w:t>
      </w:r>
      <w:r w:rsidR="001103CB">
        <w:rPr>
          <w:rFonts w:ascii="Times New Roman" w:hAnsi="Times New Roman" w:cs="Times New Roman"/>
          <w:sz w:val="24"/>
          <w:szCs w:val="24"/>
        </w:rPr>
        <w:t xml:space="preserve">ndustry to fully counter </w:t>
      </w:r>
      <w:r w:rsidR="001103CB">
        <w:rPr>
          <w:rFonts w:ascii="Helvetica" w:hAnsi="Helvetica" w:cs="Helvetica"/>
          <w:sz w:val="20"/>
          <w:szCs w:val="20"/>
        </w:rPr>
        <w:t>the menace of illegal cigarettes.</w:t>
      </w:r>
    </w:p>
    <w:p w:rsidR="00247B6D" w:rsidRDefault="00247B6D" w:rsidP="009026CF">
      <w:pPr>
        <w:pStyle w:val="NormalWeb"/>
        <w:shd w:val="clear" w:color="auto" w:fill="FFFFFF"/>
        <w:spacing w:line="360" w:lineRule="auto"/>
        <w:jc w:val="both"/>
      </w:pPr>
      <w:r>
        <w:rPr>
          <w:noProof/>
        </w:rPr>
        <w:drawing>
          <wp:inline distT="0" distB="0" distL="0" distR="0" wp14:anchorId="5B454AA6" wp14:editId="19018264">
            <wp:extent cx="5391151" cy="2666999"/>
            <wp:effectExtent l="0" t="0" r="19050" b="196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26CF" w:rsidRDefault="009026CF" w:rsidP="009026CF">
      <w:pPr>
        <w:pStyle w:val="NormalWeb"/>
        <w:shd w:val="clear" w:color="auto" w:fill="FFFFFF"/>
        <w:spacing w:line="360" w:lineRule="auto"/>
        <w:jc w:val="both"/>
      </w:pPr>
    </w:p>
    <w:p w:rsidR="009026CF" w:rsidRPr="008B2F27" w:rsidRDefault="00821941" w:rsidP="009026CF">
      <w:pPr>
        <w:pStyle w:val="NormalWeb"/>
        <w:shd w:val="clear" w:color="auto" w:fill="FFFFFF"/>
        <w:spacing w:line="360" w:lineRule="auto"/>
        <w:jc w:val="both"/>
      </w:pPr>
      <w:r>
        <w:rPr>
          <w:noProof/>
        </w:rPr>
        <w:lastRenderedPageBreak/>
        <w:drawing>
          <wp:inline distT="0" distB="0" distL="0" distR="0" wp14:anchorId="34CF5B04" wp14:editId="1162E878">
            <wp:extent cx="5943600" cy="45815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822C3" w:rsidRDefault="001103CB" w:rsidP="000822C3">
      <w:pPr>
        <w:pStyle w:val="NormalWeb"/>
        <w:shd w:val="clear" w:color="auto" w:fill="FFFFFF"/>
        <w:spacing w:line="360" w:lineRule="auto"/>
        <w:jc w:val="both"/>
        <w:rPr>
          <w:color w:val="000000"/>
        </w:rPr>
      </w:pPr>
      <w:r w:rsidRPr="0019650C">
        <w:rPr>
          <w:color w:val="000000"/>
        </w:rPr>
        <w:t>Cigarettes account for 17% of the top 100 FMCG sales, and just below the personal care category. ITC alone accounts for 60% volume market share and 70% by value of all filter cigarettes in India.</w:t>
      </w:r>
      <w:r>
        <w:rPr>
          <w:color w:val="000000"/>
        </w:rPr>
        <w:t xml:space="preserve"> Therefore due to its high market s</w:t>
      </w:r>
      <w:r w:rsidR="008B1F15">
        <w:rPr>
          <w:color w:val="000000"/>
        </w:rPr>
        <w:t>hare in the cigarettes segment ITC as a whole stood out as the market leader in FMCG.</w:t>
      </w:r>
      <w:r w:rsidR="00BB2E8E">
        <w:rPr>
          <w:color w:val="000000"/>
        </w:rPr>
        <w:t xml:space="preserve"> Apart from </w:t>
      </w:r>
      <w:r w:rsidR="00373E3B">
        <w:rPr>
          <w:color w:val="000000"/>
        </w:rPr>
        <w:t>cigarettes</w:t>
      </w:r>
      <w:r w:rsidR="00BB2E8E">
        <w:rPr>
          <w:color w:val="000000"/>
        </w:rPr>
        <w:t xml:space="preserve"> the othe</w:t>
      </w:r>
      <w:r w:rsidR="005A28E7">
        <w:rPr>
          <w:color w:val="000000"/>
        </w:rPr>
        <w:t>r close competitor in FMCG is HU</w:t>
      </w:r>
      <w:r w:rsidR="00BB2E8E">
        <w:rPr>
          <w:color w:val="000000"/>
        </w:rPr>
        <w:t>L.</w:t>
      </w:r>
    </w:p>
    <w:p w:rsidR="0057123E" w:rsidRDefault="0057123E" w:rsidP="000822C3">
      <w:pPr>
        <w:pStyle w:val="NormalWeb"/>
        <w:shd w:val="clear" w:color="auto" w:fill="FFFFFF"/>
        <w:spacing w:line="360" w:lineRule="auto"/>
        <w:jc w:val="both"/>
        <w:rPr>
          <w:color w:val="000000"/>
        </w:rPr>
      </w:pPr>
    </w:p>
    <w:p w:rsidR="0057123E" w:rsidRDefault="0057123E" w:rsidP="000822C3">
      <w:pPr>
        <w:pStyle w:val="NormalWeb"/>
        <w:shd w:val="clear" w:color="auto" w:fill="FFFFFF"/>
        <w:spacing w:line="360" w:lineRule="auto"/>
        <w:jc w:val="both"/>
        <w:rPr>
          <w:color w:val="000000"/>
        </w:rPr>
      </w:pPr>
    </w:p>
    <w:p w:rsidR="0057123E" w:rsidRDefault="0057123E" w:rsidP="000822C3">
      <w:pPr>
        <w:pStyle w:val="NormalWeb"/>
        <w:shd w:val="clear" w:color="auto" w:fill="FFFFFF"/>
        <w:spacing w:line="360" w:lineRule="auto"/>
        <w:jc w:val="both"/>
        <w:rPr>
          <w:color w:val="000000"/>
        </w:rPr>
      </w:pPr>
    </w:p>
    <w:p w:rsidR="0057123E" w:rsidRDefault="0057123E" w:rsidP="000822C3">
      <w:pPr>
        <w:pStyle w:val="NormalWeb"/>
        <w:shd w:val="clear" w:color="auto" w:fill="FFFFFF"/>
        <w:spacing w:line="360" w:lineRule="auto"/>
        <w:jc w:val="both"/>
        <w:rPr>
          <w:color w:val="000000"/>
        </w:rPr>
      </w:pPr>
    </w:p>
    <w:p w:rsidR="005A28E7" w:rsidRDefault="005A28E7" w:rsidP="000822C3">
      <w:pPr>
        <w:pStyle w:val="NormalWeb"/>
        <w:shd w:val="clear" w:color="auto" w:fill="FFFFFF"/>
        <w:spacing w:line="360" w:lineRule="auto"/>
        <w:jc w:val="both"/>
        <w:rPr>
          <w:color w:val="000000"/>
        </w:rPr>
      </w:pPr>
      <w:r>
        <w:rPr>
          <w:color w:val="000000"/>
        </w:rPr>
        <w:lastRenderedPageBreak/>
        <w:t>The market cap of ITC is the highest</w:t>
      </w:r>
      <w:r w:rsidR="00640820">
        <w:rPr>
          <w:color w:val="000000"/>
        </w:rPr>
        <w:t xml:space="preserve"> as</w:t>
      </w:r>
      <w:r w:rsidR="004E15FA">
        <w:rPr>
          <w:color w:val="000000"/>
        </w:rPr>
        <w:t xml:space="preserve"> compared to its peers</w:t>
      </w:r>
      <w:r w:rsidR="00640820">
        <w:rPr>
          <w:color w:val="000000"/>
        </w:rPr>
        <w:t>.</w:t>
      </w:r>
      <w:r w:rsidR="009A7ADC">
        <w:rPr>
          <w:color w:val="000000"/>
        </w:rPr>
        <w:t xml:space="preserve"> ITC holds the maximum market cap compared to its competitors due to the diversified growth drivers it possesses and also due to the </w:t>
      </w:r>
      <w:r w:rsidR="007B070B">
        <w:rPr>
          <w:color w:val="000000"/>
        </w:rPr>
        <w:t>strong position it is having in its cigarettes segment. The immediate competitor to ITC is HUL with its establishment in the FMCG market are way back in 1932.</w:t>
      </w:r>
    </w:p>
    <w:p w:rsidR="005A28E7" w:rsidRDefault="0057123E" w:rsidP="005A28E7">
      <w:pPr>
        <w:pStyle w:val="NormalWeb"/>
        <w:shd w:val="clear" w:color="auto" w:fill="FFFFFF"/>
        <w:spacing w:line="360" w:lineRule="auto"/>
        <w:jc w:val="center"/>
      </w:pPr>
      <w:r>
        <w:rPr>
          <w:noProof/>
        </w:rPr>
        <w:drawing>
          <wp:inline distT="0" distB="0" distL="0" distR="0" wp14:anchorId="79207A89" wp14:editId="6E09DD1E">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0EF3" w:rsidRDefault="004E0EF3" w:rsidP="000822C3">
      <w:pPr>
        <w:pStyle w:val="NormalWeb"/>
        <w:shd w:val="clear" w:color="auto" w:fill="FFFFFF"/>
        <w:spacing w:line="360" w:lineRule="auto"/>
        <w:jc w:val="both"/>
      </w:pPr>
    </w:p>
    <w:p w:rsidR="004E0EF3" w:rsidRDefault="004E0EF3" w:rsidP="000822C3">
      <w:pPr>
        <w:pStyle w:val="NormalWeb"/>
        <w:shd w:val="clear" w:color="auto" w:fill="FFFFFF"/>
        <w:spacing w:line="360" w:lineRule="auto"/>
        <w:jc w:val="both"/>
      </w:pPr>
    </w:p>
    <w:p w:rsidR="004E0EF3" w:rsidRDefault="004E0EF3" w:rsidP="000822C3">
      <w:pPr>
        <w:pStyle w:val="NormalWeb"/>
        <w:shd w:val="clear" w:color="auto" w:fill="FFFFFF"/>
        <w:spacing w:line="360" w:lineRule="auto"/>
        <w:jc w:val="both"/>
      </w:pPr>
    </w:p>
    <w:p w:rsidR="00325044" w:rsidRDefault="00325044" w:rsidP="009A7ADC">
      <w:pPr>
        <w:pStyle w:val="NormalWeb"/>
        <w:shd w:val="clear" w:color="auto" w:fill="FFFFFF"/>
        <w:spacing w:line="360" w:lineRule="auto"/>
        <w:jc w:val="center"/>
      </w:pPr>
    </w:p>
    <w:p w:rsidR="00640820" w:rsidRDefault="00640820" w:rsidP="00325044">
      <w:pPr>
        <w:spacing w:line="360" w:lineRule="auto"/>
        <w:jc w:val="both"/>
        <w:rPr>
          <w:rFonts w:ascii="Times New Roman" w:hAnsi="Times New Roman" w:cs="Times New Roman"/>
          <w:b/>
          <w:sz w:val="28"/>
          <w:szCs w:val="28"/>
        </w:rPr>
      </w:pPr>
    </w:p>
    <w:p w:rsidR="00640820" w:rsidRDefault="00640820" w:rsidP="00325044">
      <w:pPr>
        <w:spacing w:line="360" w:lineRule="auto"/>
        <w:jc w:val="both"/>
        <w:rPr>
          <w:rFonts w:ascii="Times New Roman" w:hAnsi="Times New Roman" w:cs="Times New Roman"/>
          <w:b/>
          <w:sz w:val="28"/>
          <w:szCs w:val="28"/>
        </w:rPr>
      </w:pPr>
    </w:p>
    <w:p w:rsidR="00640820" w:rsidRDefault="00640820" w:rsidP="00325044">
      <w:pPr>
        <w:spacing w:line="360" w:lineRule="auto"/>
        <w:jc w:val="both"/>
        <w:rPr>
          <w:rFonts w:ascii="Times New Roman" w:hAnsi="Times New Roman" w:cs="Times New Roman"/>
          <w:b/>
          <w:sz w:val="28"/>
          <w:szCs w:val="28"/>
        </w:rPr>
      </w:pPr>
    </w:p>
    <w:p w:rsidR="00640820" w:rsidRDefault="00640820" w:rsidP="00325044">
      <w:pPr>
        <w:spacing w:line="360" w:lineRule="auto"/>
        <w:jc w:val="both"/>
        <w:rPr>
          <w:rFonts w:ascii="Times New Roman" w:hAnsi="Times New Roman" w:cs="Times New Roman"/>
          <w:b/>
          <w:sz w:val="28"/>
          <w:szCs w:val="28"/>
        </w:rPr>
      </w:pPr>
    </w:p>
    <w:p w:rsidR="00F54DAD" w:rsidRDefault="00F54DAD" w:rsidP="00F54DAD">
      <w:pPr>
        <w:spacing w:line="360" w:lineRule="auto"/>
        <w:rPr>
          <w:rFonts w:ascii="Times New Roman" w:hAnsi="Times New Roman" w:cs="Times New Roman"/>
          <w:b/>
          <w:sz w:val="28"/>
          <w:szCs w:val="28"/>
        </w:rPr>
      </w:pPr>
    </w:p>
    <w:p w:rsidR="00325044" w:rsidRPr="004164E7" w:rsidRDefault="004A5C8C" w:rsidP="00F54DAD">
      <w:pPr>
        <w:spacing w:line="360" w:lineRule="auto"/>
        <w:jc w:val="center"/>
        <w:rPr>
          <w:rFonts w:ascii="Times New Roman" w:hAnsi="Times New Roman" w:cs="Times New Roman"/>
          <w:b/>
          <w:sz w:val="28"/>
          <w:szCs w:val="28"/>
        </w:rPr>
      </w:pPr>
      <w:r w:rsidRPr="004164E7">
        <w:rPr>
          <w:rFonts w:ascii="Times New Roman" w:hAnsi="Times New Roman" w:cs="Times New Roman"/>
          <w:b/>
          <w:sz w:val="28"/>
          <w:szCs w:val="28"/>
        </w:rPr>
        <w:lastRenderedPageBreak/>
        <w:t>VALUATION</w:t>
      </w:r>
      <w:r w:rsidR="00234B62">
        <w:rPr>
          <w:rFonts w:ascii="Times New Roman" w:hAnsi="Times New Roman" w:cs="Times New Roman"/>
          <w:b/>
          <w:sz w:val="28"/>
          <w:szCs w:val="28"/>
        </w:rPr>
        <w:t xml:space="preserve"> REPORT</w:t>
      </w:r>
    </w:p>
    <w:p w:rsidR="0057123E" w:rsidRDefault="00325044" w:rsidP="0057123E">
      <w:pPr>
        <w:spacing w:line="360" w:lineRule="auto"/>
        <w:jc w:val="both"/>
        <w:rPr>
          <w:rFonts w:ascii="Times New Roman" w:hAnsi="Times New Roman" w:cs="Times New Roman"/>
          <w:sz w:val="24"/>
          <w:szCs w:val="24"/>
        </w:rPr>
      </w:pPr>
      <w:r w:rsidRPr="00D8506A">
        <w:rPr>
          <w:rFonts w:ascii="Times New Roman" w:hAnsi="Times New Roman" w:cs="Times New Roman"/>
          <w:sz w:val="24"/>
          <w:szCs w:val="24"/>
        </w:rPr>
        <w:t xml:space="preserve">Every asset, financial as well as real, has a value. The key to successfully investing in and managing these assets lies in understanding not only what the value is but also the sources of the value. Any asset can be valued, but some assets are easier to value than others and the details of valuation will vary from case to case. Thus, the valuation of a share of a real estate property will require different information and follow a different format than the valuation of a publicly traded stock. </w:t>
      </w:r>
    </w:p>
    <w:p w:rsidR="00325044" w:rsidRPr="00D8506A" w:rsidRDefault="00325044" w:rsidP="0057123E">
      <w:pPr>
        <w:spacing w:line="360" w:lineRule="auto"/>
        <w:jc w:val="both"/>
        <w:rPr>
          <w:rFonts w:ascii="Times New Roman" w:hAnsi="Times New Roman" w:cs="Times New Roman"/>
          <w:sz w:val="24"/>
          <w:szCs w:val="24"/>
        </w:rPr>
      </w:pPr>
      <w:r w:rsidRPr="00D8506A">
        <w:rPr>
          <w:rFonts w:ascii="Times New Roman" w:hAnsi="Times New Roman" w:cs="Times New Roman"/>
          <w:sz w:val="24"/>
          <w:szCs w:val="24"/>
        </w:rPr>
        <w:t>Valuation is useful in a wide range of tasks. The role it plays, however, is different in different arenas. The following section lays out the relevance of valuation in portfolio management, acquisition analysis and corporate finance.</w:t>
      </w:r>
    </w:p>
    <w:p w:rsidR="00325044" w:rsidRPr="00580600" w:rsidRDefault="00325044" w:rsidP="00325044">
      <w:pPr>
        <w:spacing w:line="360" w:lineRule="auto"/>
        <w:jc w:val="both"/>
        <w:rPr>
          <w:rFonts w:ascii="Times New Roman" w:hAnsi="Times New Roman" w:cs="Times New Roman"/>
          <w:b/>
          <w:sz w:val="24"/>
          <w:szCs w:val="36"/>
        </w:rPr>
      </w:pPr>
      <w:r w:rsidRPr="00580600">
        <w:rPr>
          <w:rFonts w:ascii="Times New Roman" w:hAnsi="Times New Roman" w:cs="Times New Roman"/>
          <w:b/>
          <w:sz w:val="24"/>
          <w:szCs w:val="36"/>
        </w:rPr>
        <w:t>Approaches to Valuation</w:t>
      </w:r>
    </w:p>
    <w:p w:rsidR="00325044" w:rsidRPr="00B32544" w:rsidRDefault="00325044" w:rsidP="0057123E">
      <w:pPr>
        <w:pStyle w:val="Default"/>
        <w:spacing w:line="360" w:lineRule="auto"/>
        <w:ind w:right="20"/>
        <w:jc w:val="both"/>
      </w:pPr>
      <w:r w:rsidRPr="00B32544">
        <w:t xml:space="preserve">Analysts use a wide range of models to value assets in practice, ranging from the simple to the sophisticated. These models often make very different assumptions about pricing, but they do share some common characteristics and can be classified in broader terms. There are several advantages to such a classification -- it makes it easier to understand where individual models fit into the big picture, why they provide different results and when they have fundamental errors in logic. </w:t>
      </w:r>
    </w:p>
    <w:p w:rsidR="00325044" w:rsidRDefault="00325044" w:rsidP="00325044">
      <w:pPr>
        <w:spacing w:line="360" w:lineRule="auto"/>
        <w:jc w:val="both"/>
        <w:rPr>
          <w:rFonts w:ascii="Times New Roman" w:hAnsi="Times New Roman" w:cs="Times New Roman"/>
          <w:sz w:val="24"/>
          <w:szCs w:val="24"/>
        </w:rPr>
      </w:pPr>
      <w:r w:rsidRPr="00B32544">
        <w:rPr>
          <w:rFonts w:ascii="Times New Roman" w:hAnsi="Times New Roman" w:cs="Times New Roman"/>
          <w:sz w:val="24"/>
          <w:szCs w:val="24"/>
        </w:rPr>
        <w:t>In general terms, there are four approaches to valuation</w:t>
      </w:r>
    </w:p>
    <w:p w:rsidR="00325044" w:rsidRPr="00B32544" w:rsidRDefault="00325044" w:rsidP="00325044">
      <w:pPr>
        <w:tabs>
          <w:tab w:val="left" w:pos="5550"/>
        </w:tabs>
        <w:autoSpaceDE w:val="0"/>
        <w:autoSpaceDN w:val="0"/>
        <w:adjustRightInd w:val="0"/>
        <w:spacing w:after="0" w:line="360" w:lineRule="auto"/>
        <w:rPr>
          <w:rFonts w:ascii="Times New Roman" w:hAnsi="Times New Roman" w:cs="Times New Roman"/>
          <w:color w:val="231F20"/>
          <w:sz w:val="24"/>
          <w:szCs w:val="24"/>
        </w:rPr>
      </w:pPr>
      <w:r w:rsidRPr="00B32544">
        <w:rPr>
          <w:rFonts w:ascii="Times New Roman" w:hAnsi="Times New Roman" w:cs="Times New Roman"/>
          <w:color w:val="231F20"/>
          <w:sz w:val="24"/>
          <w:szCs w:val="24"/>
        </w:rPr>
        <w:t>1. Discounted cash flow (DCF) analysis</w:t>
      </w:r>
      <w:r>
        <w:rPr>
          <w:rFonts w:ascii="Times New Roman" w:hAnsi="Times New Roman" w:cs="Times New Roman"/>
          <w:color w:val="231F20"/>
          <w:sz w:val="24"/>
          <w:szCs w:val="24"/>
        </w:rPr>
        <w:tab/>
      </w:r>
    </w:p>
    <w:p w:rsidR="00325044" w:rsidRPr="00B32544" w:rsidRDefault="00325044" w:rsidP="00325044">
      <w:pPr>
        <w:autoSpaceDE w:val="0"/>
        <w:autoSpaceDN w:val="0"/>
        <w:adjustRightInd w:val="0"/>
        <w:spacing w:after="0" w:line="360" w:lineRule="auto"/>
        <w:rPr>
          <w:rFonts w:ascii="Times New Roman" w:hAnsi="Times New Roman" w:cs="Times New Roman"/>
          <w:color w:val="231F20"/>
          <w:sz w:val="24"/>
          <w:szCs w:val="24"/>
        </w:rPr>
      </w:pPr>
      <w:r w:rsidRPr="00B32544">
        <w:rPr>
          <w:rFonts w:ascii="Times New Roman" w:hAnsi="Times New Roman" w:cs="Times New Roman"/>
          <w:color w:val="231F20"/>
          <w:sz w:val="24"/>
          <w:szCs w:val="24"/>
        </w:rPr>
        <w:t>2. Multiples method</w:t>
      </w:r>
    </w:p>
    <w:p w:rsidR="00325044" w:rsidRPr="00B32544" w:rsidRDefault="00325044" w:rsidP="00325044">
      <w:pPr>
        <w:autoSpaceDE w:val="0"/>
        <w:autoSpaceDN w:val="0"/>
        <w:adjustRightInd w:val="0"/>
        <w:spacing w:after="0" w:line="360" w:lineRule="auto"/>
        <w:rPr>
          <w:rFonts w:ascii="Times New Roman" w:hAnsi="Times New Roman" w:cs="Times New Roman"/>
          <w:color w:val="231F20"/>
          <w:sz w:val="24"/>
          <w:szCs w:val="24"/>
        </w:rPr>
      </w:pPr>
      <w:r w:rsidRPr="00B32544">
        <w:rPr>
          <w:rFonts w:ascii="Times New Roman" w:hAnsi="Times New Roman" w:cs="Times New Roman"/>
          <w:color w:val="231F20"/>
          <w:sz w:val="24"/>
          <w:szCs w:val="24"/>
        </w:rPr>
        <w:t>3. Market valuation</w:t>
      </w:r>
    </w:p>
    <w:p w:rsidR="00325044" w:rsidRDefault="00325044" w:rsidP="00325044">
      <w:pPr>
        <w:spacing w:line="360" w:lineRule="auto"/>
        <w:jc w:val="both"/>
        <w:rPr>
          <w:rFonts w:ascii="Times New Roman" w:hAnsi="Times New Roman" w:cs="Times New Roman"/>
          <w:color w:val="231F20"/>
          <w:sz w:val="24"/>
          <w:szCs w:val="24"/>
        </w:rPr>
      </w:pPr>
      <w:r w:rsidRPr="00B32544">
        <w:rPr>
          <w:rFonts w:ascii="Times New Roman" w:hAnsi="Times New Roman" w:cs="Times New Roman"/>
          <w:color w:val="231F20"/>
          <w:sz w:val="24"/>
          <w:szCs w:val="24"/>
        </w:rPr>
        <w:t>4. Comparable transactions method</w:t>
      </w:r>
    </w:p>
    <w:p w:rsidR="00B80F79" w:rsidRDefault="00B80F79" w:rsidP="00325044">
      <w:pPr>
        <w:pStyle w:val="Default"/>
        <w:spacing w:line="360" w:lineRule="auto"/>
        <w:rPr>
          <w:b/>
          <w:bCs/>
        </w:rPr>
      </w:pPr>
    </w:p>
    <w:p w:rsidR="00325044" w:rsidRPr="000A3878" w:rsidRDefault="00325044" w:rsidP="00325044">
      <w:pPr>
        <w:pStyle w:val="Default"/>
        <w:spacing w:line="360" w:lineRule="auto"/>
      </w:pPr>
      <w:r w:rsidRPr="000A3878">
        <w:rPr>
          <w:b/>
          <w:bCs/>
        </w:rPr>
        <w:t xml:space="preserve">1. Discounted Cash flow Valuation </w:t>
      </w:r>
    </w:p>
    <w:p w:rsidR="00325044" w:rsidRPr="000A3878" w:rsidRDefault="00325044" w:rsidP="004F14FC">
      <w:pPr>
        <w:spacing w:line="360" w:lineRule="auto"/>
        <w:ind w:firstLine="720"/>
        <w:jc w:val="both"/>
        <w:rPr>
          <w:rFonts w:ascii="Times New Roman" w:hAnsi="Times New Roman" w:cs="Times New Roman"/>
          <w:sz w:val="24"/>
          <w:szCs w:val="24"/>
        </w:rPr>
      </w:pPr>
      <w:r w:rsidRPr="000A3878">
        <w:rPr>
          <w:rFonts w:ascii="Times New Roman" w:hAnsi="Times New Roman" w:cs="Times New Roman"/>
          <w:sz w:val="24"/>
          <w:szCs w:val="24"/>
        </w:rPr>
        <w:t xml:space="preserve">While discounted cash flow valuation is one of the four ways of approaching valuation and most valuations done in the real world are relative valuations, we will argue that it is the foundation on which all other valuation approaches are built. To do relative valuation correctly, we need to understand the fundamentals of discounted cash flow valuation. To apply option </w:t>
      </w:r>
      <w:r w:rsidRPr="000A3878">
        <w:rPr>
          <w:rFonts w:ascii="Times New Roman" w:hAnsi="Times New Roman" w:cs="Times New Roman"/>
          <w:sz w:val="24"/>
          <w:szCs w:val="24"/>
        </w:rPr>
        <w:lastRenderedPageBreak/>
        <w:t>pricing models to value assets, we often have to begin with a discounted cash flow valuation. In this section, we will consider the basis of this approach, a philosophical rationale for discounted cash flow valuation and an examination of the different sub-approaches to discounted cash flow valuation.</w:t>
      </w:r>
    </w:p>
    <w:p w:rsidR="00325044" w:rsidRPr="000A3878" w:rsidRDefault="00325044" w:rsidP="00325044">
      <w:pPr>
        <w:pStyle w:val="Default"/>
        <w:spacing w:before="20" w:line="360" w:lineRule="auto"/>
        <w:ind w:firstLine="720"/>
      </w:pPr>
      <w:r w:rsidRPr="000A3878">
        <w:rPr>
          <w:b/>
          <w:bCs/>
        </w:rPr>
        <w:t xml:space="preserve">Basis for Discounted Cash flow Valuation </w:t>
      </w:r>
    </w:p>
    <w:p w:rsidR="00325044" w:rsidRPr="000A3878" w:rsidRDefault="00325044" w:rsidP="00325044">
      <w:pPr>
        <w:spacing w:line="360" w:lineRule="auto"/>
        <w:jc w:val="both"/>
        <w:rPr>
          <w:rFonts w:ascii="Times New Roman" w:hAnsi="Times New Roman" w:cs="Times New Roman"/>
          <w:sz w:val="24"/>
          <w:szCs w:val="24"/>
        </w:rPr>
      </w:pPr>
      <w:r w:rsidRPr="000A3878">
        <w:rPr>
          <w:rFonts w:ascii="Times New Roman" w:hAnsi="Times New Roman" w:cs="Times New Roman"/>
          <w:sz w:val="24"/>
          <w:szCs w:val="24"/>
        </w:rPr>
        <w:t>This approach has its foundation in the present value rule, where the value of any asset is the present value of expected future cash flows that the asset generates.</w:t>
      </w:r>
    </w:p>
    <w:p w:rsidR="00325044" w:rsidRPr="000A3878" w:rsidRDefault="00325044" w:rsidP="00325044">
      <w:pPr>
        <w:spacing w:line="360" w:lineRule="auto"/>
        <w:jc w:val="both"/>
        <w:rPr>
          <w:rFonts w:ascii="Times New Roman" w:hAnsi="Times New Roman" w:cs="Times New Roman"/>
          <w:b/>
          <w:sz w:val="24"/>
          <w:szCs w:val="24"/>
        </w:rPr>
      </w:pPr>
      <w:r w:rsidRPr="000A3878">
        <w:rPr>
          <w:rFonts w:ascii="Times New Roman" w:hAnsi="Times New Roman" w:cs="Times New Roman"/>
          <w:b/>
          <w:noProof/>
          <w:sz w:val="24"/>
          <w:szCs w:val="24"/>
        </w:rPr>
        <w:drawing>
          <wp:inline distT="0" distB="0" distL="0" distR="0" wp14:anchorId="66D0F80B" wp14:editId="79C8A52B">
            <wp:extent cx="5720292" cy="16573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31510" cy="1660600"/>
                    </a:xfrm>
                    <a:prstGeom prst="rect">
                      <a:avLst/>
                    </a:prstGeom>
                    <a:noFill/>
                    <a:ln w="9525">
                      <a:noFill/>
                      <a:miter lim="800000"/>
                      <a:headEnd/>
                      <a:tailEnd/>
                    </a:ln>
                  </pic:spPr>
                </pic:pic>
              </a:graphicData>
            </a:graphic>
          </wp:inline>
        </w:drawing>
      </w:r>
    </w:p>
    <w:p w:rsidR="00325044" w:rsidRPr="000A3878" w:rsidRDefault="00325044" w:rsidP="00325044">
      <w:pPr>
        <w:pStyle w:val="Default"/>
        <w:spacing w:line="360" w:lineRule="auto"/>
        <w:jc w:val="both"/>
      </w:pPr>
      <w:r w:rsidRPr="000A3878">
        <w:t>The cash flows will vary from asset to asset -- dividends for stocks, coupons (interest) and the face value for bonds and after-tax cash flows for a real project. The discount rate will be a function of the riskiness of the estimated cash flows, with higher rates</w:t>
      </w:r>
      <w:r>
        <w:t xml:space="preserve"> </w:t>
      </w:r>
      <w:r w:rsidRPr="000A3878">
        <w:t xml:space="preserve">for riskier assets and lower rates for safer projects. We can in fact think of discounted cash flow valuation on a continuum. At one end of the spectrum, you have the default-free zero coupon bond, with a guaranteed cash flow in the future. Discounting this cash flow at the riskless rate should yield the value of the bond. A little further up the spectrum are corporate bonds where the cash flows take the form of coupons and there is default risk. </w:t>
      </w:r>
    </w:p>
    <w:p w:rsidR="00325044" w:rsidRPr="000A3878" w:rsidRDefault="00325044" w:rsidP="00325044">
      <w:pPr>
        <w:pStyle w:val="Default"/>
        <w:spacing w:line="360" w:lineRule="auto"/>
        <w:jc w:val="both"/>
      </w:pPr>
      <w:r w:rsidRPr="000A3878">
        <w:t xml:space="preserve">These bonds can be valued by discounting the expected cash flows at an interest rate that reflects the default risk. Moving up the risk ladder, we get to equities, where there are expected cash flows with substantial uncertainty around the expectation. The value here should be the present value of the expected cash flows at a discount rate that reflects the uncertainty. </w:t>
      </w:r>
    </w:p>
    <w:p w:rsidR="002B74CF" w:rsidRDefault="002B74CF" w:rsidP="002B74CF">
      <w:pPr>
        <w:pStyle w:val="Default"/>
        <w:spacing w:line="360" w:lineRule="auto"/>
        <w:rPr>
          <w:b/>
          <w:bCs/>
        </w:rPr>
      </w:pPr>
    </w:p>
    <w:p w:rsidR="00325044" w:rsidRPr="000A3878" w:rsidRDefault="00325044" w:rsidP="002B74CF">
      <w:pPr>
        <w:pStyle w:val="Default"/>
        <w:spacing w:line="360" w:lineRule="auto"/>
      </w:pPr>
      <w:r w:rsidRPr="000A3878">
        <w:rPr>
          <w:b/>
          <w:bCs/>
        </w:rPr>
        <w:t xml:space="preserve">The Underpinnings of Discounted Cash flow Valuation </w:t>
      </w:r>
    </w:p>
    <w:p w:rsidR="00325044" w:rsidRPr="000A3878" w:rsidRDefault="00325044" w:rsidP="00325044">
      <w:pPr>
        <w:spacing w:line="360" w:lineRule="auto"/>
        <w:ind w:firstLine="720"/>
        <w:jc w:val="both"/>
        <w:rPr>
          <w:rFonts w:ascii="Times New Roman" w:hAnsi="Times New Roman" w:cs="Times New Roman"/>
          <w:sz w:val="24"/>
          <w:szCs w:val="24"/>
        </w:rPr>
      </w:pPr>
      <w:r w:rsidRPr="000A3878">
        <w:rPr>
          <w:rFonts w:ascii="Times New Roman" w:hAnsi="Times New Roman" w:cs="Times New Roman"/>
          <w:sz w:val="24"/>
          <w:szCs w:val="24"/>
        </w:rPr>
        <w:t>In discounted cash flow valuation, we try to estimate the intrinsic value of an asset based upon its fundamentals. What is intrinsic value?</w:t>
      </w:r>
    </w:p>
    <w:p w:rsidR="00325044" w:rsidRPr="000A3878" w:rsidRDefault="00325044" w:rsidP="00325044">
      <w:pPr>
        <w:spacing w:line="360" w:lineRule="auto"/>
        <w:ind w:firstLine="720"/>
        <w:jc w:val="both"/>
        <w:rPr>
          <w:rFonts w:ascii="Times New Roman" w:hAnsi="Times New Roman" w:cs="Times New Roman"/>
          <w:sz w:val="24"/>
          <w:szCs w:val="24"/>
        </w:rPr>
      </w:pPr>
      <w:r w:rsidRPr="000A3878">
        <w:rPr>
          <w:rFonts w:ascii="Times New Roman" w:hAnsi="Times New Roman" w:cs="Times New Roman"/>
          <w:sz w:val="24"/>
          <w:szCs w:val="24"/>
        </w:rPr>
        <w:lastRenderedPageBreak/>
        <w:t>For lack of a better definition, consider it the value that would be attached to the firm by an all-knowing analyst, who not only knows the expected cash flows for the firm but also attaches the right discount rate(s) to these cash flows and values them with absolute precision. Hopeless though the task of estimating intrinsic value may seem to be, especially when valuing young companies with substantial uncertainty about the future, we believe that these estimates can be different from the market prices attached to these companies. In other words, markets make mistakes. Does that mean we believe that markets are inefficient? Not quite. While we assume that prices can deviate from intrinsic value, estimated based upon fundamentals, we also assume that the two will</w:t>
      </w:r>
      <w:r>
        <w:rPr>
          <w:rFonts w:ascii="Times New Roman" w:hAnsi="Times New Roman" w:cs="Times New Roman"/>
          <w:sz w:val="24"/>
          <w:szCs w:val="24"/>
        </w:rPr>
        <w:t xml:space="preserve"> converge sooner rather than la</w:t>
      </w:r>
      <w:r w:rsidRPr="000A3878">
        <w:rPr>
          <w:rFonts w:ascii="Times New Roman" w:hAnsi="Times New Roman" w:cs="Times New Roman"/>
          <w:sz w:val="24"/>
          <w:szCs w:val="24"/>
        </w:rPr>
        <w:t>ter.</w:t>
      </w:r>
    </w:p>
    <w:p w:rsidR="00325044" w:rsidRPr="000A3878" w:rsidRDefault="00325044" w:rsidP="002B74CF">
      <w:pPr>
        <w:pStyle w:val="Default"/>
        <w:spacing w:line="360" w:lineRule="auto"/>
      </w:pPr>
      <w:r w:rsidRPr="000A3878">
        <w:rPr>
          <w:b/>
          <w:bCs/>
        </w:rPr>
        <w:t xml:space="preserve">Categorizing Discounted Cash Flow Models </w:t>
      </w:r>
    </w:p>
    <w:p w:rsidR="002B74CF" w:rsidRDefault="00325044" w:rsidP="002B74CF">
      <w:pPr>
        <w:pStyle w:val="Default"/>
        <w:spacing w:line="360" w:lineRule="auto"/>
        <w:ind w:right="20" w:firstLine="720"/>
        <w:jc w:val="both"/>
      </w:pPr>
      <w:r w:rsidRPr="000A3878">
        <w:t xml:space="preserve">There are literally thousands of discounted cash flow models in existence. Oftentimes, we hear claims made by investment banks or consulting firms that their valuation models are better or more sophisticated than those used by their contemporaries. Ultimately, however, discounted cash flow models can vary only a couple of dimensions and we will examine these variations in this section. </w:t>
      </w:r>
    </w:p>
    <w:p w:rsidR="00325044" w:rsidRPr="002B74CF" w:rsidRDefault="00325044" w:rsidP="002B74CF">
      <w:pPr>
        <w:pStyle w:val="Default"/>
        <w:spacing w:line="360" w:lineRule="auto"/>
        <w:ind w:left="360" w:right="20"/>
        <w:jc w:val="both"/>
      </w:pPr>
      <w:r w:rsidRPr="002B74CF">
        <w:rPr>
          <w:b/>
        </w:rPr>
        <w:t xml:space="preserve">Equity Valuation, Firm Valuation and Adjusted Present Value (AP V) Valuation </w:t>
      </w:r>
    </w:p>
    <w:p w:rsidR="00325044" w:rsidRPr="002B74CF" w:rsidRDefault="00325044" w:rsidP="007977DF">
      <w:pPr>
        <w:spacing w:line="360" w:lineRule="auto"/>
        <w:jc w:val="both"/>
        <w:rPr>
          <w:rFonts w:ascii="Times New Roman" w:hAnsi="Times New Roman" w:cs="Times New Roman"/>
          <w:sz w:val="24"/>
          <w:szCs w:val="24"/>
        </w:rPr>
      </w:pPr>
      <w:r w:rsidRPr="002B74CF">
        <w:rPr>
          <w:rFonts w:ascii="Times New Roman" w:hAnsi="Times New Roman" w:cs="Times New Roman"/>
          <w:sz w:val="24"/>
          <w:szCs w:val="24"/>
        </w:rPr>
        <w:t>There are three paths to discounted cash flow valuation -- the first is to value just the equity stake in the business, the second is to value the entire firm, which includes, besides equity, the other claimholders in the firm (bondholders, preferred stockholders, etc.) and the third is to value the firm in pieces, beginning with its operations and adding the effects on value of debt and other non-equity claims. While all three approaches discount expected cash flows, the relevant cash flows and discount rates are different under each. The value of equity is obtained by discounting expected cash flows to equity, i.e., the residual cash flows after meeting all expenses, reinvestment needs, tax obligations and net debt payments (interest, principal payments and new debt issuance), at the cost of equity</w:t>
      </w:r>
      <w:r w:rsidR="007977DF">
        <w:rPr>
          <w:rFonts w:ascii="Times New Roman" w:hAnsi="Times New Roman" w:cs="Times New Roman"/>
          <w:sz w:val="24"/>
          <w:szCs w:val="24"/>
        </w:rPr>
        <w:t xml:space="preserve"> </w:t>
      </w:r>
      <w:r w:rsidRPr="002B74CF">
        <w:rPr>
          <w:rFonts w:ascii="Times New Roman" w:hAnsi="Times New Roman" w:cs="Times New Roman"/>
          <w:sz w:val="24"/>
          <w:szCs w:val="24"/>
        </w:rPr>
        <w:t>i.e., the rate of return required by equity investors in the firm.</w:t>
      </w:r>
    </w:p>
    <w:p w:rsidR="00325044" w:rsidRPr="002B74CF" w:rsidRDefault="00325044" w:rsidP="002B74CF">
      <w:pPr>
        <w:spacing w:line="360" w:lineRule="auto"/>
        <w:ind w:left="1080"/>
        <w:jc w:val="both"/>
        <w:rPr>
          <w:rFonts w:ascii="Times New Roman" w:hAnsi="Times New Roman" w:cs="Times New Roman"/>
          <w:sz w:val="24"/>
          <w:szCs w:val="24"/>
        </w:rPr>
      </w:pPr>
      <w:r w:rsidRPr="000A3878">
        <w:rPr>
          <w:noProof/>
        </w:rPr>
        <w:lastRenderedPageBreak/>
        <w:drawing>
          <wp:inline distT="0" distB="0" distL="0" distR="0" wp14:anchorId="37E4C511" wp14:editId="5E68F357">
            <wp:extent cx="4333875" cy="21717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337395" cy="2173464"/>
                    </a:xfrm>
                    <a:prstGeom prst="rect">
                      <a:avLst/>
                    </a:prstGeom>
                    <a:noFill/>
                    <a:ln w="9525">
                      <a:noFill/>
                      <a:miter lim="800000"/>
                      <a:headEnd/>
                      <a:tailEnd/>
                    </a:ln>
                  </pic:spPr>
                </pic:pic>
              </a:graphicData>
            </a:graphic>
          </wp:inline>
        </w:drawing>
      </w:r>
    </w:p>
    <w:p w:rsidR="00325044" w:rsidRPr="002B74CF" w:rsidRDefault="00325044" w:rsidP="00373E3B">
      <w:pPr>
        <w:spacing w:line="360" w:lineRule="auto"/>
        <w:ind w:firstLine="720"/>
        <w:jc w:val="both"/>
        <w:rPr>
          <w:rFonts w:ascii="Times New Roman" w:hAnsi="Times New Roman" w:cs="Times New Roman"/>
          <w:sz w:val="24"/>
          <w:szCs w:val="24"/>
        </w:rPr>
      </w:pPr>
      <w:r w:rsidRPr="002B74CF">
        <w:rPr>
          <w:rFonts w:ascii="Times New Roman" w:hAnsi="Times New Roman" w:cs="Times New Roman"/>
          <w:sz w:val="24"/>
          <w:szCs w:val="24"/>
        </w:rPr>
        <w:t>The dividend discount model is a specialized case of equity valuation, where the value of the equity is the present value of expected future dividends. The value of the firm is obtained by discounting expected cash flows to the firm, i.e., the residual cash flows after meeting all operating expenses, reinvestment needs and taxes, but prior to any payments to either debt or equity holders, at the weighted average cost of capital, which is the cost of the different components of financing used by the firm, weighted by their market value proportions</w:t>
      </w:r>
    </w:p>
    <w:p w:rsidR="00325044" w:rsidRPr="002B74CF" w:rsidRDefault="00325044" w:rsidP="004E79B7">
      <w:pPr>
        <w:spacing w:line="360" w:lineRule="auto"/>
        <w:ind w:left="1080"/>
        <w:jc w:val="both"/>
        <w:rPr>
          <w:rFonts w:ascii="Times New Roman" w:hAnsi="Times New Roman" w:cs="Times New Roman"/>
          <w:sz w:val="24"/>
          <w:szCs w:val="24"/>
        </w:rPr>
      </w:pPr>
      <w:r w:rsidRPr="000A3878">
        <w:rPr>
          <w:noProof/>
        </w:rPr>
        <w:drawing>
          <wp:inline distT="0" distB="0" distL="0" distR="0" wp14:anchorId="0889CD07" wp14:editId="298B4336">
            <wp:extent cx="5636471" cy="1275559"/>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643723" cy="1277200"/>
                    </a:xfrm>
                    <a:prstGeom prst="rect">
                      <a:avLst/>
                    </a:prstGeom>
                    <a:noFill/>
                    <a:ln w="9525">
                      <a:noFill/>
                      <a:miter lim="800000"/>
                      <a:headEnd/>
                      <a:tailEnd/>
                    </a:ln>
                  </pic:spPr>
                </pic:pic>
              </a:graphicData>
            </a:graphic>
          </wp:inline>
        </w:drawing>
      </w:r>
    </w:p>
    <w:p w:rsidR="004E79B7" w:rsidRDefault="004E79B7" w:rsidP="00373E3B">
      <w:pPr>
        <w:spacing w:line="360" w:lineRule="auto"/>
        <w:ind w:firstLine="360"/>
        <w:jc w:val="both"/>
        <w:rPr>
          <w:rFonts w:ascii="Times New Roman" w:hAnsi="Times New Roman" w:cs="Times New Roman"/>
          <w:sz w:val="24"/>
          <w:szCs w:val="24"/>
        </w:rPr>
      </w:pPr>
    </w:p>
    <w:p w:rsidR="00325044" w:rsidRPr="002B74CF" w:rsidRDefault="00325044" w:rsidP="00373E3B">
      <w:pPr>
        <w:spacing w:line="360" w:lineRule="auto"/>
        <w:ind w:firstLine="360"/>
        <w:jc w:val="both"/>
        <w:rPr>
          <w:rFonts w:ascii="Times New Roman" w:hAnsi="Times New Roman" w:cs="Times New Roman"/>
          <w:sz w:val="24"/>
          <w:szCs w:val="24"/>
        </w:rPr>
      </w:pPr>
      <w:r w:rsidRPr="002B74CF">
        <w:rPr>
          <w:rFonts w:ascii="Times New Roman" w:hAnsi="Times New Roman" w:cs="Times New Roman"/>
          <w:sz w:val="24"/>
          <w:szCs w:val="24"/>
        </w:rPr>
        <w:t>The value of the firm can also be obtained by valuing each claim on the firm separately. In this approach, which is called adjusted present value (APV), we begin by valuing equity in the firm, assuming that it was financed only with equity. We then consider the value added (or taken away) by debt by considering the present value of the tax benefits that flow from debt and the expected bankruptcy costs.</w:t>
      </w:r>
    </w:p>
    <w:p w:rsidR="00325044" w:rsidRPr="000A3878" w:rsidRDefault="00325044" w:rsidP="002B74CF">
      <w:pPr>
        <w:pStyle w:val="Default"/>
        <w:spacing w:line="360" w:lineRule="auto"/>
        <w:ind w:left="360" w:right="20"/>
        <w:jc w:val="both"/>
      </w:pPr>
      <w:r w:rsidRPr="000A3878">
        <w:t xml:space="preserve">Value of firm = Value of all-equity financed firm + PV of tax </w:t>
      </w:r>
    </w:p>
    <w:p w:rsidR="00325044" w:rsidRPr="000A3878" w:rsidRDefault="00325044" w:rsidP="002B74CF">
      <w:pPr>
        <w:pStyle w:val="Default"/>
        <w:spacing w:line="360" w:lineRule="auto"/>
        <w:ind w:left="360" w:right="20"/>
        <w:jc w:val="both"/>
      </w:pPr>
      <w:r w:rsidRPr="000A3878">
        <w:t xml:space="preserve">Benefits + Expected Bankruptcy Costs </w:t>
      </w:r>
    </w:p>
    <w:p w:rsidR="00373E3B" w:rsidRDefault="00373E3B" w:rsidP="00373E3B">
      <w:pPr>
        <w:spacing w:line="360" w:lineRule="auto"/>
        <w:jc w:val="both"/>
        <w:rPr>
          <w:rFonts w:ascii="Times New Roman" w:hAnsi="Times New Roman" w:cs="Times New Roman"/>
          <w:sz w:val="24"/>
          <w:szCs w:val="24"/>
        </w:rPr>
      </w:pPr>
    </w:p>
    <w:p w:rsidR="00325044" w:rsidRPr="002B74CF" w:rsidRDefault="00325044" w:rsidP="007977DF">
      <w:pPr>
        <w:spacing w:line="360" w:lineRule="auto"/>
        <w:jc w:val="both"/>
        <w:rPr>
          <w:rFonts w:ascii="Times New Roman" w:hAnsi="Times New Roman" w:cs="Times New Roman"/>
          <w:sz w:val="24"/>
          <w:szCs w:val="24"/>
        </w:rPr>
      </w:pPr>
      <w:r w:rsidRPr="002B74CF">
        <w:rPr>
          <w:rFonts w:ascii="Times New Roman" w:hAnsi="Times New Roman" w:cs="Times New Roman"/>
          <w:sz w:val="24"/>
          <w:szCs w:val="24"/>
        </w:rPr>
        <w:lastRenderedPageBreak/>
        <w:t>In fact, this approach can be generalized to allow different cash flows to the firm to be discounted at different rates, given their riskiness. While the three approaches use different definitions of cash flow and discount rates, they will yield consistent estimates of value as long as you use the same set of assumptions in valuation. The key error to avoid is mismatching cash flows and discount rates, since discounting cash flows to equity at the cost of capital will lead to an upwardly biased estimate of the value of equity, while discounting cash flows to the firm at the cost of equity will yield a downward biased estimate of the value of the firm.</w:t>
      </w:r>
    </w:p>
    <w:p w:rsidR="00325044" w:rsidRPr="002B74CF" w:rsidRDefault="004E79B7" w:rsidP="00373E3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325044" w:rsidRPr="002B74CF">
        <w:rPr>
          <w:rFonts w:ascii="Times New Roman" w:hAnsi="Times New Roman" w:cs="Times New Roman"/>
          <w:b/>
          <w:sz w:val="24"/>
          <w:szCs w:val="24"/>
        </w:rPr>
        <w:t>Market Valuation</w:t>
      </w:r>
    </w:p>
    <w:p w:rsidR="00325044" w:rsidRPr="002B74CF" w:rsidRDefault="00325044" w:rsidP="007977DF">
      <w:pPr>
        <w:autoSpaceDE w:val="0"/>
        <w:autoSpaceDN w:val="0"/>
        <w:adjustRightInd w:val="0"/>
        <w:spacing w:after="0" w:line="360" w:lineRule="auto"/>
        <w:jc w:val="both"/>
        <w:rPr>
          <w:rFonts w:ascii="Times New Roman" w:hAnsi="Times New Roman" w:cs="Times New Roman"/>
          <w:color w:val="231F20"/>
          <w:sz w:val="24"/>
          <w:szCs w:val="24"/>
        </w:rPr>
      </w:pPr>
      <w:r w:rsidRPr="002B74CF">
        <w:rPr>
          <w:rFonts w:ascii="Times New Roman" w:hAnsi="Times New Roman" w:cs="Times New Roman"/>
          <w:color w:val="231F20"/>
          <w:sz w:val="24"/>
          <w:szCs w:val="24"/>
        </w:rPr>
        <w:t>Market valuation, as it is the simplest way to value a publicly traded firm. A publicly traded firm is one that is registered on a stock exchange (like the NSE or BSE). The company’s stock can be bought and sold on that exchange. Most companies we are familiar with, such as</w:t>
      </w:r>
      <w:r w:rsidR="00373E3B">
        <w:rPr>
          <w:rFonts w:ascii="Times New Roman" w:hAnsi="Times New Roman" w:cs="Times New Roman"/>
          <w:color w:val="231F20"/>
          <w:sz w:val="24"/>
          <w:szCs w:val="24"/>
        </w:rPr>
        <w:t xml:space="preserve"> </w:t>
      </w:r>
      <w:r w:rsidRPr="002B74CF">
        <w:rPr>
          <w:rFonts w:ascii="Times New Roman" w:hAnsi="Times New Roman" w:cs="Times New Roman"/>
          <w:color w:val="231F20"/>
          <w:sz w:val="24"/>
          <w:szCs w:val="24"/>
        </w:rPr>
        <w:t>The Coca-Cola Company, IBM, and General Motors, are publicly traded. Every publicly traded company is required to publish an annual report, which includes financial figures such as annual revenues, income, and expenses. The value of a publicly traded firm is easy to calculate. All you need to do is find the company’s stock price (the price of a single share), multiply it by the number of shares outstanding, and you have the equity market value of</w:t>
      </w:r>
      <w:r w:rsidR="00373E3B">
        <w:rPr>
          <w:rFonts w:ascii="Times New Roman" w:hAnsi="Times New Roman" w:cs="Times New Roman"/>
          <w:color w:val="231F20"/>
          <w:sz w:val="24"/>
          <w:szCs w:val="24"/>
        </w:rPr>
        <w:t xml:space="preserve"> </w:t>
      </w:r>
      <w:r w:rsidRPr="002B74CF">
        <w:rPr>
          <w:rFonts w:ascii="Times New Roman" w:hAnsi="Times New Roman" w:cs="Times New Roman"/>
          <w:color w:val="231F20"/>
          <w:sz w:val="24"/>
          <w:szCs w:val="24"/>
        </w:rPr>
        <w:t xml:space="preserve">the company. (This is also known as market capitalization or “market cap”).The market price of a single share of stock is </w:t>
      </w:r>
      <w:r w:rsidR="00373E3B">
        <w:rPr>
          <w:rFonts w:ascii="Times New Roman" w:hAnsi="Times New Roman" w:cs="Times New Roman"/>
          <w:color w:val="231F20"/>
          <w:sz w:val="24"/>
          <w:szCs w:val="24"/>
        </w:rPr>
        <w:t>readily available from YAHOO Finance and GOOGLE Finance</w:t>
      </w:r>
      <w:r w:rsidRPr="002B74CF">
        <w:rPr>
          <w:rFonts w:ascii="Times New Roman" w:hAnsi="Times New Roman" w:cs="Times New Roman"/>
          <w:i/>
          <w:iCs/>
          <w:color w:val="231F20"/>
          <w:sz w:val="24"/>
          <w:szCs w:val="24"/>
        </w:rPr>
        <w:t xml:space="preserve"> </w:t>
      </w:r>
      <w:r w:rsidRPr="002B74CF">
        <w:rPr>
          <w:rFonts w:ascii="Times New Roman" w:hAnsi="Times New Roman" w:cs="Times New Roman"/>
          <w:color w:val="231F20"/>
          <w:sz w:val="24"/>
          <w:szCs w:val="24"/>
        </w:rPr>
        <w:t xml:space="preserve">and from various quote services available on the Internet; the number of shares outstanding can be obtained from the cover of the most recent 10-K or 10-Q of the company, </w:t>
      </w:r>
    </w:p>
    <w:p w:rsidR="00325044" w:rsidRPr="002B74CF" w:rsidRDefault="00325044" w:rsidP="00515FB8">
      <w:pPr>
        <w:tabs>
          <w:tab w:val="left" w:pos="6210"/>
        </w:tabs>
        <w:autoSpaceDE w:val="0"/>
        <w:autoSpaceDN w:val="0"/>
        <w:adjustRightInd w:val="0"/>
        <w:spacing w:after="0" w:line="360" w:lineRule="auto"/>
        <w:rPr>
          <w:rFonts w:ascii="Times New Roman" w:hAnsi="Times New Roman" w:cs="Times New Roman"/>
          <w:b/>
          <w:color w:val="231F20"/>
          <w:sz w:val="24"/>
          <w:szCs w:val="24"/>
        </w:rPr>
      </w:pPr>
      <w:r w:rsidRPr="002B74CF">
        <w:rPr>
          <w:rFonts w:ascii="Times New Roman" w:hAnsi="Times New Roman" w:cs="Times New Roman"/>
          <w:b/>
          <w:color w:val="231F20"/>
          <w:sz w:val="24"/>
          <w:szCs w:val="24"/>
        </w:rPr>
        <w:t>Example</w:t>
      </w:r>
    </w:p>
    <w:p w:rsidR="00325044" w:rsidRPr="002B74CF" w:rsidRDefault="00325044" w:rsidP="002B74CF">
      <w:pPr>
        <w:tabs>
          <w:tab w:val="left" w:pos="6210"/>
        </w:tabs>
        <w:autoSpaceDE w:val="0"/>
        <w:autoSpaceDN w:val="0"/>
        <w:adjustRightInd w:val="0"/>
        <w:spacing w:after="0" w:line="240" w:lineRule="auto"/>
        <w:ind w:left="360"/>
        <w:rPr>
          <w:rFonts w:ascii="Times New Roman" w:hAnsi="Times New Roman" w:cs="Times New Roman"/>
          <w:color w:val="231F20"/>
          <w:sz w:val="24"/>
          <w:szCs w:val="24"/>
        </w:rPr>
      </w:pPr>
      <w:r w:rsidRPr="002B74CF">
        <w:rPr>
          <w:rFonts w:ascii="Times New Roman" w:hAnsi="Times New Roman" w:cs="Times New Roman"/>
          <w:color w:val="231F20"/>
          <w:sz w:val="24"/>
          <w:szCs w:val="24"/>
        </w:rPr>
        <w:t>Company A stock price $60/share</w:t>
      </w:r>
    </w:p>
    <w:p w:rsidR="002B74CF" w:rsidRDefault="002B74CF" w:rsidP="002B74CF">
      <w:pPr>
        <w:tabs>
          <w:tab w:val="left" w:pos="6210"/>
        </w:tabs>
        <w:autoSpaceDE w:val="0"/>
        <w:autoSpaceDN w:val="0"/>
        <w:adjustRightInd w:val="0"/>
        <w:spacing w:after="0" w:line="240" w:lineRule="auto"/>
        <w:ind w:left="360"/>
        <w:rPr>
          <w:rFonts w:ascii="Times New Roman" w:hAnsi="Times New Roman" w:cs="Times New Roman"/>
          <w:color w:val="231F20"/>
          <w:sz w:val="24"/>
          <w:szCs w:val="24"/>
        </w:rPr>
      </w:pPr>
    </w:p>
    <w:p w:rsidR="00325044" w:rsidRPr="002B74CF" w:rsidRDefault="00325044" w:rsidP="002B74CF">
      <w:pPr>
        <w:tabs>
          <w:tab w:val="left" w:pos="6210"/>
        </w:tabs>
        <w:autoSpaceDE w:val="0"/>
        <w:autoSpaceDN w:val="0"/>
        <w:adjustRightInd w:val="0"/>
        <w:spacing w:after="0" w:line="240" w:lineRule="auto"/>
        <w:ind w:left="360"/>
        <w:rPr>
          <w:rFonts w:ascii="Times New Roman" w:hAnsi="Times New Roman" w:cs="Times New Roman"/>
          <w:color w:val="231F20"/>
          <w:sz w:val="24"/>
          <w:szCs w:val="24"/>
        </w:rPr>
      </w:pPr>
      <w:r w:rsidRPr="002B74CF">
        <w:rPr>
          <w:rFonts w:ascii="Times New Roman" w:hAnsi="Times New Roman" w:cs="Times New Roman"/>
          <w:color w:val="231F20"/>
          <w:sz w:val="24"/>
          <w:szCs w:val="24"/>
        </w:rPr>
        <w:t>No. of shares outstanding</w:t>
      </w:r>
      <w:r w:rsidR="002B74CF">
        <w:rPr>
          <w:rFonts w:ascii="Times New Roman" w:hAnsi="Times New Roman" w:cs="Times New Roman"/>
          <w:color w:val="231F20"/>
          <w:sz w:val="24"/>
          <w:szCs w:val="24"/>
        </w:rPr>
        <w:t>=</w:t>
      </w:r>
      <w:r w:rsidRPr="002B74CF">
        <w:rPr>
          <w:rFonts w:ascii="Times New Roman" w:hAnsi="Times New Roman" w:cs="Times New Roman"/>
          <w:color w:val="231F20"/>
          <w:sz w:val="24"/>
          <w:szCs w:val="24"/>
        </w:rPr>
        <w:t xml:space="preserve"> 200 million</w:t>
      </w:r>
    </w:p>
    <w:p w:rsidR="00325044" w:rsidRPr="002B74CF" w:rsidRDefault="00325044" w:rsidP="002B74CF">
      <w:pPr>
        <w:tabs>
          <w:tab w:val="left" w:pos="6210"/>
        </w:tabs>
        <w:autoSpaceDE w:val="0"/>
        <w:autoSpaceDN w:val="0"/>
        <w:adjustRightInd w:val="0"/>
        <w:spacing w:after="0" w:line="240" w:lineRule="auto"/>
        <w:ind w:left="360"/>
        <w:rPr>
          <w:rFonts w:ascii="Times New Roman" w:hAnsi="Times New Roman" w:cs="Times New Roman"/>
          <w:color w:val="231F20"/>
          <w:sz w:val="24"/>
          <w:szCs w:val="24"/>
        </w:rPr>
      </w:pPr>
      <w:r w:rsidRPr="002B74CF">
        <w:rPr>
          <w:rFonts w:ascii="Times New Roman" w:hAnsi="Times New Roman" w:cs="Times New Roman"/>
          <w:color w:val="231F20"/>
          <w:sz w:val="24"/>
          <w:szCs w:val="24"/>
        </w:rPr>
        <w:t>___________________________</w:t>
      </w:r>
    </w:p>
    <w:p w:rsidR="00325044" w:rsidRPr="002B74CF" w:rsidRDefault="00325044" w:rsidP="002B74CF">
      <w:pPr>
        <w:tabs>
          <w:tab w:val="left" w:pos="6210"/>
        </w:tabs>
        <w:autoSpaceDE w:val="0"/>
        <w:autoSpaceDN w:val="0"/>
        <w:adjustRightInd w:val="0"/>
        <w:spacing w:after="0" w:line="360" w:lineRule="auto"/>
        <w:ind w:left="360"/>
        <w:jc w:val="both"/>
        <w:rPr>
          <w:rFonts w:ascii="Times New Roman" w:hAnsi="Times New Roman" w:cs="Times New Roman"/>
          <w:color w:val="231F20"/>
          <w:sz w:val="24"/>
          <w:szCs w:val="24"/>
        </w:rPr>
      </w:pPr>
      <w:r w:rsidRPr="002B74CF">
        <w:rPr>
          <w:rFonts w:ascii="Times New Roman" w:hAnsi="Times New Roman" w:cs="Times New Roman"/>
          <w:color w:val="231F20"/>
          <w:sz w:val="24"/>
          <w:szCs w:val="24"/>
        </w:rPr>
        <w:t>Equity Market Value (market cap) = $60 x 200 million = $12 billion</w:t>
      </w:r>
    </w:p>
    <w:p w:rsidR="002B74CF" w:rsidRDefault="002B74CF" w:rsidP="002B74CF">
      <w:pPr>
        <w:tabs>
          <w:tab w:val="left" w:pos="6210"/>
        </w:tabs>
        <w:autoSpaceDE w:val="0"/>
        <w:autoSpaceDN w:val="0"/>
        <w:adjustRightInd w:val="0"/>
        <w:spacing w:after="0" w:line="360" w:lineRule="auto"/>
        <w:ind w:left="360"/>
        <w:jc w:val="both"/>
        <w:rPr>
          <w:rFonts w:ascii="Times New Roman" w:hAnsi="Times New Roman" w:cs="Times New Roman"/>
          <w:color w:val="231F20"/>
          <w:sz w:val="24"/>
          <w:szCs w:val="24"/>
        </w:rPr>
      </w:pPr>
    </w:p>
    <w:p w:rsidR="00325044" w:rsidRPr="002B74CF" w:rsidRDefault="00325044" w:rsidP="00373E3B">
      <w:pPr>
        <w:tabs>
          <w:tab w:val="left" w:pos="6210"/>
        </w:tabs>
        <w:autoSpaceDE w:val="0"/>
        <w:autoSpaceDN w:val="0"/>
        <w:adjustRightInd w:val="0"/>
        <w:spacing w:after="0" w:line="360" w:lineRule="auto"/>
        <w:jc w:val="both"/>
        <w:rPr>
          <w:rFonts w:ascii="Times New Roman" w:hAnsi="Times New Roman" w:cs="Times New Roman"/>
          <w:color w:val="231F20"/>
          <w:sz w:val="24"/>
          <w:szCs w:val="24"/>
        </w:rPr>
      </w:pPr>
      <w:r w:rsidRPr="002B74CF">
        <w:rPr>
          <w:rFonts w:ascii="Times New Roman" w:hAnsi="Times New Roman" w:cs="Times New Roman"/>
          <w:color w:val="231F20"/>
          <w:sz w:val="24"/>
          <w:szCs w:val="24"/>
        </w:rPr>
        <w:t xml:space="preserve">Once you determine the market value of a firm, you need to figure out either the discount or premium that it would sell for if the company were put on the market. When a company sells for a discount it is selling for a value lower than the market value; when it sells for a premium, it is selling for a value greater than the market value. Whether a company sells at a premium or a discount depends on those supply and demand .Typically, if someone wants to acquire a firm, it </w:t>
      </w:r>
      <w:r w:rsidRPr="002B74CF">
        <w:rPr>
          <w:rFonts w:ascii="Times New Roman" w:hAnsi="Times New Roman" w:cs="Times New Roman"/>
          <w:color w:val="231F20"/>
          <w:sz w:val="24"/>
          <w:szCs w:val="24"/>
        </w:rPr>
        <w:lastRenderedPageBreak/>
        <w:t>will sell for a price above the market value of the firm. This is referred to as an acquisition premium. If the acquisition is a hostile takeover, or if there is an auction, the premiums are pushed even higher. The premiums are generally decided by the perception of the synergies resulting from the purchase or merger.</w:t>
      </w:r>
    </w:p>
    <w:p w:rsidR="00373E3B" w:rsidRDefault="00373E3B" w:rsidP="00373E3B">
      <w:pPr>
        <w:tabs>
          <w:tab w:val="left" w:pos="6210"/>
        </w:tabs>
        <w:autoSpaceDE w:val="0"/>
        <w:autoSpaceDN w:val="0"/>
        <w:adjustRightInd w:val="0"/>
        <w:spacing w:after="0" w:line="360" w:lineRule="auto"/>
        <w:jc w:val="both"/>
        <w:rPr>
          <w:rFonts w:ascii="Times New Roman" w:hAnsi="Times New Roman" w:cs="Times New Roman"/>
          <w:b/>
          <w:color w:val="231F20"/>
          <w:sz w:val="24"/>
          <w:szCs w:val="24"/>
        </w:rPr>
      </w:pPr>
    </w:p>
    <w:p w:rsidR="00373E3B" w:rsidRDefault="004E79B7" w:rsidP="00373E3B">
      <w:pPr>
        <w:tabs>
          <w:tab w:val="left" w:pos="6210"/>
        </w:tabs>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4</w:t>
      </w:r>
      <w:r w:rsidR="00325044" w:rsidRPr="002B74CF">
        <w:rPr>
          <w:rFonts w:ascii="Times New Roman" w:hAnsi="Times New Roman" w:cs="Times New Roman"/>
          <w:b/>
          <w:color w:val="231F20"/>
          <w:sz w:val="24"/>
          <w:szCs w:val="24"/>
        </w:rPr>
        <w:t>. Comparable Transaction method</w:t>
      </w:r>
    </w:p>
    <w:p w:rsidR="00325044" w:rsidRPr="00373E3B" w:rsidRDefault="007977DF" w:rsidP="00373E3B">
      <w:pPr>
        <w:tabs>
          <w:tab w:val="left" w:pos="6210"/>
        </w:tabs>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w:t>
      </w:r>
      <w:r w:rsidR="00325044" w:rsidRPr="002B74CF">
        <w:rPr>
          <w:rFonts w:ascii="Times New Roman" w:hAnsi="Times New Roman" w:cs="Times New Roman"/>
          <w:color w:val="231F20"/>
          <w:sz w:val="24"/>
          <w:szCs w:val="24"/>
        </w:rPr>
        <w:t>To use the “comparable transactions” technique of valuing a company, you need to look at the “comparable” transactions that have taken place in the industry and accompanying relevant metrics such as “multiples” or ratios(e.g., price paid: EBITDA). With the comparable transactions method, you are looking for a key valuation parameter. That is, were the companies in those transactions valued as a multiple of EBIT, EBITDA, re</w:t>
      </w:r>
      <w:r w:rsidR="00DC12F0">
        <w:rPr>
          <w:rFonts w:ascii="Times New Roman" w:hAnsi="Times New Roman" w:cs="Times New Roman"/>
          <w:color w:val="231F20"/>
          <w:sz w:val="24"/>
          <w:szCs w:val="24"/>
        </w:rPr>
        <w:t xml:space="preserve">venue, or some other parameters. </w:t>
      </w:r>
      <w:r w:rsidR="00325044" w:rsidRPr="002B74CF">
        <w:rPr>
          <w:rFonts w:ascii="Times New Roman" w:hAnsi="Times New Roman" w:cs="Times New Roman"/>
          <w:color w:val="231F20"/>
          <w:sz w:val="24"/>
          <w:szCs w:val="24"/>
        </w:rPr>
        <w:t>If you figure out what the key valuation parameter is, you can examine at what multiples of those parameters the comparable companies were valued. You can then use a similar approach to value the company being considered.</w:t>
      </w:r>
    </w:p>
    <w:p w:rsidR="00325044" w:rsidRPr="00580600" w:rsidRDefault="00CE032B" w:rsidP="000822C3">
      <w:pPr>
        <w:pStyle w:val="NormalWeb"/>
        <w:shd w:val="clear" w:color="auto" w:fill="FFFFFF"/>
        <w:spacing w:line="360" w:lineRule="auto"/>
        <w:jc w:val="both"/>
        <w:rPr>
          <w:b/>
        </w:rPr>
      </w:pPr>
      <w:r w:rsidRPr="00580600">
        <w:rPr>
          <w:b/>
        </w:rPr>
        <w:t xml:space="preserve">VALUATION </w:t>
      </w:r>
      <w:r w:rsidR="004E79B7" w:rsidRPr="00580600">
        <w:rPr>
          <w:b/>
        </w:rPr>
        <w:t>METHODOLOGY FOLLOWED</w:t>
      </w:r>
    </w:p>
    <w:p w:rsidR="00630BE8" w:rsidRDefault="00CE032B" w:rsidP="004F14FC">
      <w:pPr>
        <w:pStyle w:val="NormalWeb"/>
        <w:shd w:val="clear" w:color="auto" w:fill="FFFFFF"/>
        <w:spacing w:line="360" w:lineRule="auto"/>
        <w:jc w:val="both"/>
      </w:pPr>
      <w:r>
        <w:t>The DCF</w:t>
      </w:r>
      <w:r w:rsidR="00743E98">
        <w:t xml:space="preserve"> method is one of most scientific methods amongst all the valuation methods in the terms of conceptual framework. </w:t>
      </w:r>
      <w:r>
        <w:t xml:space="preserve"> </w:t>
      </w:r>
      <w:r w:rsidR="004E79B7">
        <w:t>As DCF Analysis gives a more conservative value we followed DCF analysis by calculating</w:t>
      </w:r>
      <w:r>
        <w:t xml:space="preserve"> the free cash flows.</w:t>
      </w:r>
      <w:r w:rsidR="00DC12F0">
        <w:t xml:space="preserve"> </w:t>
      </w:r>
      <w:r w:rsidR="00630BE8">
        <w:t xml:space="preserve">The valuation is conducted by using discounted cash flow analysis in which free cash flows are generated. </w:t>
      </w:r>
    </w:p>
    <w:p w:rsidR="007A7C56" w:rsidRDefault="007A7C56" w:rsidP="00630BE8">
      <w:pPr>
        <w:pStyle w:val="NormalWeb"/>
        <w:shd w:val="clear" w:color="auto" w:fill="FFFFFF"/>
        <w:spacing w:line="360" w:lineRule="auto"/>
        <w:jc w:val="both"/>
        <w:rPr>
          <w:b/>
        </w:rPr>
      </w:pPr>
      <w:r>
        <w:rPr>
          <w:b/>
        </w:rPr>
        <w:t>WACC CALCULATION</w:t>
      </w:r>
    </w:p>
    <w:p w:rsidR="00630BE8" w:rsidRPr="00580600" w:rsidRDefault="00630BE8" w:rsidP="00630BE8">
      <w:pPr>
        <w:pStyle w:val="NormalWeb"/>
        <w:shd w:val="clear" w:color="auto" w:fill="FFFFFF"/>
        <w:spacing w:line="360" w:lineRule="auto"/>
        <w:jc w:val="both"/>
        <w:rPr>
          <w:b/>
        </w:rPr>
      </w:pPr>
      <w:r w:rsidRPr="00580600">
        <w:rPr>
          <w:b/>
        </w:rPr>
        <w:t>Assumptions</w:t>
      </w:r>
    </w:p>
    <w:p w:rsidR="00630BE8" w:rsidRPr="000B6DA1" w:rsidRDefault="00630BE8" w:rsidP="00630BE8">
      <w:pPr>
        <w:pStyle w:val="NormalWeb"/>
        <w:numPr>
          <w:ilvl w:val="0"/>
          <w:numId w:val="16"/>
        </w:numPr>
        <w:shd w:val="clear" w:color="auto" w:fill="FFFFFF"/>
        <w:spacing w:line="360" w:lineRule="auto"/>
        <w:jc w:val="both"/>
      </w:pPr>
      <w:r w:rsidRPr="000B6DA1">
        <w:t>CAPM was used to find the cost of equity</w:t>
      </w:r>
    </w:p>
    <w:p w:rsidR="00630BE8" w:rsidRPr="000B6DA1" w:rsidRDefault="00630BE8" w:rsidP="00630BE8">
      <w:pPr>
        <w:pStyle w:val="NormalWeb"/>
        <w:numPr>
          <w:ilvl w:val="0"/>
          <w:numId w:val="16"/>
        </w:numPr>
        <w:shd w:val="clear" w:color="auto" w:fill="FFFFFF"/>
        <w:spacing w:line="360" w:lineRule="auto"/>
        <w:jc w:val="both"/>
      </w:pPr>
      <w:proofErr w:type="spellStart"/>
      <w:r w:rsidRPr="000B6DA1">
        <w:t>R</w:t>
      </w:r>
      <w:r w:rsidRPr="000B6DA1">
        <w:rPr>
          <w:vertAlign w:val="subscript"/>
        </w:rPr>
        <w:t>m</w:t>
      </w:r>
      <w:proofErr w:type="spellEnd"/>
      <w:r w:rsidRPr="000B6DA1">
        <w:t xml:space="preserve"> and Beta has been calculated using S&amp;P C</w:t>
      </w:r>
      <w:r>
        <w:t>NX 500 index for the period 2003-2013</w:t>
      </w:r>
    </w:p>
    <w:p w:rsidR="00630BE8" w:rsidRPr="000B6DA1" w:rsidRDefault="00630BE8" w:rsidP="00630BE8">
      <w:pPr>
        <w:pStyle w:val="NormalWeb"/>
        <w:numPr>
          <w:ilvl w:val="0"/>
          <w:numId w:val="16"/>
        </w:numPr>
        <w:shd w:val="clear" w:color="auto" w:fill="FFFFFF"/>
        <w:spacing w:line="360" w:lineRule="auto"/>
        <w:jc w:val="both"/>
      </w:pPr>
      <w:proofErr w:type="spellStart"/>
      <w:r w:rsidRPr="000B6DA1">
        <w:t>R</w:t>
      </w:r>
      <w:r w:rsidRPr="000B6DA1">
        <w:rPr>
          <w:vertAlign w:val="subscript"/>
        </w:rPr>
        <w:t>f</w:t>
      </w:r>
      <w:proofErr w:type="spellEnd"/>
      <w:r w:rsidRPr="000B6DA1">
        <w:t xml:space="preserve"> calculated on 10 year government bonds since horizon used is 10 years</w:t>
      </w:r>
      <w:r>
        <w:t>.</w:t>
      </w:r>
    </w:p>
    <w:p w:rsidR="00630BE8" w:rsidRDefault="00630BE8" w:rsidP="00630BE8">
      <w:pPr>
        <w:pStyle w:val="NormalWeb"/>
        <w:shd w:val="clear" w:color="auto" w:fill="FFFFFF"/>
        <w:spacing w:line="360" w:lineRule="auto"/>
        <w:jc w:val="both"/>
      </w:pPr>
    </w:p>
    <w:p w:rsidR="007A7C56" w:rsidRDefault="007A7C56" w:rsidP="007A7C56">
      <w:pPr>
        <w:shd w:val="clear" w:color="auto" w:fill="FFFFFF"/>
        <w:spacing w:before="100" w:beforeAutospacing="1" w:after="100" w:afterAutospacing="1" w:line="360" w:lineRule="auto"/>
        <w:jc w:val="both"/>
        <w:rPr>
          <w:rFonts w:ascii="Times New Roman" w:hAnsi="Times New Roman" w:cs="Times New Roman"/>
          <w:bCs/>
          <w:sz w:val="24"/>
          <w:szCs w:val="24"/>
        </w:rPr>
      </w:pPr>
    </w:p>
    <w:p w:rsidR="00F61394" w:rsidRDefault="00F61394" w:rsidP="007A7C56">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Cs/>
          <w:sz w:val="24"/>
          <w:szCs w:val="24"/>
        </w:rPr>
        <w:lastRenderedPageBreak/>
        <w:t>The company’</w:t>
      </w:r>
      <w:r w:rsidRPr="00F61394">
        <w:rPr>
          <w:rFonts w:ascii="Times New Roman" w:hAnsi="Times New Roman" w:cs="Times New Roman"/>
          <w:bCs/>
          <w:sz w:val="24"/>
          <w:szCs w:val="24"/>
        </w:rPr>
        <w:t>s free cash flows are calculated by using PBT,</w:t>
      </w:r>
      <w:r>
        <w:rPr>
          <w:rFonts w:ascii="Times New Roman" w:hAnsi="Times New Roman" w:cs="Times New Roman"/>
          <w:bCs/>
          <w:sz w:val="24"/>
          <w:szCs w:val="24"/>
        </w:rPr>
        <w:t xml:space="preserve"> </w:t>
      </w:r>
      <w:r w:rsidRPr="00F61394">
        <w:rPr>
          <w:rFonts w:ascii="Times New Roman" w:hAnsi="Times New Roman" w:cs="Times New Roman"/>
          <w:bCs/>
          <w:sz w:val="24"/>
          <w:szCs w:val="24"/>
        </w:rPr>
        <w:t>interest,</w:t>
      </w:r>
      <w:r>
        <w:rPr>
          <w:rFonts w:ascii="Times New Roman" w:hAnsi="Times New Roman" w:cs="Times New Roman"/>
          <w:bCs/>
          <w:sz w:val="24"/>
          <w:szCs w:val="24"/>
        </w:rPr>
        <w:t xml:space="preserve"> </w:t>
      </w:r>
      <w:r w:rsidRPr="00F61394">
        <w:rPr>
          <w:rFonts w:ascii="Times New Roman" w:hAnsi="Times New Roman" w:cs="Times New Roman"/>
          <w:bCs/>
          <w:sz w:val="24"/>
          <w:szCs w:val="24"/>
        </w:rPr>
        <w:t xml:space="preserve">tax rate and net working capital. After calculating the free cash flows the future cash flows are calculated by assuming the growth rate of 10% and from this with a discount rate of 12.47% the discounted cash flows are calculated. </w:t>
      </w:r>
      <w:r w:rsidRPr="00F61394">
        <w:rPr>
          <w:rFonts w:ascii="Times New Roman" w:hAnsi="Times New Roman" w:cs="Times New Roman"/>
          <w:sz w:val="24"/>
          <w:szCs w:val="24"/>
        </w:rPr>
        <w:t>The discount rate will be a function of the riskiness of the estimated cash flows, with higher rates for riskier assets and lower rates for safer projects.</w:t>
      </w:r>
    </w:p>
    <w:p w:rsidR="00DC12F0" w:rsidRPr="002B57BC" w:rsidRDefault="00DC12F0" w:rsidP="007A7C56">
      <w:pPr>
        <w:shd w:val="clear" w:color="auto" w:fill="FFFFFF"/>
        <w:spacing w:before="100" w:beforeAutospacing="1" w:after="100" w:afterAutospacing="1" w:line="360" w:lineRule="auto"/>
        <w:jc w:val="both"/>
        <w:rPr>
          <w:rFonts w:ascii="Times New Roman" w:hAnsi="Times New Roman" w:cs="Times New Roman"/>
          <w:bCs/>
          <w:sz w:val="24"/>
          <w:szCs w:val="24"/>
        </w:rPr>
      </w:pPr>
      <w:r w:rsidRPr="002B57BC">
        <w:rPr>
          <w:rFonts w:ascii="Times New Roman" w:hAnsi="Times New Roman" w:cs="Times New Roman"/>
          <w:bCs/>
          <w:sz w:val="24"/>
          <w:szCs w:val="24"/>
        </w:rPr>
        <w:t xml:space="preserve">Taking the WACC calculations we get the discount rate. By using the following formula we create the discounted cash flows where </w:t>
      </w:r>
    </w:p>
    <w:p w:rsidR="00DC12F0" w:rsidRPr="002B57BC" w:rsidRDefault="00DC12F0" w:rsidP="007A7C56">
      <w:pPr>
        <w:shd w:val="clear" w:color="auto" w:fill="FFFFFF"/>
        <w:spacing w:before="100" w:beforeAutospacing="1" w:after="100" w:afterAutospacing="1" w:line="360" w:lineRule="auto"/>
        <w:jc w:val="both"/>
        <w:rPr>
          <w:rFonts w:ascii="Times New Roman" w:hAnsi="Times New Roman" w:cs="Times New Roman"/>
          <w:bCs/>
          <w:sz w:val="24"/>
          <w:szCs w:val="24"/>
        </w:rPr>
      </w:pPr>
      <w:r w:rsidRPr="002B57BC">
        <w:rPr>
          <w:rFonts w:ascii="Times New Roman" w:hAnsi="Times New Roman" w:cs="Times New Roman"/>
          <w:bCs/>
          <w:sz w:val="24"/>
          <w:szCs w:val="24"/>
        </w:rPr>
        <w:t xml:space="preserve">                                          n= number of years</w:t>
      </w:r>
    </w:p>
    <w:p w:rsidR="007977DF" w:rsidRDefault="00DC12F0" w:rsidP="007A7C56">
      <w:pPr>
        <w:shd w:val="clear" w:color="auto" w:fill="FFFFFF"/>
        <w:spacing w:before="100" w:beforeAutospacing="1" w:after="100" w:afterAutospacing="1" w:line="360" w:lineRule="auto"/>
        <w:jc w:val="both"/>
        <w:rPr>
          <w:rFonts w:ascii="Times New Roman" w:hAnsi="Times New Roman" w:cs="Times New Roman"/>
          <w:bCs/>
          <w:sz w:val="24"/>
          <w:szCs w:val="24"/>
        </w:rPr>
      </w:pPr>
      <w:r w:rsidRPr="002B57BC">
        <w:rPr>
          <w:rFonts w:ascii="Times New Roman" w:hAnsi="Times New Roman" w:cs="Times New Roman"/>
          <w:bCs/>
          <w:sz w:val="24"/>
          <w:szCs w:val="24"/>
        </w:rPr>
        <w:t xml:space="preserve">        </w:t>
      </w:r>
      <w:r w:rsidR="00E501A9" w:rsidRPr="002B57BC">
        <w:rPr>
          <w:rFonts w:ascii="Times New Roman" w:hAnsi="Times New Roman" w:cs="Times New Roman"/>
          <w:bCs/>
          <w:sz w:val="24"/>
          <w:szCs w:val="24"/>
        </w:rPr>
        <w:t xml:space="preserve">Discounted Cash Flows = </w:t>
      </w:r>
      <w:r w:rsidRPr="002B57BC">
        <w:rPr>
          <w:rFonts w:ascii="Times New Roman" w:hAnsi="Times New Roman" w:cs="Times New Roman"/>
          <w:bCs/>
          <w:sz w:val="24"/>
          <w:szCs w:val="24"/>
        </w:rPr>
        <w:t>Free</w:t>
      </w:r>
      <w:r w:rsidR="00CB649F">
        <w:rPr>
          <w:rFonts w:ascii="Times New Roman" w:hAnsi="Times New Roman" w:cs="Times New Roman"/>
          <w:bCs/>
          <w:sz w:val="24"/>
          <w:szCs w:val="24"/>
        </w:rPr>
        <w:t xml:space="preserve"> </w:t>
      </w:r>
      <w:r w:rsidRPr="002B57BC">
        <w:rPr>
          <w:rFonts w:ascii="Times New Roman" w:hAnsi="Times New Roman" w:cs="Times New Roman"/>
          <w:bCs/>
          <w:sz w:val="24"/>
          <w:szCs w:val="24"/>
        </w:rPr>
        <w:t>cash</w:t>
      </w:r>
      <w:r w:rsidR="00CB649F">
        <w:rPr>
          <w:rFonts w:ascii="Times New Roman" w:hAnsi="Times New Roman" w:cs="Times New Roman"/>
          <w:bCs/>
          <w:sz w:val="24"/>
          <w:szCs w:val="24"/>
        </w:rPr>
        <w:t xml:space="preserve"> </w:t>
      </w:r>
      <w:r w:rsidRPr="002B57BC">
        <w:rPr>
          <w:rFonts w:ascii="Times New Roman" w:hAnsi="Times New Roman" w:cs="Times New Roman"/>
          <w:bCs/>
          <w:sz w:val="24"/>
          <w:szCs w:val="24"/>
        </w:rPr>
        <w:t>flows/(1+discount rate)^n</w:t>
      </w:r>
    </w:p>
    <w:p w:rsidR="00DC12F0" w:rsidRPr="002B57BC" w:rsidRDefault="00E501A9" w:rsidP="007A7C56">
      <w:pPr>
        <w:shd w:val="clear" w:color="auto" w:fill="FFFFFF"/>
        <w:spacing w:before="100" w:beforeAutospacing="1" w:after="100" w:afterAutospacing="1" w:line="360" w:lineRule="auto"/>
        <w:jc w:val="both"/>
        <w:rPr>
          <w:rFonts w:ascii="Times New Roman" w:hAnsi="Times New Roman" w:cs="Times New Roman"/>
          <w:bCs/>
          <w:sz w:val="24"/>
          <w:szCs w:val="24"/>
        </w:rPr>
      </w:pPr>
      <w:r w:rsidRPr="002B57BC">
        <w:rPr>
          <w:rFonts w:ascii="Times New Roman" w:hAnsi="Times New Roman" w:cs="Times New Roman"/>
          <w:bCs/>
          <w:sz w:val="24"/>
          <w:szCs w:val="24"/>
        </w:rPr>
        <w:t>The stable long term growth is assumed to be 5%. The terminal value is calculated by taking the Future cash flows, WACC and Growth%(G).</w:t>
      </w:r>
      <w:r w:rsidR="004F04CC" w:rsidRPr="002B57BC">
        <w:rPr>
          <w:rFonts w:ascii="Times New Roman" w:hAnsi="Times New Roman" w:cs="Times New Roman"/>
          <w:bCs/>
          <w:sz w:val="24"/>
          <w:szCs w:val="24"/>
        </w:rPr>
        <w:t xml:space="preserve"> </w:t>
      </w:r>
      <w:r w:rsidR="004F04CC" w:rsidRPr="002B57BC">
        <w:rPr>
          <w:rFonts w:ascii="Times New Roman" w:hAnsi="Times New Roman" w:cs="Times New Roman"/>
          <w:color w:val="111111"/>
          <w:sz w:val="24"/>
          <w:szCs w:val="24"/>
          <w:shd w:val="clear" w:color="auto" w:fill="FFFFFF"/>
        </w:rPr>
        <w:t>The terminal value of an asset is its anticipated value on a certain date in the future.</w:t>
      </w:r>
      <w:r w:rsidR="002B57BC" w:rsidRPr="002B57BC">
        <w:rPr>
          <w:rFonts w:ascii="Times New Roman" w:hAnsi="Times New Roman" w:cs="Times New Roman"/>
          <w:color w:val="111111"/>
          <w:sz w:val="24"/>
          <w:szCs w:val="24"/>
          <w:shd w:val="clear" w:color="auto" w:fill="FFFFFF"/>
        </w:rPr>
        <w:t xml:space="preserve"> </w:t>
      </w:r>
      <w:r w:rsidR="002B57BC" w:rsidRPr="002B57BC">
        <w:rPr>
          <w:rStyle w:val="apple-converted-space"/>
          <w:rFonts w:ascii="Times New Roman" w:hAnsi="Times New Roman" w:cs="Times New Roman"/>
          <w:color w:val="111111"/>
          <w:sz w:val="24"/>
          <w:szCs w:val="24"/>
          <w:shd w:val="clear" w:color="auto" w:fill="FFFFFF"/>
        </w:rPr>
        <w:t> </w:t>
      </w:r>
      <w:r w:rsidR="002B57BC" w:rsidRPr="002B57BC">
        <w:rPr>
          <w:rFonts w:ascii="Times New Roman" w:hAnsi="Times New Roman" w:cs="Times New Roman"/>
          <w:color w:val="111111"/>
          <w:sz w:val="24"/>
          <w:szCs w:val="24"/>
          <w:shd w:val="clear" w:color="auto" w:fill="FFFFFF"/>
        </w:rPr>
        <w:t>An asset's terminal value is a projection that is useful in budget planning, and also in evaluating the potential gain of an investment over a specified time period.</w:t>
      </w:r>
      <w:r w:rsidR="002B57BC" w:rsidRPr="002B57BC">
        <w:rPr>
          <w:rStyle w:val="apple-converted-space"/>
          <w:rFonts w:ascii="Times New Roman" w:hAnsi="Times New Roman" w:cs="Times New Roman"/>
          <w:color w:val="111111"/>
          <w:sz w:val="24"/>
          <w:szCs w:val="24"/>
          <w:shd w:val="clear" w:color="auto" w:fill="FFFFFF"/>
        </w:rPr>
        <w:t> </w:t>
      </w:r>
    </w:p>
    <w:p w:rsidR="00DC12F0" w:rsidRPr="002B57BC" w:rsidRDefault="002B57BC" w:rsidP="002B57BC">
      <w:pPr>
        <w:shd w:val="clear" w:color="auto" w:fill="FFFFFF"/>
        <w:spacing w:before="100" w:beforeAutospacing="1" w:after="100" w:afterAutospacing="1" w:line="360" w:lineRule="auto"/>
        <w:jc w:val="both"/>
        <w:rPr>
          <w:rFonts w:ascii="Times New Roman" w:hAnsi="Times New Roman" w:cs="Times New Roman"/>
          <w:bCs/>
          <w:sz w:val="24"/>
          <w:szCs w:val="24"/>
        </w:rPr>
      </w:pPr>
      <w:r w:rsidRPr="002B57BC">
        <w:rPr>
          <w:rFonts w:ascii="Times New Roman" w:hAnsi="Times New Roman" w:cs="Times New Roman"/>
          <w:bCs/>
          <w:sz w:val="24"/>
          <w:szCs w:val="24"/>
        </w:rPr>
        <w:t xml:space="preserve">The present value of the firm is calculated by using the future cash flows. Through this we find the value of the firm. When we divide the value of firm to the </w:t>
      </w:r>
      <w:proofErr w:type="spellStart"/>
      <w:r w:rsidRPr="002B57BC">
        <w:rPr>
          <w:rFonts w:ascii="Times New Roman" w:hAnsi="Times New Roman" w:cs="Times New Roman"/>
          <w:bCs/>
          <w:sz w:val="24"/>
          <w:szCs w:val="24"/>
        </w:rPr>
        <w:t>no.of</w:t>
      </w:r>
      <w:proofErr w:type="spellEnd"/>
      <w:r w:rsidRPr="002B57BC">
        <w:rPr>
          <w:rFonts w:ascii="Times New Roman" w:hAnsi="Times New Roman" w:cs="Times New Roman"/>
          <w:bCs/>
          <w:sz w:val="24"/>
          <w:szCs w:val="24"/>
        </w:rPr>
        <w:t xml:space="preserve"> shares outstanding we get the share price of each share. In this case we got the intrinsic value of as 67.58 whereas the market value is 309.10. The company’s goodwill and the growth in the market</w:t>
      </w:r>
      <w:r w:rsidR="00D616B9">
        <w:rPr>
          <w:rFonts w:ascii="Times New Roman" w:hAnsi="Times New Roman" w:cs="Times New Roman"/>
          <w:bCs/>
          <w:sz w:val="24"/>
          <w:szCs w:val="24"/>
        </w:rPr>
        <w:t xml:space="preserve"> over the years give</w:t>
      </w:r>
      <w:r w:rsidRPr="002B57BC">
        <w:rPr>
          <w:rFonts w:ascii="Times New Roman" w:hAnsi="Times New Roman" w:cs="Times New Roman"/>
          <w:bCs/>
          <w:sz w:val="24"/>
          <w:szCs w:val="24"/>
        </w:rPr>
        <w:t xml:space="preserve"> the stipulated market value</w:t>
      </w:r>
      <w:r>
        <w:rPr>
          <w:rFonts w:ascii="Times New Roman" w:hAnsi="Times New Roman" w:cs="Times New Roman"/>
          <w:bCs/>
          <w:sz w:val="24"/>
          <w:szCs w:val="24"/>
        </w:rPr>
        <w:t>.</w:t>
      </w:r>
    </w:p>
    <w:p w:rsidR="00DC12F0" w:rsidRDefault="00DC12F0" w:rsidP="00224617">
      <w:pPr>
        <w:shd w:val="clear" w:color="auto" w:fill="FFFFFF"/>
        <w:spacing w:before="100" w:beforeAutospacing="1" w:after="100" w:afterAutospacing="1" w:line="300" w:lineRule="atLeast"/>
        <w:jc w:val="both"/>
        <w:rPr>
          <w:rFonts w:ascii="Times New Roman" w:hAnsi="Times New Roman" w:cs="Times New Roman"/>
          <w:b/>
          <w:bCs/>
          <w:sz w:val="24"/>
          <w:szCs w:val="24"/>
        </w:rPr>
      </w:pPr>
    </w:p>
    <w:p w:rsidR="00DC12F0" w:rsidRDefault="00DC12F0" w:rsidP="00224617">
      <w:pPr>
        <w:shd w:val="clear" w:color="auto" w:fill="FFFFFF"/>
        <w:spacing w:before="100" w:beforeAutospacing="1" w:after="100" w:afterAutospacing="1" w:line="300" w:lineRule="atLeast"/>
        <w:jc w:val="both"/>
        <w:rPr>
          <w:rFonts w:ascii="Times New Roman" w:hAnsi="Times New Roman" w:cs="Times New Roman"/>
          <w:b/>
          <w:bCs/>
          <w:sz w:val="24"/>
          <w:szCs w:val="24"/>
        </w:rPr>
      </w:pPr>
    </w:p>
    <w:p w:rsidR="00DC12F0" w:rsidRDefault="00DC12F0" w:rsidP="00224617">
      <w:pPr>
        <w:shd w:val="clear" w:color="auto" w:fill="FFFFFF"/>
        <w:spacing w:before="100" w:beforeAutospacing="1" w:after="100" w:afterAutospacing="1" w:line="300" w:lineRule="atLeast"/>
        <w:jc w:val="both"/>
        <w:rPr>
          <w:rFonts w:ascii="Times New Roman" w:hAnsi="Times New Roman" w:cs="Times New Roman"/>
          <w:b/>
          <w:bCs/>
          <w:sz w:val="24"/>
          <w:szCs w:val="24"/>
        </w:rPr>
      </w:pPr>
    </w:p>
    <w:p w:rsidR="00DC12F0" w:rsidRDefault="00DC12F0" w:rsidP="00224617">
      <w:pPr>
        <w:shd w:val="clear" w:color="auto" w:fill="FFFFFF"/>
        <w:spacing w:before="100" w:beforeAutospacing="1" w:after="100" w:afterAutospacing="1" w:line="300" w:lineRule="atLeast"/>
        <w:jc w:val="both"/>
        <w:rPr>
          <w:rFonts w:ascii="Times New Roman" w:hAnsi="Times New Roman" w:cs="Times New Roman"/>
          <w:b/>
          <w:bCs/>
          <w:sz w:val="24"/>
          <w:szCs w:val="24"/>
        </w:rPr>
      </w:pPr>
    </w:p>
    <w:p w:rsidR="007977DF" w:rsidRDefault="007977DF" w:rsidP="00224617">
      <w:pPr>
        <w:shd w:val="clear" w:color="auto" w:fill="FFFFFF"/>
        <w:spacing w:before="100" w:beforeAutospacing="1" w:after="100" w:afterAutospacing="1" w:line="300" w:lineRule="atLeast"/>
        <w:jc w:val="both"/>
        <w:rPr>
          <w:rFonts w:ascii="Times New Roman" w:hAnsi="Times New Roman" w:cs="Times New Roman"/>
          <w:b/>
          <w:bCs/>
          <w:sz w:val="24"/>
          <w:szCs w:val="24"/>
        </w:rPr>
      </w:pPr>
    </w:p>
    <w:p w:rsidR="00F54DAD" w:rsidRDefault="00F54DAD" w:rsidP="00F54DAD">
      <w:pPr>
        <w:shd w:val="clear" w:color="auto" w:fill="FFFFFF"/>
        <w:spacing w:before="100" w:beforeAutospacing="1" w:after="100" w:afterAutospacing="1" w:line="300" w:lineRule="atLeast"/>
        <w:rPr>
          <w:rFonts w:ascii="Times New Roman" w:hAnsi="Times New Roman" w:cs="Times New Roman"/>
          <w:b/>
          <w:bCs/>
          <w:sz w:val="24"/>
          <w:szCs w:val="24"/>
        </w:rPr>
      </w:pPr>
    </w:p>
    <w:p w:rsidR="00224617" w:rsidRPr="00E938B5" w:rsidRDefault="00224617" w:rsidP="00F54DAD">
      <w:pPr>
        <w:shd w:val="clear" w:color="auto" w:fill="FFFFFF"/>
        <w:spacing w:before="100" w:beforeAutospacing="1" w:after="100" w:afterAutospacing="1" w:line="300" w:lineRule="atLeast"/>
        <w:jc w:val="center"/>
        <w:rPr>
          <w:rFonts w:ascii="Times New Roman" w:hAnsi="Times New Roman" w:cs="Times New Roman"/>
          <w:b/>
          <w:bCs/>
          <w:sz w:val="28"/>
          <w:szCs w:val="24"/>
        </w:rPr>
      </w:pPr>
      <w:r w:rsidRPr="00E938B5">
        <w:rPr>
          <w:rFonts w:ascii="Times New Roman" w:hAnsi="Times New Roman" w:cs="Times New Roman"/>
          <w:b/>
          <w:bCs/>
          <w:sz w:val="28"/>
          <w:szCs w:val="24"/>
        </w:rPr>
        <w:lastRenderedPageBreak/>
        <w:t>FINDINGS</w:t>
      </w:r>
    </w:p>
    <w:p w:rsidR="00224617" w:rsidRPr="009E2D9D" w:rsidRDefault="00224617" w:rsidP="00224617">
      <w:p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ITC</w:t>
      </w:r>
      <w:r>
        <w:rPr>
          <w:rFonts w:ascii="Times New Roman" w:hAnsi="Times New Roman" w:cs="Times New Roman"/>
          <w:sz w:val="24"/>
          <w:szCs w:val="24"/>
        </w:rPr>
        <w:t xml:space="preserve"> has posted a</w:t>
      </w:r>
      <w:r w:rsidRPr="009E2D9D">
        <w:rPr>
          <w:rFonts w:ascii="Times New Roman" w:hAnsi="Times New Roman" w:cs="Times New Roman"/>
          <w:sz w:val="24"/>
          <w:szCs w:val="24"/>
        </w:rPr>
        <w:t xml:space="preserve"> strong performance across all financial parameters, leveraging its corporate strategy of creating multiple drivers of growth. This performance is even more encouraging when viewed against the backdrop of the extremely challenging business context in which it was achieved, namely, the continued economic slowdown, steep increase in taxes /duties on Cigarettes, gestation costs relating to the new FMCG businesses and recent investments in the Paperboards, Paper and Packaging and Hotels businesses. </w:t>
      </w:r>
    </w:p>
    <w:p w:rsidR="00224617" w:rsidRPr="009E2D9D" w:rsidRDefault="00224617"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Gross Revenue for the year</w:t>
      </w:r>
      <w:r>
        <w:rPr>
          <w:rFonts w:ascii="Times New Roman" w:hAnsi="Times New Roman" w:cs="Times New Roman"/>
          <w:sz w:val="24"/>
          <w:szCs w:val="24"/>
        </w:rPr>
        <w:t xml:space="preserve"> FY2013</w:t>
      </w:r>
      <w:r w:rsidRPr="009E2D9D">
        <w:rPr>
          <w:rFonts w:ascii="Times New Roman" w:hAnsi="Times New Roman" w:cs="Times New Roman"/>
          <w:sz w:val="24"/>
          <w:szCs w:val="24"/>
        </w:rPr>
        <w:t xml:space="preserve"> grew by 19.9% to 41809.82 crores.Net Revenue at 29605.58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grew by19.4% primarily driven by a 26.4% growth in the non-cigarette FMCG segment, 26.4% growth in </w:t>
      </w:r>
      <w:proofErr w:type="spellStart"/>
      <w:r w:rsidRPr="009E2D9D">
        <w:rPr>
          <w:rFonts w:ascii="Times New Roman" w:hAnsi="Times New Roman" w:cs="Times New Roman"/>
          <w:sz w:val="24"/>
          <w:szCs w:val="24"/>
        </w:rPr>
        <w:t>Agri</w:t>
      </w:r>
      <w:proofErr w:type="spellEnd"/>
      <w:r w:rsidRPr="009E2D9D">
        <w:rPr>
          <w:rFonts w:ascii="Times New Roman" w:hAnsi="Times New Roman" w:cs="Times New Roman"/>
          <w:sz w:val="24"/>
          <w:szCs w:val="24"/>
        </w:rPr>
        <w:t xml:space="preserve"> business segment and 13.4% growth in the Cigarettes-segment. </w:t>
      </w:r>
    </w:p>
    <w:p w:rsidR="00224617" w:rsidRPr="009E2D9D" w:rsidRDefault="00224617"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 xml:space="preserve">Profit before tax increased by 20.1% to 10684.18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while Net Profits at 7418.39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registered a growth of 20.4%.</w:t>
      </w:r>
    </w:p>
    <w:p w:rsidR="00224617" w:rsidRPr="009E2D9D" w:rsidRDefault="00224617"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 xml:space="preserve"> Earnings per Share for the year stand at 9.45. Cash flows from Operations aggregated 9596.24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compared to 8333.56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in the previous year</w:t>
      </w:r>
    </w:p>
    <w:p w:rsidR="00224617" w:rsidRPr="009E2D9D" w:rsidRDefault="00224617"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 xml:space="preserve">Continuing with the Company’s chosen strategy of creating multiple drivers of growth, the Company is today, the leading FMCG marketer in India, a trailblazer in ‘green </w:t>
      </w:r>
      <w:proofErr w:type="spellStart"/>
      <w:r w:rsidRPr="009E2D9D">
        <w:rPr>
          <w:rFonts w:ascii="Times New Roman" w:hAnsi="Times New Roman" w:cs="Times New Roman"/>
          <w:sz w:val="24"/>
          <w:szCs w:val="24"/>
        </w:rPr>
        <w:t>hoteliering</w:t>
      </w:r>
      <w:proofErr w:type="spellEnd"/>
      <w:r w:rsidRPr="009E2D9D">
        <w:rPr>
          <w:rFonts w:ascii="Times New Roman" w:hAnsi="Times New Roman" w:cs="Times New Roman"/>
          <w:sz w:val="24"/>
          <w:szCs w:val="24"/>
        </w:rPr>
        <w:t xml:space="preserve">’ and the second largest Hotel chain in India, the clear market leader in the Indian Paperboard and Packaging industry and the country’s foremost Agri-business player. The Company’s wholly-owned subsidiary, ITC InfoTech India Limited, is one of India’s fast growing Information Technology companies in the mid-tier segment. </w:t>
      </w:r>
    </w:p>
    <w:p w:rsidR="00224617" w:rsidRPr="009E2D9D" w:rsidRDefault="00224617"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E2D9D">
        <w:rPr>
          <w:rFonts w:ascii="Times New Roman" w:hAnsi="Times New Roman" w:cs="Times New Roman"/>
          <w:sz w:val="24"/>
          <w:szCs w:val="24"/>
        </w:rPr>
        <w:t xml:space="preserve">The Company is one of India’s most admired and valuable corporations with a current market capitalization of over 260000 </w:t>
      </w:r>
      <w:proofErr w:type="spellStart"/>
      <w:r w:rsidRPr="009E2D9D">
        <w:rPr>
          <w:rFonts w:ascii="Times New Roman" w:hAnsi="Times New Roman" w:cs="Times New Roman"/>
          <w:sz w:val="24"/>
          <w:szCs w:val="24"/>
        </w:rPr>
        <w:t>crores</w:t>
      </w:r>
      <w:proofErr w:type="spellEnd"/>
      <w:r w:rsidRPr="009E2D9D">
        <w:rPr>
          <w:rFonts w:ascii="Times New Roman" w:hAnsi="Times New Roman" w:cs="Times New Roman"/>
          <w:sz w:val="24"/>
          <w:szCs w:val="24"/>
        </w:rPr>
        <w:t xml:space="preserve"> and has consistently featured amongst the top 10 private sector companies in terms of market capitalization and profits. Additionally, over the last 17 years, the Company’s Net Revenue and Net Profit recorded an impressive compound growth of 15.6% and 21.8% per annum respectively. </w:t>
      </w:r>
    </w:p>
    <w:p w:rsidR="00224617" w:rsidRDefault="00580600" w:rsidP="00224617">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During the five year</w:t>
      </w:r>
      <w:r w:rsidR="00224617" w:rsidRPr="009E2D9D">
        <w:rPr>
          <w:rFonts w:ascii="Times New Roman" w:hAnsi="Times New Roman" w:cs="Times New Roman"/>
          <w:sz w:val="24"/>
          <w:szCs w:val="24"/>
        </w:rPr>
        <w:t xml:space="preserve"> period, Return on Capital Employed improved substantially from 28.4% to 45.7% while Total Shareholder Returns, measured in terms of increase in market capitalization and dividends, grew at a compound annual growth rate of over </w:t>
      </w:r>
      <w:r w:rsidR="00224617" w:rsidRPr="009E2D9D">
        <w:rPr>
          <w:rFonts w:ascii="Times New Roman" w:hAnsi="Times New Roman" w:cs="Times New Roman"/>
          <w:sz w:val="24"/>
          <w:szCs w:val="24"/>
        </w:rPr>
        <w:lastRenderedPageBreak/>
        <w:t>26%, placing the Company amongst the foremost in the country in terms of efficiency of servicing financial capital.</w:t>
      </w: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5740B1" w:rsidRDefault="005740B1" w:rsidP="00630BE8">
      <w:pPr>
        <w:pStyle w:val="NormalWeb"/>
        <w:shd w:val="clear" w:color="auto" w:fill="FFFFFF"/>
        <w:spacing w:line="360" w:lineRule="auto"/>
        <w:jc w:val="both"/>
        <w:rPr>
          <w:b/>
        </w:rPr>
      </w:pPr>
    </w:p>
    <w:p w:rsidR="00224617" w:rsidRPr="00E938B5" w:rsidRDefault="007A7C56" w:rsidP="005740B1">
      <w:pPr>
        <w:pStyle w:val="NormalWeb"/>
        <w:shd w:val="clear" w:color="auto" w:fill="FFFFFF"/>
        <w:spacing w:line="360" w:lineRule="auto"/>
        <w:jc w:val="center"/>
        <w:rPr>
          <w:b/>
          <w:sz w:val="28"/>
        </w:rPr>
      </w:pPr>
      <w:r w:rsidRPr="00E938B5">
        <w:rPr>
          <w:b/>
          <w:sz w:val="28"/>
        </w:rPr>
        <w:lastRenderedPageBreak/>
        <w:t>RECOMMENDATIONS</w:t>
      </w:r>
    </w:p>
    <w:p w:rsidR="007A7C56" w:rsidRPr="007A7C56" w:rsidRDefault="007A7C56" w:rsidP="0069475A">
      <w:pPr>
        <w:pStyle w:val="NormalWeb"/>
        <w:shd w:val="clear" w:color="auto" w:fill="FFFFFF"/>
        <w:spacing w:line="360" w:lineRule="auto"/>
        <w:jc w:val="both"/>
        <w:rPr>
          <w:b/>
        </w:rPr>
      </w:pPr>
      <w:r w:rsidRPr="007A7C56">
        <w:rPr>
          <w:b/>
        </w:rPr>
        <w:t xml:space="preserve">Non cigarette FMCG business will provide strong earning visibility </w:t>
      </w:r>
    </w:p>
    <w:p w:rsidR="0069475A" w:rsidRDefault="007A7C56" w:rsidP="0069475A">
      <w:pPr>
        <w:pStyle w:val="NormalWeb"/>
        <w:shd w:val="clear" w:color="auto" w:fill="FFFFFF"/>
        <w:spacing w:line="360" w:lineRule="auto"/>
        <w:jc w:val="both"/>
      </w:pPr>
      <w:r w:rsidRPr="0069475A">
        <w:t>ITC’s non-cigarette FMCG business grew by 26</w:t>
      </w:r>
      <w:r w:rsidR="0069475A" w:rsidRPr="0069475A">
        <w:t xml:space="preserve">% </w:t>
      </w:r>
      <w:proofErr w:type="spellStart"/>
      <w:r w:rsidR="0069475A" w:rsidRPr="0069475A">
        <w:t>YoY</w:t>
      </w:r>
      <w:proofErr w:type="spellEnd"/>
      <w:r w:rsidR="0069475A" w:rsidRPr="0069475A">
        <w:t xml:space="preserve"> in FY’13, surpassing the </w:t>
      </w:r>
      <w:r w:rsidRPr="0069475A">
        <w:t>industry growth, a sign that ITC is fast gaining m</w:t>
      </w:r>
      <w:r w:rsidR="0069475A" w:rsidRPr="0069475A">
        <w:t xml:space="preserve">arket share in the Indian FMCG </w:t>
      </w:r>
      <w:r w:rsidRPr="0069475A">
        <w:t>industry, which is still dominated by HUL, with a 15% market share. In</w:t>
      </w:r>
      <w:r w:rsidR="0069475A" w:rsidRPr="0069475A">
        <w:t xml:space="preserve"> a short </w:t>
      </w:r>
      <w:r w:rsidRPr="0069475A">
        <w:t>span of time, ITC has penetrated succes</w:t>
      </w:r>
      <w:r w:rsidR="0069475A" w:rsidRPr="0069475A">
        <w:t xml:space="preserve">sfully in segments like food &amp; </w:t>
      </w:r>
      <w:r w:rsidRPr="0069475A">
        <w:t>confectionery and personal care products. The co</w:t>
      </w:r>
      <w:r w:rsidR="0069475A" w:rsidRPr="0069475A">
        <w:t xml:space="preserve">mpany has leveraged its strong </w:t>
      </w:r>
      <w:r w:rsidRPr="0069475A">
        <w:t>distribution network developed over the years</w:t>
      </w:r>
      <w:r w:rsidR="0069475A" w:rsidRPr="0069475A">
        <w:t xml:space="preserve"> for its cigarette business to </w:t>
      </w:r>
      <w:r w:rsidRPr="0069475A">
        <w:t>penetrate the FMCG market. The company plan</w:t>
      </w:r>
      <w:r w:rsidR="0069475A" w:rsidRPr="0069475A">
        <w:t xml:space="preserve">s to enter into dairy products </w:t>
      </w:r>
      <w:r w:rsidRPr="0069475A">
        <w:t>soon. Its foods division already has positive</w:t>
      </w:r>
      <w:r w:rsidR="0069475A" w:rsidRPr="0069475A">
        <w:t xml:space="preserve"> cash flows; the personal care </w:t>
      </w:r>
      <w:r w:rsidRPr="0069475A">
        <w:t xml:space="preserve">division would take at least another six months to </w:t>
      </w:r>
      <w:r w:rsidR="0069475A" w:rsidRPr="0069475A">
        <w:t xml:space="preserve">turn positive. Consequently we </w:t>
      </w:r>
      <w:r w:rsidRPr="0069475A">
        <w:t xml:space="preserve">expect non-cigarette businesses to add to the earnings in FY’15 in a better way. </w:t>
      </w:r>
      <w:r w:rsidRPr="0069475A">
        <w:cr/>
      </w:r>
    </w:p>
    <w:p w:rsidR="0069475A" w:rsidRPr="0069475A" w:rsidRDefault="0069475A" w:rsidP="0069475A">
      <w:pPr>
        <w:pStyle w:val="NormalWeb"/>
        <w:shd w:val="clear" w:color="auto" w:fill="FFFFFF"/>
        <w:spacing w:line="360" w:lineRule="auto"/>
        <w:jc w:val="both"/>
      </w:pPr>
      <w:r w:rsidRPr="0069475A">
        <w:rPr>
          <w:b/>
        </w:rPr>
        <w:t xml:space="preserve">Strong pricing power would aid ITC in maintaining healthy margin growth </w:t>
      </w:r>
    </w:p>
    <w:p w:rsidR="005A53E3" w:rsidRDefault="0069475A" w:rsidP="0069475A">
      <w:pPr>
        <w:pStyle w:val="NormalWeb"/>
        <w:shd w:val="clear" w:color="auto" w:fill="FFFFFF"/>
        <w:spacing w:line="360" w:lineRule="auto"/>
        <w:jc w:val="both"/>
      </w:pPr>
      <w:r>
        <w:t xml:space="preserve">During FY’13, ITC has reported 16.8% </w:t>
      </w:r>
      <w:proofErr w:type="spellStart"/>
      <w:r>
        <w:t>YoY</w:t>
      </w:r>
      <w:proofErr w:type="spellEnd"/>
      <w:r>
        <w:t xml:space="preserve"> growth in revenue from its Cigarette business to 271.4 </w:t>
      </w:r>
      <w:proofErr w:type="spellStart"/>
      <w:r>
        <w:t>bn</w:t>
      </w:r>
      <w:proofErr w:type="spellEnd"/>
      <w:r>
        <w:t xml:space="preserve">, contributing 41% of total revenues on account of ~ 16-17% rise in cigarette prices in FY’13. While in Q4FY’13, net sales grew by ~11% to 3.6 </w:t>
      </w:r>
      <w:proofErr w:type="spellStart"/>
      <w:r>
        <w:t>bn</w:t>
      </w:r>
      <w:proofErr w:type="spellEnd"/>
      <w:r>
        <w:t>, due to ~2.5% volume growth. The launch of new 64 mm new variant cigarette and strong pricing power in cigarette business helped the company to counter increase in excise duty. With the recent hike in a pack of 10 cigarettes of 69 mm Gold Flake and Gold Fake Premium would further placed ITC in to better position to compete with cheaper substitutes that are available via unorganized/illicit channel as hike in the regular-sized cigarette brand is positive will push the consumers to premium cigarette brands as it would reduce the difference between the two brands, thus bolstering margins.</w:t>
      </w:r>
    </w:p>
    <w:p w:rsidR="0069475A" w:rsidRDefault="0069475A" w:rsidP="0069475A">
      <w:pPr>
        <w:pStyle w:val="NormalWeb"/>
        <w:shd w:val="clear" w:color="auto" w:fill="FFFFFF"/>
        <w:spacing w:line="360" w:lineRule="auto"/>
        <w:jc w:val="both"/>
      </w:pPr>
    </w:p>
    <w:p w:rsidR="0069475A" w:rsidRDefault="0069475A" w:rsidP="0069475A">
      <w:pPr>
        <w:pStyle w:val="NormalWeb"/>
        <w:shd w:val="clear" w:color="auto" w:fill="FFFFFF"/>
        <w:spacing w:line="360" w:lineRule="auto"/>
        <w:jc w:val="both"/>
      </w:pPr>
    </w:p>
    <w:p w:rsidR="0069475A" w:rsidRPr="00901148" w:rsidRDefault="0069475A" w:rsidP="0069475A">
      <w:pPr>
        <w:pStyle w:val="Heading3"/>
        <w:shd w:val="clear" w:color="auto" w:fill="FDFDFD"/>
        <w:spacing w:before="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Risk</w:t>
      </w:r>
    </w:p>
    <w:p w:rsidR="0069475A" w:rsidRPr="005A1308" w:rsidRDefault="0069475A" w:rsidP="0069475A">
      <w:pPr>
        <w:pStyle w:val="NormalWeb"/>
        <w:shd w:val="clear" w:color="auto" w:fill="FDFDFD"/>
        <w:spacing w:line="360" w:lineRule="auto"/>
        <w:jc w:val="both"/>
      </w:pPr>
      <w:r w:rsidRPr="005A1308">
        <w:t xml:space="preserve">The major risks facing ITC stem from potential changes in government regulations related to taxation, manufacturing licenses, and advertising or distribution bans. More specifically, if the government drastically increases the excise tax rate on cigarettes (similar to past actions), the company's production volumes and profitability could suffer. Apart from regulatory risks, we also believe there is a risk that ITC management may expand further into less profitable businesses--and away from its core competencies in cigarettes--which would not be in the best interest of its shareholders. </w:t>
      </w:r>
    </w:p>
    <w:p w:rsidR="0069475A" w:rsidRDefault="0069475A"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69475A">
      <w:pPr>
        <w:pStyle w:val="NormalWeb"/>
        <w:shd w:val="clear" w:color="auto" w:fill="FFFFFF"/>
        <w:spacing w:line="360" w:lineRule="auto"/>
        <w:jc w:val="both"/>
      </w:pPr>
    </w:p>
    <w:p w:rsidR="005A1308" w:rsidRDefault="005A1308" w:rsidP="005740B1">
      <w:pPr>
        <w:pStyle w:val="NormalWeb"/>
        <w:shd w:val="clear" w:color="auto" w:fill="FFFFFF"/>
        <w:spacing w:line="360" w:lineRule="auto"/>
        <w:jc w:val="center"/>
        <w:rPr>
          <w:b/>
        </w:rPr>
      </w:pPr>
      <w:r w:rsidRPr="005A1308">
        <w:rPr>
          <w:b/>
        </w:rPr>
        <w:lastRenderedPageBreak/>
        <w:t>CONCLUSION</w:t>
      </w:r>
    </w:p>
    <w:p w:rsidR="007D0060" w:rsidRDefault="005A1308" w:rsidP="005A1308">
      <w:pPr>
        <w:pStyle w:val="NormalWeb"/>
        <w:numPr>
          <w:ilvl w:val="0"/>
          <w:numId w:val="23"/>
        </w:numPr>
        <w:shd w:val="clear" w:color="auto" w:fill="FFFFFF"/>
        <w:spacing w:line="360" w:lineRule="auto"/>
        <w:jc w:val="both"/>
      </w:pPr>
      <w:r w:rsidRPr="005A1308">
        <w:t xml:space="preserve">ITC has strengthened its market share in FMCG sector via the launch of new products with innovative ideas, penetration into new segments and </w:t>
      </w:r>
      <w:r w:rsidR="007D0060">
        <w:t>enhancing distribution channels The company has launched several FMCG products to enhance its market share</w:t>
      </w:r>
      <w:r w:rsidRPr="005A1308">
        <w:t xml:space="preserve">. The products have met with encouraging </w:t>
      </w:r>
      <w:r w:rsidR="007D0060">
        <w:t xml:space="preserve">consumer response. </w:t>
      </w:r>
    </w:p>
    <w:p w:rsidR="007D0060" w:rsidRDefault="005A1308" w:rsidP="005A1308">
      <w:pPr>
        <w:pStyle w:val="NormalWeb"/>
        <w:numPr>
          <w:ilvl w:val="0"/>
          <w:numId w:val="23"/>
        </w:numPr>
        <w:shd w:val="clear" w:color="auto" w:fill="FFFFFF"/>
        <w:spacing w:line="360" w:lineRule="auto"/>
        <w:jc w:val="both"/>
      </w:pPr>
      <w:r w:rsidRPr="005A1308">
        <w:t xml:space="preserve">The company’s revenue from the cigarettes business, which contributed 44.3% to net sales, grew 16.8% </w:t>
      </w:r>
      <w:proofErr w:type="spellStart"/>
      <w:r w:rsidRPr="005A1308">
        <w:t>YoY</w:t>
      </w:r>
      <w:proofErr w:type="spellEnd"/>
      <w:r w:rsidRPr="005A1308">
        <w:t xml:space="preserve"> in FY’13, due to higher price realization and volume growth. Revenues from both non-cigarette FMCG and </w:t>
      </w:r>
      <w:proofErr w:type="spellStart"/>
      <w:r w:rsidRPr="005A1308">
        <w:t>agri</w:t>
      </w:r>
      <w:proofErr w:type="spellEnd"/>
      <w:r w:rsidRPr="005A1308">
        <w:t xml:space="preserve"> business rose ~26.0% </w:t>
      </w:r>
      <w:proofErr w:type="spellStart"/>
      <w:r w:rsidRPr="005A1308">
        <w:t>YoY</w:t>
      </w:r>
      <w:proofErr w:type="spellEnd"/>
      <w:r w:rsidRPr="005A1308">
        <w:t xml:space="preserve"> each, in FY13. Paper board revenue increased 9.0% </w:t>
      </w:r>
      <w:proofErr w:type="spellStart"/>
      <w:r w:rsidRPr="005A1308">
        <w:t>YoY</w:t>
      </w:r>
      <w:proofErr w:type="spellEnd"/>
      <w:r w:rsidRPr="005A1308">
        <w:t xml:space="preserve"> with product mix enrichment and higher volumes but the steep hike in input prices particularly of wood, coal and chemicals restrained segmental profit growth in t</w:t>
      </w:r>
      <w:r>
        <w:t>he paper board segment. H</w:t>
      </w:r>
      <w:r w:rsidRPr="005A1308">
        <w:t xml:space="preserve">otel business witnessed a muted growth of 6.5% </w:t>
      </w:r>
      <w:proofErr w:type="spellStart"/>
      <w:r w:rsidRPr="005A1308">
        <w:t>YoY</w:t>
      </w:r>
      <w:proofErr w:type="spellEnd"/>
      <w:r w:rsidRPr="005A1308">
        <w:t>, due to a slowdown in the growth of foreign tourist arriva</w:t>
      </w:r>
      <w:r>
        <w:t xml:space="preserve">ls. </w:t>
      </w:r>
    </w:p>
    <w:p w:rsidR="007D0060" w:rsidRDefault="005A1308" w:rsidP="005A1308">
      <w:pPr>
        <w:pStyle w:val="NormalWeb"/>
        <w:numPr>
          <w:ilvl w:val="0"/>
          <w:numId w:val="23"/>
        </w:numPr>
        <w:shd w:val="clear" w:color="auto" w:fill="FFFFFF"/>
        <w:spacing w:line="360" w:lineRule="auto"/>
        <w:jc w:val="both"/>
      </w:pPr>
      <w:r>
        <w:t>He</w:t>
      </w:r>
      <w:r w:rsidRPr="005A1308">
        <w:t>althy revenue growth and improved operational efficiency across all segments will continue to drive growth momentum in the next quarter. Moreover, higher return form cigarette segment and improving contribution from other FMCG segment will continue to result in to improve Return on equity (ROE) and Return on capital employed (ROCE) in the coming years.</w:t>
      </w:r>
    </w:p>
    <w:p w:rsidR="005A1308" w:rsidRDefault="007D0060" w:rsidP="005A1308">
      <w:pPr>
        <w:pStyle w:val="NormalWeb"/>
        <w:numPr>
          <w:ilvl w:val="0"/>
          <w:numId w:val="23"/>
        </w:numPr>
        <w:shd w:val="clear" w:color="auto" w:fill="FFFFFF"/>
        <w:spacing w:line="360" w:lineRule="auto"/>
        <w:jc w:val="both"/>
      </w:pPr>
      <w:r>
        <w:t>The steps taken to introduce cheaper cigarettes in order to win ove</w:t>
      </w:r>
      <w:r w:rsidR="00B362B2">
        <w:t>r the other tobacco products have</w:t>
      </w:r>
      <w:r>
        <w:t xml:space="preserve"> significantly reaped profits which is a good sign of innovative development.</w:t>
      </w:r>
    </w:p>
    <w:p w:rsidR="005A1308" w:rsidRDefault="005A1308" w:rsidP="005A1308">
      <w:pPr>
        <w:pStyle w:val="NormalWeb"/>
        <w:shd w:val="clear" w:color="auto" w:fill="FFFFFF"/>
        <w:spacing w:line="360" w:lineRule="auto"/>
        <w:jc w:val="both"/>
      </w:pPr>
    </w:p>
    <w:p w:rsidR="005A1308" w:rsidRDefault="005A1308" w:rsidP="005A1308">
      <w:pPr>
        <w:pStyle w:val="NormalWeb"/>
        <w:shd w:val="clear" w:color="auto" w:fill="FFFFFF"/>
        <w:spacing w:line="360" w:lineRule="auto"/>
        <w:jc w:val="both"/>
      </w:pPr>
    </w:p>
    <w:p w:rsidR="005A1308" w:rsidRDefault="005A1308" w:rsidP="005A1308">
      <w:pPr>
        <w:pStyle w:val="NormalWeb"/>
        <w:shd w:val="clear" w:color="auto" w:fill="FFFFFF"/>
        <w:spacing w:line="360" w:lineRule="auto"/>
        <w:jc w:val="both"/>
      </w:pPr>
    </w:p>
    <w:p w:rsidR="007D0060" w:rsidRDefault="007D0060" w:rsidP="005A1308">
      <w:pPr>
        <w:pStyle w:val="NormalWeb"/>
        <w:shd w:val="clear" w:color="auto" w:fill="FFFFFF"/>
        <w:spacing w:line="360" w:lineRule="auto"/>
        <w:jc w:val="both"/>
        <w:rPr>
          <w:b/>
        </w:rPr>
      </w:pPr>
    </w:p>
    <w:p w:rsidR="007D0060" w:rsidRDefault="007D0060" w:rsidP="005A1308">
      <w:pPr>
        <w:pStyle w:val="NormalWeb"/>
        <w:shd w:val="clear" w:color="auto" w:fill="FFFFFF"/>
        <w:spacing w:line="360" w:lineRule="auto"/>
        <w:jc w:val="both"/>
        <w:rPr>
          <w:b/>
        </w:rPr>
      </w:pPr>
    </w:p>
    <w:p w:rsidR="005A1308" w:rsidRDefault="005A1308" w:rsidP="005A1308">
      <w:pPr>
        <w:pStyle w:val="NormalWeb"/>
        <w:shd w:val="clear" w:color="auto" w:fill="FFFFFF"/>
        <w:spacing w:line="360" w:lineRule="auto"/>
        <w:jc w:val="both"/>
        <w:rPr>
          <w:b/>
        </w:rPr>
      </w:pPr>
      <w:r w:rsidRPr="005A1308">
        <w:rPr>
          <w:b/>
        </w:rPr>
        <w:lastRenderedPageBreak/>
        <w:t>ANNEXURE</w:t>
      </w:r>
    </w:p>
    <w:p w:rsidR="00E938B5" w:rsidRDefault="00E938B5" w:rsidP="00E938B5">
      <w:pPr>
        <w:rPr>
          <w:rFonts w:ascii="Times New Roman" w:hAnsi="Times New Roman" w:cs="Times New Roman"/>
          <w:sz w:val="24"/>
        </w:rPr>
      </w:pPr>
      <w:r w:rsidRPr="00297049">
        <w:rPr>
          <w:rFonts w:ascii="Times New Roman" w:hAnsi="Times New Roman" w:cs="Times New Roman"/>
          <w:b/>
          <w:bCs/>
          <w:sz w:val="28"/>
          <w:szCs w:val="24"/>
        </w:rPr>
        <w:t>Comparative Balance Sheet Statement</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418"/>
        <w:gridCol w:w="1417"/>
        <w:gridCol w:w="1418"/>
        <w:gridCol w:w="1275"/>
      </w:tblGrid>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Pr>
                <w:rFonts w:ascii="Times New Roman" w:hAnsi="Times New Roman" w:cs="Times New Roman"/>
                <w:sz w:val="24"/>
              </w:rPr>
              <w:t>Particulars</w:t>
            </w:r>
          </w:p>
        </w:tc>
        <w:tc>
          <w:tcPr>
            <w:tcW w:w="1418" w:type="dxa"/>
            <w:noWrap/>
            <w:hideMark/>
          </w:tcPr>
          <w:p w:rsidR="00E938B5" w:rsidRPr="00932C0A" w:rsidRDefault="00633091" w:rsidP="00E938B5">
            <w:pPr>
              <w:rPr>
                <w:rFonts w:ascii="Times New Roman" w:hAnsi="Times New Roman" w:cs="Times New Roman"/>
                <w:sz w:val="24"/>
              </w:rPr>
            </w:pPr>
            <w:r>
              <w:rPr>
                <w:rFonts w:ascii="Times New Roman" w:hAnsi="Times New Roman" w:cs="Times New Roman"/>
                <w:sz w:val="24"/>
              </w:rPr>
              <w:t>MAR'14</w:t>
            </w:r>
          </w:p>
        </w:tc>
        <w:tc>
          <w:tcPr>
            <w:tcW w:w="1417" w:type="dxa"/>
            <w:noWrap/>
            <w:hideMark/>
          </w:tcPr>
          <w:p w:rsidR="00E938B5" w:rsidRPr="00932C0A" w:rsidRDefault="00633091" w:rsidP="00E938B5">
            <w:pPr>
              <w:rPr>
                <w:rFonts w:ascii="Times New Roman" w:hAnsi="Times New Roman" w:cs="Times New Roman"/>
                <w:sz w:val="24"/>
              </w:rPr>
            </w:pPr>
            <w:r>
              <w:rPr>
                <w:rFonts w:ascii="Times New Roman" w:hAnsi="Times New Roman" w:cs="Times New Roman"/>
                <w:sz w:val="24"/>
              </w:rPr>
              <w:t>MAR'13</w:t>
            </w: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w:t>
            </w:r>
            <w:r w:rsidRPr="00932C0A">
              <w:rPr>
                <w:sz w:val="24"/>
              </w:rPr>
              <w:t>₹</w:t>
            </w:r>
            <w:r w:rsidRPr="00932C0A">
              <w:rPr>
                <w:rFonts w:ascii="Times New Roman" w:hAnsi="Times New Roman" w:cs="Times New Roman"/>
                <w:sz w:val="24"/>
              </w:rPr>
              <w:t xml:space="preserve"> Cr.)</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w:t>
            </w:r>
            <w:r w:rsidRPr="00932C0A">
              <w:rPr>
                <w:sz w:val="24"/>
              </w:rPr>
              <w:t>₹</w:t>
            </w:r>
            <w:r w:rsidRPr="00932C0A">
              <w:rPr>
                <w:rFonts w:ascii="Times New Roman" w:hAnsi="Times New Roman" w:cs="Times New Roman"/>
                <w:sz w:val="24"/>
              </w:rPr>
              <w:t xml:space="preserve"> Cr.)</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Absolute change</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%Change</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EQUITY AND LIABILITIES</w:t>
            </w:r>
          </w:p>
        </w:tc>
        <w:tc>
          <w:tcPr>
            <w:tcW w:w="1418" w:type="dxa"/>
            <w:noWrap/>
            <w:hideMark/>
          </w:tcPr>
          <w:p w:rsidR="00E938B5" w:rsidRPr="00932C0A" w:rsidRDefault="00E938B5" w:rsidP="00E938B5">
            <w:pPr>
              <w:rPr>
                <w:rFonts w:ascii="Times New Roman" w:hAnsi="Times New Roman" w:cs="Times New Roman"/>
                <w:sz w:val="24"/>
              </w:rPr>
            </w:pPr>
          </w:p>
        </w:tc>
        <w:tc>
          <w:tcPr>
            <w:tcW w:w="1417"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Share Capital</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781.84</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773.81</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8.03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Share Warrants &amp; Outstanding’s</w:t>
            </w:r>
          </w:p>
        </w:tc>
        <w:tc>
          <w:tcPr>
            <w:tcW w:w="1418" w:type="dxa"/>
            <w:noWrap/>
            <w:hideMark/>
          </w:tcPr>
          <w:p w:rsidR="00E938B5" w:rsidRPr="00932C0A" w:rsidRDefault="00E938B5" w:rsidP="00E938B5">
            <w:pPr>
              <w:rPr>
                <w:rFonts w:ascii="Times New Roman" w:hAnsi="Times New Roman" w:cs="Times New Roman"/>
                <w:sz w:val="24"/>
              </w:rPr>
            </w:pPr>
          </w:p>
        </w:tc>
        <w:tc>
          <w:tcPr>
            <w:tcW w:w="1417"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Reserves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18,010.05</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15,179.46</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2830.59</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18.65%</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Shareholder's Funds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18,791.89</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15,953.27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2838.62</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17.79%</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Long-Term Borrowings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Secured Loans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Unsecured Loans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77.32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86.58</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-9.26</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-10.70%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Deferred Tax Assets /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872.72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801.85</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70.87</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8.84%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Other Long Term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15.52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20.82</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-25.46%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Long Term Trade Payables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Long Term Provisions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107.12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93.82</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14.18%</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Non-Current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1,072.68</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1,003.07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69.61</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6.94%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Current Liabilities</w:t>
            </w:r>
          </w:p>
        </w:tc>
        <w:tc>
          <w:tcPr>
            <w:tcW w:w="1418" w:type="dxa"/>
            <w:noWrap/>
            <w:hideMark/>
          </w:tcPr>
          <w:p w:rsidR="00E938B5" w:rsidRPr="00932C0A" w:rsidRDefault="00E938B5" w:rsidP="00E938B5">
            <w:pPr>
              <w:rPr>
                <w:rFonts w:ascii="Times New Roman" w:hAnsi="Times New Roman" w:cs="Times New Roman"/>
                <w:sz w:val="24"/>
              </w:rPr>
            </w:pPr>
          </w:p>
        </w:tc>
        <w:tc>
          <w:tcPr>
            <w:tcW w:w="1417"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Trade Payables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1,424.84</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1,395.31</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29.53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2.12%</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Other Current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3,371.27</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3,067.77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303.5</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9.89%</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Short Term Borrowings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1.77</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1.94</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-0.17</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-8.76%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Short Term Provisions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4,303.95</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4,012.46</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291.49</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7.26%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Current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9,101.83</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8,477.48</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624.35</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7.36%</w:t>
            </w:r>
          </w:p>
        </w:tc>
      </w:tr>
      <w:tr w:rsidR="00E938B5" w:rsidRPr="00932C0A" w:rsidTr="00B362B2">
        <w:trPr>
          <w:trHeight w:val="300"/>
        </w:trPr>
        <w:tc>
          <w:tcPr>
            <w:tcW w:w="5245"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lastRenderedPageBreak/>
              <w:t>Total Liabilities</w:t>
            </w:r>
          </w:p>
        </w:tc>
        <w:tc>
          <w:tcPr>
            <w:tcW w:w="1418"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28,966.40</w:t>
            </w:r>
          </w:p>
        </w:tc>
        <w:tc>
          <w:tcPr>
            <w:tcW w:w="141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25,433.82</w:t>
            </w:r>
          </w:p>
        </w:tc>
        <w:tc>
          <w:tcPr>
            <w:tcW w:w="1418"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3532.58</w:t>
            </w:r>
          </w:p>
        </w:tc>
        <w:tc>
          <w:tcPr>
            <w:tcW w:w="1275" w:type="dxa"/>
            <w:noWrap/>
            <w:hideMark/>
          </w:tcPr>
          <w:p w:rsidR="00E938B5" w:rsidRPr="00F77B01" w:rsidRDefault="00E938B5" w:rsidP="00E938B5">
            <w:pPr>
              <w:rPr>
                <w:rFonts w:ascii="Times New Roman" w:hAnsi="Times New Roman" w:cs="Times New Roman"/>
                <w:color w:val="FF0000"/>
                <w:sz w:val="24"/>
              </w:rPr>
            </w:pPr>
            <w:r w:rsidRPr="00F77B01">
              <w:rPr>
                <w:rFonts w:ascii="Times New Roman" w:hAnsi="Times New Roman" w:cs="Times New Roman"/>
                <w:sz w:val="24"/>
                <w:highlight w:val="yellow"/>
              </w:rPr>
              <w:t>13.89%</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ASSETS</w:t>
            </w:r>
          </w:p>
        </w:tc>
        <w:tc>
          <w:tcPr>
            <w:tcW w:w="1418" w:type="dxa"/>
            <w:noWrap/>
            <w:hideMark/>
          </w:tcPr>
          <w:p w:rsidR="00E938B5" w:rsidRPr="00932C0A" w:rsidRDefault="00E938B5" w:rsidP="00E938B5">
            <w:pPr>
              <w:rPr>
                <w:rFonts w:ascii="Times New Roman" w:hAnsi="Times New Roman" w:cs="Times New Roman"/>
                <w:sz w:val="24"/>
              </w:rPr>
            </w:pPr>
          </w:p>
        </w:tc>
        <w:tc>
          <w:tcPr>
            <w:tcW w:w="1417"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Non-Current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Gross Block</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14,144.35</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12,765.86</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1378.49</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10.80%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Less: Accumulated Depreciation</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5,045.16</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4,420.75</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624.41</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14.12%</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Less: Impairment of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Net Block</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9,099.19</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8,345.11</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754.08</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9.04%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Lease Adjustment A/c</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Capital Work in Progress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2,269.26</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1,322.60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946.66</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71.58%</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Intangible assets under development</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7.49</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10.8</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-3.31</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-30.65%</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Pre-operative Expenses pending</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Assets in transit</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Non-Current Investments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1,953.28</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1,563.30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389.98</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24.95%</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Long Term Loans &amp; Advances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1,193.61</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1,146.47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47.14</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4.11%</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Other Non-Current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Non-Current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14,522.83</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12,388.28</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2134.55</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17.23%</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Current Assets Loans &amp; Advances</w:t>
            </w:r>
          </w:p>
        </w:tc>
        <w:tc>
          <w:tcPr>
            <w:tcW w:w="1418" w:type="dxa"/>
            <w:noWrap/>
            <w:hideMark/>
          </w:tcPr>
          <w:p w:rsidR="00E938B5" w:rsidRPr="00932C0A" w:rsidRDefault="00E938B5" w:rsidP="00E938B5">
            <w:pPr>
              <w:rPr>
                <w:rFonts w:ascii="Times New Roman" w:hAnsi="Times New Roman" w:cs="Times New Roman"/>
                <w:sz w:val="24"/>
              </w:rPr>
            </w:pPr>
          </w:p>
        </w:tc>
        <w:tc>
          <w:tcPr>
            <w:tcW w:w="1417" w:type="dxa"/>
            <w:noWrap/>
            <w:hideMark/>
          </w:tcPr>
          <w:p w:rsidR="00E938B5" w:rsidRPr="00932C0A" w:rsidRDefault="00E938B5" w:rsidP="00E938B5">
            <w:pPr>
              <w:rPr>
                <w:rFonts w:ascii="Times New Roman" w:hAnsi="Times New Roman" w:cs="Times New Roman"/>
                <w:sz w:val="24"/>
              </w:rPr>
            </w:pPr>
          </w:p>
        </w:tc>
        <w:tc>
          <w:tcPr>
            <w:tcW w:w="1418" w:type="dxa"/>
            <w:noWrap/>
            <w:hideMark/>
          </w:tcPr>
          <w:p w:rsidR="00E938B5" w:rsidRPr="00932C0A" w:rsidRDefault="00E938B5" w:rsidP="00E938B5">
            <w:pPr>
              <w:rPr>
                <w:rFonts w:ascii="Times New Roman" w:hAnsi="Times New Roman" w:cs="Times New Roman"/>
                <w:sz w:val="24"/>
              </w:rPr>
            </w:pPr>
          </w:p>
        </w:tc>
        <w:tc>
          <w:tcPr>
            <w:tcW w:w="1275" w:type="dxa"/>
            <w:noWrap/>
            <w:hideMark/>
          </w:tcPr>
          <w:p w:rsidR="00E938B5" w:rsidRPr="00932C0A" w:rsidRDefault="00E938B5" w:rsidP="00E938B5">
            <w:pPr>
              <w:rPr>
                <w:rFonts w:ascii="Times New Roman" w:hAnsi="Times New Roman" w:cs="Times New Roman"/>
                <w:sz w:val="24"/>
              </w:rPr>
            </w:pP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Currents Investments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4,363.31</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3,991.32</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371.99</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9.32%</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Inventories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5,637.83</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5,269.17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368.66</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7.00%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Sundry Debtors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986.02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885.1</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100.92</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11.40%</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Cash and Bank</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2,818.93</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2,243.24</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575.69</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25.66%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Other Current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136.89</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93.26</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43.63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46.78%</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Short Term Loans and Advances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500.59</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563.45</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-62.86</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-11.16%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Current Assets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14,443.57</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13,045.54</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1398.03</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10.72%</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lastRenderedPageBreak/>
              <w:t>Net Current Assets (Including Current Investments)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5,341.74</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4,568.06</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773.68</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16.94%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Current Assets Excluding Current Investments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10,080.26</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9,054.22</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1026.04</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11.33%</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Miscellaneous Expenses not written off</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0.00%</w:t>
            </w:r>
          </w:p>
        </w:tc>
      </w:tr>
      <w:tr w:rsidR="00E938B5" w:rsidRPr="00932C0A" w:rsidTr="00B362B2">
        <w:trPr>
          <w:trHeight w:val="300"/>
        </w:trPr>
        <w:tc>
          <w:tcPr>
            <w:tcW w:w="5245"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Assets</w:t>
            </w:r>
          </w:p>
        </w:tc>
        <w:tc>
          <w:tcPr>
            <w:tcW w:w="1418"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28,966.40</w:t>
            </w:r>
          </w:p>
        </w:tc>
        <w:tc>
          <w:tcPr>
            <w:tcW w:w="141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25,433.82</w:t>
            </w:r>
          </w:p>
        </w:tc>
        <w:tc>
          <w:tcPr>
            <w:tcW w:w="1418"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3532.58</w:t>
            </w:r>
          </w:p>
        </w:tc>
        <w:tc>
          <w:tcPr>
            <w:tcW w:w="1275" w:type="dxa"/>
            <w:noWrap/>
            <w:hideMark/>
          </w:tcPr>
          <w:p w:rsidR="00E938B5" w:rsidRPr="00932C0A" w:rsidRDefault="00E938B5" w:rsidP="00E938B5">
            <w:pPr>
              <w:rPr>
                <w:rFonts w:ascii="Times New Roman" w:hAnsi="Times New Roman" w:cs="Times New Roman"/>
                <w:sz w:val="24"/>
              </w:rPr>
            </w:pPr>
            <w:r w:rsidRPr="00F77B01">
              <w:rPr>
                <w:rFonts w:ascii="Times New Roman" w:hAnsi="Times New Roman" w:cs="Times New Roman"/>
                <w:sz w:val="24"/>
                <w:highlight w:val="yellow"/>
              </w:rPr>
              <w:t>13.89%</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Contingent Liabilities</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287.08</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255.17</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31.91</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12.51%</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Total Debt</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89.12</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99.2</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-10.08</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-10.16%</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 xml:space="preserve">Book Value (in </w:t>
            </w:r>
            <w:r w:rsidRPr="00932C0A">
              <w:rPr>
                <w:sz w:val="24"/>
              </w:rPr>
              <w:t>₹</w:t>
            </w:r>
            <w:r w:rsidRPr="00932C0A">
              <w:rPr>
                <w:rFonts w:ascii="Times New Roman" w:hAnsi="Times New Roman" w:cs="Times New Roman"/>
                <w:sz w:val="24"/>
              </w:rPr>
              <w:t>)</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23.97</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20.55</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3.42</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16.64%</w:t>
            </w:r>
          </w:p>
        </w:tc>
      </w:tr>
      <w:tr w:rsidR="00E938B5" w:rsidRPr="00932C0A" w:rsidTr="00B362B2">
        <w:trPr>
          <w:trHeight w:val="300"/>
        </w:trPr>
        <w:tc>
          <w:tcPr>
            <w:tcW w:w="524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 xml:space="preserve">Adjusted Book Value (in </w:t>
            </w:r>
            <w:r w:rsidRPr="00932C0A">
              <w:rPr>
                <w:sz w:val="24"/>
              </w:rPr>
              <w:t>₹</w:t>
            </w:r>
            <w:r w:rsidRPr="00932C0A">
              <w:rPr>
                <w:rFonts w:ascii="Times New Roman" w:hAnsi="Times New Roman" w:cs="Times New Roman"/>
                <w:sz w:val="24"/>
              </w:rPr>
              <w:t>)</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23.97</w:t>
            </w:r>
          </w:p>
        </w:tc>
        <w:tc>
          <w:tcPr>
            <w:tcW w:w="1417"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20.55</w:t>
            </w:r>
          </w:p>
        </w:tc>
        <w:tc>
          <w:tcPr>
            <w:tcW w:w="1418"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3.42</w:t>
            </w:r>
          </w:p>
        </w:tc>
        <w:tc>
          <w:tcPr>
            <w:tcW w:w="1275" w:type="dxa"/>
            <w:noWrap/>
            <w:hideMark/>
          </w:tcPr>
          <w:p w:rsidR="00E938B5" w:rsidRPr="00932C0A" w:rsidRDefault="00E938B5" w:rsidP="00E938B5">
            <w:pPr>
              <w:rPr>
                <w:rFonts w:ascii="Times New Roman" w:hAnsi="Times New Roman" w:cs="Times New Roman"/>
                <w:sz w:val="24"/>
              </w:rPr>
            </w:pPr>
            <w:r w:rsidRPr="00932C0A">
              <w:rPr>
                <w:rFonts w:ascii="Times New Roman" w:hAnsi="Times New Roman" w:cs="Times New Roman"/>
                <w:sz w:val="24"/>
              </w:rPr>
              <w:t>16.64%</w:t>
            </w:r>
          </w:p>
        </w:tc>
      </w:tr>
    </w:tbl>
    <w:p w:rsidR="00E938B5" w:rsidRDefault="00E938B5" w:rsidP="00E938B5">
      <w:pPr>
        <w:rPr>
          <w:rFonts w:ascii="Times New Roman" w:hAnsi="Times New Roman" w:cs="Times New Roman"/>
          <w:sz w:val="24"/>
        </w:rPr>
      </w:pPr>
    </w:p>
    <w:p w:rsidR="00E938B5" w:rsidRPr="00F77B01" w:rsidRDefault="00E938B5" w:rsidP="00E938B5">
      <w:pPr>
        <w:rPr>
          <w:rFonts w:ascii="Times New Roman" w:hAnsi="Times New Roman" w:cs="Times New Roman"/>
          <w:b/>
          <w:bCs/>
          <w:sz w:val="28"/>
          <w:szCs w:val="24"/>
        </w:rPr>
      </w:pPr>
      <w:r w:rsidRPr="00F77B01">
        <w:rPr>
          <w:rFonts w:ascii="Times New Roman" w:hAnsi="Times New Roman" w:cs="Times New Roman"/>
          <w:b/>
          <w:bCs/>
          <w:sz w:val="28"/>
          <w:szCs w:val="24"/>
        </w:rPr>
        <w:t>Comparative Income statement</w:t>
      </w:r>
    </w:p>
    <w:tbl>
      <w:tblPr>
        <w:tblW w:w="98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216"/>
        <w:gridCol w:w="1216"/>
        <w:gridCol w:w="1720"/>
        <w:gridCol w:w="1247"/>
      </w:tblGrid>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Parameter</w:t>
            </w:r>
          </w:p>
        </w:tc>
        <w:tc>
          <w:tcPr>
            <w:tcW w:w="1216" w:type="dxa"/>
            <w:noWrap/>
            <w:hideMark/>
          </w:tcPr>
          <w:p w:rsidR="00E938B5" w:rsidRPr="00D2100C" w:rsidRDefault="00041EC3" w:rsidP="00E938B5">
            <w:pPr>
              <w:rPr>
                <w:rFonts w:ascii="Times New Roman" w:hAnsi="Times New Roman" w:cs="Times New Roman"/>
                <w:sz w:val="24"/>
              </w:rPr>
            </w:pPr>
            <w:r>
              <w:rPr>
                <w:rFonts w:ascii="Times New Roman" w:hAnsi="Times New Roman" w:cs="Times New Roman"/>
                <w:sz w:val="24"/>
              </w:rPr>
              <w:t>MAR'14</w:t>
            </w:r>
          </w:p>
        </w:tc>
        <w:tc>
          <w:tcPr>
            <w:tcW w:w="1216" w:type="dxa"/>
            <w:noWrap/>
            <w:hideMark/>
          </w:tcPr>
          <w:p w:rsidR="00E938B5" w:rsidRPr="00D2100C" w:rsidRDefault="00041EC3" w:rsidP="00E938B5">
            <w:pPr>
              <w:rPr>
                <w:rFonts w:ascii="Times New Roman" w:hAnsi="Times New Roman" w:cs="Times New Roman"/>
                <w:sz w:val="24"/>
              </w:rPr>
            </w:pPr>
            <w:r>
              <w:rPr>
                <w:rFonts w:ascii="Times New Roman" w:hAnsi="Times New Roman" w:cs="Times New Roman"/>
                <w:sz w:val="24"/>
              </w:rPr>
              <w:t>MAR'13</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Absolute change</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Change %</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w:t>
            </w:r>
            <w:r w:rsidRPr="00D2100C">
              <w:rPr>
                <w:sz w:val="24"/>
              </w:rPr>
              <w:t>₹</w:t>
            </w:r>
            <w:r w:rsidRPr="00D2100C">
              <w:rPr>
                <w:rFonts w:ascii="Times New Roman" w:hAnsi="Times New Roman" w:cs="Times New Roman"/>
                <w:sz w:val="24"/>
              </w:rPr>
              <w:t xml:space="preserve"> Cr.)</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w:t>
            </w:r>
            <w:r w:rsidRPr="00D2100C">
              <w:rPr>
                <w:sz w:val="24"/>
              </w:rPr>
              <w:t>₹</w:t>
            </w:r>
            <w:r w:rsidRPr="00D2100C">
              <w:rPr>
                <w:rFonts w:ascii="Times New Roman" w:hAnsi="Times New Roman" w:cs="Times New Roman"/>
                <w:sz w:val="24"/>
              </w:rPr>
              <w:t xml:space="preserve"> Cr.)</w:t>
            </w:r>
          </w:p>
        </w:tc>
        <w:tc>
          <w:tcPr>
            <w:tcW w:w="1720" w:type="dxa"/>
            <w:noWrap/>
            <w:hideMark/>
          </w:tcPr>
          <w:p w:rsidR="00E938B5" w:rsidRPr="00D2100C" w:rsidRDefault="00E938B5" w:rsidP="00E938B5">
            <w:pPr>
              <w:rPr>
                <w:rFonts w:ascii="Times New Roman" w:hAnsi="Times New Roman" w:cs="Times New Roman"/>
                <w:sz w:val="24"/>
              </w:rPr>
            </w:pPr>
          </w:p>
        </w:tc>
        <w:tc>
          <w:tcPr>
            <w:tcW w:w="1247" w:type="dxa"/>
            <w:noWrap/>
            <w:hideMark/>
          </w:tcPr>
          <w:p w:rsidR="00E938B5" w:rsidRPr="00D2100C" w:rsidRDefault="00E938B5" w:rsidP="00E938B5">
            <w:pPr>
              <w:rPr>
                <w:rFonts w:ascii="Times New Roman" w:hAnsi="Times New Roman" w:cs="Times New Roman"/>
                <w:sz w:val="24"/>
              </w:rPr>
            </w:pPr>
          </w:p>
        </w:tc>
      </w:tr>
      <w:tr w:rsidR="00E938B5" w:rsidRPr="00D2100C" w:rsidTr="00B362B2">
        <w:trPr>
          <w:trHeight w:val="300"/>
        </w:trPr>
        <w:tc>
          <w:tcPr>
            <w:tcW w:w="4442"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Gross Sales</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42,105.51</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35,220.89</w:t>
            </w:r>
          </w:p>
        </w:tc>
        <w:tc>
          <w:tcPr>
            <w:tcW w:w="1720"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6,884.62</w:t>
            </w:r>
          </w:p>
        </w:tc>
        <w:tc>
          <w:tcPr>
            <w:tcW w:w="1247" w:type="dxa"/>
            <w:noWrap/>
            <w:hideMark/>
          </w:tcPr>
          <w:p w:rsidR="00E938B5" w:rsidRPr="00D2100C" w:rsidRDefault="00E938B5" w:rsidP="00E938B5">
            <w:pPr>
              <w:rPr>
                <w:rFonts w:ascii="Times New Roman" w:hAnsi="Times New Roman" w:cs="Times New Roman"/>
                <w:sz w:val="24"/>
              </w:rPr>
            </w:pPr>
            <w:r w:rsidRPr="00F77B01">
              <w:rPr>
                <w:rFonts w:ascii="Times New Roman" w:hAnsi="Times New Roman" w:cs="Times New Roman"/>
                <w:sz w:val="24"/>
                <w:highlight w:val="yellow"/>
              </w:rPr>
              <w:t>19.55%</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Less :Inter divisional transfers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Less: Sales Returns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Less: Excise</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12,204.24</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10,073.43</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2,130.81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21.15%</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Net Sales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29,901.27</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25,147.46</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4,753.81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18.90%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EXPENDITURE:</w:t>
            </w:r>
          </w:p>
        </w:tc>
        <w:tc>
          <w:tcPr>
            <w:tcW w:w="1216" w:type="dxa"/>
            <w:noWrap/>
            <w:hideMark/>
          </w:tcPr>
          <w:p w:rsidR="00E938B5" w:rsidRPr="00D2100C" w:rsidRDefault="00E938B5" w:rsidP="00E938B5">
            <w:pPr>
              <w:rPr>
                <w:rFonts w:ascii="Times New Roman" w:hAnsi="Times New Roman" w:cs="Times New Roman"/>
                <w:sz w:val="24"/>
              </w:rPr>
            </w:pPr>
          </w:p>
        </w:tc>
        <w:tc>
          <w:tcPr>
            <w:tcW w:w="1216" w:type="dxa"/>
            <w:noWrap/>
            <w:hideMark/>
          </w:tcPr>
          <w:p w:rsidR="00E938B5" w:rsidRPr="00D2100C" w:rsidRDefault="00E938B5" w:rsidP="00E938B5">
            <w:pPr>
              <w:rPr>
                <w:rFonts w:ascii="Times New Roman" w:hAnsi="Times New Roman" w:cs="Times New Roman"/>
                <w:sz w:val="24"/>
              </w:rPr>
            </w:pP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Increase/Decrease in Stock</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-246.35</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-65.59</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-180.76</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-275.59%</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Raw Materials Consumed</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12,312.13</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9,697.02</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2,615.11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26.97%</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Power &amp; Fuel Cost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550.11</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453.02</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97.09</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21.43%</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Employee Cost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1,387.01</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1,257.62</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129.39</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10.29%</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Other Manufacturing Expenses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1,157.02</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1,053.51</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103.51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9.83%</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lastRenderedPageBreak/>
              <w:t>General and Administration Expenses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1,234.39</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1,049.68</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184.71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17.60%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Selling and Distribution Expenses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2,088.32</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1,954.62</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133.70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6.84%</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Miscellaneous Expenses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800.09</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878.92</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-78.83</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-8.97%</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 xml:space="preserve">Expenses </w:t>
            </w:r>
            <w:proofErr w:type="spellStart"/>
            <w:r w:rsidRPr="00D2100C">
              <w:rPr>
                <w:rFonts w:ascii="Times New Roman" w:hAnsi="Times New Roman" w:cs="Times New Roman"/>
                <w:sz w:val="24"/>
              </w:rPr>
              <w:t>Capitalised</w:t>
            </w:r>
            <w:proofErr w:type="spellEnd"/>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Total Expenditure</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19,282.72</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16,278.80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3,003.92</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18.45%</w:t>
            </w:r>
          </w:p>
        </w:tc>
      </w:tr>
      <w:tr w:rsidR="00E938B5" w:rsidRPr="00D2100C" w:rsidTr="00B362B2">
        <w:trPr>
          <w:trHeight w:val="300"/>
        </w:trPr>
        <w:tc>
          <w:tcPr>
            <w:tcW w:w="4442"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PBIDT (</w:t>
            </w:r>
            <w:proofErr w:type="spellStart"/>
            <w:r w:rsidRPr="00F77B01">
              <w:rPr>
                <w:rFonts w:ascii="Times New Roman" w:hAnsi="Times New Roman" w:cs="Times New Roman"/>
                <w:sz w:val="24"/>
                <w:highlight w:val="yellow"/>
              </w:rPr>
              <w:t>Excl</w:t>
            </w:r>
            <w:proofErr w:type="spellEnd"/>
            <w:r w:rsidRPr="00F77B01">
              <w:rPr>
                <w:rFonts w:ascii="Times New Roman" w:hAnsi="Times New Roman" w:cs="Times New Roman"/>
                <w:sz w:val="24"/>
                <w:highlight w:val="yellow"/>
              </w:rPr>
              <w:t xml:space="preserve"> OI)</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10,618.55</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8,868.66</w:t>
            </w:r>
          </w:p>
        </w:tc>
        <w:tc>
          <w:tcPr>
            <w:tcW w:w="1720"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1,749.89</w:t>
            </w:r>
          </w:p>
        </w:tc>
        <w:tc>
          <w:tcPr>
            <w:tcW w:w="1247" w:type="dxa"/>
            <w:noWrap/>
            <w:hideMark/>
          </w:tcPr>
          <w:p w:rsidR="00E938B5" w:rsidRPr="00D2100C" w:rsidRDefault="00E938B5" w:rsidP="00E938B5">
            <w:pPr>
              <w:rPr>
                <w:rFonts w:ascii="Times New Roman" w:hAnsi="Times New Roman" w:cs="Times New Roman"/>
                <w:sz w:val="24"/>
              </w:rPr>
            </w:pPr>
            <w:r w:rsidRPr="00F77B01">
              <w:rPr>
                <w:rFonts w:ascii="Times New Roman" w:hAnsi="Times New Roman" w:cs="Times New Roman"/>
                <w:sz w:val="24"/>
                <w:highlight w:val="yellow"/>
              </w:rPr>
              <w:t>19.73%</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Other Income</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967.1</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825.34</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141.76</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17.18%</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Operating Profit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11,585.65</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9,694.00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1,891.65</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19.51%</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Interest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105.91</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97.96</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7.95</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8.12%</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PBDT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11,479.74</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9,596.04</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1,883.70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19.63%</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Depreciation</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795.56</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698.51</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97.05</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13.89%</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Profit Before Taxation &amp; Exceptional Items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10,684.18</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8,897.53</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1,786.65</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20.08%</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Exceptional Income / Expenses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Profit Before Tax</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10,684.18</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8,897.53</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1,786.65</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20.08%</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Provision for Tax</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3,265.79</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2,735.16</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530.63</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19.40%</w:t>
            </w:r>
          </w:p>
        </w:tc>
      </w:tr>
      <w:tr w:rsidR="00E938B5" w:rsidRPr="00D2100C" w:rsidTr="00B362B2">
        <w:trPr>
          <w:trHeight w:val="300"/>
        </w:trPr>
        <w:tc>
          <w:tcPr>
            <w:tcW w:w="4442"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PAT</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7,418.39</w:t>
            </w:r>
          </w:p>
        </w:tc>
        <w:tc>
          <w:tcPr>
            <w:tcW w:w="12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6,162.37</w:t>
            </w:r>
          </w:p>
        </w:tc>
        <w:tc>
          <w:tcPr>
            <w:tcW w:w="1720"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1,256.02</w:t>
            </w:r>
          </w:p>
        </w:tc>
        <w:tc>
          <w:tcPr>
            <w:tcW w:w="1247" w:type="dxa"/>
            <w:noWrap/>
            <w:hideMark/>
          </w:tcPr>
          <w:p w:rsidR="00E938B5" w:rsidRPr="00D2100C" w:rsidRDefault="00E938B5" w:rsidP="00E938B5">
            <w:pPr>
              <w:rPr>
                <w:rFonts w:ascii="Times New Roman" w:hAnsi="Times New Roman" w:cs="Times New Roman"/>
                <w:sz w:val="24"/>
              </w:rPr>
            </w:pPr>
            <w:r w:rsidRPr="00F77B01">
              <w:rPr>
                <w:rFonts w:ascii="Times New Roman" w:hAnsi="Times New Roman" w:cs="Times New Roman"/>
                <w:sz w:val="24"/>
                <w:highlight w:val="yellow"/>
              </w:rPr>
              <w:t>20.38%</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Extraordinary Items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proofErr w:type="spellStart"/>
            <w:r w:rsidRPr="00D2100C">
              <w:rPr>
                <w:rFonts w:ascii="Times New Roman" w:hAnsi="Times New Roman" w:cs="Times New Roman"/>
                <w:sz w:val="24"/>
              </w:rPr>
              <w:t>Adj</w:t>
            </w:r>
            <w:proofErr w:type="spellEnd"/>
            <w:r w:rsidRPr="00D2100C">
              <w:rPr>
                <w:rFonts w:ascii="Times New Roman" w:hAnsi="Times New Roman" w:cs="Times New Roman"/>
                <w:sz w:val="24"/>
              </w:rPr>
              <w:t xml:space="preserve"> to Profit After Tax</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0.00%</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Profit Balance B/F</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1,972.59</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548.67</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1,423.92</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259.52%</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Appropriations</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9,390.98</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6,711.04</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2,679.94</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39.93%</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Equity Dividend (%)</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525</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450</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75.00</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16.67%</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 xml:space="preserve">Earnings Per Share (in </w:t>
            </w:r>
            <w:r w:rsidRPr="00D2100C">
              <w:rPr>
                <w:sz w:val="24"/>
              </w:rPr>
              <w:t>₹</w:t>
            </w:r>
            <w:r w:rsidRPr="00D2100C">
              <w:rPr>
                <w:rFonts w:ascii="Times New Roman" w:hAnsi="Times New Roman" w:cs="Times New Roman"/>
                <w:sz w:val="24"/>
              </w:rPr>
              <w: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9.39</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7.88</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1.51</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19.11%</w:t>
            </w:r>
          </w:p>
        </w:tc>
      </w:tr>
      <w:tr w:rsidR="00E938B5" w:rsidRPr="00D2100C" w:rsidTr="00B362B2">
        <w:trPr>
          <w:trHeight w:val="300"/>
        </w:trPr>
        <w:tc>
          <w:tcPr>
            <w:tcW w:w="4442"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 xml:space="preserve">Book Value (in </w:t>
            </w:r>
            <w:r w:rsidRPr="00D2100C">
              <w:rPr>
                <w:sz w:val="24"/>
              </w:rPr>
              <w:t>₹</w:t>
            </w:r>
            <w:r w:rsidRPr="00D2100C">
              <w:rPr>
                <w:rFonts w:ascii="Times New Roman" w:hAnsi="Times New Roman" w:cs="Times New Roman"/>
                <w:sz w:val="24"/>
              </w:rPr>
              <w:t>)</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28.14</w:t>
            </w:r>
          </w:p>
        </w:tc>
        <w:tc>
          <w:tcPr>
            <w:tcW w:w="1216"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23.97</w:t>
            </w:r>
          </w:p>
        </w:tc>
        <w:tc>
          <w:tcPr>
            <w:tcW w:w="1720"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4.17</w:t>
            </w:r>
          </w:p>
        </w:tc>
        <w:tc>
          <w:tcPr>
            <w:tcW w:w="1247" w:type="dxa"/>
            <w:noWrap/>
            <w:hideMark/>
          </w:tcPr>
          <w:p w:rsidR="00E938B5" w:rsidRPr="00D2100C" w:rsidRDefault="00E938B5" w:rsidP="00E938B5">
            <w:pPr>
              <w:rPr>
                <w:rFonts w:ascii="Times New Roman" w:hAnsi="Times New Roman" w:cs="Times New Roman"/>
                <w:sz w:val="24"/>
              </w:rPr>
            </w:pPr>
            <w:r w:rsidRPr="00D2100C">
              <w:rPr>
                <w:rFonts w:ascii="Times New Roman" w:hAnsi="Times New Roman" w:cs="Times New Roman"/>
                <w:sz w:val="24"/>
              </w:rPr>
              <w:t>17.41%</w:t>
            </w:r>
          </w:p>
        </w:tc>
      </w:tr>
    </w:tbl>
    <w:p w:rsidR="00E938B5" w:rsidRDefault="00E938B5" w:rsidP="00E938B5">
      <w:pPr>
        <w:rPr>
          <w:rFonts w:ascii="Times New Roman" w:hAnsi="Times New Roman" w:cs="Times New Roman"/>
          <w:sz w:val="24"/>
        </w:rPr>
      </w:pPr>
    </w:p>
    <w:p w:rsidR="00E938B5" w:rsidRPr="00F77B01" w:rsidRDefault="00E938B5" w:rsidP="00E938B5">
      <w:pPr>
        <w:rPr>
          <w:rFonts w:ascii="Times New Roman" w:hAnsi="Times New Roman" w:cs="Times New Roman"/>
          <w:b/>
          <w:bCs/>
          <w:sz w:val="28"/>
          <w:szCs w:val="24"/>
        </w:rPr>
      </w:pPr>
      <w:r w:rsidRPr="00F77B01">
        <w:rPr>
          <w:rFonts w:ascii="Times New Roman" w:hAnsi="Times New Roman" w:cs="Times New Roman"/>
          <w:b/>
          <w:bCs/>
          <w:sz w:val="28"/>
          <w:szCs w:val="24"/>
        </w:rPr>
        <w:lastRenderedPageBreak/>
        <w:t>Common size Balance Sheet Statement</w:t>
      </w:r>
    </w:p>
    <w:tbl>
      <w:tblPr>
        <w:tblW w:w="6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116"/>
        <w:gridCol w:w="1236"/>
      </w:tblGrid>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Pr>
                <w:rFonts w:ascii="Times New Roman" w:hAnsi="Times New Roman" w:cs="Times New Roman"/>
                <w:sz w:val="24"/>
              </w:rPr>
              <w:t>Particulars</w:t>
            </w:r>
          </w:p>
        </w:tc>
        <w:tc>
          <w:tcPr>
            <w:tcW w:w="1116" w:type="dxa"/>
            <w:noWrap/>
            <w:hideMark/>
          </w:tcPr>
          <w:p w:rsidR="00E938B5" w:rsidRPr="005A7D41" w:rsidRDefault="00AF4DA7" w:rsidP="00E938B5">
            <w:pPr>
              <w:rPr>
                <w:rFonts w:ascii="Times New Roman" w:hAnsi="Times New Roman" w:cs="Times New Roman"/>
                <w:sz w:val="24"/>
              </w:rPr>
            </w:pPr>
            <w:r>
              <w:rPr>
                <w:rFonts w:ascii="Times New Roman" w:hAnsi="Times New Roman" w:cs="Times New Roman"/>
                <w:sz w:val="24"/>
              </w:rPr>
              <w:t>Mar'13</w:t>
            </w:r>
          </w:p>
        </w:tc>
        <w:tc>
          <w:tcPr>
            <w:tcW w:w="1236" w:type="dxa"/>
            <w:noWrap/>
            <w:hideMark/>
          </w:tcPr>
          <w:p w:rsidR="00E938B5" w:rsidRPr="005A7D41" w:rsidRDefault="00AF4DA7" w:rsidP="00E938B5">
            <w:pPr>
              <w:rPr>
                <w:rFonts w:ascii="Times New Roman" w:hAnsi="Times New Roman" w:cs="Times New Roman"/>
                <w:sz w:val="24"/>
              </w:rPr>
            </w:pPr>
            <w:r>
              <w:rPr>
                <w:rFonts w:ascii="Times New Roman" w:hAnsi="Times New Roman" w:cs="Times New Roman"/>
                <w:sz w:val="24"/>
              </w:rPr>
              <w:t>Mar'14</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EQUITY AND LIABILITIES</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Share Capital</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2.699127</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3.042445</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Share Warrants &amp; Outstanding’s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Total Reserves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62.17566</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59.68219</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Shareholder's Funds</w:t>
            </w:r>
          </w:p>
        </w:tc>
        <w:tc>
          <w:tcPr>
            <w:tcW w:w="11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64.87479</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62.72463</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Long-Term Borrowings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Secured Loans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Unsecured Loans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0.26693</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0.340413</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Deferred Tax Assets / Liabilities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3.01287</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3.152692</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Other Long Term Liabilities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0.053579</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0.08186</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Long Term Trade Payables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Long Term Provisions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0.369808</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0.368879</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Non-Current Liabilities</w:t>
            </w:r>
          </w:p>
        </w:tc>
        <w:tc>
          <w:tcPr>
            <w:tcW w:w="11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3.703187</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3.943843</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Current Liabilities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Trade Payables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4.918941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5.486042</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Other Current Liabilities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11.63855</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12.06177</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Short Term Borrowings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0.006111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0.007628</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Short Term Provisions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14.85842</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15.77608</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Current Liabilities</w:t>
            </w:r>
          </w:p>
        </w:tc>
        <w:tc>
          <w:tcPr>
            <w:tcW w:w="11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31.42203</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33.33152</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Liabilities</w:t>
            </w:r>
          </w:p>
        </w:tc>
        <w:tc>
          <w:tcPr>
            <w:tcW w:w="11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100</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100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ASSETS</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lastRenderedPageBreak/>
              <w:t>Non-Current Assets</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Gross Block</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48.8302</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50.19246</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Less: Accumulated Depreciation</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17.41728</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17.38138</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Less: Impairment of Assets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Net Block</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31.41291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32.81108</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Lease Adjustment A/c</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Capital Work in Progress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7.834111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5.200163</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Intangible assets under development</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0.025858</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0.042463</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Pre-operative Expenses pending</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Assets in transit</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Non-Current Investments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6.743261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6.14654</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Long Term Loans &amp; Advances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4.120671</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4.507659</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Other Non-Current Assets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Non-Current Assets</w:t>
            </w:r>
          </w:p>
        </w:tc>
        <w:tc>
          <w:tcPr>
            <w:tcW w:w="1116" w:type="dxa"/>
            <w:noWrap/>
            <w:hideMark/>
          </w:tcPr>
          <w:p w:rsidR="00E938B5" w:rsidRPr="00F77B01" w:rsidRDefault="00E938B5" w:rsidP="00E938B5">
            <w:pPr>
              <w:rPr>
                <w:rFonts w:ascii="Times New Roman" w:hAnsi="Times New Roman" w:cs="Times New Roman"/>
                <w:b/>
                <w:bCs/>
                <w:sz w:val="24"/>
                <w:highlight w:val="yellow"/>
              </w:rPr>
            </w:pPr>
            <w:r w:rsidRPr="00F77B01">
              <w:rPr>
                <w:rFonts w:ascii="Times New Roman" w:hAnsi="Times New Roman" w:cs="Times New Roman"/>
                <w:b/>
                <w:bCs/>
                <w:sz w:val="24"/>
                <w:highlight w:val="yellow"/>
              </w:rPr>
              <w:t>50.13681</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48.7079</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Current Assets Loans &amp; Advances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Currents Investments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15.06335</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15.69296</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Inventories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19.46334</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20.71718</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Sundry Debtors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3.404013</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3.480012</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Cash and Bank</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9.731724</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8.81991</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Other Current Assets</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0.366677</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Short Term Loans and Advances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1.728175</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2.215357</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Current Assets</w:t>
            </w:r>
          </w:p>
        </w:tc>
        <w:tc>
          <w:tcPr>
            <w:tcW w:w="1116" w:type="dxa"/>
            <w:noWrap/>
            <w:hideMark/>
          </w:tcPr>
          <w:p w:rsidR="00E938B5" w:rsidRPr="00F77B01" w:rsidRDefault="00E938B5" w:rsidP="00E938B5">
            <w:pPr>
              <w:rPr>
                <w:rFonts w:ascii="Times New Roman" w:hAnsi="Times New Roman" w:cs="Times New Roman"/>
                <w:b/>
                <w:bCs/>
                <w:sz w:val="24"/>
                <w:highlight w:val="yellow"/>
              </w:rPr>
            </w:pPr>
            <w:r w:rsidRPr="00F77B01">
              <w:rPr>
                <w:rFonts w:ascii="Times New Roman" w:hAnsi="Times New Roman" w:cs="Times New Roman"/>
                <w:b/>
                <w:bCs/>
                <w:sz w:val="24"/>
                <w:highlight w:val="yellow"/>
              </w:rPr>
              <w:t>49.86319</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51.2921</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Net Current Assets (Including Current Investments)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18.44116</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17.96057</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lastRenderedPageBreak/>
              <w:t>Total Current Assets Excluding Current Investments</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34.79984</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35.59914</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Miscellaneous Expenses not written off</w:t>
            </w:r>
          </w:p>
        </w:tc>
        <w:tc>
          <w:tcPr>
            <w:tcW w:w="111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c>
          <w:tcPr>
            <w:tcW w:w="1236"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0</w:t>
            </w:r>
          </w:p>
        </w:tc>
      </w:tr>
      <w:tr w:rsidR="00E938B5" w:rsidRPr="005A7D41" w:rsidTr="00B362B2">
        <w:trPr>
          <w:trHeight w:val="300"/>
        </w:trPr>
        <w:tc>
          <w:tcPr>
            <w:tcW w:w="4257"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Total Assets</w:t>
            </w:r>
          </w:p>
        </w:tc>
        <w:tc>
          <w:tcPr>
            <w:tcW w:w="1116" w:type="dxa"/>
            <w:noWrap/>
            <w:hideMark/>
          </w:tcPr>
          <w:p w:rsidR="00E938B5" w:rsidRPr="00F77B01" w:rsidRDefault="00E938B5" w:rsidP="00E938B5">
            <w:pPr>
              <w:rPr>
                <w:rFonts w:ascii="Times New Roman" w:hAnsi="Times New Roman" w:cs="Times New Roman"/>
                <w:sz w:val="24"/>
                <w:highlight w:val="yellow"/>
              </w:rPr>
            </w:pPr>
            <w:r w:rsidRPr="00F77B01">
              <w:rPr>
                <w:rFonts w:ascii="Times New Roman" w:hAnsi="Times New Roman" w:cs="Times New Roman"/>
                <w:sz w:val="24"/>
                <w:highlight w:val="yellow"/>
              </w:rPr>
              <w:t>100</w:t>
            </w:r>
          </w:p>
        </w:tc>
        <w:tc>
          <w:tcPr>
            <w:tcW w:w="1236" w:type="dxa"/>
            <w:noWrap/>
            <w:hideMark/>
          </w:tcPr>
          <w:p w:rsidR="00E938B5" w:rsidRPr="005A7D41" w:rsidRDefault="00E938B5" w:rsidP="00E938B5">
            <w:pPr>
              <w:rPr>
                <w:rFonts w:ascii="Times New Roman" w:hAnsi="Times New Roman" w:cs="Times New Roman"/>
                <w:sz w:val="24"/>
              </w:rPr>
            </w:pPr>
            <w:r w:rsidRPr="00F77B01">
              <w:rPr>
                <w:rFonts w:ascii="Times New Roman" w:hAnsi="Times New Roman" w:cs="Times New Roman"/>
                <w:sz w:val="24"/>
                <w:highlight w:val="yellow"/>
              </w:rPr>
              <w:t>100</w:t>
            </w: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Contingent Liabilities</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Total Debt</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 xml:space="preserve">Book Value (in </w:t>
            </w:r>
            <w:r w:rsidRPr="005A7D41">
              <w:rPr>
                <w:sz w:val="24"/>
              </w:rPr>
              <w:t>₹</w:t>
            </w:r>
            <w:r w:rsidRPr="005A7D41">
              <w:rPr>
                <w:rFonts w:ascii="Times New Roman" w:hAnsi="Times New Roman" w:cs="Times New Roman"/>
                <w:sz w:val="24"/>
              </w:rPr>
              <w:t>)</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r w:rsidR="00E938B5" w:rsidRPr="005A7D41" w:rsidTr="00B362B2">
        <w:trPr>
          <w:trHeight w:val="300"/>
        </w:trPr>
        <w:tc>
          <w:tcPr>
            <w:tcW w:w="4257" w:type="dxa"/>
            <w:noWrap/>
            <w:hideMark/>
          </w:tcPr>
          <w:p w:rsidR="00E938B5" w:rsidRPr="005A7D41" w:rsidRDefault="00E938B5" w:rsidP="00E938B5">
            <w:pPr>
              <w:rPr>
                <w:rFonts w:ascii="Times New Roman" w:hAnsi="Times New Roman" w:cs="Times New Roman"/>
                <w:sz w:val="24"/>
              </w:rPr>
            </w:pPr>
            <w:r w:rsidRPr="005A7D41">
              <w:rPr>
                <w:rFonts w:ascii="Times New Roman" w:hAnsi="Times New Roman" w:cs="Times New Roman"/>
                <w:sz w:val="24"/>
              </w:rPr>
              <w:t xml:space="preserve">Adjusted Book Value (in </w:t>
            </w:r>
            <w:r w:rsidRPr="005A7D41">
              <w:rPr>
                <w:sz w:val="24"/>
              </w:rPr>
              <w:t>₹</w:t>
            </w:r>
            <w:r w:rsidRPr="005A7D41">
              <w:rPr>
                <w:rFonts w:ascii="Times New Roman" w:hAnsi="Times New Roman" w:cs="Times New Roman"/>
                <w:sz w:val="24"/>
              </w:rPr>
              <w:t>)</w:t>
            </w:r>
          </w:p>
        </w:tc>
        <w:tc>
          <w:tcPr>
            <w:tcW w:w="1116" w:type="dxa"/>
            <w:noWrap/>
            <w:hideMark/>
          </w:tcPr>
          <w:p w:rsidR="00E938B5" w:rsidRPr="005A7D41" w:rsidRDefault="00E938B5" w:rsidP="00E938B5">
            <w:pPr>
              <w:rPr>
                <w:rFonts w:ascii="Times New Roman" w:hAnsi="Times New Roman" w:cs="Times New Roman"/>
                <w:sz w:val="24"/>
              </w:rPr>
            </w:pPr>
          </w:p>
        </w:tc>
        <w:tc>
          <w:tcPr>
            <w:tcW w:w="1236" w:type="dxa"/>
            <w:noWrap/>
            <w:hideMark/>
          </w:tcPr>
          <w:p w:rsidR="00E938B5" w:rsidRPr="005A7D41" w:rsidRDefault="00E938B5" w:rsidP="00E938B5">
            <w:pPr>
              <w:rPr>
                <w:rFonts w:ascii="Times New Roman" w:hAnsi="Times New Roman" w:cs="Times New Roman"/>
                <w:sz w:val="24"/>
              </w:rPr>
            </w:pPr>
          </w:p>
        </w:tc>
      </w:tr>
    </w:tbl>
    <w:p w:rsidR="00E938B5" w:rsidRDefault="00E938B5" w:rsidP="00E938B5">
      <w:pPr>
        <w:rPr>
          <w:rFonts w:ascii="Times New Roman" w:hAnsi="Times New Roman" w:cs="Times New Roman"/>
          <w:sz w:val="24"/>
        </w:rPr>
      </w:pPr>
    </w:p>
    <w:p w:rsidR="00E938B5" w:rsidRPr="00F77B01" w:rsidRDefault="00E938B5" w:rsidP="00E938B5">
      <w:pPr>
        <w:rPr>
          <w:rFonts w:ascii="Times New Roman" w:hAnsi="Times New Roman" w:cs="Times New Roman"/>
          <w:b/>
          <w:bCs/>
          <w:sz w:val="28"/>
          <w:szCs w:val="24"/>
        </w:rPr>
      </w:pPr>
      <w:r w:rsidRPr="00F77B01">
        <w:rPr>
          <w:rFonts w:ascii="Times New Roman" w:hAnsi="Times New Roman" w:cs="Times New Roman"/>
          <w:b/>
          <w:bCs/>
          <w:sz w:val="28"/>
          <w:szCs w:val="24"/>
        </w:rPr>
        <w:t>Common size Income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1236"/>
        <w:gridCol w:w="1236"/>
      </w:tblGrid>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Particulars</w:t>
            </w:r>
          </w:p>
        </w:tc>
        <w:tc>
          <w:tcPr>
            <w:tcW w:w="1236" w:type="dxa"/>
            <w:noWrap/>
            <w:hideMark/>
          </w:tcPr>
          <w:p w:rsidR="00E938B5" w:rsidRPr="00B362B2" w:rsidRDefault="00854AC8" w:rsidP="00E938B5">
            <w:pPr>
              <w:rPr>
                <w:rFonts w:ascii="Times New Roman" w:hAnsi="Times New Roman" w:cs="Times New Roman"/>
                <w:sz w:val="24"/>
                <w:szCs w:val="24"/>
              </w:rPr>
            </w:pPr>
            <w:r>
              <w:rPr>
                <w:rFonts w:ascii="Times New Roman" w:hAnsi="Times New Roman" w:cs="Times New Roman"/>
                <w:sz w:val="24"/>
                <w:szCs w:val="24"/>
              </w:rPr>
              <w:t>Mar'14</w:t>
            </w:r>
          </w:p>
        </w:tc>
        <w:tc>
          <w:tcPr>
            <w:tcW w:w="1236" w:type="dxa"/>
            <w:noWrap/>
            <w:hideMark/>
          </w:tcPr>
          <w:p w:rsidR="00E938B5" w:rsidRPr="00B362B2" w:rsidRDefault="00854AC8" w:rsidP="00E938B5">
            <w:pPr>
              <w:rPr>
                <w:rFonts w:ascii="Times New Roman" w:hAnsi="Times New Roman" w:cs="Times New Roman"/>
                <w:sz w:val="24"/>
                <w:szCs w:val="24"/>
              </w:rPr>
            </w:pPr>
            <w:r>
              <w:rPr>
                <w:rFonts w:ascii="Times New Roman" w:hAnsi="Times New Roman" w:cs="Times New Roman"/>
                <w:sz w:val="24"/>
                <w:szCs w:val="24"/>
              </w:rPr>
              <w:t>Mar'13</w:t>
            </w:r>
            <w:bookmarkStart w:id="1" w:name="_GoBack"/>
            <w:bookmarkEnd w:id="1"/>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p>
        </w:tc>
        <w:tc>
          <w:tcPr>
            <w:tcW w:w="1236" w:type="dxa"/>
            <w:noWrap/>
            <w:hideMark/>
          </w:tcPr>
          <w:p w:rsidR="00E938B5" w:rsidRPr="00B362B2" w:rsidRDefault="00E938B5" w:rsidP="00E938B5">
            <w:pPr>
              <w:rPr>
                <w:rFonts w:ascii="Times New Roman" w:hAnsi="Times New Roman" w:cs="Times New Roman"/>
                <w:sz w:val="24"/>
                <w:szCs w:val="24"/>
              </w:rPr>
            </w:pPr>
          </w:p>
        </w:tc>
        <w:tc>
          <w:tcPr>
            <w:tcW w:w="1236" w:type="dxa"/>
            <w:noWrap/>
            <w:hideMark/>
          </w:tcPr>
          <w:p w:rsidR="00E938B5" w:rsidRPr="00B362B2" w:rsidRDefault="00E938B5" w:rsidP="00E938B5">
            <w:pPr>
              <w:rPr>
                <w:rFonts w:ascii="Times New Roman" w:hAnsi="Times New Roman" w:cs="Times New Roman"/>
                <w:sz w:val="24"/>
                <w:szCs w:val="24"/>
              </w:rPr>
            </w:pP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Gross Sales</w:t>
            </w:r>
          </w:p>
        </w:tc>
        <w:tc>
          <w:tcPr>
            <w:tcW w:w="1236"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100.00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highlight w:val="yellow"/>
              </w:rPr>
              <w:t>100.00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Less :Inter divisional transfers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Less: Sales Returns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Less: Excise</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28.9849</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28.60073</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Net Sales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71.0151</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71.39927</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EXPENDITURE:</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Increase/Decrease in Stock</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-0.58508</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-0.18622</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Raw Materials Consumed</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29.24114</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27.53201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Power &amp; Fuel Cost</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1.306504</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1.286225</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Employee Cost</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3.294129</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3.570665</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Other Manufacturing Expenses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2.747906</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2.991151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General and Administration Expenses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2.931659</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2.980277</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Selling and Distribution Expenses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4.959731</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5.549604</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lastRenderedPageBreak/>
              <w:t>Miscellaneous Expenses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1.900203</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2.495451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 xml:space="preserve">Expenses </w:t>
            </w:r>
            <w:proofErr w:type="spellStart"/>
            <w:r w:rsidRPr="00B362B2">
              <w:rPr>
                <w:rFonts w:ascii="Times New Roman" w:hAnsi="Times New Roman" w:cs="Times New Roman"/>
                <w:sz w:val="24"/>
                <w:szCs w:val="24"/>
              </w:rPr>
              <w:t>Capitalised</w:t>
            </w:r>
            <w:proofErr w:type="spellEnd"/>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Total Expenditure</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45.79619</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46.21916</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PBIDT (</w:t>
            </w:r>
            <w:proofErr w:type="spellStart"/>
            <w:r w:rsidRPr="00B362B2">
              <w:rPr>
                <w:rFonts w:ascii="Times New Roman" w:hAnsi="Times New Roman" w:cs="Times New Roman"/>
                <w:sz w:val="24"/>
                <w:szCs w:val="24"/>
                <w:highlight w:val="yellow"/>
              </w:rPr>
              <w:t>Excl</w:t>
            </w:r>
            <w:proofErr w:type="spellEnd"/>
            <w:r w:rsidRPr="00B362B2">
              <w:rPr>
                <w:rFonts w:ascii="Times New Roman" w:hAnsi="Times New Roman" w:cs="Times New Roman"/>
                <w:sz w:val="24"/>
                <w:szCs w:val="24"/>
                <w:highlight w:val="yellow"/>
              </w:rPr>
              <w:t xml:space="preserve"> OI)</w:t>
            </w:r>
          </w:p>
        </w:tc>
        <w:tc>
          <w:tcPr>
            <w:tcW w:w="1236"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25.21891</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highlight w:val="yellow"/>
              </w:rPr>
              <w:t>25.18011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Other Income</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2.296849</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2.343325</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Operating Profit</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27.51576</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27.52344</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Interest</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0.251535</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0.27813</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PBDT</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27.26422</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27.24531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Depreciation</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1.889444</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1.983226</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Profit Before Taxation &amp; Exceptional Items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25.37478</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25.26208</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Exceptional Income / Expenses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Profit Before Tax</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25.37478</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25.26208</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Provision for Tax</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7.756206</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7.765732</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PAT</w:t>
            </w:r>
          </w:p>
        </w:tc>
        <w:tc>
          <w:tcPr>
            <w:tcW w:w="1236" w:type="dxa"/>
            <w:noWrap/>
            <w:hideMark/>
          </w:tcPr>
          <w:p w:rsidR="00E938B5" w:rsidRPr="00B362B2" w:rsidRDefault="00E938B5" w:rsidP="00E938B5">
            <w:pPr>
              <w:rPr>
                <w:rFonts w:ascii="Times New Roman" w:hAnsi="Times New Roman" w:cs="Times New Roman"/>
                <w:sz w:val="24"/>
                <w:szCs w:val="24"/>
                <w:highlight w:val="yellow"/>
              </w:rPr>
            </w:pPr>
            <w:r w:rsidRPr="00B362B2">
              <w:rPr>
                <w:rFonts w:ascii="Times New Roman" w:hAnsi="Times New Roman" w:cs="Times New Roman"/>
                <w:sz w:val="24"/>
                <w:szCs w:val="24"/>
                <w:highlight w:val="yellow"/>
              </w:rPr>
              <w:t>17.61857</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highlight w:val="yellow"/>
              </w:rPr>
              <w:t>17.49635</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Extraordinary Items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proofErr w:type="spellStart"/>
            <w:r w:rsidRPr="00B362B2">
              <w:rPr>
                <w:rFonts w:ascii="Times New Roman" w:hAnsi="Times New Roman" w:cs="Times New Roman"/>
                <w:sz w:val="24"/>
                <w:szCs w:val="24"/>
              </w:rPr>
              <w:t>Adj</w:t>
            </w:r>
            <w:proofErr w:type="spellEnd"/>
            <w:r w:rsidRPr="00B362B2">
              <w:rPr>
                <w:rFonts w:ascii="Times New Roman" w:hAnsi="Times New Roman" w:cs="Times New Roman"/>
                <w:sz w:val="24"/>
                <w:szCs w:val="24"/>
              </w:rPr>
              <w:t xml:space="preserve"> to Profit After Tax</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Profit Balance B/F</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4.684874</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1.557797</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Appropriations</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22.30345</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19.05415</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Equity Dividend (%)</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1.246868</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1.277651</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Earnings Per Share (in ₹)</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0.022301</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0.022373</w:t>
            </w:r>
          </w:p>
        </w:tc>
      </w:tr>
      <w:tr w:rsidR="00E938B5" w:rsidRPr="00B362B2" w:rsidTr="00B362B2">
        <w:trPr>
          <w:trHeight w:val="300"/>
        </w:trPr>
        <w:tc>
          <w:tcPr>
            <w:tcW w:w="4555"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Book Value (in ₹)</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0.066832</w:t>
            </w:r>
          </w:p>
        </w:tc>
        <w:tc>
          <w:tcPr>
            <w:tcW w:w="1236" w:type="dxa"/>
            <w:noWrap/>
            <w:hideMark/>
          </w:tcPr>
          <w:p w:rsidR="00E938B5" w:rsidRPr="00B362B2" w:rsidRDefault="00E938B5" w:rsidP="00E938B5">
            <w:pPr>
              <w:rPr>
                <w:rFonts w:ascii="Times New Roman" w:hAnsi="Times New Roman" w:cs="Times New Roman"/>
                <w:sz w:val="24"/>
                <w:szCs w:val="24"/>
              </w:rPr>
            </w:pPr>
            <w:r w:rsidRPr="00B362B2">
              <w:rPr>
                <w:rFonts w:ascii="Times New Roman" w:hAnsi="Times New Roman" w:cs="Times New Roman"/>
                <w:sz w:val="24"/>
                <w:szCs w:val="24"/>
              </w:rPr>
              <w:t>0.068056</w:t>
            </w:r>
          </w:p>
        </w:tc>
      </w:tr>
    </w:tbl>
    <w:p w:rsidR="00985F29" w:rsidRDefault="00985F29" w:rsidP="00985F29">
      <w:pPr>
        <w:pStyle w:val="NormalWeb"/>
        <w:shd w:val="clear" w:color="auto" w:fill="FFFFFF"/>
        <w:spacing w:line="360" w:lineRule="auto"/>
        <w:rPr>
          <w:noProof/>
        </w:rPr>
      </w:pPr>
    </w:p>
    <w:p w:rsidR="00985F29" w:rsidRDefault="00985F29">
      <w:pPr>
        <w:rPr>
          <w:rFonts w:ascii="Times New Roman" w:eastAsia="Times New Roman" w:hAnsi="Times New Roman" w:cs="Times New Roman"/>
          <w:noProof/>
          <w:sz w:val="24"/>
          <w:szCs w:val="24"/>
        </w:rPr>
      </w:pPr>
      <w:r>
        <w:rPr>
          <w:noProof/>
        </w:rPr>
        <w:br w:type="page"/>
      </w:r>
    </w:p>
    <w:p w:rsidR="00985F29" w:rsidRDefault="00985F29" w:rsidP="00985F29">
      <w:pPr>
        <w:pStyle w:val="NormalWeb"/>
        <w:shd w:val="clear" w:color="auto" w:fill="FFFFFF"/>
        <w:spacing w:line="360" w:lineRule="auto"/>
        <w:jc w:val="center"/>
        <w:rPr>
          <w:noProof/>
        </w:rPr>
      </w:pPr>
      <w:r>
        <w:rPr>
          <w:noProof/>
        </w:rPr>
        <w:lastRenderedPageBreak/>
        <w:drawing>
          <wp:inline distT="0" distB="0" distL="0" distR="0" wp14:anchorId="44199E2C" wp14:editId="25D5D162">
            <wp:extent cx="6105525" cy="39106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7221" cy="3911730"/>
                    </a:xfrm>
                    <a:prstGeom prst="rect">
                      <a:avLst/>
                    </a:prstGeom>
                    <a:noFill/>
                    <a:ln>
                      <a:noFill/>
                    </a:ln>
                  </pic:spPr>
                </pic:pic>
              </a:graphicData>
            </a:graphic>
          </wp:inline>
        </w:drawing>
      </w:r>
    </w:p>
    <w:p w:rsidR="005A1308" w:rsidRDefault="00985F29" w:rsidP="00985F29">
      <w:pPr>
        <w:pStyle w:val="NormalWeb"/>
        <w:shd w:val="clear" w:color="auto" w:fill="FFFFFF"/>
        <w:spacing w:line="360" w:lineRule="auto"/>
        <w:jc w:val="center"/>
      </w:pPr>
      <w:r>
        <w:rPr>
          <w:noProof/>
        </w:rPr>
        <w:drawing>
          <wp:inline distT="0" distB="0" distL="0" distR="0" wp14:anchorId="6F50E753" wp14:editId="0DC75583">
            <wp:extent cx="6105525" cy="38574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9244" cy="3859789"/>
                    </a:xfrm>
                    <a:prstGeom prst="rect">
                      <a:avLst/>
                    </a:prstGeom>
                    <a:noFill/>
                    <a:ln>
                      <a:noFill/>
                    </a:ln>
                  </pic:spPr>
                </pic:pic>
              </a:graphicData>
            </a:graphic>
          </wp:inline>
        </w:drawing>
      </w:r>
    </w:p>
    <w:p w:rsidR="00985F29" w:rsidRDefault="00985F29" w:rsidP="00985F29">
      <w:pPr>
        <w:pStyle w:val="NormalWeb"/>
        <w:shd w:val="clear" w:color="auto" w:fill="FFFFFF"/>
        <w:spacing w:line="360" w:lineRule="auto"/>
        <w:jc w:val="center"/>
        <w:rPr>
          <w:b/>
        </w:rPr>
      </w:pPr>
      <w:r w:rsidRPr="00985F29">
        <w:rPr>
          <w:b/>
        </w:rPr>
        <w:lastRenderedPageBreak/>
        <w:t>VALUATION RESULTS</w:t>
      </w:r>
    </w:p>
    <w:tbl>
      <w:tblPr>
        <w:tblW w:w="9592" w:type="dxa"/>
        <w:tblInd w:w="93" w:type="dxa"/>
        <w:tblLook w:val="04A0" w:firstRow="1" w:lastRow="0" w:firstColumn="1" w:lastColumn="0" w:noHBand="0" w:noVBand="1"/>
      </w:tblPr>
      <w:tblGrid>
        <w:gridCol w:w="2431"/>
        <w:gridCol w:w="905"/>
        <w:gridCol w:w="905"/>
        <w:gridCol w:w="1225"/>
        <w:gridCol w:w="1053"/>
        <w:gridCol w:w="1053"/>
        <w:gridCol w:w="1150"/>
        <w:gridCol w:w="1053"/>
      </w:tblGrid>
      <w:tr w:rsidR="00AB3A2F" w:rsidRPr="00AB3A2F" w:rsidTr="00AB3A2F">
        <w:trPr>
          <w:trHeight w:val="312"/>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ITC valuation</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b/>
                <w:bCs/>
                <w:color w:val="FF0000"/>
              </w:rPr>
            </w:pPr>
            <w:r w:rsidRPr="00AB3A2F">
              <w:rPr>
                <w:rFonts w:ascii="Calibri" w:eastAsia="Times New Roman" w:hAnsi="Calibri" w:cs="Times New Roman"/>
                <w:b/>
                <w:bCs/>
                <w:color w:val="FF0000"/>
              </w:rPr>
              <w:t>YEAR</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b/>
                <w:bCs/>
                <w:color w:val="FF0000"/>
              </w:rPr>
            </w:pPr>
            <w:r w:rsidRPr="00AB3A2F">
              <w:rPr>
                <w:rFonts w:ascii="Calibri" w:eastAsia="Times New Roman" w:hAnsi="Calibri" w:cs="Times New Roman"/>
                <w:b/>
                <w:bCs/>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2008</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2009</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2010</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2011</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2012</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b/>
                <w:bCs/>
                <w:color w:val="FF0000"/>
              </w:rPr>
            </w:pPr>
            <w:r w:rsidRPr="00AB3A2F">
              <w:rPr>
                <w:rFonts w:ascii="Calibri" w:eastAsia="Times New Roman" w:hAnsi="Calibri" w:cs="Times New Roman"/>
                <w:b/>
                <w:bCs/>
                <w:color w:val="FF0000"/>
              </w:rPr>
              <w:t>2013</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PBIT</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4844</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6080</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7337</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8975</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10771</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Tax rate</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32.37%</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32.48%</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31.37%</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30.74%</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30.56%</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Depreciation</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549.41</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608.71</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655.99</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698.51</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795.56</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CAPEX</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1580.15</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1247.9</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1087.8</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2331.6</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2085.81</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current assets</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8248</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8989</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11614</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13037</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14463</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17591.47</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current liabilities</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4465</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4696</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7819</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8477.48</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9126.21</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10330.73</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working capital</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3783</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4293</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3795</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4559.52</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5336.79</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7260.74</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Net working capital</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510</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-498</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764.52</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777.27</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1923.95</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r>
      <w:tr w:rsidR="00AB3A2F" w:rsidRPr="00AB3A2F" w:rsidTr="00AB3A2F">
        <w:trPr>
          <w:trHeight w:val="312"/>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FCF</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Calibri" w:eastAsia="Times New Roman" w:hAnsi="Calibri" w:cs="Times New Roman"/>
                <w:color w:val="FF0000"/>
              </w:rPr>
            </w:pPr>
            <w:r w:rsidRPr="00AB3A2F">
              <w:rPr>
                <w:rFonts w:ascii="Calibri" w:eastAsia="Times New Roman" w:hAnsi="Calibri" w:cs="Times New Roman"/>
                <w:color w:val="FF0000"/>
              </w:rPr>
              <w:t> </w:t>
            </w:r>
          </w:p>
        </w:tc>
        <w:tc>
          <w:tcPr>
            <w:tcW w:w="1225"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1735.2572</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3964.026</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3839.053</w:t>
            </w:r>
          </w:p>
        </w:tc>
        <w:tc>
          <w:tcPr>
            <w:tcW w:w="115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3805.725</w:t>
            </w:r>
          </w:p>
        </w:tc>
        <w:tc>
          <w:tcPr>
            <w:tcW w:w="992"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Calibri" w:eastAsia="Times New Roman" w:hAnsi="Calibri" w:cs="Times New Roman"/>
                <w:color w:val="FF0000"/>
              </w:rPr>
            </w:pPr>
            <w:r w:rsidRPr="00AB3A2F">
              <w:rPr>
                <w:rFonts w:ascii="Calibri" w:eastAsia="Times New Roman" w:hAnsi="Calibri" w:cs="Times New Roman"/>
                <w:color w:val="FF0000"/>
              </w:rPr>
              <w:t>4265.182</w:t>
            </w:r>
          </w:p>
        </w:tc>
      </w:tr>
    </w:tbl>
    <w:p w:rsidR="00985F29" w:rsidRPr="00985F29" w:rsidRDefault="00985F29" w:rsidP="00985F29">
      <w:pPr>
        <w:pStyle w:val="NormalWeb"/>
        <w:shd w:val="clear" w:color="auto" w:fill="FFFFFF"/>
        <w:spacing w:line="360" w:lineRule="auto"/>
        <w:jc w:val="both"/>
      </w:pPr>
      <w:r w:rsidRPr="00985F29">
        <w:t>Where</w:t>
      </w:r>
    </w:p>
    <w:p w:rsidR="00985F29" w:rsidRPr="00985F29" w:rsidRDefault="00985F29" w:rsidP="00985F29">
      <w:pPr>
        <w:pStyle w:val="NormalWeb"/>
        <w:shd w:val="clear" w:color="auto" w:fill="FFFFFF"/>
        <w:spacing w:line="360" w:lineRule="auto"/>
        <w:jc w:val="both"/>
      </w:pPr>
      <w:r w:rsidRPr="00985F29">
        <w:t>FCF-Free Cash Flows</w:t>
      </w:r>
    </w:p>
    <w:p w:rsidR="00985F29" w:rsidRPr="00985F29" w:rsidRDefault="00985F29" w:rsidP="00985F29">
      <w:pPr>
        <w:pStyle w:val="NormalWeb"/>
        <w:shd w:val="clear" w:color="auto" w:fill="FFFFFF"/>
        <w:spacing w:line="360" w:lineRule="auto"/>
        <w:jc w:val="both"/>
      </w:pPr>
      <w:r w:rsidRPr="00985F29">
        <w:t>EBIT-Earnings Before Income And Tax</w:t>
      </w:r>
    </w:p>
    <w:p w:rsidR="00985F29" w:rsidRPr="00985F29" w:rsidRDefault="00985F29" w:rsidP="00985F29">
      <w:pPr>
        <w:pStyle w:val="NormalWeb"/>
        <w:shd w:val="clear" w:color="auto" w:fill="FFFFFF"/>
        <w:spacing w:line="360" w:lineRule="auto"/>
        <w:jc w:val="both"/>
      </w:pPr>
      <w:r w:rsidRPr="00985F29">
        <w:t>CAPEX- Capital Expenditure</w:t>
      </w:r>
    </w:p>
    <w:p w:rsidR="00985F29" w:rsidRPr="00985F29" w:rsidRDefault="00985F29" w:rsidP="00985F29">
      <w:pPr>
        <w:pStyle w:val="NormalWeb"/>
        <w:shd w:val="clear" w:color="auto" w:fill="FFFFFF"/>
        <w:spacing w:line="360" w:lineRule="auto"/>
        <w:jc w:val="both"/>
      </w:pPr>
    </w:p>
    <w:p w:rsidR="00985F29" w:rsidRDefault="00985F29" w:rsidP="00985F29">
      <w:pPr>
        <w:pStyle w:val="NormalWeb"/>
        <w:shd w:val="clear" w:color="auto" w:fill="FFFFFF"/>
        <w:spacing w:line="360" w:lineRule="auto"/>
        <w:jc w:val="center"/>
        <w:rPr>
          <w:b/>
        </w:rPr>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tbl>
      <w:tblPr>
        <w:tblW w:w="6074" w:type="dxa"/>
        <w:jc w:val="center"/>
        <w:tblInd w:w="93" w:type="dxa"/>
        <w:tblLook w:val="04A0" w:firstRow="1" w:lastRow="0" w:firstColumn="1" w:lastColumn="0" w:noHBand="0" w:noVBand="1"/>
      </w:tblPr>
      <w:tblGrid>
        <w:gridCol w:w="2580"/>
        <w:gridCol w:w="1137"/>
        <w:gridCol w:w="1299"/>
        <w:gridCol w:w="1058"/>
      </w:tblGrid>
      <w:tr w:rsidR="00AB3A2F" w:rsidRPr="00AB3A2F" w:rsidTr="00AB3A2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years</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growth rate @ 10%</w:t>
            </w:r>
          </w:p>
        </w:tc>
        <w:tc>
          <w:tcPr>
            <w:tcW w:w="2357"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 </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FCF</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present value @ 11.15%</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 xml:space="preserve">2013 (base year) </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4265.182</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 </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2014</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4691.7</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4221.052812</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2015</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5160.87</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4177.3802</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2016</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5676.957</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4134.159443</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2017</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6244.653</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4040.255581</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2018</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6869.118</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4049.054835</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2019</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7556.03</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4007.16178</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2020</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8311.633</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3879.379729</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2021</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9142.796</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3924.67151</w:t>
            </w:r>
          </w:p>
        </w:tc>
      </w:tr>
      <w:tr w:rsidR="00AB3A2F" w:rsidRPr="00AB3A2F" w:rsidTr="00AB3A2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2022</w:t>
            </w:r>
          </w:p>
        </w:tc>
        <w:tc>
          <w:tcPr>
            <w:tcW w:w="1137"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10057.08</w:t>
            </w:r>
          </w:p>
        </w:tc>
        <w:tc>
          <w:tcPr>
            <w:tcW w:w="2357" w:type="dxa"/>
            <w:gridSpan w:val="2"/>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3884.065372</w:t>
            </w:r>
          </w:p>
        </w:tc>
      </w:tr>
      <w:tr w:rsidR="00AB3A2F" w:rsidRPr="00AB3A2F" w:rsidTr="00E06166">
        <w:tblPrEx>
          <w:jc w:val="left"/>
        </w:tblPrEx>
        <w:trPr>
          <w:gridAfter w:val="1"/>
          <w:wAfter w:w="1058" w:type="dxa"/>
          <w:trHeight w:val="300"/>
        </w:trPr>
        <w:tc>
          <w:tcPr>
            <w:tcW w:w="2580" w:type="dxa"/>
            <w:tcBorders>
              <w:top w:val="nil"/>
              <w:left w:val="nil"/>
              <w:bottom w:val="nil"/>
              <w:right w:val="nil"/>
            </w:tcBorders>
            <w:shd w:val="clear" w:color="auto" w:fill="auto"/>
            <w:noWrap/>
            <w:vAlign w:val="bottom"/>
            <w:hideMark/>
          </w:tcPr>
          <w:p w:rsidR="00AB3A2F" w:rsidRDefault="00AB3A2F" w:rsidP="00AB3A2F">
            <w:pPr>
              <w:spacing w:after="0" w:line="360" w:lineRule="auto"/>
              <w:rPr>
                <w:rFonts w:ascii="Times New Roman" w:eastAsia="Times New Roman" w:hAnsi="Times New Roman" w:cs="Times New Roman"/>
                <w:color w:val="000000"/>
                <w:sz w:val="24"/>
              </w:rPr>
            </w:pPr>
          </w:p>
          <w:p w:rsidR="00AB3A2F" w:rsidRDefault="00AB3A2F" w:rsidP="00AB3A2F">
            <w:pPr>
              <w:spacing w:after="0" w:line="360" w:lineRule="auto"/>
              <w:rPr>
                <w:rFonts w:ascii="Times New Roman" w:eastAsia="Times New Roman" w:hAnsi="Times New Roman" w:cs="Times New Roman"/>
                <w:color w:val="000000"/>
                <w:sz w:val="24"/>
              </w:rPr>
            </w:pPr>
          </w:p>
          <w:p w:rsidR="00AB3A2F" w:rsidRDefault="00E06166" w:rsidP="00AB3A2F">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SUM OF PRESENT VALUE : </w:t>
            </w:r>
            <w:r w:rsidRPr="00AB3A2F">
              <w:rPr>
                <w:rFonts w:ascii="Times New Roman" w:eastAsia="Times New Roman" w:hAnsi="Times New Roman" w:cs="Times New Roman"/>
                <w:b/>
                <w:color w:val="000000"/>
                <w:sz w:val="24"/>
              </w:rPr>
              <w:t>36317.18126</w:t>
            </w:r>
          </w:p>
          <w:p w:rsidR="00E06166" w:rsidRPr="00AB3A2F" w:rsidRDefault="00E06166" w:rsidP="00AB3A2F">
            <w:pPr>
              <w:spacing w:after="0" w:line="360" w:lineRule="auto"/>
              <w:rPr>
                <w:rFonts w:ascii="Times New Roman" w:eastAsia="Times New Roman" w:hAnsi="Times New Roman" w:cs="Times New Roman"/>
                <w:color w:val="000000"/>
                <w:sz w:val="24"/>
              </w:rPr>
            </w:pPr>
          </w:p>
        </w:tc>
        <w:tc>
          <w:tcPr>
            <w:tcW w:w="1137" w:type="dxa"/>
            <w:tcBorders>
              <w:top w:val="nil"/>
              <w:left w:val="nil"/>
              <w:bottom w:val="nil"/>
              <w:right w:val="nil"/>
            </w:tcBorders>
            <w:shd w:val="clear" w:color="auto" w:fill="auto"/>
            <w:noWrap/>
            <w:vAlign w:val="bottom"/>
            <w:hideMark/>
          </w:tcPr>
          <w:p w:rsidR="00AB3A2F" w:rsidRPr="00AB3A2F" w:rsidRDefault="00AB3A2F" w:rsidP="00AB3A2F">
            <w:pPr>
              <w:spacing w:after="0" w:line="360" w:lineRule="auto"/>
              <w:rPr>
                <w:rFonts w:ascii="Times New Roman" w:eastAsia="Times New Roman" w:hAnsi="Times New Roman" w:cs="Times New Roman"/>
                <w:color w:val="000000"/>
                <w:sz w:val="24"/>
              </w:rPr>
            </w:pPr>
          </w:p>
        </w:tc>
        <w:tc>
          <w:tcPr>
            <w:tcW w:w="1299" w:type="dxa"/>
            <w:tcBorders>
              <w:top w:val="nil"/>
              <w:left w:val="nil"/>
              <w:bottom w:val="nil"/>
              <w:right w:val="nil"/>
            </w:tcBorders>
            <w:shd w:val="clear" w:color="auto" w:fill="auto"/>
            <w:noWrap/>
            <w:vAlign w:val="bottom"/>
            <w:hideMark/>
          </w:tcPr>
          <w:p w:rsidR="00AB3A2F" w:rsidRPr="00AB3A2F" w:rsidRDefault="00AB3A2F" w:rsidP="00E06166">
            <w:pPr>
              <w:spacing w:after="0" w:line="360" w:lineRule="auto"/>
              <w:rPr>
                <w:rFonts w:ascii="Times New Roman" w:eastAsia="Times New Roman" w:hAnsi="Times New Roman" w:cs="Times New Roman"/>
                <w:b/>
                <w:color w:val="000000"/>
                <w:sz w:val="24"/>
              </w:rPr>
            </w:pPr>
          </w:p>
        </w:tc>
      </w:tr>
    </w:tbl>
    <w:tbl>
      <w:tblPr>
        <w:tblpPr w:leftFromText="180" w:rightFromText="180" w:vertAnchor="text" w:horzAnchor="margin" w:tblpXSpec="center" w:tblpY="381"/>
        <w:tblW w:w="5281" w:type="dxa"/>
        <w:tblLook w:val="04A0" w:firstRow="1" w:lastRow="0" w:firstColumn="1" w:lastColumn="0" w:noHBand="0" w:noVBand="1"/>
      </w:tblPr>
      <w:tblGrid>
        <w:gridCol w:w="2272"/>
        <w:gridCol w:w="1116"/>
        <w:gridCol w:w="1939"/>
      </w:tblGrid>
      <w:tr w:rsidR="00AB3A2F" w:rsidRPr="00AB3A2F" w:rsidTr="00E06166">
        <w:trPr>
          <w:trHeight w:val="268"/>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A2F" w:rsidRPr="00AB3A2F" w:rsidRDefault="00E06166"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Y</w:t>
            </w:r>
            <w:r w:rsidR="00AB3A2F" w:rsidRPr="00AB3A2F">
              <w:rPr>
                <w:rFonts w:ascii="Times New Roman" w:eastAsia="Times New Roman" w:hAnsi="Times New Roman" w:cs="Times New Roman"/>
                <w:b/>
                <w:color w:val="000000"/>
                <w:sz w:val="24"/>
                <w:szCs w:val="24"/>
              </w:rPr>
              <w:t>ears</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growth rate @ 20%</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 </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 </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FCF</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b/>
                <w:color w:val="000000"/>
                <w:sz w:val="24"/>
                <w:szCs w:val="24"/>
              </w:rPr>
            </w:pPr>
            <w:r w:rsidRPr="00AB3A2F">
              <w:rPr>
                <w:rFonts w:ascii="Times New Roman" w:eastAsia="Times New Roman" w:hAnsi="Times New Roman" w:cs="Times New Roman"/>
                <w:b/>
                <w:color w:val="000000"/>
                <w:sz w:val="24"/>
                <w:szCs w:val="24"/>
              </w:rPr>
              <w:t>present value @ 11.15%</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 xml:space="preserve">2013 (base year) </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4265.182</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 </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2014</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5118.218</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4604.784885</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2015</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6141.862</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4971.427676</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2016</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7370.234</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5367.263348</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2017</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8844.281</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5794.616301</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2018</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10613.14</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6255.996006</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2019</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12735.77</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6754.111747</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2020</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15282.92</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7291.888526</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2021</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18339.5</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7872.484239</w:t>
            </w:r>
          </w:p>
        </w:tc>
      </w:tr>
      <w:tr w:rsidR="00AB3A2F" w:rsidRPr="00AB3A2F" w:rsidTr="00E06166">
        <w:trPr>
          <w:trHeight w:val="268"/>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2022</w:t>
            </w:r>
          </w:p>
        </w:tc>
        <w:tc>
          <w:tcPr>
            <w:tcW w:w="1070"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22007.4</w:t>
            </w:r>
          </w:p>
        </w:tc>
        <w:tc>
          <w:tcPr>
            <w:tcW w:w="1939" w:type="dxa"/>
            <w:tcBorders>
              <w:top w:val="nil"/>
              <w:left w:val="nil"/>
              <w:bottom w:val="single" w:sz="4" w:space="0" w:color="auto"/>
              <w:right w:val="single" w:sz="4" w:space="0" w:color="auto"/>
            </w:tcBorders>
            <w:shd w:val="clear" w:color="auto" w:fill="auto"/>
            <w:noWrap/>
            <w:vAlign w:val="bottom"/>
            <w:hideMark/>
          </w:tcPr>
          <w:p w:rsidR="00AB3A2F" w:rsidRPr="00AB3A2F" w:rsidRDefault="00AB3A2F" w:rsidP="00AB3A2F">
            <w:pPr>
              <w:spacing w:after="0" w:line="240" w:lineRule="auto"/>
              <w:jc w:val="right"/>
              <w:rPr>
                <w:rFonts w:ascii="Times New Roman" w:eastAsia="Times New Roman" w:hAnsi="Times New Roman" w:cs="Times New Roman"/>
                <w:color w:val="000000"/>
                <w:sz w:val="24"/>
                <w:szCs w:val="24"/>
              </w:rPr>
            </w:pPr>
            <w:r w:rsidRPr="00AB3A2F">
              <w:rPr>
                <w:rFonts w:ascii="Times New Roman" w:eastAsia="Times New Roman" w:hAnsi="Times New Roman" w:cs="Times New Roman"/>
                <w:color w:val="000000"/>
                <w:sz w:val="24"/>
                <w:szCs w:val="24"/>
              </w:rPr>
              <w:t>8499.30822</w:t>
            </w:r>
          </w:p>
        </w:tc>
      </w:tr>
    </w:tbl>
    <w:p w:rsidR="00AB3A2F" w:rsidRPr="00AB3A2F" w:rsidRDefault="00AB3A2F" w:rsidP="00985F29">
      <w:pPr>
        <w:pStyle w:val="NormalWeb"/>
        <w:shd w:val="clear" w:color="auto" w:fill="FFFFFF"/>
        <w:spacing w:line="360" w:lineRule="auto"/>
      </w:pPr>
    </w:p>
    <w:p w:rsidR="00AB3A2F" w:rsidRP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AB3A2F" w:rsidRDefault="00AB3A2F"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Pr="00E06166" w:rsidRDefault="00E06166" w:rsidP="00E06166">
      <w:pPr>
        <w:tabs>
          <w:tab w:val="left" w:pos="5430"/>
        </w:tabs>
        <w:rPr>
          <w:rFonts w:ascii="Calibri" w:eastAsia="Times New Roman" w:hAnsi="Calibri" w:cs="Times New Roman"/>
          <w:color w:val="000000"/>
        </w:rPr>
      </w:pPr>
      <w:r w:rsidRPr="00E06166">
        <w:rPr>
          <w:rFonts w:ascii="Times New Roman" w:hAnsi="Times New Roman" w:cs="Times New Roman"/>
          <w:sz w:val="24"/>
        </w:rPr>
        <w:t>SUM OF PRESENT VALUE</w:t>
      </w:r>
      <w:r>
        <w:t xml:space="preserve">:   </w:t>
      </w:r>
      <w:r>
        <w:rPr>
          <w:rFonts w:ascii="Times New Roman" w:eastAsia="Times New Roman" w:hAnsi="Times New Roman" w:cs="Times New Roman"/>
          <w:b/>
          <w:color w:val="000000"/>
          <w:sz w:val="24"/>
        </w:rPr>
        <w:t>57411.88</w:t>
      </w:r>
    </w:p>
    <w:tbl>
      <w:tblPr>
        <w:tblpPr w:leftFromText="180" w:rightFromText="180" w:vertAnchor="text" w:horzAnchor="margin" w:tblpXSpec="center" w:tblpY="632"/>
        <w:tblW w:w="5835" w:type="dxa"/>
        <w:tblLook w:val="04A0" w:firstRow="1" w:lastRow="0" w:firstColumn="1" w:lastColumn="0" w:noHBand="0" w:noVBand="1"/>
      </w:tblPr>
      <w:tblGrid>
        <w:gridCol w:w="2580"/>
        <w:gridCol w:w="1053"/>
        <w:gridCol w:w="2202"/>
      </w:tblGrid>
      <w:tr w:rsidR="00E06166" w:rsidRPr="00E06166" w:rsidTr="00E06166">
        <w:trPr>
          <w:trHeight w:val="30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lastRenderedPageBreak/>
              <w:t>Years</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growth rate @ 30%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 </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FCF</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present value @ 11.15%</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 xml:space="preserve">2013 (base year) </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4265.182</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rPr>
                <w:rFonts w:ascii="Calibri" w:eastAsia="Times New Roman" w:hAnsi="Calibri" w:cs="Times New Roman"/>
                <w:color w:val="000000"/>
              </w:rPr>
            </w:pPr>
            <w:r w:rsidRPr="00E06166">
              <w:rPr>
                <w:rFonts w:ascii="Calibri" w:eastAsia="Times New Roman" w:hAnsi="Calibri" w:cs="Times New Roman"/>
                <w:color w:val="000000"/>
              </w:rPr>
              <w:t> </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2014</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5544.737</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4988.516959</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2015</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7208.158</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5834.522759</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2016</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9370.605</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6824.003227</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2017</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12181.79</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7981.290324</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2018</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15836.32</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9334.842484</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2019</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20587.22</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10917.94443</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2020</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26763.38</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12769.52564</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2021</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34792.4</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14935.11771</w:t>
            </w:r>
          </w:p>
        </w:tc>
      </w:tr>
      <w:tr w:rsidR="00E06166" w:rsidRPr="00E06166" w:rsidTr="00E06166">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2022</w:t>
            </w:r>
          </w:p>
        </w:tc>
        <w:tc>
          <w:tcPr>
            <w:tcW w:w="1053"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45230.12</w:t>
            </w:r>
          </w:p>
        </w:tc>
        <w:tc>
          <w:tcPr>
            <w:tcW w:w="2202" w:type="dxa"/>
            <w:tcBorders>
              <w:top w:val="nil"/>
              <w:left w:val="nil"/>
              <w:bottom w:val="single" w:sz="4" w:space="0" w:color="auto"/>
              <w:right w:val="single" w:sz="4" w:space="0" w:color="auto"/>
            </w:tcBorders>
            <w:shd w:val="clear" w:color="auto" w:fill="auto"/>
            <w:noWrap/>
            <w:vAlign w:val="bottom"/>
            <w:hideMark/>
          </w:tcPr>
          <w:p w:rsidR="00E06166" w:rsidRPr="00E06166" w:rsidRDefault="00E06166" w:rsidP="00E06166">
            <w:pPr>
              <w:spacing w:after="0" w:line="240" w:lineRule="auto"/>
              <w:jc w:val="right"/>
              <w:rPr>
                <w:rFonts w:ascii="Calibri" w:eastAsia="Times New Roman" w:hAnsi="Calibri" w:cs="Times New Roman"/>
                <w:color w:val="000000"/>
              </w:rPr>
            </w:pPr>
            <w:r w:rsidRPr="00E06166">
              <w:rPr>
                <w:rFonts w:ascii="Calibri" w:eastAsia="Times New Roman" w:hAnsi="Calibri" w:cs="Times New Roman"/>
                <w:color w:val="000000"/>
              </w:rPr>
              <w:t>17467.97393</w:t>
            </w:r>
          </w:p>
        </w:tc>
      </w:tr>
    </w:tbl>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Pr="00E06166" w:rsidRDefault="00E06166" w:rsidP="00985F29">
      <w:pPr>
        <w:pStyle w:val="NormalWeb"/>
        <w:shd w:val="clear" w:color="auto" w:fill="FFFFFF"/>
        <w:spacing w:line="360" w:lineRule="auto"/>
        <w:rPr>
          <w:sz w:val="28"/>
        </w:rPr>
      </w:pPr>
    </w:p>
    <w:p w:rsidR="00E06166" w:rsidRDefault="00E06166" w:rsidP="00E06166">
      <w:pPr>
        <w:rPr>
          <w:rFonts w:ascii="Times New Roman" w:eastAsia="Times New Roman" w:hAnsi="Times New Roman" w:cs="Times New Roman"/>
          <w:b/>
          <w:color w:val="000000"/>
          <w:sz w:val="24"/>
        </w:rPr>
      </w:pPr>
      <w:r w:rsidRPr="00E06166">
        <w:rPr>
          <w:rFonts w:ascii="Times New Roman" w:hAnsi="Times New Roman" w:cs="Times New Roman"/>
          <w:sz w:val="24"/>
        </w:rPr>
        <w:t>SUM OF PRESENT VALUE</w:t>
      </w:r>
      <w:r>
        <w:t xml:space="preserve">: </w:t>
      </w:r>
      <w:r>
        <w:rPr>
          <w:rFonts w:ascii="Times New Roman" w:eastAsia="Times New Roman" w:hAnsi="Times New Roman" w:cs="Times New Roman"/>
          <w:b/>
          <w:color w:val="000000"/>
          <w:sz w:val="24"/>
        </w:rPr>
        <w:t>91053.73</w:t>
      </w:r>
    </w:p>
    <w:tbl>
      <w:tblPr>
        <w:tblW w:w="8860" w:type="dxa"/>
        <w:tblInd w:w="93" w:type="dxa"/>
        <w:tblLook w:val="04A0" w:firstRow="1" w:lastRow="0" w:firstColumn="1" w:lastColumn="0" w:noHBand="0" w:noVBand="1"/>
      </w:tblPr>
      <w:tblGrid>
        <w:gridCol w:w="2800"/>
        <w:gridCol w:w="1420"/>
        <w:gridCol w:w="1220"/>
        <w:gridCol w:w="1140"/>
        <w:gridCol w:w="1115"/>
        <w:gridCol w:w="1180"/>
      </w:tblGrid>
      <w:tr w:rsidR="0048373A" w:rsidRPr="0048373A" w:rsidTr="004231F5">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WACC calculation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rPr>
            </w:pPr>
            <w:r w:rsidRPr="0048373A">
              <w:rPr>
                <w:rFonts w:ascii="Times New Roman" w:eastAsia="Times New Roman" w:hAnsi="Times New Roman" w:cs="Times New Roman"/>
                <w:b/>
                <w:bCs/>
                <w:color w:val="000000"/>
              </w:rPr>
              <w:t>2009</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rPr>
            </w:pPr>
            <w:r w:rsidRPr="0048373A">
              <w:rPr>
                <w:rFonts w:ascii="Times New Roman" w:eastAsia="Times New Roman" w:hAnsi="Times New Roman" w:cs="Times New Roman"/>
                <w:b/>
                <w:bCs/>
                <w:color w:val="000000"/>
              </w:rPr>
              <w:t>2010</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rPr>
            </w:pPr>
            <w:r w:rsidRPr="0048373A">
              <w:rPr>
                <w:rFonts w:ascii="Times New Roman" w:eastAsia="Times New Roman" w:hAnsi="Times New Roman" w:cs="Times New Roman"/>
                <w:b/>
                <w:bCs/>
                <w:color w:val="000000"/>
              </w:rPr>
              <w:t>2011</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rPr>
            </w:pPr>
            <w:r w:rsidRPr="0048373A">
              <w:rPr>
                <w:rFonts w:ascii="Times New Roman" w:eastAsia="Times New Roman" w:hAnsi="Times New Roman" w:cs="Times New Roman"/>
                <w:b/>
                <w:bCs/>
                <w:color w:val="000000"/>
              </w:rPr>
              <w:t>2012</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rPr>
            </w:pPr>
            <w:r w:rsidRPr="0048373A">
              <w:rPr>
                <w:rFonts w:ascii="Times New Roman" w:eastAsia="Times New Roman" w:hAnsi="Times New Roman" w:cs="Times New Roman"/>
                <w:b/>
                <w:bCs/>
                <w:color w:val="000000"/>
              </w:rPr>
              <w:t>2013</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Total debt</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177.55</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107.71</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99.2</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89.12</w:t>
            </w:r>
          </w:p>
        </w:tc>
        <w:tc>
          <w:tcPr>
            <w:tcW w:w="1180" w:type="dxa"/>
            <w:tcBorders>
              <w:top w:val="nil"/>
              <w:left w:val="nil"/>
              <w:bottom w:val="single" w:sz="4" w:space="0" w:color="auto"/>
              <w:right w:val="single" w:sz="4" w:space="0" w:color="auto"/>
            </w:tcBorders>
            <w:shd w:val="clear" w:color="000000" w:fill="FFFFFF"/>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77.6</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xml:space="preserve">Interest </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65</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69</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77</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87</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roofErr w:type="spellStart"/>
            <w:r w:rsidRPr="0048373A">
              <w:rPr>
                <w:rFonts w:ascii="Times New Roman" w:eastAsia="Times New Roman" w:hAnsi="Times New Roman" w:cs="Times New Roman"/>
                <w:color w:val="000000"/>
              </w:rPr>
              <w:t>Interesr</w:t>
            </w:r>
            <w:proofErr w:type="spellEnd"/>
            <w:r w:rsidRPr="0048373A">
              <w:rPr>
                <w:rFonts w:ascii="Times New Roman" w:eastAsia="Times New Roman" w:hAnsi="Times New Roman" w:cs="Times New Roman"/>
                <w:color w:val="000000"/>
              </w:rPr>
              <w:t xml:space="preserve"> rate (I)</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60.35%</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69.56%</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86.40%</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112%</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Equity</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13,735.08</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14,064.38</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15,953.27</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18,791.89</w:t>
            </w:r>
          </w:p>
        </w:tc>
        <w:tc>
          <w:tcPr>
            <w:tcW w:w="1180" w:type="dxa"/>
            <w:tcBorders>
              <w:top w:val="nil"/>
              <w:left w:val="nil"/>
              <w:bottom w:val="single" w:sz="4" w:space="0" w:color="auto"/>
              <w:right w:val="single" w:sz="4" w:space="0" w:color="auto"/>
            </w:tcBorders>
            <w:shd w:val="clear" w:color="000000" w:fill="FFFFFF"/>
            <w:vAlign w:val="bottom"/>
            <w:hideMark/>
          </w:tcPr>
          <w:p w:rsidR="0048373A" w:rsidRPr="0048373A" w:rsidRDefault="0048373A" w:rsidP="004231F5">
            <w:pPr>
              <w:spacing w:after="0" w:line="240" w:lineRule="auto"/>
              <w:jc w:val="right"/>
              <w:rPr>
                <w:rFonts w:ascii="Times New Roman" w:eastAsia="Times New Roman" w:hAnsi="Times New Roman" w:cs="Times New Roman"/>
                <w:b/>
                <w:bCs/>
                <w:color w:val="000000"/>
                <w:sz w:val="18"/>
                <w:szCs w:val="18"/>
              </w:rPr>
            </w:pPr>
            <w:r w:rsidRPr="0048373A">
              <w:rPr>
                <w:rFonts w:ascii="Times New Roman" w:eastAsia="Times New Roman" w:hAnsi="Times New Roman" w:cs="Times New Roman"/>
                <w:b/>
                <w:bCs/>
                <w:color w:val="000000"/>
                <w:sz w:val="18"/>
                <w:szCs w:val="18"/>
              </w:rPr>
              <w:t>22,287.85</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roofErr w:type="spellStart"/>
            <w:r w:rsidRPr="0048373A">
              <w:rPr>
                <w:rFonts w:ascii="Times New Roman" w:eastAsia="Times New Roman" w:hAnsi="Times New Roman" w:cs="Times New Roman"/>
                <w:color w:val="000000"/>
              </w:rPr>
              <w:t>Wd</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1.28%</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0.7600%</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0.618%</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0.472%</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0.347%</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We</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0.987</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0.992</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0.994</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0.995</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0.997</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tax rate</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32.37%</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32.48%</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30.74%</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30.56%</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 </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roofErr w:type="spellStart"/>
            <w:r w:rsidRPr="0048373A">
              <w:rPr>
                <w:rFonts w:ascii="Times New Roman" w:eastAsia="Times New Roman" w:hAnsi="Times New Roman" w:cs="Times New Roman"/>
                <w:color w:val="000000"/>
              </w:rPr>
              <w:t>Kd</w:t>
            </w:r>
            <w:proofErr w:type="spellEnd"/>
            <w:r w:rsidRPr="0048373A">
              <w:rPr>
                <w:rFonts w:ascii="Times New Roman" w:eastAsia="Times New Roman" w:hAnsi="Times New Roman" w:cs="Times New Roman"/>
                <w:color w:val="000000"/>
              </w:rPr>
              <w:t>=I*(1-t)</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6.86%</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40.75%</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47.74%</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59.84%</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77.85%</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Risk free rate  (</w:t>
            </w:r>
            <w:proofErr w:type="spellStart"/>
            <w:r w:rsidRPr="0048373A">
              <w:rPr>
                <w:rFonts w:ascii="Times New Roman" w:eastAsia="Times New Roman" w:hAnsi="Times New Roman" w:cs="Times New Roman"/>
                <w:color w:val="000000"/>
              </w:rPr>
              <w:t>Rf</w:t>
            </w:r>
            <w:proofErr w:type="spellEnd"/>
            <w:r w:rsidRPr="0048373A">
              <w:rPr>
                <w:rFonts w:ascii="Times New Roman" w:eastAsia="Times New Roman" w:hAnsi="Times New Roman" w:cs="Times New Roman"/>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8.05%</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8.05%</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8.05%</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8.05%</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8.05%</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roofErr w:type="spellStart"/>
            <w:r w:rsidRPr="0048373A">
              <w:rPr>
                <w:rFonts w:ascii="Times New Roman" w:eastAsia="Times New Roman" w:hAnsi="Times New Roman" w:cs="Times New Roman"/>
                <w:color w:val="000000"/>
              </w:rPr>
              <w:t>Rm</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13.10%</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13.10%</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13.10%</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13.10%</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13.10%</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Market risk premium</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5.05%</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5.05%</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5.05%</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5.05%</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5.05%</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Beta</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0.58</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0.58</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0.58</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0.58</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0.58</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roofErr w:type="spellStart"/>
            <w:r w:rsidRPr="0048373A">
              <w:rPr>
                <w:rFonts w:ascii="Times New Roman" w:eastAsia="Times New Roman" w:hAnsi="Times New Roman" w:cs="Times New Roman"/>
                <w:color w:val="000000"/>
              </w:rPr>
              <w:t>Ke</w:t>
            </w:r>
            <w:proofErr w:type="spellEnd"/>
            <w:r w:rsidRPr="0048373A">
              <w:rPr>
                <w:rFonts w:ascii="Times New Roman" w:eastAsia="Times New Roman" w:hAnsi="Times New Roman" w:cs="Times New Roman"/>
                <w:color w:val="000000"/>
              </w:rPr>
              <w:t>=</w:t>
            </w:r>
            <w:proofErr w:type="spellStart"/>
            <w:r w:rsidRPr="0048373A">
              <w:rPr>
                <w:rFonts w:ascii="Times New Roman" w:eastAsia="Times New Roman" w:hAnsi="Times New Roman" w:cs="Times New Roman"/>
                <w:color w:val="000000"/>
              </w:rPr>
              <w:t>Rf+beta</w:t>
            </w:r>
            <w:proofErr w:type="spellEnd"/>
            <w:r w:rsidRPr="0048373A">
              <w:rPr>
                <w:rFonts w:ascii="Times New Roman" w:eastAsia="Times New Roman" w:hAnsi="Times New Roman" w:cs="Times New Roman"/>
                <w:color w:val="000000"/>
              </w:rPr>
              <w:t>*(</w:t>
            </w:r>
            <w:proofErr w:type="spellStart"/>
            <w:r w:rsidRPr="0048373A">
              <w:rPr>
                <w:rFonts w:ascii="Times New Roman" w:eastAsia="Times New Roman" w:hAnsi="Times New Roman" w:cs="Times New Roman"/>
                <w:color w:val="000000"/>
              </w:rPr>
              <w:t>Rm-Rf</w:t>
            </w:r>
            <w:proofErr w:type="spellEnd"/>
            <w:r w:rsidRPr="0048373A">
              <w:rPr>
                <w:rFonts w:ascii="Times New Roman" w:eastAsia="Times New Roman" w:hAnsi="Times New Roman" w:cs="Times New Roman"/>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10.98%</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10.98%</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10.98%</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10.98%</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10.98%</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WACC= (</w:t>
            </w:r>
            <w:proofErr w:type="spellStart"/>
            <w:r w:rsidRPr="0048373A">
              <w:rPr>
                <w:rFonts w:ascii="Times New Roman" w:eastAsia="Times New Roman" w:hAnsi="Times New Roman" w:cs="Times New Roman"/>
                <w:color w:val="000000"/>
              </w:rPr>
              <w:t>Wd</w:t>
            </w:r>
            <w:proofErr w:type="spellEnd"/>
            <w:r w:rsidRPr="0048373A">
              <w:rPr>
                <w:rFonts w:ascii="Times New Roman" w:eastAsia="Times New Roman" w:hAnsi="Times New Roman" w:cs="Times New Roman"/>
                <w:color w:val="000000"/>
              </w:rPr>
              <w:t>*</w:t>
            </w:r>
            <w:proofErr w:type="spellStart"/>
            <w:r w:rsidRPr="0048373A">
              <w:rPr>
                <w:rFonts w:ascii="Times New Roman" w:eastAsia="Times New Roman" w:hAnsi="Times New Roman" w:cs="Times New Roman"/>
                <w:color w:val="000000"/>
              </w:rPr>
              <w:t>Kd</w:t>
            </w:r>
            <w:proofErr w:type="spellEnd"/>
            <w:r w:rsidRPr="0048373A">
              <w:rPr>
                <w:rFonts w:ascii="Times New Roman" w:eastAsia="Times New Roman" w:hAnsi="Times New Roman" w:cs="Times New Roman"/>
                <w:color w:val="000000"/>
              </w:rPr>
              <w:t>)+(We*</w:t>
            </w:r>
            <w:proofErr w:type="spellStart"/>
            <w:r w:rsidRPr="0048373A">
              <w:rPr>
                <w:rFonts w:ascii="Times New Roman" w:eastAsia="Times New Roman" w:hAnsi="Times New Roman" w:cs="Times New Roman"/>
                <w:color w:val="000000"/>
              </w:rPr>
              <w:t>Ke</w:t>
            </w:r>
            <w:proofErr w:type="spellEnd"/>
            <w:r w:rsidRPr="0048373A">
              <w:rPr>
                <w:rFonts w:ascii="Times New Roman" w:eastAsia="Times New Roman" w:hAnsi="Times New Roman" w:cs="Times New Roman"/>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10.93%</w:t>
            </w:r>
          </w:p>
        </w:tc>
        <w:tc>
          <w:tcPr>
            <w:tcW w:w="122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11.2052%</w:t>
            </w:r>
          </w:p>
        </w:tc>
        <w:tc>
          <w:tcPr>
            <w:tcW w:w="114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11.2062%</w:t>
            </w:r>
          </w:p>
        </w:tc>
        <w:tc>
          <w:tcPr>
            <w:tcW w:w="110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11.2096%</w:t>
            </w:r>
          </w:p>
        </w:tc>
        <w:tc>
          <w:tcPr>
            <w:tcW w:w="1180" w:type="dxa"/>
            <w:tcBorders>
              <w:top w:val="nil"/>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11.2110%</w:t>
            </w:r>
          </w:p>
        </w:tc>
      </w:tr>
      <w:tr w:rsidR="0048373A" w:rsidRPr="0048373A" w:rsidTr="004231F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r w:rsidRPr="0048373A">
              <w:rPr>
                <w:rFonts w:ascii="Times New Roman" w:eastAsia="Times New Roman" w:hAnsi="Times New Roman" w:cs="Times New Roman"/>
                <w:color w:val="000000"/>
              </w:rPr>
              <w:t>Average WACC</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8373A" w:rsidRPr="0048373A" w:rsidRDefault="0048373A" w:rsidP="004231F5">
            <w:pPr>
              <w:spacing w:after="0" w:line="240" w:lineRule="auto"/>
              <w:jc w:val="right"/>
              <w:rPr>
                <w:rFonts w:ascii="Times New Roman" w:eastAsia="Times New Roman" w:hAnsi="Times New Roman" w:cs="Times New Roman"/>
                <w:color w:val="000000"/>
              </w:rPr>
            </w:pPr>
            <w:r w:rsidRPr="0048373A">
              <w:rPr>
                <w:rFonts w:ascii="Times New Roman" w:eastAsia="Times New Roman" w:hAnsi="Times New Roman" w:cs="Times New Roman"/>
                <w:color w:val="000000"/>
              </w:rPr>
              <w:t>11.15%</w:t>
            </w:r>
          </w:p>
        </w:tc>
        <w:tc>
          <w:tcPr>
            <w:tcW w:w="1220" w:type="dxa"/>
            <w:tcBorders>
              <w:top w:val="nil"/>
              <w:left w:val="single" w:sz="4" w:space="0" w:color="auto"/>
              <w:bottom w:val="nil"/>
              <w:right w:val="nil"/>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
        </w:tc>
        <w:tc>
          <w:tcPr>
            <w:tcW w:w="1140" w:type="dxa"/>
            <w:tcBorders>
              <w:top w:val="nil"/>
              <w:left w:val="nil"/>
              <w:bottom w:val="nil"/>
              <w:right w:val="nil"/>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
        </w:tc>
        <w:tc>
          <w:tcPr>
            <w:tcW w:w="1180" w:type="dxa"/>
            <w:tcBorders>
              <w:top w:val="nil"/>
              <w:left w:val="nil"/>
              <w:bottom w:val="nil"/>
              <w:right w:val="nil"/>
            </w:tcBorders>
            <w:shd w:val="clear" w:color="auto" w:fill="auto"/>
            <w:noWrap/>
            <w:vAlign w:val="bottom"/>
            <w:hideMark/>
          </w:tcPr>
          <w:p w:rsidR="0048373A" w:rsidRPr="0048373A" w:rsidRDefault="0048373A" w:rsidP="004231F5">
            <w:pPr>
              <w:spacing w:after="0" w:line="240" w:lineRule="auto"/>
              <w:rPr>
                <w:rFonts w:ascii="Times New Roman" w:eastAsia="Times New Roman" w:hAnsi="Times New Roman" w:cs="Times New Roman"/>
                <w:color w:val="000000"/>
              </w:rPr>
            </w:pPr>
          </w:p>
        </w:tc>
      </w:tr>
    </w:tbl>
    <w:p w:rsidR="0048373A" w:rsidRDefault="0048373A" w:rsidP="00E06166">
      <w:pPr>
        <w:rPr>
          <w:rFonts w:ascii="Times New Roman" w:eastAsia="Times New Roman" w:hAnsi="Times New Roman" w:cs="Times New Roman"/>
          <w:b/>
          <w:color w:val="000000"/>
          <w:sz w:val="24"/>
        </w:rPr>
      </w:pPr>
    </w:p>
    <w:p w:rsidR="0048373A" w:rsidRDefault="0048373A" w:rsidP="0048373A">
      <w:pPr>
        <w:pStyle w:val="NormalWeb"/>
        <w:shd w:val="clear" w:color="auto" w:fill="FFFFFF"/>
        <w:spacing w:line="360" w:lineRule="auto"/>
      </w:pPr>
      <w:r>
        <w:t>The above table represents WACC calculation</w:t>
      </w:r>
    </w:p>
    <w:p w:rsidR="0048373A" w:rsidRPr="00E06166" w:rsidRDefault="0048373A" w:rsidP="00E06166">
      <w:pPr>
        <w:rPr>
          <w:rFonts w:ascii="Calibri" w:eastAsia="Times New Roman" w:hAnsi="Calibri" w:cs="Times New Roman"/>
          <w:color w:val="000000"/>
        </w:rPr>
      </w:pPr>
    </w:p>
    <w:tbl>
      <w:tblPr>
        <w:tblW w:w="607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16"/>
        <w:gridCol w:w="1116"/>
        <w:gridCol w:w="1476"/>
      </w:tblGrid>
      <w:tr w:rsidR="00E06166" w:rsidRPr="00E06166" w:rsidTr="00E06166">
        <w:trPr>
          <w:trHeight w:val="300"/>
          <w:jc w:val="center"/>
        </w:trPr>
        <w:tc>
          <w:tcPr>
            <w:tcW w:w="2580"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b/>
                <w:color w:val="000000"/>
                <w:sz w:val="24"/>
              </w:rPr>
            </w:pPr>
            <w:r w:rsidRPr="00E06166">
              <w:rPr>
                <w:rFonts w:ascii="Times New Roman" w:eastAsia="Times New Roman" w:hAnsi="Times New Roman" w:cs="Times New Roman"/>
                <w:b/>
                <w:color w:val="000000"/>
                <w:sz w:val="24"/>
              </w:rPr>
              <w:t>Cash flow in 2023</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15085.61</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33011.1</w:t>
            </w:r>
          </w:p>
        </w:tc>
        <w:tc>
          <w:tcPr>
            <w:tcW w:w="1387"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67845.17977</w:t>
            </w:r>
          </w:p>
        </w:tc>
      </w:tr>
      <w:tr w:rsidR="00E06166" w:rsidRPr="00E06166" w:rsidTr="00E06166">
        <w:trPr>
          <w:trHeight w:val="300"/>
          <w:jc w:val="center"/>
        </w:trPr>
        <w:tc>
          <w:tcPr>
            <w:tcW w:w="2580"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b/>
                <w:color w:val="000000"/>
                <w:sz w:val="24"/>
              </w:rPr>
            </w:pPr>
            <w:r w:rsidRPr="00E06166">
              <w:rPr>
                <w:rFonts w:ascii="Times New Roman" w:eastAsia="Times New Roman" w:hAnsi="Times New Roman" w:cs="Times New Roman"/>
                <w:b/>
                <w:color w:val="000000"/>
                <w:sz w:val="24"/>
              </w:rPr>
              <w:t>Terminal value</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215508.8</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471587.2</w:t>
            </w:r>
          </w:p>
        </w:tc>
        <w:tc>
          <w:tcPr>
            <w:tcW w:w="1387"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969216.8538</w:t>
            </w:r>
          </w:p>
        </w:tc>
      </w:tr>
      <w:tr w:rsidR="00E06166" w:rsidRPr="00E06166" w:rsidTr="00E06166">
        <w:trPr>
          <w:trHeight w:val="300"/>
          <w:jc w:val="center"/>
        </w:trPr>
        <w:tc>
          <w:tcPr>
            <w:tcW w:w="2580"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b/>
                <w:color w:val="000000"/>
                <w:sz w:val="24"/>
              </w:rPr>
            </w:pPr>
            <w:r w:rsidRPr="00E06166">
              <w:rPr>
                <w:rFonts w:ascii="Times New Roman" w:eastAsia="Times New Roman" w:hAnsi="Times New Roman" w:cs="Times New Roman"/>
                <w:b/>
                <w:color w:val="000000"/>
                <w:sz w:val="24"/>
              </w:rPr>
              <w:t>Discounted terminal value</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74880.77</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163857.9</w:t>
            </w:r>
          </w:p>
        </w:tc>
        <w:tc>
          <w:tcPr>
            <w:tcW w:w="1387"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336764.4869</w:t>
            </w:r>
          </w:p>
        </w:tc>
      </w:tr>
      <w:tr w:rsidR="00E06166" w:rsidRPr="00E06166" w:rsidTr="00E06166">
        <w:trPr>
          <w:trHeight w:val="300"/>
          <w:jc w:val="center"/>
        </w:trPr>
        <w:tc>
          <w:tcPr>
            <w:tcW w:w="2580"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b/>
                <w:color w:val="000000"/>
                <w:sz w:val="24"/>
              </w:rPr>
            </w:pPr>
          </w:p>
        </w:tc>
        <w:tc>
          <w:tcPr>
            <w:tcW w:w="1053"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color w:val="000000"/>
                <w:sz w:val="24"/>
              </w:rPr>
            </w:pPr>
          </w:p>
        </w:tc>
        <w:tc>
          <w:tcPr>
            <w:tcW w:w="1053"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color w:val="000000"/>
                <w:sz w:val="24"/>
              </w:rPr>
            </w:pPr>
          </w:p>
        </w:tc>
        <w:tc>
          <w:tcPr>
            <w:tcW w:w="1387"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color w:val="000000"/>
                <w:sz w:val="24"/>
              </w:rPr>
            </w:pPr>
          </w:p>
        </w:tc>
      </w:tr>
      <w:tr w:rsidR="00E06166" w:rsidRPr="00E06166" w:rsidTr="00E06166">
        <w:trPr>
          <w:trHeight w:val="300"/>
          <w:jc w:val="center"/>
        </w:trPr>
        <w:tc>
          <w:tcPr>
            <w:tcW w:w="2580" w:type="dxa"/>
            <w:shd w:val="clear" w:color="auto" w:fill="auto"/>
            <w:noWrap/>
            <w:vAlign w:val="bottom"/>
            <w:hideMark/>
          </w:tcPr>
          <w:p w:rsidR="00E06166" w:rsidRPr="00E06166" w:rsidRDefault="00E06166" w:rsidP="00E06166">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PV of the </w:t>
            </w:r>
            <w:r w:rsidRPr="00E06166">
              <w:rPr>
                <w:rFonts w:ascii="Times New Roman" w:eastAsia="Times New Roman" w:hAnsi="Times New Roman" w:cs="Times New Roman"/>
                <w:b/>
                <w:color w:val="000000"/>
                <w:sz w:val="24"/>
              </w:rPr>
              <w:t>firm</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111197.9</w:t>
            </w:r>
          </w:p>
        </w:tc>
        <w:tc>
          <w:tcPr>
            <w:tcW w:w="1053"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221269.8</w:t>
            </w:r>
          </w:p>
        </w:tc>
        <w:tc>
          <w:tcPr>
            <w:tcW w:w="1387" w:type="dxa"/>
            <w:shd w:val="clear" w:color="auto" w:fill="auto"/>
            <w:noWrap/>
            <w:vAlign w:val="bottom"/>
            <w:hideMark/>
          </w:tcPr>
          <w:p w:rsidR="00E06166" w:rsidRPr="00E06166" w:rsidRDefault="00E06166" w:rsidP="00E06166">
            <w:pPr>
              <w:spacing w:after="0" w:line="240" w:lineRule="auto"/>
              <w:jc w:val="right"/>
              <w:rPr>
                <w:rFonts w:ascii="Times New Roman" w:eastAsia="Times New Roman" w:hAnsi="Times New Roman" w:cs="Times New Roman"/>
                <w:color w:val="000000"/>
                <w:sz w:val="24"/>
              </w:rPr>
            </w:pPr>
            <w:r w:rsidRPr="00E06166">
              <w:rPr>
                <w:rFonts w:ascii="Times New Roman" w:eastAsia="Times New Roman" w:hAnsi="Times New Roman" w:cs="Times New Roman"/>
                <w:color w:val="000000"/>
                <w:sz w:val="24"/>
              </w:rPr>
              <w:t>427818.2243</w:t>
            </w:r>
          </w:p>
        </w:tc>
      </w:tr>
    </w:tbl>
    <w:p w:rsidR="00E06166" w:rsidRDefault="00E06166" w:rsidP="00985F29">
      <w:pPr>
        <w:pStyle w:val="NormalWeb"/>
        <w:shd w:val="clear" w:color="auto" w:fill="FFFFFF"/>
        <w:spacing w:line="360" w:lineRule="auto"/>
      </w:pPr>
      <w:r w:rsidRPr="00985F29">
        <w:t>The above table</w:t>
      </w:r>
      <w:r>
        <w:t xml:space="preserve"> represent</w:t>
      </w:r>
      <w:r w:rsidR="0048373A">
        <w:t>s</w:t>
      </w:r>
      <w:r>
        <w:t xml:space="preserve"> </w:t>
      </w:r>
      <w:r w:rsidRPr="00985F29">
        <w:t>the discounted cash flows</w:t>
      </w:r>
      <w:r>
        <w:t xml:space="preserve"> for different growth rates.</w:t>
      </w: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E06166" w:rsidRDefault="00E06166" w:rsidP="00985F29">
      <w:pPr>
        <w:pStyle w:val="NormalWeb"/>
        <w:shd w:val="clear" w:color="auto" w:fill="FFFFFF"/>
        <w:spacing w:line="360" w:lineRule="auto"/>
      </w:pPr>
    </w:p>
    <w:p w:rsidR="00985F29" w:rsidRDefault="00985F29"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pPr>
    </w:p>
    <w:p w:rsidR="008566AE" w:rsidRDefault="008566AE" w:rsidP="00985F29">
      <w:pPr>
        <w:pStyle w:val="NormalWeb"/>
        <w:shd w:val="clear" w:color="auto" w:fill="FFFFFF"/>
        <w:spacing w:line="360" w:lineRule="auto"/>
        <w:rPr>
          <w:b/>
        </w:rPr>
      </w:pPr>
      <w:r w:rsidRPr="008566AE">
        <w:rPr>
          <w:b/>
        </w:rPr>
        <w:t>REFERENCES</w:t>
      </w:r>
    </w:p>
    <w:p w:rsidR="008566AE" w:rsidRPr="008566AE" w:rsidRDefault="002A5337" w:rsidP="00985F29">
      <w:pPr>
        <w:pStyle w:val="NormalWeb"/>
        <w:shd w:val="clear" w:color="auto" w:fill="FFFFFF"/>
        <w:spacing w:line="360" w:lineRule="auto"/>
      </w:pPr>
      <w:hyperlink r:id="rId54" w:history="1">
        <w:r w:rsidR="008566AE" w:rsidRPr="008566AE">
          <w:rPr>
            <w:rStyle w:val="Hyperlink"/>
            <w:color w:val="auto"/>
            <w:u w:val="none"/>
          </w:rPr>
          <w:t>www.yahoo.in/finance</w:t>
        </w:r>
      </w:hyperlink>
    </w:p>
    <w:p w:rsidR="008566AE" w:rsidRPr="008566AE" w:rsidRDefault="002A5337" w:rsidP="00985F29">
      <w:pPr>
        <w:pStyle w:val="NormalWeb"/>
        <w:shd w:val="clear" w:color="auto" w:fill="FFFFFF"/>
        <w:spacing w:line="360" w:lineRule="auto"/>
      </w:pPr>
      <w:hyperlink r:id="rId55" w:history="1">
        <w:r w:rsidR="008566AE" w:rsidRPr="008566AE">
          <w:rPr>
            <w:rStyle w:val="Hyperlink"/>
            <w:color w:val="auto"/>
            <w:u w:val="none"/>
          </w:rPr>
          <w:t>www.google.com/finance</w:t>
        </w:r>
      </w:hyperlink>
    </w:p>
    <w:p w:rsidR="008566AE" w:rsidRPr="008566AE" w:rsidRDefault="008566AE" w:rsidP="00985F29">
      <w:pPr>
        <w:pStyle w:val="NormalWeb"/>
        <w:shd w:val="clear" w:color="auto" w:fill="FFFFFF"/>
        <w:spacing w:line="360" w:lineRule="auto"/>
      </w:pPr>
      <w:r w:rsidRPr="008566AE">
        <w:t>Bloomberg Finance</w:t>
      </w:r>
    </w:p>
    <w:p w:rsidR="008566AE" w:rsidRPr="008566AE" w:rsidRDefault="008566AE" w:rsidP="00985F29">
      <w:pPr>
        <w:pStyle w:val="NormalWeb"/>
        <w:shd w:val="clear" w:color="auto" w:fill="FFFFFF"/>
        <w:spacing w:line="360" w:lineRule="auto"/>
      </w:pPr>
      <w:r w:rsidRPr="008566AE">
        <w:t>www.moneycontrol .com</w:t>
      </w:r>
    </w:p>
    <w:p w:rsidR="008566AE" w:rsidRPr="008566AE" w:rsidRDefault="002A5337" w:rsidP="00985F29">
      <w:pPr>
        <w:pStyle w:val="NormalWeb"/>
        <w:shd w:val="clear" w:color="auto" w:fill="FFFFFF"/>
        <w:spacing w:line="360" w:lineRule="auto"/>
      </w:pPr>
      <w:hyperlink r:id="rId56" w:history="1">
        <w:r w:rsidR="008566AE" w:rsidRPr="008566AE">
          <w:rPr>
            <w:rStyle w:val="Hyperlink"/>
            <w:color w:val="auto"/>
            <w:u w:val="none"/>
          </w:rPr>
          <w:t>www.itcportal.com</w:t>
        </w:r>
      </w:hyperlink>
    </w:p>
    <w:p w:rsidR="008566AE" w:rsidRPr="008566AE" w:rsidRDefault="002A5337" w:rsidP="00985F29">
      <w:pPr>
        <w:pStyle w:val="NormalWeb"/>
        <w:shd w:val="clear" w:color="auto" w:fill="FFFFFF"/>
        <w:spacing w:line="360" w:lineRule="auto"/>
      </w:pPr>
      <w:hyperlink r:id="rId57" w:history="1">
        <w:r w:rsidR="008566AE" w:rsidRPr="008566AE">
          <w:rPr>
            <w:rStyle w:val="Hyperlink"/>
            <w:color w:val="auto"/>
            <w:u w:val="none"/>
          </w:rPr>
          <w:t>www.morningstar.in</w:t>
        </w:r>
      </w:hyperlink>
    </w:p>
    <w:p w:rsidR="008566AE" w:rsidRPr="008566AE" w:rsidRDefault="00E06166" w:rsidP="00985F29">
      <w:pPr>
        <w:pStyle w:val="NormalWeb"/>
        <w:shd w:val="clear" w:color="auto" w:fill="FFFFFF"/>
        <w:spacing w:line="360" w:lineRule="auto"/>
      </w:pPr>
      <w:r>
        <w:t>www.d</w:t>
      </w:r>
      <w:r w:rsidR="008566AE" w:rsidRPr="008566AE">
        <w:t>ionglobal.in</w:t>
      </w:r>
    </w:p>
    <w:sectPr w:rsidR="008566AE" w:rsidRPr="008566AE" w:rsidSect="00743E98">
      <w:footerReference w:type="default" r:id="rId5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337" w:rsidRDefault="002A5337" w:rsidP="00743E98">
      <w:pPr>
        <w:spacing w:after="0" w:line="240" w:lineRule="auto"/>
      </w:pPr>
      <w:r>
        <w:separator/>
      </w:r>
    </w:p>
  </w:endnote>
  <w:endnote w:type="continuationSeparator" w:id="0">
    <w:p w:rsidR="002A5337" w:rsidRDefault="002A5337" w:rsidP="00743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52657"/>
      <w:docPartObj>
        <w:docPartGallery w:val="Page Numbers (Bottom of Page)"/>
        <w:docPartUnique/>
      </w:docPartObj>
    </w:sdtPr>
    <w:sdtEndPr>
      <w:rPr>
        <w:noProof/>
      </w:rPr>
    </w:sdtEndPr>
    <w:sdtContent>
      <w:p w:rsidR="004231F5" w:rsidRDefault="004231F5">
        <w:pPr>
          <w:pStyle w:val="Footer"/>
          <w:jc w:val="center"/>
        </w:pPr>
        <w:r>
          <w:fldChar w:fldCharType="begin"/>
        </w:r>
        <w:r>
          <w:instrText xml:space="preserve"> PAGE   \* MERGEFORMAT </w:instrText>
        </w:r>
        <w:r>
          <w:fldChar w:fldCharType="separate"/>
        </w:r>
        <w:r w:rsidR="00854AC8">
          <w:rPr>
            <w:noProof/>
          </w:rPr>
          <w:t>63</w:t>
        </w:r>
        <w:r>
          <w:rPr>
            <w:noProof/>
          </w:rPr>
          <w:fldChar w:fldCharType="end"/>
        </w:r>
      </w:p>
    </w:sdtContent>
  </w:sdt>
  <w:p w:rsidR="004231F5" w:rsidRDefault="00423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337" w:rsidRDefault="002A5337" w:rsidP="00743E98">
      <w:pPr>
        <w:spacing w:after="0" w:line="240" w:lineRule="auto"/>
      </w:pPr>
      <w:r>
        <w:separator/>
      </w:r>
    </w:p>
  </w:footnote>
  <w:footnote w:type="continuationSeparator" w:id="0">
    <w:p w:rsidR="002A5337" w:rsidRDefault="002A5337" w:rsidP="00743E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15B9"/>
    <w:multiLevelType w:val="hybridMultilevel"/>
    <w:tmpl w:val="052A57B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E686DAA"/>
    <w:multiLevelType w:val="hybridMultilevel"/>
    <w:tmpl w:val="E26279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107485"/>
    <w:multiLevelType w:val="hybridMultilevel"/>
    <w:tmpl w:val="D3A61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422F1"/>
    <w:multiLevelType w:val="multilevel"/>
    <w:tmpl w:val="776E2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C7A06"/>
    <w:multiLevelType w:val="hybridMultilevel"/>
    <w:tmpl w:val="246A5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8874FB"/>
    <w:multiLevelType w:val="hybridMultilevel"/>
    <w:tmpl w:val="3E9A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B0B6B"/>
    <w:multiLevelType w:val="hybridMultilevel"/>
    <w:tmpl w:val="76F6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214F6"/>
    <w:multiLevelType w:val="hybridMultilevel"/>
    <w:tmpl w:val="91B8C4A4"/>
    <w:lvl w:ilvl="0" w:tplc="3ADA4C5A">
      <w:start w:val="1"/>
      <w:numFmt w:val="bullet"/>
      <w:lvlText w:val=""/>
      <w:lvlJc w:val="left"/>
      <w:pPr>
        <w:tabs>
          <w:tab w:val="num" w:pos="540"/>
        </w:tabs>
        <w:ind w:left="540" w:hanging="360"/>
      </w:pPr>
      <w:rPr>
        <w:rFonts w:ascii="Wingdings 3" w:hAnsi="Wingdings 3" w:hint="default"/>
      </w:rPr>
    </w:lvl>
    <w:lvl w:ilvl="1" w:tplc="A0960C3A" w:tentative="1">
      <w:start w:val="1"/>
      <w:numFmt w:val="bullet"/>
      <w:lvlText w:val=""/>
      <w:lvlJc w:val="left"/>
      <w:pPr>
        <w:tabs>
          <w:tab w:val="num" w:pos="1260"/>
        </w:tabs>
        <w:ind w:left="1260" w:hanging="360"/>
      </w:pPr>
      <w:rPr>
        <w:rFonts w:ascii="Wingdings 3" w:hAnsi="Wingdings 3" w:hint="default"/>
      </w:rPr>
    </w:lvl>
    <w:lvl w:ilvl="2" w:tplc="6F64A98C" w:tentative="1">
      <w:start w:val="1"/>
      <w:numFmt w:val="bullet"/>
      <w:lvlText w:val=""/>
      <w:lvlJc w:val="left"/>
      <w:pPr>
        <w:tabs>
          <w:tab w:val="num" w:pos="1980"/>
        </w:tabs>
        <w:ind w:left="1980" w:hanging="360"/>
      </w:pPr>
      <w:rPr>
        <w:rFonts w:ascii="Wingdings 3" w:hAnsi="Wingdings 3" w:hint="default"/>
      </w:rPr>
    </w:lvl>
    <w:lvl w:ilvl="3" w:tplc="EF7873C6" w:tentative="1">
      <w:start w:val="1"/>
      <w:numFmt w:val="bullet"/>
      <w:lvlText w:val=""/>
      <w:lvlJc w:val="left"/>
      <w:pPr>
        <w:tabs>
          <w:tab w:val="num" w:pos="2700"/>
        </w:tabs>
        <w:ind w:left="2700" w:hanging="360"/>
      </w:pPr>
      <w:rPr>
        <w:rFonts w:ascii="Wingdings 3" w:hAnsi="Wingdings 3" w:hint="default"/>
      </w:rPr>
    </w:lvl>
    <w:lvl w:ilvl="4" w:tplc="D9CCF872" w:tentative="1">
      <w:start w:val="1"/>
      <w:numFmt w:val="bullet"/>
      <w:lvlText w:val=""/>
      <w:lvlJc w:val="left"/>
      <w:pPr>
        <w:tabs>
          <w:tab w:val="num" w:pos="3420"/>
        </w:tabs>
        <w:ind w:left="3420" w:hanging="360"/>
      </w:pPr>
      <w:rPr>
        <w:rFonts w:ascii="Wingdings 3" w:hAnsi="Wingdings 3" w:hint="default"/>
      </w:rPr>
    </w:lvl>
    <w:lvl w:ilvl="5" w:tplc="F5160C66" w:tentative="1">
      <w:start w:val="1"/>
      <w:numFmt w:val="bullet"/>
      <w:lvlText w:val=""/>
      <w:lvlJc w:val="left"/>
      <w:pPr>
        <w:tabs>
          <w:tab w:val="num" w:pos="4140"/>
        </w:tabs>
        <w:ind w:left="4140" w:hanging="360"/>
      </w:pPr>
      <w:rPr>
        <w:rFonts w:ascii="Wingdings 3" w:hAnsi="Wingdings 3" w:hint="default"/>
      </w:rPr>
    </w:lvl>
    <w:lvl w:ilvl="6" w:tplc="18D021FC" w:tentative="1">
      <w:start w:val="1"/>
      <w:numFmt w:val="bullet"/>
      <w:lvlText w:val=""/>
      <w:lvlJc w:val="left"/>
      <w:pPr>
        <w:tabs>
          <w:tab w:val="num" w:pos="4860"/>
        </w:tabs>
        <w:ind w:left="4860" w:hanging="360"/>
      </w:pPr>
      <w:rPr>
        <w:rFonts w:ascii="Wingdings 3" w:hAnsi="Wingdings 3" w:hint="default"/>
      </w:rPr>
    </w:lvl>
    <w:lvl w:ilvl="7" w:tplc="26422038" w:tentative="1">
      <w:start w:val="1"/>
      <w:numFmt w:val="bullet"/>
      <w:lvlText w:val=""/>
      <w:lvlJc w:val="left"/>
      <w:pPr>
        <w:tabs>
          <w:tab w:val="num" w:pos="5580"/>
        </w:tabs>
        <w:ind w:left="5580" w:hanging="360"/>
      </w:pPr>
      <w:rPr>
        <w:rFonts w:ascii="Wingdings 3" w:hAnsi="Wingdings 3" w:hint="default"/>
      </w:rPr>
    </w:lvl>
    <w:lvl w:ilvl="8" w:tplc="6B1EC524" w:tentative="1">
      <w:start w:val="1"/>
      <w:numFmt w:val="bullet"/>
      <w:lvlText w:val=""/>
      <w:lvlJc w:val="left"/>
      <w:pPr>
        <w:tabs>
          <w:tab w:val="num" w:pos="6300"/>
        </w:tabs>
        <w:ind w:left="6300" w:hanging="360"/>
      </w:pPr>
      <w:rPr>
        <w:rFonts w:ascii="Wingdings 3" w:hAnsi="Wingdings 3" w:hint="default"/>
      </w:rPr>
    </w:lvl>
  </w:abstractNum>
  <w:abstractNum w:abstractNumId="8">
    <w:nsid w:val="2139497C"/>
    <w:multiLevelType w:val="hybridMultilevel"/>
    <w:tmpl w:val="9F56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31B83"/>
    <w:multiLevelType w:val="hybridMultilevel"/>
    <w:tmpl w:val="4B6CBD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4016C4"/>
    <w:multiLevelType w:val="hybridMultilevel"/>
    <w:tmpl w:val="3A2AC4CA"/>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1">
    <w:nsid w:val="36D078DB"/>
    <w:multiLevelType w:val="hybridMultilevel"/>
    <w:tmpl w:val="6D746A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98B41A0"/>
    <w:multiLevelType w:val="hybridMultilevel"/>
    <w:tmpl w:val="BFBC2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046008D"/>
    <w:multiLevelType w:val="hybridMultilevel"/>
    <w:tmpl w:val="E0966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4867BE4"/>
    <w:multiLevelType w:val="hybridMultilevel"/>
    <w:tmpl w:val="52A88A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64458FD"/>
    <w:multiLevelType w:val="hybridMultilevel"/>
    <w:tmpl w:val="2C2864FE"/>
    <w:lvl w:ilvl="0" w:tplc="5112802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97F8C"/>
    <w:multiLevelType w:val="hybridMultilevel"/>
    <w:tmpl w:val="F01291E4"/>
    <w:lvl w:ilvl="0" w:tplc="8C0640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50CA9"/>
    <w:multiLevelType w:val="multilevel"/>
    <w:tmpl w:val="CAD2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A1771D"/>
    <w:multiLevelType w:val="multilevel"/>
    <w:tmpl w:val="EAEC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30F18"/>
    <w:multiLevelType w:val="hybridMultilevel"/>
    <w:tmpl w:val="B51ED15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5B015DC"/>
    <w:multiLevelType w:val="hybridMultilevel"/>
    <w:tmpl w:val="8A9A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94D66"/>
    <w:multiLevelType w:val="hybridMultilevel"/>
    <w:tmpl w:val="829407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22007A"/>
    <w:multiLevelType w:val="hybridMultilevel"/>
    <w:tmpl w:val="DFFC6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F712C9A"/>
    <w:multiLevelType w:val="hybridMultilevel"/>
    <w:tmpl w:val="7632F8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3527FD2"/>
    <w:multiLevelType w:val="hybridMultilevel"/>
    <w:tmpl w:val="DF0A2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A047E0"/>
    <w:multiLevelType w:val="hybridMultilevel"/>
    <w:tmpl w:val="604E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C258F4"/>
    <w:multiLevelType w:val="hybridMultilevel"/>
    <w:tmpl w:val="C824C978"/>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7">
    <w:nsid w:val="6A9A6632"/>
    <w:multiLevelType w:val="hybridMultilevel"/>
    <w:tmpl w:val="B218E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E4E75C2"/>
    <w:multiLevelType w:val="hybridMultilevel"/>
    <w:tmpl w:val="B4BC2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11E5B23"/>
    <w:multiLevelType w:val="hybridMultilevel"/>
    <w:tmpl w:val="54D00178"/>
    <w:lvl w:ilvl="0" w:tplc="D0D2AC50">
      <w:start w:val="1"/>
      <w:numFmt w:val="bullet"/>
      <w:lvlText w:val=""/>
      <w:lvlJc w:val="left"/>
      <w:pPr>
        <w:tabs>
          <w:tab w:val="num" w:pos="720"/>
        </w:tabs>
        <w:ind w:left="720" w:hanging="360"/>
      </w:pPr>
      <w:rPr>
        <w:rFonts w:ascii="Wingdings 2" w:hAnsi="Wingdings 2" w:hint="default"/>
      </w:rPr>
    </w:lvl>
    <w:lvl w:ilvl="1" w:tplc="2746311E" w:tentative="1">
      <w:start w:val="1"/>
      <w:numFmt w:val="bullet"/>
      <w:lvlText w:val=""/>
      <w:lvlJc w:val="left"/>
      <w:pPr>
        <w:tabs>
          <w:tab w:val="num" w:pos="1440"/>
        </w:tabs>
        <w:ind w:left="1440" w:hanging="360"/>
      </w:pPr>
      <w:rPr>
        <w:rFonts w:ascii="Wingdings 2" w:hAnsi="Wingdings 2" w:hint="default"/>
      </w:rPr>
    </w:lvl>
    <w:lvl w:ilvl="2" w:tplc="DC5E8B5E" w:tentative="1">
      <w:start w:val="1"/>
      <w:numFmt w:val="bullet"/>
      <w:lvlText w:val=""/>
      <w:lvlJc w:val="left"/>
      <w:pPr>
        <w:tabs>
          <w:tab w:val="num" w:pos="2160"/>
        </w:tabs>
        <w:ind w:left="2160" w:hanging="360"/>
      </w:pPr>
      <w:rPr>
        <w:rFonts w:ascii="Wingdings 2" w:hAnsi="Wingdings 2" w:hint="default"/>
      </w:rPr>
    </w:lvl>
    <w:lvl w:ilvl="3" w:tplc="071CFEF6" w:tentative="1">
      <w:start w:val="1"/>
      <w:numFmt w:val="bullet"/>
      <w:lvlText w:val=""/>
      <w:lvlJc w:val="left"/>
      <w:pPr>
        <w:tabs>
          <w:tab w:val="num" w:pos="2880"/>
        </w:tabs>
        <w:ind w:left="2880" w:hanging="360"/>
      </w:pPr>
      <w:rPr>
        <w:rFonts w:ascii="Wingdings 2" w:hAnsi="Wingdings 2" w:hint="default"/>
      </w:rPr>
    </w:lvl>
    <w:lvl w:ilvl="4" w:tplc="A800BB50" w:tentative="1">
      <w:start w:val="1"/>
      <w:numFmt w:val="bullet"/>
      <w:lvlText w:val=""/>
      <w:lvlJc w:val="left"/>
      <w:pPr>
        <w:tabs>
          <w:tab w:val="num" w:pos="3600"/>
        </w:tabs>
        <w:ind w:left="3600" w:hanging="360"/>
      </w:pPr>
      <w:rPr>
        <w:rFonts w:ascii="Wingdings 2" w:hAnsi="Wingdings 2" w:hint="default"/>
      </w:rPr>
    </w:lvl>
    <w:lvl w:ilvl="5" w:tplc="75E66486" w:tentative="1">
      <w:start w:val="1"/>
      <w:numFmt w:val="bullet"/>
      <w:lvlText w:val=""/>
      <w:lvlJc w:val="left"/>
      <w:pPr>
        <w:tabs>
          <w:tab w:val="num" w:pos="4320"/>
        </w:tabs>
        <w:ind w:left="4320" w:hanging="360"/>
      </w:pPr>
      <w:rPr>
        <w:rFonts w:ascii="Wingdings 2" w:hAnsi="Wingdings 2" w:hint="default"/>
      </w:rPr>
    </w:lvl>
    <w:lvl w:ilvl="6" w:tplc="0324F4B8" w:tentative="1">
      <w:start w:val="1"/>
      <w:numFmt w:val="bullet"/>
      <w:lvlText w:val=""/>
      <w:lvlJc w:val="left"/>
      <w:pPr>
        <w:tabs>
          <w:tab w:val="num" w:pos="5040"/>
        </w:tabs>
        <w:ind w:left="5040" w:hanging="360"/>
      </w:pPr>
      <w:rPr>
        <w:rFonts w:ascii="Wingdings 2" w:hAnsi="Wingdings 2" w:hint="default"/>
      </w:rPr>
    </w:lvl>
    <w:lvl w:ilvl="7" w:tplc="FB429E2E" w:tentative="1">
      <w:start w:val="1"/>
      <w:numFmt w:val="bullet"/>
      <w:lvlText w:val=""/>
      <w:lvlJc w:val="left"/>
      <w:pPr>
        <w:tabs>
          <w:tab w:val="num" w:pos="5760"/>
        </w:tabs>
        <w:ind w:left="5760" w:hanging="360"/>
      </w:pPr>
      <w:rPr>
        <w:rFonts w:ascii="Wingdings 2" w:hAnsi="Wingdings 2" w:hint="default"/>
      </w:rPr>
    </w:lvl>
    <w:lvl w:ilvl="8" w:tplc="B1BE3550" w:tentative="1">
      <w:start w:val="1"/>
      <w:numFmt w:val="bullet"/>
      <w:lvlText w:val=""/>
      <w:lvlJc w:val="left"/>
      <w:pPr>
        <w:tabs>
          <w:tab w:val="num" w:pos="6480"/>
        </w:tabs>
        <w:ind w:left="6480" w:hanging="360"/>
      </w:pPr>
      <w:rPr>
        <w:rFonts w:ascii="Wingdings 2" w:hAnsi="Wingdings 2" w:hint="default"/>
      </w:rPr>
    </w:lvl>
  </w:abstractNum>
  <w:abstractNum w:abstractNumId="30">
    <w:nsid w:val="72D110E7"/>
    <w:multiLevelType w:val="multilevel"/>
    <w:tmpl w:val="5EAC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F415FB"/>
    <w:multiLevelType w:val="hybridMultilevel"/>
    <w:tmpl w:val="ED3A9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1D4D6E"/>
    <w:multiLevelType w:val="hybridMultilevel"/>
    <w:tmpl w:val="694CE66C"/>
    <w:lvl w:ilvl="0" w:tplc="40090001">
      <w:start w:val="1"/>
      <w:numFmt w:val="bullet"/>
      <w:lvlText w:val=""/>
      <w:lvlJc w:val="left"/>
      <w:pPr>
        <w:ind w:left="720" w:hanging="360"/>
      </w:pPr>
      <w:rPr>
        <w:rFonts w:ascii="Symbol" w:hAnsi="Symbol" w:hint="default"/>
      </w:rPr>
    </w:lvl>
    <w:lvl w:ilvl="1" w:tplc="67022966">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8011177"/>
    <w:multiLevelType w:val="hybridMultilevel"/>
    <w:tmpl w:val="82940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C266BE"/>
    <w:multiLevelType w:val="hybridMultilevel"/>
    <w:tmpl w:val="4260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6"/>
  </w:num>
  <w:num w:numId="4">
    <w:abstractNumId w:val="17"/>
  </w:num>
  <w:num w:numId="5">
    <w:abstractNumId w:val="22"/>
  </w:num>
  <w:num w:numId="6">
    <w:abstractNumId w:val="30"/>
  </w:num>
  <w:num w:numId="7">
    <w:abstractNumId w:val="32"/>
  </w:num>
  <w:num w:numId="8">
    <w:abstractNumId w:val="11"/>
  </w:num>
  <w:num w:numId="9">
    <w:abstractNumId w:val="0"/>
  </w:num>
  <w:num w:numId="10">
    <w:abstractNumId w:val="19"/>
  </w:num>
  <w:num w:numId="11">
    <w:abstractNumId w:val="26"/>
  </w:num>
  <w:num w:numId="12">
    <w:abstractNumId w:val="10"/>
  </w:num>
  <w:num w:numId="13">
    <w:abstractNumId w:val="20"/>
  </w:num>
  <w:num w:numId="14">
    <w:abstractNumId w:val="7"/>
  </w:num>
  <w:num w:numId="15">
    <w:abstractNumId w:val="14"/>
  </w:num>
  <w:num w:numId="16">
    <w:abstractNumId w:val="29"/>
  </w:num>
  <w:num w:numId="17">
    <w:abstractNumId w:val="24"/>
  </w:num>
  <w:num w:numId="18">
    <w:abstractNumId w:val="5"/>
  </w:num>
  <w:num w:numId="19">
    <w:abstractNumId w:val="2"/>
  </w:num>
  <w:num w:numId="20">
    <w:abstractNumId w:val="33"/>
  </w:num>
  <w:num w:numId="21">
    <w:abstractNumId w:val="8"/>
  </w:num>
  <w:num w:numId="22">
    <w:abstractNumId w:val="25"/>
  </w:num>
  <w:num w:numId="23">
    <w:abstractNumId w:val="31"/>
  </w:num>
  <w:num w:numId="24">
    <w:abstractNumId w:val="4"/>
  </w:num>
  <w:num w:numId="25">
    <w:abstractNumId w:val="27"/>
  </w:num>
  <w:num w:numId="26">
    <w:abstractNumId w:val="13"/>
  </w:num>
  <w:num w:numId="27">
    <w:abstractNumId w:val="1"/>
  </w:num>
  <w:num w:numId="28">
    <w:abstractNumId w:val="23"/>
  </w:num>
  <w:num w:numId="29">
    <w:abstractNumId w:val="12"/>
  </w:num>
  <w:num w:numId="30">
    <w:abstractNumId w:val="28"/>
  </w:num>
  <w:num w:numId="31">
    <w:abstractNumId w:val="16"/>
  </w:num>
  <w:num w:numId="32">
    <w:abstractNumId w:val="9"/>
  </w:num>
  <w:num w:numId="33">
    <w:abstractNumId w:val="21"/>
  </w:num>
  <w:num w:numId="34">
    <w:abstractNumId w:val="15"/>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83"/>
    <w:rsid w:val="0000413B"/>
    <w:rsid w:val="00041EC3"/>
    <w:rsid w:val="00056626"/>
    <w:rsid w:val="00081D2A"/>
    <w:rsid w:val="000822C3"/>
    <w:rsid w:val="00094890"/>
    <w:rsid w:val="001103CB"/>
    <w:rsid w:val="00170488"/>
    <w:rsid w:val="001A0F57"/>
    <w:rsid w:val="001A23FD"/>
    <w:rsid w:val="001C27B8"/>
    <w:rsid w:val="00224617"/>
    <w:rsid w:val="00234B62"/>
    <w:rsid w:val="00242FFC"/>
    <w:rsid w:val="00247B6D"/>
    <w:rsid w:val="002A5337"/>
    <w:rsid w:val="002A7DDD"/>
    <w:rsid w:val="002B57BC"/>
    <w:rsid w:val="002B74CF"/>
    <w:rsid w:val="002C17F8"/>
    <w:rsid w:val="002E6ECE"/>
    <w:rsid w:val="003202F6"/>
    <w:rsid w:val="00325044"/>
    <w:rsid w:val="00373E3B"/>
    <w:rsid w:val="0039018F"/>
    <w:rsid w:val="003A4F02"/>
    <w:rsid w:val="003D2015"/>
    <w:rsid w:val="00403F76"/>
    <w:rsid w:val="004231F5"/>
    <w:rsid w:val="004435A4"/>
    <w:rsid w:val="0048373A"/>
    <w:rsid w:val="004A550B"/>
    <w:rsid w:val="004A5C8C"/>
    <w:rsid w:val="004E0EF3"/>
    <w:rsid w:val="004E15FA"/>
    <w:rsid w:val="004E1B0F"/>
    <w:rsid w:val="004E300D"/>
    <w:rsid w:val="004E79B7"/>
    <w:rsid w:val="004F04CC"/>
    <w:rsid w:val="004F14FC"/>
    <w:rsid w:val="0050156A"/>
    <w:rsid w:val="00513D1D"/>
    <w:rsid w:val="00515FB8"/>
    <w:rsid w:val="00543256"/>
    <w:rsid w:val="0054642D"/>
    <w:rsid w:val="0055307F"/>
    <w:rsid w:val="005545B4"/>
    <w:rsid w:val="00554D99"/>
    <w:rsid w:val="0057123E"/>
    <w:rsid w:val="005740B1"/>
    <w:rsid w:val="00580600"/>
    <w:rsid w:val="00585856"/>
    <w:rsid w:val="005A1308"/>
    <w:rsid w:val="005A28E7"/>
    <w:rsid w:val="005A53E3"/>
    <w:rsid w:val="005B0249"/>
    <w:rsid w:val="005C305C"/>
    <w:rsid w:val="005D35C0"/>
    <w:rsid w:val="00630BE8"/>
    <w:rsid w:val="00633091"/>
    <w:rsid w:val="00640820"/>
    <w:rsid w:val="00650416"/>
    <w:rsid w:val="0069475A"/>
    <w:rsid w:val="006A08D3"/>
    <w:rsid w:val="006B4D0F"/>
    <w:rsid w:val="00734EFB"/>
    <w:rsid w:val="00743E98"/>
    <w:rsid w:val="00771ACE"/>
    <w:rsid w:val="007977DF"/>
    <w:rsid w:val="007A7C56"/>
    <w:rsid w:val="007B070B"/>
    <w:rsid w:val="007B10ED"/>
    <w:rsid w:val="007D0060"/>
    <w:rsid w:val="007D2256"/>
    <w:rsid w:val="007D4484"/>
    <w:rsid w:val="007E6CB3"/>
    <w:rsid w:val="00821941"/>
    <w:rsid w:val="00854AC8"/>
    <w:rsid w:val="008566AE"/>
    <w:rsid w:val="00863594"/>
    <w:rsid w:val="008B1F15"/>
    <w:rsid w:val="008B2F27"/>
    <w:rsid w:val="00901148"/>
    <w:rsid w:val="009026CF"/>
    <w:rsid w:val="00912583"/>
    <w:rsid w:val="00913D4B"/>
    <w:rsid w:val="00934DE7"/>
    <w:rsid w:val="00936EFB"/>
    <w:rsid w:val="00985F29"/>
    <w:rsid w:val="009A7ADC"/>
    <w:rsid w:val="009E2D9D"/>
    <w:rsid w:val="009E5AFC"/>
    <w:rsid w:val="00A0086F"/>
    <w:rsid w:val="00A34B8C"/>
    <w:rsid w:val="00A40BAC"/>
    <w:rsid w:val="00A61967"/>
    <w:rsid w:val="00A82650"/>
    <w:rsid w:val="00A91354"/>
    <w:rsid w:val="00AB3A2F"/>
    <w:rsid w:val="00AD73C4"/>
    <w:rsid w:val="00AF4DA7"/>
    <w:rsid w:val="00B31238"/>
    <w:rsid w:val="00B362B2"/>
    <w:rsid w:val="00B5053C"/>
    <w:rsid w:val="00B80F79"/>
    <w:rsid w:val="00BA79AA"/>
    <w:rsid w:val="00BB2E8E"/>
    <w:rsid w:val="00BD4C62"/>
    <w:rsid w:val="00C46A4A"/>
    <w:rsid w:val="00C51ADB"/>
    <w:rsid w:val="00C54FC9"/>
    <w:rsid w:val="00C66DE5"/>
    <w:rsid w:val="00CB649F"/>
    <w:rsid w:val="00CD5448"/>
    <w:rsid w:val="00CE032B"/>
    <w:rsid w:val="00D13047"/>
    <w:rsid w:val="00D616B9"/>
    <w:rsid w:val="00D71DCF"/>
    <w:rsid w:val="00DC12F0"/>
    <w:rsid w:val="00E06058"/>
    <w:rsid w:val="00E06166"/>
    <w:rsid w:val="00E073A3"/>
    <w:rsid w:val="00E2376A"/>
    <w:rsid w:val="00E501A9"/>
    <w:rsid w:val="00E937E7"/>
    <w:rsid w:val="00E938B5"/>
    <w:rsid w:val="00EB3FFA"/>
    <w:rsid w:val="00ED14AD"/>
    <w:rsid w:val="00ED256B"/>
    <w:rsid w:val="00EE41D2"/>
    <w:rsid w:val="00F31715"/>
    <w:rsid w:val="00F54DAD"/>
    <w:rsid w:val="00F5535B"/>
    <w:rsid w:val="00F61394"/>
    <w:rsid w:val="00F723A0"/>
    <w:rsid w:val="00F9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08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D73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0B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6D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86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D73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0B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66DE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125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2583"/>
  </w:style>
  <w:style w:type="character" w:styleId="Strong">
    <w:name w:val="Strong"/>
    <w:basedOn w:val="DefaultParagraphFont"/>
    <w:uiPriority w:val="22"/>
    <w:qFormat/>
    <w:rsid w:val="00912583"/>
    <w:rPr>
      <w:b/>
      <w:bCs/>
    </w:rPr>
  </w:style>
  <w:style w:type="character" w:styleId="Hyperlink">
    <w:name w:val="Hyperlink"/>
    <w:basedOn w:val="DefaultParagraphFont"/>
    <w:uiPriority w:val="99"/>
    <w:unhideWhenUsed/>
    <w:rsid w:val="00A34B8C"/>
    <w:rPr>
      <w:color w:val="0000FF"/>
      <w:u w:val="single"/>
    </w:rPr>
  </w:style>
  <w:style w:type="character" w:styleId="Emphasis">
    <w:name w:val="Emphasis"/>
    <w:basedOn w:val="DefaultParagraphFont"/>
    <w:uiPriority w:val="20"/>
    <w:qFormat/>
    <w:rsid w:val="00A34B8C"/>
    <w:rPr>
      <w:i/>
      <w:iCs/>
    </w:rPr>
  </w:style>
  <w:style w:type="paragraph" w:styleId="ListParagraph">
    <w:name w:val="List Paragraph"/>
    <w:basedOn w:val="Normal"/>
    <w:uiPriority w:val="34"/>
    <w:qFormat/>
    <w:rsid w:val="00094890"/>
    <w:pPr>
      <w:ind w:left="720"/>
      <w:contextualSpacing/>
    </w:pPr>
  </w:style>
  <w:style w:type="paragraph" w:styleId="BalloonText">
    <w:name w:val="Balloon Text"/>
    <w:basedOn w:val="Normal"/>
    <w:link w:val="BalloonTextChar"/>
    <w:uiPriority w:val="99"/>
    <w:semiHidden/>
    <w:unhideWhenUsed/>
    <w:rsid w:val="0054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56"/>
    <w:rPr>
      <w:rFonts w:ascii="Tahoma" w:hAnsi="Tahoma" w:cs="Tahoma"/>
      <w:sz w:val="16"/>
      <w:szCs w:val="16"/>
    </w:rPr>
  </w:style>
  <w:style w:type="table" w:customStyle="1" w:styleId="PlainTable1">
    <w:name w:val="Plain Table 1"/>
    <w:basedOn w:val="TableNormal"/>
    <w:uiPriority w:val="41"/>
    <w:rsid w:val="009026CF"/>
    <w:pPr>
      <w:spacing w:after="0" w:line="240" w:lineRule="auto"/>
    </w:pPr>
    <w:rPr>
      <w:szCs w:val="20"/>
      <w:lang w:val="en-IN"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9026CF"/>
    <w:pPr>
      <w:spacing w:after="0" w:line="240" w:lineRule="auto"/>
    </w:pPr>
    <w:rPr>
      <w:color w:val="000000" w:themeColor="text1"/>
      <w:szCs w:val="20"/>
      <w:lang w:val="en-IN" w:bidi="hi-I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A53E3"/>
    <w:rPr>
      <w:color w:val="800080" w:themeColor="followedHyperlink"/>
      <w:u w:val="single"/>
    </w:rPr>
  </w:style>
  <w:style w:type="paragraph" w:customStyle="1" w:styleId="Default">
    <w:name w:val="Default"/>
    <w:rsid w:val="00325044"/>
    <w:pPr>
      <w:autoSpaceDE w:val="0"/>
      <w:autoSpaceDN w:val="0"/>
      <w:adjustRightInd w:val="0"/>
      <w:spacing w:after="0"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BB2E8E"/>
    <w:pPr>
      <w:spacing w:after="0" w:line="240" w:lineRule="auto"/>
    </w:pPr>
    <w:rPr>
      <w:szCs w:val="20"/>
      <w:lang w:val="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66DE5"/>
    <w:rPr>
      <w:b/>
      <w:bCs/>
      <w:i/>
      <w:iCs/>
      <w:color w:val="4F81BD" w:themeColor="accent1"/>
    </w:rPr>
  </w:style>
  <w:style w:type="paragraph" w:styleId="Header">
    <w:name w:val="header"/>
    <w:basedOn w:val="Normal"/>
    <w:link w:val="HeaderChar"/>
    <w:uiPriority w:val="99"/>
    <w:unhideWhenUsed/>
    <w:rsid w:val="00743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98"/>
  </w:style>
  <w:style w:type="paragraph" w:styleId="Footer">
    <w:name w:val="footer"/>
    <w:basedOn w:val="Normal"/>
    <w:link w:val="FooterChar"/>
    <w:uiPriority w:val="99"/>
    <w:unhideWhenUsed/>
    <w:rsid w:val="00743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08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D73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0B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6D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86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D73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0B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66DE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125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2583"/>
  </w:style>
  <w:style w:type="character" w:styleId="Strong">
    <w:name w:val="Strong"/>
    <w:basedOn w:val="DefaultParagraphFont"/>
    <w:uiPriority w:val="22"/>
    <w:qFormat/>
    <w:rsid w:val="00912583"/>
    <w:rPr>
      <w:b/>
      <w:bCs/>
    </w:rPr>
  </w:style>
  <w:style w:type="character" w:styleId="Hyperlink">
    <w:name w:val="Hyperlink"/>
    <w:basedOn w:val="DefaultParagraphFont"/>
    <w:uiPriority w:val="99"/>
    <w:unhideWhenUsed/>
    <w:rsid w:val="00A34B8C"/>
    <w:rPr>
      <w:color w:val="0000FF"/>
      <w:u w:val="single"/>
    </w:rPr>
  </w:style>
  <w:style w:type="character" w:styleId="Emphasis">
    <w:name w:val="Emphasis"/>
    <w:basedOn w:val="DefaultParagraphFont"/>
    <w:uiPriority w:val="20"/>
    <w:qFormat/>
    <w:rsid w:val="00A34B8C"/>
    <w:rPr>
      <w:i/>
      <w:iCs/>
    </w:rPr>
  </w:style>
  <w:style w:type="paragraph" w:styleId="ListParagraph">
    <w:name w:val="List Paragraph"/>
    <w:basedOn w:val="Normal"/>
    <w:uiPriority w:val="34"/>
    <w:qFormat/>
    <w:rsid w:val="00094890"/>
    <w:pPr>
      <w:ind w:left="720"/>
      <w:contextualSpacing/>
    </w:pPr>
  </w:style>
  <w:style w:type="paragraph" w:styleId="BalloonText">
    <w:name w:val="Balloon Text"/>
    <w:basedOn w:val="Normal"/>
    <w:link w:val="BalloonTextChar"/>
    <w:uiPriority w:val="99"/>
    <w:semiHidden/>
    <w:unhideWhenUsed/>
    <w:rsid w:val="0054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56"/>
    <w:rPr>
      <w:rFonts w:ascii="Tahoma" w:hAnsi="Tahoma" w:cs="Tahoma"/>
      <w:sz w:val="16"/>
      <w:szCs w:val="16"/>
    </w:rPr>
  </w:style>
  <w:style w:type="table" w:customStyle="1" w:styleId="PlainTable1">
    <w:name w:val="Plain Table 1"/>
    <w:basedOn w:val="TableNormal"/>
    <w:uiPriority w:val="41"/>
    <w:rsid w:val="009026CF"/>
    <w:pPr>
      <w:spacing w:after="0" w:line="240" w:lineRule="auto"/>
    </w:pPr>
    <w:rPr>
      <w:szCs w:val="20"/>
      <w:lang w:val="en-IN"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9026CF"/>
    <w:pPr>
      <w:spacing w:after="0" w:line="240" w:lineRule="auto"/>
    </w:pPr>
    <w:rPr>
      <w:color w:val="000000" w:themeColor="text1"/>
      <w:szCs w:val="20"/>
      <w:lang w:val="en-IN" w:bidi="hi-I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A53E3"/>
    <w:rPr>
      <w:color w:val="800080" w:themeColor="followedHyperlink"/>
      <w:u w:val="single"/>
    </w:rPr>
  </w:style>
  <w:style w:type="paragraph" w:customStyle="1" w:styleId="Default">
    <w:name w:val="Default"/>
    <w:rsid w:val="00325044"/>
    <w:pPr>
      <w:autoSpaceDE w:val="0"/>
      <w:autoSpaceDN w:val="0"/>
      <w:adjustRightInd w:val="0"/>
      <w:spacing w:after="0"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BB2E8E"/>
    <w:pPr>
      <w:spacing w:after="0" w:line="240" w:lineRule="auto"/>
    </w:pPr>
    <w:rPr>
      <w:szCs w:val="20"/>
      <w:lang w:val="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66DE5"/>
    <w:rPr>
      <w:b/>
      <w:bCs/>
      <w:i/>
      <w:iCs/>
      <w:color w:val="4F81BD" w:themeColor="accent1"/>
    </w:rPr>
  </w:style>
  <w:style w:type="paragraph" w:styleId="Header">
    <w:name w:val="header"/>
    <w:basedOn w:val="Normal"/>
    <w:link w:val="HeaderChar"/>
    <w:uiPriority w:val="99"/>
    <w:unhideWhenUsed/>
    <w:rsid w:val="00743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98"/>
  </w:style>
  <w:style w:type="paragraph" w:styleId="Footer">
    <w:name w:val="footer"/>
    <w:basedOn w:val="Normal"/>
    <w:link w:val="FooterChar"/>
    <w:uiPriority w:val="99"/>
    <w:unhideWhenUsed/>
    <w:rsid w:val="00743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0850">
      <w:bodyDiv w:val="1"/>
      <w:marLeft w:val="0"/>
      <w:marRight w:val="0"/>
      <w:marTop w:val="0"/>
      <w:marBottom w:val="0"/>
      <w:divBdr>
        <w:top w:val="none" w:sz="0" w:space="0" w:color="auto"/>
        <w:left w:val="none" w:sz="0" w:space="0" w:color="auto"/>
        <w:bottom w:val="none" w:sz="0" w:space="0" w:color="auto"/>
        <w:right w:val="none" w:sz="0" w:space="0" w:color="auto"/>
      </w:divBdr>
    </w:div>
    <w:div w:id="15429509">
      <w:bodyDiv w:val="1"/>
      <w:marLeft w:val="0"/>
      <w:marRight w:val="0"/>
      <w:marTop w:val="0"/>
      <w:marBottom w:val="0"/>
      <w:divBdr>
        <w:top w:val="none" w:sz="0" w:space="0" w:color="auto"/>
        <w:left w:val="none" w:sz="0" w:space="0" w:color="auto"/>
        <w:bottom w:val="none" w:sz="0" w:space="0" w:color="auto"/>
        <w:right w:val="none" w:sz="0" w:space="0" w:color="auto"/>
      </w:divBdr>
    </w:div>
    <w:div w:id="30034991">
      <w:bodyDiv w:val="1"/>
      <w:marLeft w:val="0"/>
      <w:marRight w:val="0"/>
      <w:marTop w:val="0"/>
      <w:marBottom w:val="0"/>
      <w:divBdr>
        <w:top w:val="none" w:sz="0" w:space="0" w:color="auto"/>
        <w:left w:val="none" w:sz="0" w:space="0" w:color="auto"/>
        <w:bottom w:val="none" w:sz="0" w:space="0" w:color="auto"/>
        <w:right w:val="none" w:sz="0" w:space="0" w:color="auto"/>
      </w:divBdr>
    </w:div>
    <w:div w:id="87965023">
      <w:bodyDiv w:val="1"/>
      <w:marLeft w:val="0"/>
      <w:marRight w:val="0"/>
      <w:marTop w:val="0"/>
      <w:marBottom w:val="0"/>
      <w:divBdr>
        <w:top w:val="none" w:sz="0" w:space="0" w:color="auto"/>
        <w:left w:val="none" w:sz="0" w:space="0" w:color="auto"/>
        <w:bottom w:val="none" w:sz="0" w:space="0" w:color="auto"/>
        <w:right w:val="none" w:sz="0" w:space="0" w:color="auto"/>
      </w:divBdr>
    </w:div>
    <w:div w:id="124198475">
      <w:bodyDiv w:val="1"/>
      <w:marLeft w:val="0"/>
      <w:marRight w:val="0"/>
      <w:marTop w:val="0"/>
      <w:marBottom w:val="0"/>
      <w:divBdr>
        <w:top w:val="none" w:sz="0" w:space="0" w:color="auto"/>
        <w:left w:val="none" w:sz="0" w:space="0" w:color="auto"/>
        <w:bottom w:val="none" w:sz="0" w:space="0" w:color="auto"/>
        <w:right w:val="none" w:sz="0" w:space="0" w:color="auto"/>
      </w:divBdr>
    </w:div>
    <w:div w:id="156728509">
      <w:bodyDiv w:val="1"/>
      <w:marLeft w:val="0"/>
      <w:marRight w:val="0"/>
      <w:marTop w:val="0"/>
      <w:marBottom w:val="0"/>
      <w:divBdr>
        <w:top w:val="none" w:sz="0" w:space="0" w:color="auto"/>
        <w:left w:val="none" w:sz="0" w:space="0" w:color="auto"/>
        <w:bottom w:val="none" w:sz="0" w:space="0" w:color="auto"/>
        <w:right w:val="none" w:sz="0" w:space="0" w:color="auto"/>
      </w:divBdr>
    </w:div>
    <w:div w:id="219219290">
      <w:bodyDiv w:val="1"/>
      <w:marLeft w:val="0"/>
      <w:marRight w:val="0"/>
      <w:marTop w:val="0"/>
      <w:marBottom w:val="0"/>
      <w:divBdr>
        <w:top w:val="none" w:sz="0" w:space="0" w:color="auto"/>
        <w:left w:val="none" w:sz="0" w:space="0" w:color="auto"/>
        <w:bottom w:val="none" w:sz="0" w:space="0" w:color="auto"/>
        <w:right w:val="none" w:sz="0" w:space="0" w:color="auto"/>
      </w:divBdr>
    </w:div>
    <w:div w:id="272441392">
      <w:bodyDiv w:val="1"/>
      <w:marLeft w:val="0"/>
      <w:marRight w:val="0"/>
      <w:marTop w:val="0"/>
      <w:marBottom w:val="0"/>
      <w:divBdr>
        <w:top w:val="none" w:sz="0" w:space="0" w:color="auto"/>
        <w:left w:val="none" w:sz="0" w:space="0" w:color="auto"/>
        <w:bottom w:val="none" w:sz="0" w:space="0" w:color="auto"/>
        <w:right w:val="none" w:sz="0" w:space="0" w:color="auto"/>
      </w:divBdr>
    </w:div>
    <w:div w:id="305670293">
      <w:bodyDiv w:val="1"/>
      <w:marLeft w:val="0"/>
      <w:marRight w:val="0"/>
      <w:marTop w:val="0"/>
      <w:marBottom w:val="0"/>
      <w:divBdr>
        <w:top w:val="none" w:sz="0" w:space="0" w:color="auto"/>
        <w:left w:val="none" w:sz="0" w:space="0" w:color="auto"/>
        <w:bottom w:val="none" w:sz="0" w:space="0" w:color="auto"/>
        <w:right w:val="none" w:sz="0" w:space="0" w:color="auto"/>
      </w:divBdr>
    </w:div>
    <w:div w:id="416365552">
      <w:bodyDiv w:val="1"/>
      <w:marLeft w:val="0"/>
      <w:marRight w:val="0"/>
      <w:marTop w:val="0"/>
      <w:marBottom w:val="0"/>
      <w:divBdr>
        <w:top w:val="none" w:sz="0" w:space="0" w:color="auto"/>
        <w:left w:val="none" w:sz="0" w:space="0" w:color="auto"/>
        <w:bottom w:val="none" w:sz="0" w:space="0" w:color="auto"/>
        <w:right w:val="none" w:sz="0" w:space="0" w:color="auto"/>
      </w:divBdr>
    </w:div>
    <w:div w:id="448361504">
      <w:bodyDiv w:val="1"/>
      <w:marLeft w:val="0"/>
      <w:marRight w:val="0"/>
      <w:marTop w:val="0"/>
      <w:marBottom w:val="0"/>
      <w:divBdr>
        <w:top w:val="none" w:sz="0" w:space="0" w:color="auto"/>
        <w:left w:val="none" w:sz="0" w:space="0" w:color="auto"/>
        <w:bottom w:val="none" w:sz="0" w:space="0" w:color="auto"/>
        <w:right w:val="none" w:sz="0" w:space="0" w:color="auto"/>
      </w:divBdr>
    </w:div>
    <w:div w:id="573588227">
      <w:bodyDiv w:val="1"/>
      <w:marLeft w:val="0"/>
      <w:marRight w:val="0"/>
      <w:marTop w:val="0"/>
      <w:marBottom w:val="0"/>
      <w:divBdr>
        <w:top w:val="none" w:sz="0" w:space="0" w:color="auto"/>
        <w:left w:val="none" w:sz="0" w:space="0" w:color="auto"/>
        <w:bottom w:val="none" w:sz="0" w:space="0" w:color="auto"/>
        <w:right w:val="none" w:sz="0" w:space="0" w:color="auto"/>
      </w:divBdr>
    </w:div>
    <w:div w:id="594830559">
      <w:bodyDiv w:val="1"/>
      <w:marLeft w:val="0"/>
      <w:marRight w:val="0"/>
      <w:marTop w:val="0"/>
      <w:marBottom w:val="0"/>
      <w:divBdr>
        <w:top w:val="none" w:sz="0" w:space="0" w:color="auto"/>
        <w:left w:val="none" w:sz="0" w:space="0" w:color="auto"/>
        <w:bottom w:val="none" w:sz="0" w:space="0" w:color="auto"/>
        <w:right w:val="none" w:sz="0" w:space="0" w:color="auto"/>
      </w:divBdr>
    </w:div>
    <w:div w:id="607125680">
      <w:bodyDiv w:val="1"/>
      <w:marLeft w:val="0"/>
      <w:marRight w:val="0"/>
      <w:marTop w:val="0"/>
      <w:marBottom w:val="0"/>
      <w:divBdr>
        <w:top w:val="none" w:sz="0" w:space="0" w:color="auto"/>
        <w:left w:val="none" w:sz="0" w:space="0" w:color="auto"/>
        <w:bottom w:val="none" w:sz="0" w:space="0" w:color="auto"/>
        <w:right w:val="none" w:sz="0" w:space="0" w:color="auto"/>
      </w:divBdr>
    </w:div>
    <w:div w:id="731927315">
      <w:bodyDiv w:val="1"/>
      <w:marLeft w:val="0"/>
      <w:marRight w:val="0"/>
      <w:marTop w:val="0"/>
      <w:marBottom w:val="0"/>
      <w:divBdr>
        <w:top w:val="none" w:sz="0" w:space="0" w:color="auto"/>
        <w:left w:val="none" w:sz="0" w:space="0" w:color="auto"/>
        <w:bottom w:val="none" w:sz="0" w:space="0" w:color="auto"/>
        <w:right w:val="none" w:sz="0" w:space="0" w:color="auto"/>
      </w:divBdr>
    </w:div>
    <w:div w:id="746415314">
      <w:bodyDiv w:val="1"/>
      <w:marLeft w:val="0"/>
      <w:marRight w:val="0"/>
      <w:marTop w:val="0"/>
      <w:marBottom w:val="0"/>
      <w:divBdr>
        <w:top w:val="none" w:sz="0" w:space="0" w:color="auto"/>
        <w:left w:val="none" w:sz="0" w:space="0" w:color="auto"/>
        <w:bottom w:val="none" w:sz="0" w:space="0" w:color="auto"/>
        <w:right w:val="none" w:sz="0" w:space="0" w:color="auto"/>
      </w:divBdr>
    </w:div>
    <w:div w:id="797727485">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920329952">
      <w:bodyDiv w:val="1"/>
      <w:marLeft w:val="0"/>
      <w:marRight w:val="0"/>
      <w:marTop w:val="0"/>
      <w:marBottom w:val="0"/>
      <w:divBdr>
        <w:top w:val="none" w:sz="0" w:space="0" w:color="auto"/>
        <w:left w:val="none" w:sz="0" w:space="0" w:color="auto"/>
        <w:bottom w:val="none" w:sz="0" w:space="0" w:color="auto"/>
        <w:right w:val="none" w:sz="0" w:space="0" w:color="auto"/>
      </w:divBdr>
    </w:div>
    <w:div w:id="951471328">
      <w:bodyDiv w:val="1"/>
      <w:marLeft w:val="0"/>
      <w:marRight w:val="0"/>
      <w:marTop w:val="0"/>
      <w:marBottom w:val="0"/>
      <w:divBdr>
        <w:top w:val="none" w:sz="0" w:space="0" w:color="auto"/>
        <w:left w:val="none" w:sz="0" w:space="0" w:color="auto"/>
        <w:bottom w:val="none" w:sz="0" w:space="0" w:color="auto"/>
        <w:right w:val="none" w:sz="0" w:space="0" w:color="auto"/>
      </w:divBdr>
      <w:divsChild>
        <w:div w:id="669260290">
          <w:marLeft w:val="576"/>
          <w:marRight w:val="0"/>
          <w:marTop w:val="80"/>
          <w:marBottom w:val="0"/>
          <w:divBdr>
            <w:top w:val="none" w:sz="0" w:space="0" w:color="auto"/>
            <w:left w:val="none" w:sz="0" w:space="0" w:color="auto"/>
            <w:bottom w:val="none" w:sz="0" w:space="0" w:color="auto"/>
            <w:right w:val="none" w:sz="0" w:space="0" w:color="auto"/>
          </w:divBdr>
        </w:div>
        <w:div w:id="721251450">
          <w:marLeft w:val="576"/>
          <w:marRight w:val="0"/>
          <w:marTop w:val="80"/>
          <w:marBottom w:val="0"/>
          <w:divBdr>
            <w:top w:val="none" w:sz="0" w:space="0" w:color="auto"/>
            <w:left w:val="none" w:sz="0" w:space="0" w:color="auto"/>
            <w:bottom w:val="none" w:sz="0" w:space="0" w:color="auto"/>
            <w:right w:val="none" w:sz="0" w:space="0" w:color="auto"/>
          </w:divBdr>
        </w:div>
      </w:divsChild>
    </w:div>
    <w:div w:id="979073637">
      <w:bodyDiv w:val="1"/>
      <w:marLeft w:val="0"/>
      <w:marRight w:val="0"/>
      <w:marTop w:val="0"/>
      <w:marBottom w:val="0"/>
      <w:divBdr>
        <w:top w:val="none" w:sz="0" w:space="0" w:color="auto"/>
        <w:left w:val="none" w:sz="0" w:space="0" w:color="auto"/>
        <w:bottom w:val="none" w:sz="0" w:space="0" w:color="auto"/>
        <w:right w:val="none" w:sz="0" w:space="0" w:color="auto"/>
      </w:divBdr>
    </w:div>
    <w:div w:id="989358725">
      <w:bodyDiv w:val="1"/>
      <w:marLeft w:val="0"/>
      <w:marRight w:val="0"/>
      <w:marTop w:val="0"/>
      <w:marBottom w:val="0"/>
      <w:divBdr>
        <w:top w:val="none" w:sz="0" w:space="0" w:color="auto"/>
        <w:left w:val="none" w:sz="0" w:space="0" w:color="auto"/>
        <w:bottom w:val="none" w:sz="0" w:space="0" w:color="auto"/>
        <w:right w:val="none" w:sz="0" w:space="0" w:color="auto"/>
      </w:divBdr>
    </w:div>
    <w:div w:id="994837908">
      <w:bodyDiv w:val="1"/>
      <w:marLeft w:val="0"/>
      <w:marRight w:val="0"/>
      <w:marTop w:val="0"/>
      <w:marBottom w:val="0"/>
      <w:divBdr>
        <w:top w:val="none" w:sz="0" w:space="0" w:color="auto"/>
        <w:left w:val="none" w:sz="0" w:space="0" w:color="auto"/>
        <w:bottom w:val="none" w:sz="0" w:space="0" w:color="auto"/>
        <w:right w:val="none" w:sz="0" w:space="0" w:color="auto"/>
      </w:divBdr>
    </w:div>
    <w:div w:id="999775886">
      <w:bodyDiv w:val="1"/>
      <w:marLeft w:val="0"/>
      <w:marRight w:val="0"/>
      <w:marTop w:val="0"/>
      <w:marBottom w:val="0"/>
      <w:divBdr>
        <w:top w:val="none" w:sz="0" w:space="0" w:color="auto"/>
        <w:left w:val="none" w:sz="0" w:space="0" w:color="auto"/>
        <w:bottom w:val="none" w:sz="0" w:space="0" w:color="auto"/>
        <w:right w:val="none" w:sz="0" w:space="0" w:color="auto"/>
      </w:divBdr>
    </w:div>
    <w:div w:id="1077434871">
      <w:bodyDiv w:val="1"/>
      <w:marLeft w:val="0"/>
      <w:marRight w:val="0"/>
      <w:marTop w:val="0"/>
      <w:marBottom w:val="0"/>
      <w:divBdr>
        <w:top w:val="none" w:sz="0" w:space="0" w:color="auto"/>
        <w:left w:val="none" w:sz="0" w:space="0" w:color="auto"/>
        <w:bottom w:val="none" w:sz="0" w:space="0" w:color="auto"/>
        <w:right w:val="none" w:sz="0" w:space="0" w:color="auto"/>
      </w:divBdr>
    </w:div>
    <w:div w:id="1115170117">
      <w:bodyDiv w:val="1"/>
      <w:marLeft w:val="0"/>
      <w:marRight w:val="0"/>
      <w:marTop w:val="0"/>
      <w:marBottom w:val="0"/>
      <w:divBdr>
        <w:top w:val="none" w:sz="0" w:space="0" w:color="auto"/>
        <w:left w:val="none" w:sz="0" w:space="0" w:color="auto"/>
        <w:bottom w:val="none" w:sz="0" w:space="0" w:color="auto"/>
        <w:right w:val="none" w:sz="0" w:space="0" w:color="auto"/>
      </w:divBdr>
    </w:div>
    <w:div w:id="1129281816">
      <w:bodyDiv w:val="1"/>
      <w:marLeft w:val="0"/>
      <w:marRight w:val="0"/>
      <w:marTop w:val="0"/>
      <w:marBottom w:val="0"/>
      <w:divBdr>
        <w:top w:val="none" w:sz="0" w:space="0" w:color="auto"/>
        <w:left w:val="none" w:sz="0" w:space="0" w:color="auto"/>
        <w:bottom w:val="none" w:sz="0" w:space="0" w:color="auto"/>
        <w:right w:val="none" w:sz="0" w:space="0" w:color="auto"/>
      </w:divBdr>
    </w:div>
    <w:div w:id="1193304780">
      <w:bodyDiv w:val="1"/>
      <w:marLeft w:val="0"/>
      <w:marRight w:val="0"/>
      <w:marTop w:val="0"/>
      <w:marBottom w:val="0"/>
      <w:divBdr>
        <w:top w:val="none" w:sz="0" w:space="0" w:color="auto"/>
        <w:left w:val="none" w:sz="0" w:space="0" w:color="auto"/>
        <w:bottom w:val="none" w:sz="0" w:space="0" w:color="auto"/>
        <w:right w:val="none" w:sz="0" w:space="0" w:color="auto"/>
      </w:divBdr>
    </w:div>
    <w:div w:id="1305739311">
      <w:bodyDiv w:val="1"/>
      <w:marLeft w:val="0"/>
      <w:marRight w:val="0"/>
      <w:marTop w:val="0"/>
      <w:marBottom w:val="0"/>
      <w:divBdr>
        <w:top w:val="none" w:sz="0" w:space="0" w:color="auto"/>
        <w:left w:val="none" w:sz="0" w:space="0" w:color="auto"/>
        <w:bottom w:val="none" w:sz="0" w:space="0" w:color="auto"/>
        <w:right w:val="none" w:sz="0" w:space="0" w:color="auto"/>
      </w:divBdr>
    </w:div>
    <w:div w:id="1341159684">
      <w:bodyDiv w:val="1"/>
      <w:marLeft w:val="0"/>
      <w:marRight w:val="0"/>
      <w:marTop w:val="0"/>
      <w:marBottom w:val="0"/>
      <w:divBdr>
        <w:top w:val="none" w:sz="0" w:space="0" w:color="auto"/>
        <w:left w:val="none" w:sz="0" w:space="0" w:color="auto"/>
        <w:bottom w:val="none" w:sz="0" w:space="0" w:color="auto"/>
        <w:right w:val="none" w:sz="0" w:space="0" w:color="auto"/>
      </w:divBdr>
    </w:div>
    <w:div w:id="1348172286">
      <w:bodyDiv w:val="1"/>
      <w:marLeft w:val="0"/>
      <w:marRight w:val="0"/>
      <w:marTop w:val="0"/>
      <w:marBottom w:val="0"/>
      <w:divBdr>
        <w:top w:val="none" w:sz="0" w:space="0" w:color="auto"/>
        <w:left w:val="none" w:sz="0" w:space="0" w:color="auto"/>
        <w:bottom w:val="none" w:sz="0" w:space="0" w:color="auto"/>
        <w:right w:val="none" w:sz="0" w:space="0" w:color="auto"/>
      </w:divBdr>
    </w:div>
    <w:div w:id="1433428616">
      <w:bodyDiv w:val="1"/>
      <w:marLeft w:val="0"/>
      <w:marRight w:val="0"/>
      <w:marTop w:val="0"/>
      <w:marBottom w:val="0"/>
      <w:divBdr>
        <w:top w:val="none" w:sz="0" w:space="0" w:color="auto"/>
        <w:left w:val="none" w:sz="0" w:space="0" w:color="auto"/>
        <w:bottom w:val="none" w:sz="0" w:space="0" w:color="auto"/>
        <w:right w:val="none" w:sz="0" w:space="0" w:color="auto"/>
      </w:divBdr>
    </w:div>
    <w:div w:id="1508448868">
      <w:bodyDiv w:val="1"/>
      <w:marLeft w:val="0"/>
      <w:marRight w:val="0"/>
      <w:marTop w:val="0"/>
      <w:marBottom w:val="0"/>
      <w:divBdr>
        <w:top w:val="none" w:sz="0" w:space="0" w:color="auto"/>
        <w:left w:val="none" w:sz="0" w:space="0" w:color="auto"/>
        <w:bottom w:val="none" w:sz="0" w:space="0" w:color="auto"/>
        <w:right w:val="none" w:sz="0" w:space="0" w:color="auto"/>
      </w:divBdr>
    </w:div>
    <w:div w:id="1542477819">
      <w:bodyDiv w:val="1"/>
      <w:marLeft w:val="0"/>
      <w:marRight w:val="0"/>
      <w:marTop w:val="0"/>
      <w:marBottom w:val="0"/>
      <w:divBdr>
        <w:top w:val="none" w:sz="0" w:space="0" w:color="auto"/>
        <w:left w:val="none" w:sz="0" w:space="0" w:color="auto"/>
        <w:bottom w:val="none" w:sz="0" w:space="0" w:color="auto"/>
        <w:right w:val="none" w:sz="0" w:space="0" w:color="auto"/>
      </w:divBdr>
    </w:div>
    <w:div w:id="1548645753">
      <w:bodyDiv w:val="1"/>
      <w:marLeft w:val="0"/>
      <w:marRight w:val="0"/>
      <w:marTop w:val="0"/>
      <w:marBottom w:val="0"/>
      <w:divBdr>
        <w:top w:val="none" w:sz="0" w:space="0" w:color="auto"/>
        <w:left w:val="none" w:sz="0" w:space="0" w:color="auto"/>
        <w:bottom w:val="none" w:sz="0" w:space="0" w:color="auto"/>
        <w:right w:val="none" w:sz="0" w:space="0" w:color="auto"/>
      </w:divBdr>
    </w:div>
    <w:div w:id="1599946847">
      <w:bodyDiv w:val="1"/>
      <w:marLeft w:val="0"/>
      <w:marRight w:val="0"/>
      <w:marTop w:val="0"/>
      <w:marBottom w:val="0"/>
      <w:divBdr>
        <w:top w:val="none" w:sz="0" w:space="0" w:color="auto"/>
        <w:left w:val="none" w:sz="0" w:space="0" w:color="auto"/>
        <w:bottom w:val="none" w:sz="0" w:space="0" w:color="auto"/>
        <w:right w:val="none" w:sz="0" w:space="0" w:color="auto"/>
      </w:divBdr>
    </w:div>
    <w:div w:id="1646202699">
      <w:bodyDiv w:val="1"/>
      <w:marLeft w:val="0"/>
      <w:marRight w:val="0"/>
      <w:marTop w:val="0"/>
      <w:marBottom w:val="0"/>
      <w:divBdr>
        <w:top w:val="none" w:sz="0" w:space="0" w:color="auto"/>
        <w:left w:val="none" w:sz="0" w:space="0" w:color="auto"/>
        <w:bottom w:val="none" w:sz="0" w:space="0" w:color="auto"/>
        <w:right w:val="none" w:sz="0" w:space="0" w:color="auto"/>
      </w:divBdr>
    </w:div>
    <w:div w:id="1716812578">
      <w:bodyDiv w:val="1"/>
      <w:marLeft w:val="0"/>
      <w:marRight w:val="0"/>
      <w:marTop w:val="0"/>
      <w:marBottom w:val="0"/>
      <w:divBdr>
        <w:top w:val="none" w:sz="0" w:space="0" w:color="auto"/>
        <w:left w:val="none" w:sz="0" w:space="0" w:color="auto"/>
        <w:bottom w:val="none" w:sz="0" w:space="0" w:color="auto"/>
        <w:right w:val="none" w:sz="0" w:space="0" w:color="auto"/>
      </w:divBdr>
    </w:div>
    <w:div w:id="1717704899">
      <w:bodyDiv w:val="1"/>
      <w:marLeft w:val="0"/>
      <w:marRight w:val="0"/>
      <w:marTop w:val="0"/>
      <w:marBottom w:val="0"/>
      <w:divBdr>
        <w:top w:val="none" w:sz="0" w:space="0" w:color="auto"/>
        <w:left w:val="none" w:sz="0" w:space="0" w:color="auto"/>
        <w:bottom w:val="none" w:sz="0" w:space="0" w:color="auto"/>
        <w:right w:val="none" w:sz="0" w:space="0" w:color="auto"/>
      </w:divBdr>
    </w:div>
    <w:div w:id="1811901391">
      <w:bodyDiv w:val="1"/>
      <w:marLeft w:val="0"/>
      <w:marRight w:val="0"/>
      <w:marTop w:val="0"/>
      <w:marBottom w:val="0"/>
      <w:divBdr>
        <w:top w:val="none" w:sz="0" w:space="0" w:color="auto"/>
        <w:left w:val="none" w:sz="0" w:space="0" w:color="auto"/>
        <w:bottom w:val="none" w:sz="0" w:space="0" w:color="auto"/>
        <w:right w:val="none" w:sz="0" w:space="0" w:color="auto"/>
      </w:divBdr>
    </w:div>
    <w:div w:id="1836918334">
      <w:bodyDiv w:val="1"/>
      <w:marLeft w:val="0"/>
      <w:marRight w:val="0"/>
      <w:marTop w:val="0"/>
      <w:marBottom w:val="0"/>
      <w:divBdr>
        <w:top w:val="none" w:sz="0" w:space="0" w:color="auto"/>
        <w:left w:val="none" w:sz="0" w:space="0" w:color="auto"/>
        <w:bottom w:val="none" w:sz="0" w:space="0" w:color="auto"/>
        <w:right w:val="none" w:sz="0" w:space="0" w:color="auto"/>
      </w:divBdr>
    </w:div>
    <w:div w:id="1875120940">
      <w:bodyDiv w:val="1"/>
      <w:marLeft w:val="0"/>
      <w:marRight w:val="0"/>
      <w:marTop w:val="0"/>
      <w:marBottom w:val="0"/>
      <w:divBdr>
        <w:top w:val="none" w:sz="0" w:space="0" w:color="auto"/>
        <w:left w:val="none" w:sz="0" w:space="0" w:color="auto"/>
        <w:bottom w:val="none" w:sz="0" w:space="0" w:color="auto"/>
        <w:right w:val="none" w:sz="0" w:space="0" w:color="auto"/>
      </w:divBdr>
    </w:div>
    <w:div w:id="1903440045">
      <w:bodyDiv w:val="1"/>
      <w:marLeft w:val="0"/>
      <w:marRight w:val="0"/>
      <w:marTop w:val="0"/>
      <w:marBottom w:val="0"/>
      <w:divBdr>
        <w:top w:val="none" w:sz="0" w:space="0" w:color="auto"/>
        <w:left w:val="none" w:sz="0" w:space="0" w:color="auto"/>
        <w:bottom w:val="none" w:sz="0" w:space="0" w:color="auto"/>
        <w:right w:val="none" w:sz="0" w:space="0" w:color="auto"/>
      </w:divBdr>
    </w:div>
    <w:div w:id="1915123163">
      <w:bodyDiv w:val="1"/>
      <w:marLeft w:val="0"/>
      <w:marRight w:val="0"/>
      <w:marTop w:val="0"/>
      <w:marBottom w:val="0"/>
      <w:divBdr>
        <w:top w:val="none" w:sz="0" w:space="0" w:color="auto"/>
        <w:left w:val="none" w:sz="0" w:space="0" w:color="auto"/>
        <w:bottom w:val="none" w:sz="0" w:space="0" w:color="auto"/>
        <w:right w:val="none" w:sz="0" w:space="0" w:color="auto"/>
      </w:divBdr>
    </w:div>
    <w:div w:id="1932426598">
      <w:bodyDiv w:val="1"/>
      <w:marLeft w:val="0"/>
      <w:marRight w:val="0"/>
      <w:marTop w:val="0"/>
      <w:marBottom w:val="0"/>
      <w:divBdr>
        <w:top w:val="none" w:sz="0" w:space="0" w:color="auto"/>
        <w:left w:val="none" w:sz="0" w:space="0" w:color="auto"/>
        <w:bottom w:val="none" w:sz="0" w:space="0" w:color="auto"/>
        <w:right w:val="none" w:sz="0" w:space="0" w:color="auto"/>
      </w:divBdr>
    </w:div>
    <w:div w:id="1944453987">
      <w:bodyDiv w:val="1"/>
      <w:marLeft w:val="0"/>
      <w:marRight w:val="0"/>
      <w:marTop w:val="0"/>
      <w:marBottom w:val="0"/>
      <w:divBdr>
        <w:top w:val="none" w:sz="0" w:space="0" w:color="auto"/>
        <w:left w:val="none" w:sz="0" w:space="0" w:color="auto"/>
        <w:bottom w:val="none" w:sz="0" w:space="0" w:color="auto"/>
        <w:right w:val="none" w:sz="0" w:space="0" w:color="auto"/>
      </w:divBdr>
    </w:div>
    <w:div w:id="1955358840">
      <w:bodyDiv w:val="1"/>
      <w:marLeft w:val="0"/>
      <w:marRight w:val="0"/>
      <w:marTop w:val="0"/>
      <w:marBottom w:val="0"/>
      <w:divBdr>
        <w:top w:val="none" w:sz="0" w:space="0" w:color="auto"/>
        <w:left w:val="none" w:sz="0" w:space="0" w:color="auto"/>
        <w:bottom w:val="none" w:sz="0" w:space="0" w:color="auto"/>
        <w:right w:val="none" w:sz="0" w:space="0" w:color="auto"/>
      </w:divBdr>
    </w:div>
    <w:div w:id="1955745487">
      <w:bodyDiv w:val="1"/>
      <w:marLeft w:val="0"/>
      <w:marRight w:val="0"/>
      <w:marTop w:val="0"/>
      <w:marBottom w:val="0"/>
      <w:divBdr>
        <w:top w:val="none" w:sz="0" w:space="0" w:color="auto"/>
        <w:left w:val="none" w:sz="0" w:space="0" w:color="auto"/>
        <w:bottom w:val="none" w:sz="0" w:space="0" w:color="auto"/>
        <w:right w:val="none" w:sz="0" w:space="0" w:color="auto"/>
      </w:divBdr>
    </w:div>
    <w:div w:id="2088458378">
      <w:bodyDiv w:val="1"/>
      <w:marLeft w:val="0"/>
      <w:marRight w:val="0"/>
      <w:marTop w:val="0"/>
      <w:marBottom w:val="0"/>
      <w:divBdr>
        <w:top w:val="none" w:sz="0" w:space="0" w:color="auto"/>
        <w:left w:val="none" w:sz="0" w:space="0" w:color="auto"/>
        <w:bottom w:val="none" w:sz="0" w:space="0" w:color="auto"/>
        <w:right w:val="none" w:sz="0" w:space="0" w:color="auto"/>
      </w:divBdr>
    </w:div>
    <w:div w:id="213262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itcabd.com/" TargetMode="External"/><Relationship Id="rId39" Type="http://schemas.openxmlformats.org/officeDocument/2006/relationships/chart" Target="charts/chart4.xml"/><Relationship Id="rId21" Type="http://schemas.openxmlformats.org/officeDocument/2006/relationships/image" Target="media/image9.png"/><Relationship Id="rId34" Type="http://schemas.openxmlformats.org/officeDocument/2006/relationships/hyperlink" Target="http://www.forbes.com/tools/glossary/search.jhtml?term=current_assets" TargetMode="Externa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image" Target="media/image18.emf"/><Relationship Id="rId55" Type="http://schemas.openxmlformats.org/officeDocument/2006/relationships/hyperlink" Target="http://www.google.com/finance" TargetMode="External"/><Relationship Id="rId7" Type="http://schemas.openxmlformats.org/officeDocument/2006/relationships/endnotes" Target="endnotes.xml"/><Relationship Id="rId12" Type="http://schemas.openxmlformats.org/officeDocument/2006/relationships/hyperlink" Target="http://en.wikipedia.org/wiki/Forbes_2000" TargetMode="External"/><Relationship Id="rId17" Type="http://schemas.openxmlformats.org/officeDocument/2006/relationships/image" Target="media/image5.jpeg"/><Relationship Id="rId25" Type="http://schemas.openxmlformats.org/officeDocument/2006/relationships/hyperlink" Target="http://www.itcportal.com/businesses/packaging.aspx" TargetMode="External"/><Relationship Id="rId33" Type="http://schemas.openxmlformats.org/officeDocument/2006/relationships/hyperlink" Target="http://www.forbes.com/tools/glossary/search.jhtml?term=debt" TargetMode="Externa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chart" Target="charts/chart6.xml"/><Relationship Id="rId54" Type="http://schemas.openxmlformats.org/officeDocument/2006/relationships/hyperlink" Target="http://www.yahoo.in/financ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Market_capitalisation" TargetMode="External"/><Relationship Id="rId24" Type="http://schemas.openxmlformats.org/officeDocument/2006/relationships/hyperlink" Target="http://www.itcportal.com/businesses/packaging.aspx" TargetMode="External"/><Relationship Id="rId32" Type="http://schemas.openxmlformats.org/officeDocument/2006/relationships/image" Target="media/image16.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21.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itcportal.com/businesses/packaging.aspx" TargetMode="External"/><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image" Target="media/image17.emf"/><Relationship Id="rId57" Type="http://schemas.openxmlformats.org/officeDocument/2006/relationships/hyperlink" Target="http://www.morningstar.in" TargetMode="External"/><Relationship Id="rId10" Type="http://schemas.openxmlformats.org/officeDocument/2006/relationships/hyperlink" Target="http://en.wikipedia.org/wiki/Fast-moving_consumer_goods"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chart" Target="charts/chart9.xml"/><Relationship Id="rId52" Type="http://schemas.openxmlformats.org/officeDocument/2006/relationships/image" Target="media/image20.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Kolkata,_West_Bengal"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www.forbes.com/tools/glossary/search.jhtml?term=current_liabilities" TargetMode="Externa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www.itcportal.com" TargetMode="External"/><Relationship Id="rId8" Type="http://schemas.openxmlformats.org/officeDocument/2006/relationships/hyperlink" Target="http://en.wikipedia.org/wiki/Conglomerate_(company)" TargetMode="External"/><Relationship Id="rId51" Type="http://schemas.openxmlformats.org/officeDocument/2006/relationships/image" Target="media/image19.emf"/><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RP\Documents\Book1%20(Autosav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RP\Documents\MARKT%20C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RP\Downloads\ratio%20ana%20of%20ITC.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790529308836397"/>
          <c:y val="0.17165536599591719"/>
          <c:w val="0.55188560804899389"/>
          <c:h val="0.59104512977544477"/>
        </c:manualLayout>
      </c:layout>
      <c:scatterChart>
        <c:scatterStyle val="lineMarker"/>
        <c:varyColors val="0"/>
        <c:ser>
          <c:idx val="0"/>
          <c:order val="0"/>
          <c:tx>
            <c:strRef>
              <c:f>Sheet2!$G$23</c:f>
              <c:strCache>
                <c:ptCount val="1"/>
                <c:pt idx="0">
                  <c:v>Current Ratio</c:v>
                </c:pt>
              </c:strCache>
            </c:strRef>
          </c:tx>
          <c:trendline>
            <c:trendlineType val="linear"/>
            <c:dispRSqr val="0"/>
            <c:dispEq val="0"/>
          </c:trendline>
          <c:xVal>
            <c:numRef>
              <c:f>Sheet2!$F$24:$F$28</c:f>
              <c:numCache>
                <c:formatCode>General</c:formatCode>
                <c:ptCount val="5"/>
                <c:pt idx="0">
                  <c:v>2009</c:v>
                </c:pt>
                <c:pt idx="1">
                  <c:v>2010</c:v>
                </c:pt>
                <c:pt idx="2">
                  <c:v>2011</c:v>
                </c:pt>
                <c:pt idx="3">
                  <c:v>2012</c:v>
                </c:pt>
                <c:pt idx="4">
                  <c:v>2013</c:v>
                </c:pt>
              </c:numCache>
            </c:numRef>
          </c:xVal>
          <c:yVal>
            <c:numRef>
              <c:f>Sheet2!$G$24:$G$28</c:f>
              <c:numCache>
                <c:formatCode>General</c:formatCode>
                <c:ptCount val="5"/>
                <c:pt idx="0">
                  <c:v>2.1480400679275919</c:v>
                </c:pt>
                <c:pt idx="1">
                  <c:v>1.5527165837586407</c:v>
                </c:pt>
                <c:pt idx="2">
                  <c:v>1.5388464496524912</c:v>
                </c:pt>
                <c:pt idx="3">
                  <c:v>1.0339557795432703</c:v>
                </c:pt>
                <c:pt idx="4">
                  <c:v>1.7028293257107681</c:v>
                </c:pt>
              </c:numCache>
            </c:numRef>
          </c:yVal>
          <c:smooth val="0"/>
        </c:ser>
        <c:dLbls>
          <c:showLegendKey val="0"/>
          <c:showVal val="0"/>
          <c:showCatName val="0"/>
          <c:showSerName val="0"/>
          <c:showPercent val="0"/>
          <c:showBubbleSize val="0"/>
        </c:dLbls>
        <c:axId val="349076480"/>
        <c:axId val="357635584"/>
      </c:scatterChart>
      <c:valAx>
        <c:axId val="349076480"/>
        <c:scaling>
          <c:orientation val="minMax"/>
          <c:max val="2013"/>
          <c:min val="2009"/>
        </c:scaling>
        <c:delete val="0"/>
        <c:axPos val="b"/>
        <c:title>
          <c:tx>
            <c:rich>
              <a:bodyPr/>
              <a:lstStyle/>
              <a:p>
                <a:pPr>
                  <a:defRPr/>
                </a:pPr>
                <a:r>
                  <a:rPr lang="en-US"/>
                  <a:t>YEAR</a:t>
                </a:r>
              </a:p>
            </c:rich>
          </c:tx>
          <c:layout>
            <c:manualLayout>
              <c:xMode val="edge"/>
              <c:yMode val="edge"/>
              <c:x val="0.34813276465441823"/>
              <c:y val="0.87868037328667248"/>
            </c:manualLayout>
          </c:layout>
          <c:overlay val="0"/>
        </c:title>
        <c:numFmt formatCode="General" sourceLinked="1"/>
        <c:majorTickMark val="none"/>
        <c:minorTickMark val="none"/>
        <c:tickLblPos val="nextTo"/>
        <c:crossAx val="357635584"/>
        <c:crosses val="autoZero"/>
        <c:crossBetween val="midCat"/>
      </c:valAx>
      <c:valAx>
        <c:axId val="357635584"/>
        <c:scaling>
          <c:orientation val="minMax"/>
        </c:scaling>
        <c:delete val="0"/>
        <c:axPos val="l"/>
        <c:majorGridlines>
          <c:spPr>
            <a:ln>
              <a:noFill/>
            </a:ln>
          </c:spPr>
        </c:majorGridlines>
        <c:title>
          <c:tx>
            <c:rich>
              <a:bodyPr/>
              <a:lstStyle/>
              <a:p>
                <a:pPr>
                  <a:defRPr/>
                </a:pPr>
                <a:r>
                  <a:rPr lang="en-US"/>
                  <a:t>RATIO</a:t>
                </a:r>
              </a:p>
            </c:rich>
          </c:tx>
          <c:overlay val="0"/>
        </c:title>
        <c:numFmt formatCode="General" sourceLinked="1"/>
        <c:majorTickMark val="none"/>
        <c:minorTickMark val="none"/>
        <c:tickLblPos val="nextTo"/>
        <c:crossAx val="349076480"/>
        <c:crosses val="autoZero"/>
        <c:crossBetween val="midCat"/>
      </c:valAx>
      <c:spPr>
        <a:noFill/>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CROSS</a:t>
            </a:r>
            <a:r>
              <a:rPr lang="en-US" baseline="0"/>
              <a:t>-SECTIONAL ANALYSIS-CIGGARETES</a:t>
            </a:r>
            <a:endParaRPr lang="en-US"/>
          </a:p>
        </c:rich>
      </c:tx>
      <c:overlay val="0"/>
    </c:title>
    <c:autoTitleDeleted val="0"/>
    <c:plotArea>
      <c:layout/>
      <c:barChart>
        <c:barDir val="col"/>
        <c:grouping val="clustered"/>
        <c:varyColors val="0"/>
        <c:ser>
          <c:idx val="0"/>
          <c:order val="0"/>
          <c:tx>
            <c:strRef>
              <c:f>Sheet2!$B$1:$B$2</c:f>
              <c:strCache>
                <c:ptCount val="1"/>
                <c:pt idx="0">
                  <c:v>ITC Mar '13</c:v>
                </c:pt>
              </c:strCache>
            </c:strRef>
          </c:tx>
          <c:invertIfNegative val="0"/>
          <c:cat>
            <c:strRef>
              <c:f>Sheet2!$A$3:$A$9</c:f>
              <c:strCache>
                <c:ptCount val="7"/>
                <c:pt idx="0">
                  <c:v>Net Worth</c:v>
                </c:pt>
                <c:pt idx="1">
                  <c:v>Net Sales</c:v>
                </c:pt>
                <c:pt idx="2">
                  <c:v>PBDIT</c:v>
                </c:pt>
                <c:pt idx="3">
                  <c:v>PBT </c:v>
                </c:pt>
                <c:pt idx="4">
                  <c:v>PAT</c:v>
                </c:pt>
                <c:pt idx="5">
                  <c:v> Dividend</c:v>
                </c:pt>
                <c:pt idx="6">
                  <c:v>Earning Per Share (Rs)</c:v>
                </c:pt>
              </c:strCache>
            </c:strRef>
          </c:cat>
          <c:val>
            <c:numRef>
              <c:f>Sheet2!$B$3:$B$9</c:f>
              <c:numCache>
                <c:formatCode>#,##0.00</c:formatCode>
                <c:ptCount val="7"/>
                <c:pt idx="0">
                  <c:v>22287.85</c:v>
                </c:pt>
                <c:pt idx="1">
                  <c:v>29901.27</c:v>
                </c:pt>
                <c:pt idx="2">
                  <c:v>11566.21</c:v>
                </c:pt>
                <c:pt idx="3">
                  <c:v>10684.18</c:v>
                </c:pt>
                <c:pt idx="4">
                  <c:v>7418.39</c:v>
                </c:pt>
                <c:pt idx="5">
                  <c:v>4148.46</c:v>
                </c:pt>
                <c:pt idx="6" formatCode="General">
                  <c:v>9.39</c:v>
                </c:pt>
              </c:numCache>
            </c:numRef>
          </c:val>
        </c:ser>
        <c:ser>
          <c:idx val="1"/>
          <c:order val="1"/>
          <c:tx>
            <c:strRef>
              <c:f>Sheet2!$C$1:$C$2</c:f>
              <c:strCache>
                <c:ptCount val="1"/>
                <c:pt idx="0">
                  <c:v>Godfrey Phillip Mar '13</c:v>
                </c:pt>
              </c:strCache>
            </c:strRef>
          </c:tx>
          <c:invertIfNegative val="0"/>
          <c:cat>
            <c:strRef>
              <c:f>Sheet2!$A$3:$A$9</c:f>
              <c:strCache>
                <c:ptCount val="7"/>
                <c:pt idx="0">
                  <c:v>Net Worth</c:v>
                </c:pt>
                <c:pt idx="1">
                  <c:v>Net Sales</c:v>
                </c:pt>
                <c:pt idx="2">
                  <c:v>PBDIT</c:v>
                </c:pt>
                <c:pt idx="3">
                  <c:v>PBT </c:v>
                </c:pt>
                <c:pt idx="4">
                  <c:v>PAT</c:v>
                </c:pt>
                <c:pt idx="5">
                  <c:v> Dividend</c:v>
                </c:pt>
                <c:pt idx="6">
                  <c:v>Earning Per Share (Rs)</c:v>
                </c:pt>
              </c:strCache>
            </c:strRef>
          </c:cat>
          <c:val>
            <c:numRef>
              <c:f>Sheet2!$C$3:$C$9</c:f>
              <c:numCache>
                <c:formatCode>#,##0.00</c:formatCode>
                <c:ptCount val="7"/>
                <c:pt idx="0">
                  <c:v>1041.72</c:v>
                </c:pt>
                <c:pt idx="1">
                  <c:v>2096.48</c:v>
                </c:pt>
                <c:pt idx="2" formatCode="General">
                  <c:v>257.89</c:v>
                </c:pt>
                <c:pt idx="3" formatCode="General">
                  <c:v>142.97</c:v>
                </c:pt>
                <c:pt idx="4" formatCode="General">
                  <c:v>169.48</c:v>
                </c:pt>
                <c:pt idx="5" formatCode="General">
                  <c:v>41.6</c:v>
                </c:pt>
                <c:pt idx="6" formatCode="General">
                  <c:v>162.97999999999999</c:v>
                </c:pt>
              </c:numCache>
            </c:numRef>
          </c:val>
        </c:ser>
        <c:ser>
          <c:idx val="2"/>
          <c:order val="2"/>
          <c:tx>
            <c:strRef>
              <c:f>Sheet2!$D$1:$D$2</c:f>
              <c:strCache>
                <c:ptCount val="1"/>
                <c:pt idx="0">
                  <c:v>VST Mar '12</c:v>
                </c:pt>
              </c:strCache>
            </c:strRef>
          </c:tx>
          <c:invertIfNegative val="0"/>
          <c:cat>
            <c:strRef>
              <c:f>Sheet2!$A$3:$A$9</c:f>
              <c:strCache>
                <c:ptCount val="7"/>
                <c:pt idx="0">
                  <c:v>Net Worth</c:v>
                </c:pt>
                <c:pt idx="1">
                  <c:v>Net Sales</c:v>
                </c:pt>
                <c:pt idx="2">
                  <c:v>PBDIT</c:v>
                </c:pt>
                <c:pt idx="3">
                  <c:v>PBT </c:v>
                </c:pt>
                <c:pt idx="4">
                  <c:v>PAT</c:v>
                </c:pt>
                <c:pt idx="5">
                  <c:v> Dividend</c:v>
                </c:pt>
                <c:pt idx="6">
                  <c:v>Earning Per Share (Rs)</c:v>
                </c:pt>
              </c:strCache>
            </c:strRef>
          </c:cat>
          <c:val>
            <c:numRef>
              <c:f>Sheet2!$D$3:$D$9</c:f>
              <c:numCache>
                <c:formatCode>General</c:formatCode>
                <c:ptCount val="7"/>
                <c:pt idx="0">
                  <c:v>290.19</c:v>
                </c:pt>
                <c:pt idx="1">
                  <c:v>696.25</c:v>
                </c:pt>
                <c:pt idx="2">
                  <c:v>235.32</c:v>
                </c:pt>
                <c:pt idx="3">
                  <c:v>210.65</c:v>
                </c:pt>
                <c:pt idx="4">
                  <c:v>142.51</c:v>
                </c:pt>
                <c:pt idx="5">
                  <c:v>100.37</c:v>
                </c:pt>
                <c:pt idx="6">
                  <c:v>92.29</c:v>
                </c:pt>
              </c:numCache>
            </c:numRef>
          </c:val>
        </c:ser>
        <c:ser>
          <c:idx val="3"/>
          <c:order val="3"/>
          <c:tx>
            <c:strRef>
              <c:f>Sheet2!$E$1:$E$2</c:f>
              <c:strCache>
                <c:ptCount val="1"/>
                <c:pt idx="0">
                  <c:v>Kothari Product Mar '13</c:v>
                </c:pt>
              </c:strCache>
            </c:strRef>
          </c:tx>
          <c:invertIfNegative val="0"/>
          <c:cat>
            <c:strRef>
              <c:f>Sheet2!$A$3:$A$9</c:f>
              <c:strCache>
                <c:ptCount val="7"/>
                <c:pt idx="0">
                  <c:v>Net Worth</c:v>
                </c:pt>
                <c:pt idx="1">
                  <c:v>Net Sales</c:v>
                </c:pt>
                <c:pt idx="2">
                  <c:v>PBDIT</c:v>
                </c:pt>
                <c:pt idx="3">
                  <c:v>PBT </c:v>
                </c:pt>
                <c:pt idx="4">
                  <c:v>PAT</c:v>
                </c:pt>
                <c:pt idx="5">
                  <c:v> Dividend</c:v>
                </c:pt>
                <c:pt idx="6">
                  <c:v>Earning Per Share (Rs)</c:v>
                </c:pt>
              </c:strCache>
            </c:strRef>
          </c:cat>
          <c:val>
            <c:numRef>
              <c:f>Sheet2!$E$3:$E$9</c:f>
              <c:numCache>
                <c:formatCode>#,##0.00</c:formatCode>
                <c:ptCount val="7"/>
                <c:pt idx="0" formatCode="General">
                  <c:v>681.5</c:v>
                </c:pt>
                <c:pt idx="1">
                  <c:v>3953.18</c:v>
                </c:pt>
                <c:pt idx="2" formatCode="General">
                  <c:v>109.54</c:v>
                </c:pt>
                <c:pt idx="3" formatCode="General">
                  <c:v>91.26</c:v>
                </c:pt>
                <c:pt idx="4" formatCode="General">
                  <c:v>59.07</c:v>
                </c:pt>
                <c:pt idx="5" formatCode="General">
                  <c:v>13.26</c:v>
                </c:pt>
                <c:pt idx="6" formatCode="General">
                  <c:v>89.07</c:v>
                </c:pt>
              </c:numCache>
            </c:numRef>
          </c:val>
        </c:ser>
        <c:ser>
          <c:idx val="4"/>
          <c:order val="4"/>
          <c:tx>
            <c:strRef>
              <c:f>Sheet2!$F$1:$F$2</c:f>
              <c:strCache>
                <c:ptCount val="1"/>
                <c:pt idx="0">
                  <c:v>Golden Tobacco Mar '13</c:v>
                </c:pt>
              </c:strCache>
            </c:strRef>
          </c:tx>
          <c:invertIfNegative val="0"/>
          <c:cat>
            <c:strRef>
              <c:f>Sheet2!$A$3:$A$9</c:f>
              <c:strCache>
                <c:ptCount val="7"/>
                <c:pt idx="0">
                  <c:v>Net Worth</c:v>
                </c:pt>
                <c:pt idx="1">
                  <c:v>Net Sales</c:v>
                </c:pt>
                <c:pt idx="2">
                  <c:v>PBDIT</c:v>
                </c:pt>
                <c:pt idx="3">
                  <c:v>PBT </c:v>
                </c:pt>
                <c:pt idx="4">
                  <c:v>PAT</c:v>
                </c:pt>
                <c:pt idx="5">
                  <c:v> Dividend</c:v>
                </c:pt>
                <c:pt idx="6">
                  <c:v>Earning Per Share (Rs)</c:v>
                </c:pt>
              </c:strCache>
            </c:strRef>
          </c:cat>
          <c:val>
            <c:numRef>
              <c:f>Sheet2!$F$3:$F$9</c:f>
              <c:numCache>
                <c:formatCode>General</c:formatCode>
                <c:ptCount val="7"/>
                <c:pt idx="0">
                  <c:v>-53.19</c:v>
                </c:pt>
                <c:pt idx="1">
                  <c:v>68.900000000000006</c:v>
                </c:pt>
                <c:pt idx="2">
                  <c:v>-18.899999999999999</c:v>
                </c:pt>
                <c:pt idx="3">
                  <c:v>-43.4</c:v>
                </c:pt>
                <c:pt idx="4">
                  <c:v>-43.42</c:v>
                </c:pt>
                <c:pt idx="5">
                  <c:v>0</c:v>
                </c:pt>
                <c:pt idx="6">
                  <c:v>-24.67</c:v>
                </c:pt>
              </c:numCache>
            </c:numRef>
          </c:val>
        </c:ser>
        <c:dLbls>
          <c:showLegendKey val="0"/>
          <c:showVal val="0"/>
          <c:showCatName val="0"/>
          <c:showSerName val="0"/>
          <c:showPercent val="0"/>
          <c:showBubbleSize val="0"/>
        </c:dLbls>
        <c:gapWidth val="150"/>
        <c:axId val="355914496"/>
        <c:axId val="355916032"/>
      </c:barChart>
      <c:catAx>
        <c:axId val="355914496"/>
        <c:scaling>
          <c:orientation val="minMax"/>
        </c:scaling>
        <c:delete val="0"/>
        <c:axPos val="b"/>
        <c:majorTickMark val="none"/>
        <c:minorTickMark val="none"/>
        <c:tickLblPos val="nextTo"/>
        <c:crossAx val="355916032"/>
        <c:crosses val="autoZero"/>
        <c:auto val="1"/>
        <c:lblAlgn val="ctr"/>
        <c:lblOffset val="100"/>
        <c:noMultiLvlLbl val="0"/>
      </c:catAx>
      <c:valAx>
        <c:axId val="355916032"/>
        <c:scaling>
          <c:orientation val="minMax"/>
        </c:scaling>
        <c:delete val="0"/>
        <c:axPos val="l"/>
        <c:majorGridlines/>
        <c:numFmt formatCode="#,##0.00" sourceLinked="1"/>
        <c:majorTickMark val="none"/>
        <c:minorTickMark val="none"/>
        <c:tickLblPos val="nextTo"/>
        <c:crossAx val="355914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NET</a:t>
            </a:r>
            <a:r>
              <a:rPr lang="en-US" baseline="0"/>
              <a:t> WORTH</a:t>
            </a:r>
            <a:endParaRPr lang="en-US"/>
          </a:p>
        </c:rich>
      </c:tx>
      <c:overlay val="0"/>
    </c:title>
    <c:autoTitleDeleted val="0"/>
    <c:plotArea>
      <c:layout/>
      <c:scatterChart>
        <c:scatterStyle val="lineMarker"/>
        <c:varyColors val="0"/>
        <c:ser>
          <c:idx val="0"/>
          <c:order val="0"/>
          <c:tx>
            <c:strRef>
              <c:f>Sheet6!$M$4</c:f>
              <c:strCache>
                <c:ptCount val="1"/>
                <c:pt idx="0">
                  <c:v>GODFREY PHILIP</c:v>
                </c:pt>
              </c:strCache>
            </c:strRef>
          </c:tx>
          <c:dLbls>
            <c:showLegendKey val="0"/>
            <c:showVal val="1"/>
            <c:showCatName val="0"/>
            <c:showSerName val="0"/>
            <c:showPercent val="0"/>
            <c:showBubbleSize val="0"/>
            <c:showLeaderLines val="0"/>
          </c:dLbls>
          <c:xVal>
            <c:numRef>
              <c:f>Sheet6!$L$5:$L$9</c:f>
              <c:numCache>
                <c:formatCode>General</c:formatCode>
                <c:ptCount val="5"/>
                <c:pt idx="0">
                  <c:v>2013</c:v>
                </c:pt>
                <c:pt idx="1">
                  <c:v>2012</c:v>
                </c:pt>
                <c:pt idx="2">
                  <c:v>2011</c:v>
                </c:pt>
                <c:pt idx="3">
                  <c:v>2010</c:v>
                </c:pt>
                <c:pt idx="4">
                  <c:v>2009</c:v>
                </c:pt>
              </c:numCache>
            </c:numRef>
          </c:xVal>
          <c:yVal>
            <c:numRef>
              <c:f>Sheet6!$M$5:$M$9</c:f>
              <c:numCache>
                <c:formatCode>General</c:formatCode>
                <c:ptCount val="5"/>
                <c:pt idx="0" formatCode="#,##0.00">
                  <c:v>1041.72</c:v>
                </c:pt>
                <c:pt idx="1">
                  <c:v>920.91</c:v>
                </c:pt>
                <c:pt idx="2">
                  <c:v>790.25</c:v>
                </c:pt>
                <c:pt idx="3">
                  <c:v>666.52</c:v>
                </c:pt>
                <c:pt idx="4">
                  <c:v>578.45000000000005</c:v>
                </c:pt>
              </c:numCache>
            </c:numRef>
          </c:yVal>
          <c:smooth val="0"/>
        </c:ser>
        <c:ser>
          <c:idx val="1"/>
          <c:order val="1"/>
          <c:tx>
            <c:strRef>
              <c:f>Sheet6!$N$4</c:f>
              <c:strCache>
                <c:ptCount val="1"/>
                <c:pt idx="0">
                  <c:v>ITC</c:v>
                </c:pt>
              </c:strCache>
            </c:strRef>
          </c:tx>
          <c:dLbls>
            <c:showLegendKey val="0"/>
            <c:showVal val="1"/>
            <c:showCatName val="0"/>
            <c:showSerName val="0"/>
            <c:showPercent val="0"/>
            <c:showBubbleSize val="0"/>
            <c:showLeaderLines val="0"/>
          </c:dLbls>
          <c:xVal>
            <c:numRef>
              <c:f>Sheet6!$L$5:$L$9</c:f>
              <c:numCache>
                <c:formatCode>General</c:formatCode>
                <c:ptCount val="5"/>
                <c:pt idx="0">
                  <c:v>2013</c:v>
                </c:pt>
                <c:pt idx="1">
                  <c:v>2012</c:v>
                </c:pt>
                <c:pt idx="2">
                  <c:v>2011</c:v>
                </c:pt>
                <c:pt idx="3">
                  <c:v>2010</c:v>
                </c:pt>
                <c:pt idx="4">
                  <c:v>2009</c:v>
                </c:pt>
              </c:numCache>
            </c:numRef>
          </c:xVal>
          <c:yVal>
            <c:numRef>
              <c:f>Sheet6!$N$5:$N$9</c:f>
              <c:numCache>
                <c:formatCode>#,##0.00</c:formatCode>
                <c:ptCount val="5"/>
                <c:pt idx="0">
                  <c:v>22287.85</c:v>
                </c:pt>
                <c:pt idx="1">
                  <c:v>18791.89</c:v>
                </c:pt>
                <c:pt idx="2">
                  <c:v>15953.27</c:v>
                </c:pt>
                <c:pt idx="3">
                  <c:v>14064.38</c:v>
                </c:pt>
                <c:pt idx="4">
                  <c:v>13735.08</c:v>
                </c:pt>
              </c:numCache>
            </c:numRef>
          </c:yVal>
          <c:smooth val="0"/>
        </c:ser>
        <c:dLbls>
          <c:showLegendKey val="0"/>
          <c:showVal val="0"/>
          <c:showCatName val="0"/>
          <c:showSerName val="0"/>
          <c:showPercent val="0"/>
          <c:showBubbleSize val="0"/>
        </c:dLbls>
        <c:axId val="356331520"/>
        <c:axId val="356333440"/>
      </c:scatterChart>
      <c:valAx>
        <c:axId val="356331520"/>
        <c:scaling>
          <c:orientation val="minMax"/>
          <c:min val="2008"/>
        </c:scaling>
        <c:delete val="0"/>
        <c:axPos val="b"/>
        <c:title>
          <c:tx>
            <c:rich>
              <a:bodyPr/>
              <a:lstStyle/>
              <a:p>
                <a:pPr>
                  <a:defRPr/>
                </a:pPr>
                <a:r>
                  <a:rPr lang="en-US"/>
                  <a:t>YEAR</a:t>
                </a:r>
              </a:p>
            </c:rich>
          </c:tx>
          <c:overlay val="0"/>
        </c:title>
        <c:numFmt formatCode="General" sourceLinked="1"/>
        <c:majorTickMark val="none"/>
        <c:minorTickMark val="none"/>
        <c:tickLblPos val="nextTo"/>
        <c:crossAx val="356333440"/>
        <c:crosses val="autoZero"/>
        <c:crossBetween val="midCat"/>
      </c:valAx>
      <c:valAx>
        <c:axId val="356333440"/>
        <c:scaling>
          <c:orientation val="minMax"/>
          <c:max val="25000"/>
          <c:min val="0"/>
        </c:scaling>
        <c:delete val="0"/>
        <c:axPos val="l"/>
        <c:title>
          <c:tx>
            <c:rich>
              <a:bodyPr/>
              <a:lstStyle/>
              <a:p>
                <a:pPr>
                  <a:defRPr/>
                </a:pPr>
                <a:r>
                  <a:rPr lang="en-US"/>
                  <a:t>NET</a:t>
                </a:r>
                <a:r>
                  <a:rPr lang="en-US" baseline="0"/>
                  <a:t> WORTH</a:t>
                </a:r>
                <a:endParaRPr lang="en-US"/>
              </a:p>
            </c:rich>
          </c:tx>
          <c:overlay val="0"/>
        </c:title>
        <c:numFmt formatCode="#,##0.00" sourceLinked="1"/>
        <c:majorTickMark val="none"/>
        <c:minorTickMark val="none"/>
        <c:tickLblPos val="nextTo"/>
        <c:crossAx val="356331520"/>
        <c:crosses val="autoZero"/>
        <c:crossBetween val="midCat"/>
        <c:majorUnit val="3000"/>
        <c:minorUnit val="500"/>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CROSS-SECTIONAL</a:t>
            </a:r>
            <a:r>
              <a:rPr lang="en-US" baseline="0"/>
              <a:t> ANALYSIS-FMCG</a:t>
            </a:r>
            <a:endParaRPr lang="en-US"/>
          </a:p>
        </c:rich>
      </c:tx>
      <c:overlay val="0"/>
      <c:spPr>
        <a:solidFill>
          <a:schemeClr val="bg1"/>
        </a:solidFill>
      </c:spPr>
    </c:title>
    <c:autoTitleDeleted val="0"/>
    <c:plotArea>
      <c:layout/>
      <c:barChart>
        <c:barDir val="col"/>
        <c:grouping val="clustered"/>
        <c:varyColors val="0"/>
        <c:ser>
          <c:idx val="0"/>
          <c:order val="0"/>
          <c:tx>
            <c:strRef>
              <c:f>Sheet5!$B$6:$C$6</c:f>
              <c:strCache>
                <c:ptCount val="1"/>
                <c:pt idx="0">
                  <c:v>ITC</c:v>
                </c:pt>
              </c:strCache>
            </c:strRef>
          </c:tx>
          <c:invertIfNegative val="0"/>
          <c:cat>
            <c:strRef>
              <c:f>Sheet5!$D$5:$I$5</c:f>
              <c:strCache>
                <c:ptCount val="6"/>
                <c:pt idx="0">
                  <c:v>NET WORTH</c:v>
                </c:pt>
                <c:pt idx="1">
                  <c:v>NET SALES</c:v>
                </c:pt>
                <c:pt idx="2">
                  <c:v>PBIT</c:v>
                </c:pt>
                <c:pt idx="3">
                  <c:v>PBT</c:v>
                </c:pt>
                <c:pt idx="4">
                  <c:v>PAT</c:v>
                </c:pt>
                <c:pt idx="5">
                  <c:v>DIVIDEND</c:v>
                </c:pt>
              </c:strCache>
            </c:strRef>
          </c:cat>
          <c:val>
            <c:numRef>
              <c:f>Sheet5!$D$6:$I$6</c:f>
              <c:numCache>
                <c:formatCode>#,##0.00</c:formatCode>
                <c:ptCount val="6"/>
                <c:pt idx="0" formatCode="General">
                  <c:v>22288</c:v>
                </c:pt>
                <c:pt idx="1">
                  <c:v>29901.27</c:v>
                </c:pt>
                <c:pt idx="2">
                  <c:v>11566.21</c:v>
                </c:pt>
                <c:pt idx="3">
                  <c:v>10684.18</c:v>
                </c:pt>
                <c:pt idx="4">
                  <c:v>7418.39</c:v>
                </c:pt>
                <c:pt idx="5">
                  <c:v>4148.46</c:v>
                </c:pt>
              </c:numCache>
            </c:numRef>
          </c:val>
        </c:ser>
        <c:ser>
          <c:idx val="1"/>
          <c:order val="1"/>
          <c:tx>
            <c:strRef>
              <c:f>Sheet5!$B$7:$C$7</c:f>
              <c:strCache>
                <c:ptCount val="1"/>
                <c:pt idx="0">
                  <c:v>Hindustan Unilever</c:v>
                </c:pt>
              </c:strCache>
            </c:strRef>
          </c:tx>
          <c:invertIfNegative val="0"/>
          <c:cat>
            <c:strRef>
              <c:f>Sheet5!$D$5:$I$5</c:f>
              <c:strCache>
                <c:ptCount val="6"/>
                <c:pt idx="0">
                  <c:v>NET WORTH</c:v>
                </c:pt>
                <c:pt idx="1">
                  <c:v>NET SALES</c:v>
                </c:pt>
                <c:pt idx="2">
                  <c:v>PBIT</c:v>
                </c:pt>
                <c:pt idx="3">
                  <c:v>PBT</c:v>
                </c:pt>
                <c:pt idx="4">
                  <c:v>PAT</c:v>
                </c:pt>
                <c:pt idx="5">
                  <c:v>DIVIDEND</c:v>
                </c:pt>
              </c:strCache>
            </c:strRef>
          </c:cat>
          <c:val>
            <c:numRef>
              <c:f>Sheet5!$D$7:$I$7</c:f>
              <c:numCache>
                <c:formatCode>#,##0.00</c:formatCode>
                <c:ptCount val="6"/>
                <c:pt idx="0" formatCode="#,##0">
                  <c:v>2674</c:v>
                </c:pt>
                <c:pt idx="1">
                  <c:v>25810.21</c:v>
                </c:pt>
                <c:pt idx="2">
                  <c:v>5219.05</c:v>
                </c:pt>
                <c:pt idx="3">
                  <c:v>4957.88</c:v>
                </c:pt>
                <c:pt idx="4">
                  <c:v>3796.67</c:v>
                </c:pt>
                <c:pt idx="5">
                  <c:v>3999.99</c:v>
                </c:pt>
              </c:numCache>
            </c:numRef>
          </c:val>
        </c:ser>
        <c:ser>
          <c:idx val="2"/>
          <c:order val="2"/>
          <c:tx>
            <c:strRef>
              <c:f>Sheet5!$B$8:$C$8</c:f>
              <c:strCache>
                <c:ptCount val="1"/>
                <c:pt idx="0">
                  <c:v>Nestle India</c:v>
                </c:pt>
              </c:strCache>
            </c:strRef>
          </c:tx>
          <c:invertIfNegative val="0"/>
          <c:cat>
            <c:strRef>
              <c:f>Sheet5!$D$5:$I$5</c:f>
              <c:strCache>
                <c:ptCount val="6"/>
                <c:pt idx="0">
                  <c:v>NET WORTH</c:v>
                </c:pt>
                <c:pt idx="1">
                  <c:v>NET SALES</c:v>
                </c:pt>
                <c:pt idx="2">
                  <c:v>PBIT</c:v>
                </c:pt>
                <c:pt idx="3">
                  <c:v>PBT</c:v>
                </c:pt>
                <c:pt idx="4">
                  <c:v>PAT</c:v>
                </c:pt>
                <c:pt idx="5">
                  <c:v>DIVIDEND</c:v>
                </c:pt>
              </c:strCache>
            </c:strRef>
          </c:cat>
          <c:val>
            <c:numRef>
              <c:f>Sheet5!$D$8:$I$8</c:f>
              <c:numCache>
                <c:formatCode>#,##0.00</c:formatCode>
                <c:ptCount val="6"/>
                <c:pt idx="0" formatCode="General">
                  <c:v>1798</c:v>
                </c:pt>
                <c:pt idx="1">
                  <c:v>8326.5499999999993</c:v>
                </c:pt>
                <c:pt idx="2">
                  <c:v>1856.37</c:v>
                </c:pt>
                <c:pt idx="3">
                  <c:v>1552.62</c:v>
                </c:pt>
                <c:pt idx="4">
                  <c:v>1067.93</c:v>
                </c:pt>
                <c:pt idx="5" formatCode="General">
                  <c:v>467.62</c:v>
                </c:pt>
              </c:numCache>
            </c:numRef>
          </c:val>
        </c:ser>
        <c:ser>
          <c:idx val="4"/>
          <c:order val="3"/>
          <c:tx>
            <c:strRef>
              <c:f>Sheet5!$B$10:$C$10</c:f>
              <c:strCache>
                <c:ptCount val="1"/>
                <c:pt idx="0">
                  <c:v>Godrej Consumer Products</c:v>
                </c:pt>
              </c:strCache>
            </c:strRef>
          </c:tx>
          <c:invertIfNegative val="0"/>
          <c:cat>
            <c:strRef>
              <c:f>Sheet5!$D$5:$I$5</c:f>
              <c:strCache>
                <c:ptCount val="6"/>
                <c:pt idx="0">
                  <c:v>NET WORTH</c:v>
                </c:pt>
                <c:pt idx="1">
                  <c:v>NET SALES</c:v>
                </c:pt>
                <c:pt idx="2">
                  <c:v>PBIT</c:v>
                </c:pt>
                <c:pt idx="3">
                  <c:v>PBT</c:v>
                </c:pt>
                <c:pt idx="4">
                  <c:v>PAT</c:v>
                </c:pt>
                <c:pt idx="5">
                  <c:v>DIVIDEND</c:v>
                </c:pt>
              </c:strCache>
            </c:strRef>
          </c:cat>
          <c:val>
            <c:numRef>
              <c:f>Sheet5!$D$10:$I$10</c:f>
              <c:numCache>
                <c:formatCode>#,##0.00</c:formatCode>
                <c:ptCount val="6"/>
                <c:pt idx="0" formatCode="General">
                  <c:v>2761</c:v>
                </c:pt>
                <c:pt idx="1">
                  <c:v>3581.02</c:v>
                </c:pt>
                <c:pt idx="2" formatCode="General">
                  <c:v>680.72</c:v>
                </c:pt>
                <c:pt idx="3" formatCode="General">
                  <c:v>632.96</c:v>
                </c:pt>
                <c:pt idx="4" formatCode="General">
                  <c:v>510.94</c:v>
                </c:pt>
                <c:pt idx="5" formatCode="General">
                  <c:v>170.16</c:v>
                </c:pt>
              </c:numCache>
            </c:numRef>
          </c:val>
        </c:ser>
        <c:dLbls>
          <c:showLegendKey val="0"/>
          <c:showVal val="0"/>
          <c:showCatName val="0"/>
          <c:showSerName val="0"/>
          <c:showPercent val="0"/>
          <c:showBubbleSize val="0"/>
        </c:dLbls>
        <c:gapWidth val="150"/>
        <c:axId val="356356864"/>
        <c:axId val="356358400"/>
      </c:barChart>
      <c:catAx>
        <c:axId val="356356864"/>
        <c:scaling>
          <c:orientation val="minMax"/>
        </c:scaling>
        <c:delete val="0"/>
        <c:axPos val="b"/>
        <c:majorTickMark val="none"/>
        <c:minorTickMark val="none"/>
        <c:tickLblPos val="nextTo"/>
        <c:crossAx val="356358400"/>
        <c:crosses val="autoZero"/>
        <c:auto val="1"/>
        <c:lblAlgn val="ctr"/>
        <c:lblOffset val="100"/>
        <c:noMultiLvlLbl val="0"/>
      </c:catAx>
      <c:valAx>
        <c:axId val="356358400"/>
        <c:scaling>
          <c:orientation val="minMax"/>
        </c:scaling>
        <c:delete val="0"/>
        <c:axPos val="l"/>
        <c:majorGridlines/>
        <c:numFmt formatCode="General" sourceLinked="1"/>
        <c:majorTickMark val="none"/>
        <c:minorTickMark val="none"/>
        <c:tickLblPos val="nextTo"/>
        <c:crossAx val="356356864"/>
        <c:crosses val="autoZero"/>
        <c:crossBetween val="between"/>
      </c:valAx>
      <c:spPr>
        <a:solidFill>
          <a:schemeClr val="bg1"/>
        </a:solidFill>
      </c:spPr>
    </c:plotArea>
    <c:legend>
      <c:legendPos val="r"/>
      <c:overlay val="0"/>
      <c:spPr>
        <a:solidFill>
          <a:schemeClr val="bg1"/>
        </a:solidFill>
      </c:spPr>
    </c:legend>
    <c:plotVisOnly val="1"/>
    <c:dispBlanksAs val="gap"/>
    <c:showDLblsOverMax val="0"/>
  </c:chart>
  <c:spPr>
    <a:solidFill>
      <a:schemeClr val="bg1"/>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Sheet1!$C$2</c:f>
              <c:strCache>
                <c:ptCount val="1"/>
                <c:pt idx="0">
                  <c:v>MARKET CAP</c:v>
                </c:pt>
              </c:strCache>
            </c:strRef>
          </c:tx>
          <c:dPt>
            <c:idx val="0"/>
            <c:bubble3D val="0"/>
            <c:spPr>
              <a:solidFill>
                <a:srgbClr val="FFC000"/>
              </a:solidFill>
            </c:spPr>
          </c:dPt>
          <c:dPt>
            <c:idx val="1"/>
            <c:bubble3D val="0"/>
            <c:spPr>
              <a:solidFill>
                <a:srgbClr val="92D050"/>
              </a:solidFill>
            </c:spPr>
          </c:dPt>
          <c:dPt>
            <c:idx val="2"/>
            <c:bubble3D val="0"/>
            <c:spPr>
              <a:solidFill>
                <a:srgbClr val="6464BC"/>
              </a:solidFill>
            </c:spPr>
          </c:dPt>
          <c:dPt>
            <c:idx val="3"/>
            <c:bubble3D val="0"/>
            <c:spPr>
              <a:solidFill>
                <a:srgbClr val="FF3300"/>
              </a:solidFill>
            </c:spPr>
          </c:dPt>
          <c:dLbls>
            <c:dLbl>
              <c:idx val="0"/>
              <c:layout>
                <c:manualLayout>
                  <c:x val="-5.5302384076990375E-2"/>
                  <c:y val="-0.17816455234762321"/>
                </c:manualLayout>
              </c:layout>
              <c:showLegendKey val="0"/>
              <c:showVal val="1"/>
              <c:showCatName val="0"/>
              <c:showSerName val="0"/>
              <c:showPercent val="0"/>
              <c:showBubbleSize val="0"/>
            </c:dLbl>
            <c:dLbl>
              <c:idx val="1"/>
              <c:layout>
                <c:manualLayout>
                  <c:x val="7.927066929133858E-2"/>
                  <c:y val="4.5573417906095072E-2"/>
                </c:manualLayout>
              </c:layout>
              <c:showLegendKey val="0"/>
              <c:showVal val="1"/>
              <c:showCatName val="0"/>
              <c:showSerName val="0"/>
              <c:showPercent val="0"/>
              <c:showBubbleSize val="0"/>
            </c:dLbl>
            <c:dLbl>
              <c:idx val="2"/>
              <c:layout>
                <c:manualLayout>
                  <c:x val="4.1317257217847771E-2"/>
                  <c:y val="5.6612350539515896E-2"/>
                </c:manualLayout>
              </c:layout>
              <c:showLegendKey val="0"/>
              <c:showVal val="1"/>
              <c:showCatName val="0"/>
              <c:showSerName val="0"/>
              <c:showPercent val="0"/>
              <c:showBubbleSize val="0"/>
            </c:dLbl>
            <c:dLbl>
              <c:idx val="3"/>
              <c:layout>
                <c:manualLayout>
                  <c:x val="7.3706364829396326E-2"/>
                  <c:y val="6.6107465733449985E-2"/>
                </c:manualLayout>
              </c:layout>
              <c:showLegendKey val="0"/>
              <c:showVal val="1"/>
              <c:showCatName val="0"/>
              <c:showSerName val="0"/>
              <c:showPercent val="0"/>
              <c:showBubbleSize val="0"/>
            </c:dLbl>
            <c:showLegendKey val="0"/>
            <c:showVal val="0"/>
            <c:showCatName val="0"/>
            <c:showSerName val="0"/>
            <c:showPercent val="0"/>
            <c:showBubbleSize val="0"/>
          </c:dLbls>
          <c:cat>
            <c:strRef>
              <c:f>Sheet1!$B$3:$B$6</c:f>
              <c:strCache>
                <c:ptCount val="4"/>
                <c:pt idx="0">
                  <c:v>ITC</c:v>
                </c:pt>
                <c:pt idx="1">
                  <c:v>HUL</c:v>
                </c:pt>
                <c:pt idx="2">
                  <c:v>NESTLE</c:v>
                </c:pt>
                <c:pt idx="3">
                  <c:v>GODREJ</c:v>
                </c:pt>
              </c:strCache>
            </c:strRef>
          </c:cat>
          <c:val>
            <c:numRef>
              <c:f>Sheet1!$C$3:$C$6</c:f>
              <c:numCache>
                <c:formatCode>#,##0.00</c:formatCode>
                <c:ptCount val="4"/>
                <c:pt idx="0">
                  <c:v>267095.58</c:v>
                </c:pt>
                <c:pt idx="1">
                  <c:v>134902.22</c:v>
                </c:pt>
                <c:pt idx="2">
                  <c:v>47497.760000000002</c:v>
                </c:pt>
                <c:pt idx="3">
                  <c:v>27468.53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Sheet3!$G$17</c:f>
              <c:strCache>
                <c:ptCount val="1"/>
                <c:pt idx="0">
                  <c:v>D/E RATIO</c:v>
                </c:pt>
              </c:strCache>
            </c:strRef>
          </c:tx>
          <c:xVal>
            <c:numRef>
              <c:f>Sheet3!$F$18:$F$22</c:f>
              <c:numCache>
                <c:formatCode>General</c:formatCode>
                <c:ptCount val="5"/>
                <c:pt idx="0">
                  <c:v>2009</c:v>
                </c:pt>
                <c:pt idx="1">
                  <c:v>2010</c:v>
                </c:pt>
                <c:pt idx="2">
                  <c:v>2011</c:v>
                </c:pt>
                <c:pt idx="3">
                  <c:v>2012</c:v>
                </c:pt>
                <c:pt idx="4">
                  <c:v>2013</c:v>
                </c:pt>
              </c:numCache>
            </c:numRef>
          </c:xVal>
          <c:yVal>
            <c:numRef>
              <c:f>Sheet3!$G$18:$G$22</c:f>
              <c:numCache>
                <c:formatCode>General</c:formatCode>
                <c:ptCount val="5"/>
                <c:pt idx="0">
                  <c:v>1.292675397595063E-2</c:v>
                </c:pt>
                <c:pt idx="1">
                  <c:v>7.6583539409486945E-3</c:v>
                </c:pt>
                <c:pt idx="2">
                  <c:v>6.2181609162259522E-3</c:v>
                </c:pt>
                <c:pt idx="3">
                  <c:v>4.2087304683030811E-3</c:v>
                </c:pt>
                <c:pt idx="4">
                  <c:v>2.9792016726602165E-3</c:v>
                </c:pt>
              </c:numCache>
            </c:numRef>
          </c:yVal>
          <c:smooth val="0"/>
        </c:ser>
        <c:dLbls>
          <c:showLegendKey val="0"/>
          <c:showVal val="0"/>
          <c:showCatName val="0"/>
          <c:showSerName val="0"/>
          <c:showPercent val="0"/>
          <c:showBubbleSize val="0"/>
        </c:dLbls>
        <c:axId val="197629824"/>
        <c:axId val="197632000"/>
      </c:scatterChart>
      <c:valAx>
        <c:axId val="197629824"/>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197632000"/>
        <c:crosses val="autoZero"/>
        <c:crossBetween val="midCat"/>
      </c:valAx>
      <c:valAx>
        <c:axId val="197632000"/>
        <c:scaling>
          <c:orientation val="minMax"/>
        </c:scaling>
        <c:delete val="0"/>
        <c:axPos val="l"/>
        <c:majorGridlines>
          <c:spPr>
            <a:ln>
              <a:noFill/>
            </a:ln>
          </c:spPr>
        </c:majorGridlines>
        <c:title>
          <c:tx>
            <c:rich>
              <a:bodyPr/>
              <a:lstStyle/>
              <a:p>
                <a:pPr>
                  <a:defRPr/>
                </a:pPr>
                <a:r>
                  <a:rPr lang="en-US"/>
                  <a:t>DER</a:t>
                </a:r>
              </a:p>
            </c:rich>
          </c:tx>
          <c:overlay val="0"/>
        </c:title>
        <c:numFmt formatCode="General" sourceLinked="1"/>
        <c:majorTickMark val="none"/>
        <c:minorTickMark val="none"/>
        <c:tickLblPos val="nextTo"/>
        <c:crossAx val="19762982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EARNINGS</a:t>
            </a:r>
            <a:r>
              <a:rPr lang="en-US" baseline="0"/>
              <a:t> PER SHARE</a:t>
            </a:r>
            <a:endParaRPr lang="en-US"/>
          </a:p>
        </c:rich>
      </c:tx>
      <c:overlay val="0"/>
    </c:title>
    <c:autoTitleDeleted val="0"/>
    <c:plotArea>
      <c:layout/>
      <c:scatterChart>
        <c:scatterStyle val="lineMarker"/>
        <c:varyColors val="0"/>
        <c:ser>
          <c:idx val="0"/>
          <c:order val="0"/>
          <c:tx>
            <c:strRef>
              <c:f>Sheet4!$K$14</c:f>
              <c:strCache>
                <c:ptCount val="1"/>
                <c:pt idx="0">
                  <c:v>EPS</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xVal>
            <c:numRef>
              <c:f>Sheet4!$J$15:$J$19</c:f>
              <c:numCache>
                <c:formatCode>General</c:formatCode>
                <c:ptCount val="5"/>
                <c:pt idx="0">
                  <c:v>2009</c:v>
                </c:pt>
                <c:pt idx="1">
                  <c:v>2010</c:v>
                </c:pt>
                <c:pt idx="2">
                  <c:v>2011</c:v>
                </c:pt>
                <c:pt idx="3">
                  <c:v>2012</c:v>
                </c:pt>
                <c:pt idx="4">
                  <c:v>2013</c:v>
                </c:pt>
              </c:numCache>
            </c:numRef>
          </c:xVal>
          <c:yVal>
            <c:numRef>
              <c:f>Sheet4!$K$15:$K$19</c:f>
              <c:numCache>
                <c:formatCode>General</c:formatCode>
                <c:ptCount val="5"/>
                <c:pt idx="0">
                  <c:v>4.29</c:v>
                </c:pt>
                <c:pt idx="1">
                  <c:v>5.31</c:v>
                </c:pt>
                <c:pt idx="2">
                  <c:v>6.45</c:v>
                </c:pt>
                <c:pt idx="3">
                  <c:v>7.88</c:v>
                </c:pt>
                <c:pt idx="4">
                  <c:v>9.39</c:v>
                </c:pt>
              </c:numCache>
            </c:numRef>
          </c:yVal>
          <c:smooth val="0"/>
        </c:ser>
        <c:dLbls>
          <c:showLegendKey val="0"/>
          <c:showVal val="0"/>
          <c:showCatName val="0"/>
          <c:showSerName val="0"/>
          <c:showPercent val="0"/>
          <c:showBubbleSize val="0"/>
        </c:dLbls>
        <c:axId val="197653632"/>
        <c:axId val="197655552"/>
      </c:scatterChart>
      <c:valAx>
        <c:axId val="197653632"/>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197655552"/>
        <c:crosses val="autoZero"/>
        <c:crossBetween val="midCat"/>
      </c:valAx>
      <c:valAx>
        <c:axId val="197655552"/>
        <c:scaling>
          <c:orientation val="minMax"/>
        </c:scaling>
        <c:delete val="0"/>
        <c:axPos val="l"/>
        <c:majorGridlines>
          <c:spPr>
            <a:ln>
              <a:noFill/>
            </a:ln>
          </c:spPr>
        </c:majorGridlines>
        <c:title>
          <c:tx>
            <c:rich>
              <a:bodyPr/>
              <a:lstStyle/>
              <a:p>
                <a:pPr>
                  <a:defRPr/>
                </a:pPr>
                <a:r>
                  <a:rPr lang="en-US"/>
                  <a:t>EPS</a:t>
                </a:r>
              </a:p>
            </c:rich>
          </c:tx>
          <c:overlay val="0"/>
        </c:title>
        <c:numFmt formatCode="General" sourceLinked="1"/>
        <c:majorTickMark val="none"/>
        <c:minorTickMark val="none"/>
        <c:tickLblPos val="nextTo"/>
        <c:crossAx val="197653632"/>
        <c:crosses val="autoZero"/>
        <c:crossBetween val="midCat"/>
      </c:valAx>
      <c:spPr>
        <a:noFill/>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Sheet3!$C$17</c:f>
              <c:strCache>
                <c:ptCount val="1"/>
                <c:pt idx="0">
                  <c:v>INTEREST COVERAGE RATIO</c:v>
                </c:pt>
              </c:strCache>
            </c:strRef>
          </c:tx>
          <c:xVal>
            <c:numRef>
              <c:f>Sheet3!$B$18:$B$22</c:f>
              <c:numCache>
                <c:formatCode>General</c:formatCode>
                <c:ptCount val="5"/>
                <c:pt idx="0">
                  <c:v>2009</c:v>
                </c:pt>
                <c:pt idx="1">
                  <c:v>2010</c:v>
                </c:pt>
                <c:pt idx="2">
                  <c:v>2011</c:v>
                </c:pt>
                <c:pt idx="3">
                  <c:v>2012</c:v>
                </c:pt>
                <c:pt idx="4">
                  <c:v>2013</c:v>
                </c:pt>
              </c:numCache>
            </c:numRef>
          </c:xVal>
          <c:yVal>
            <c:numRef>
              <c:f>Sheet3!$C$18:$C$22</c:f>
              <c:numCache>
                <c:formatCode>General</c:formatCode>
                <c:ptCount val="5"/>
                <c:pt idx="0">
                  <c:v>169.48915325402379</c:v>
                </c:pt>
                <c:pt idx="1">
                  <c:v>181.38424821002386</c:v>
                </c:pt>
                <c:pt idx="2">
                  <c:v>464.36708860759489</c:v>
                </c:pt>
                <c:pt idx="3">
                  <c:v>534.54437164979151</c:v>
                </c:pt>
                <c:pt idx="4">
                  <c:v>153.56429997148561</c:v>
                </c:pt>
              </c:numCache>
            </c:numRef>
          </c:yVal>
          <c:smooth val="0"/>
        </c:ser>
        <c:dLbls>
          <c:showLegendKey val="0"/>
          <c:showVal val="0"/>
          <c:showCatName val="0"/>
          <c:showSerName val="0"/>
          <c:showPercent val="0"/>
          <c:showBubbleSize val="0"/>
        </c:dLbls>
        <c:axId val="348925312"/>
        <c:axId val="348931584"/>
      </c:scatterChart>
      <c:valAx>
        <c:axId val="348925312"/>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348931584"/>
        <c:crosses val="autoZero"/>
        <c:crossBetween val="midCat"/>
      </c:valAx>
      <c:valAx>
        <c:axId val="348931584"/>
        <c:scaling>
          <c:orientation val="minMax"/>
        </c:scaling>
        <c:delete val="0"/>
        <c:axPos val="l"/>
        <c:majorGridlines>
          <c:spPr>
            <a:ln>
              <a:noFill/>
            </a:ln>
          </c:spPr>
        </c:majorGridlines>
        <c:title>
          <c:tx>
            <c:rich>
              <a:bodyPr/>
              <a:lstStyle/>
              <a:p>
                <a:pPr>
                  <a:defRPr/>
                </a:pPr>
                <a:r>
                  <a:rPr lang="en-US"/>
                  <a:t>ICR</a:t>
                </a:r>
              </a:p>
            </c:rich>
          </c:tx>
          <c:overlay val="0"/>
        </c:title>
        <c:numFmt formatCode="General" sourceLinked="1"/>
        <c:majorTickMark val="none"/>
        <c:minorTickMark val="none"/>
        <c:tickLblPos val="nextTo"/>
        <c:crossAx val="348925312"/>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PBIT</a:t>
            </a:r>
            <a:r>
              <a:rPr lang="en-US" baseline="0"/>
              <a:t> TO SALES</a:t>
            </a:r>
            <a:endParaRPr lang="en-US"/>
          </a:p>
        </c:rich>
      </c:tx>
      <c:overlay val="0"/>
    </c:title>
    <c:autoTitleDeleted val="0"/>
    <c:plotArea>
      <c:layout/>
      <c:scatterChart>
        <c:scatterStyle val="lineMarker"/>
        <c:varyColors val="0"/>
        <c:ser>
          <c:idx val="0"/>
          <c:order val="0"/>
          <c:tx>
            <c:strRef>
              <c:f>Sheet1!$D$24</c:f>
              <c:strCache>
                <c:ptCount val="1"/>
                <c:pt idx="0">
                  <c:v>RATIO</c:v>
                </c:pt>
              </c:strCache>
            </c:strRef>
          </c:tx>
          <c:xVal>
            <c:numRef>
              <c:f>Sheet1!$C$25:$C$29</c:f>
              <c:numCache>
                <c:formatCode>General</c:formatCode>
                <c:ptCount val="5"/>
                <c:pt idx="0">
                  <c:v>2009</c:v>
                </c:pt>
                <c:pt idx="1">
                  <c:v>2010</c:v>
                </c:pt>
                <c:pt idx="2">
                  <c:v>2011</c:v>
                </c:pt>
                <c:pt idx="3">
                  <c:v>2012</c:v>
                </c:pt>
                <c:pt idx="4">
                  <c:v>2013</c:v>
                </c:pt>
              </c:numCache>
            </c:numRef>
          </c:xVal>
          <c:yVal>
            <c:numRef>
              <c:f>Sheet1!$D$25:$D$29</c:f>
              <c:numCache>
                <c:formatCode>General</c:formatCode>
                <c:ptCount val="5"/>
                <c:pt idx="0">
                  <c:v>0.31478849579318058</c:v>
                </c:pt>
                <c:pt idx="1">
                  <c:v>0.3349273598744904</c:v>
                </c:pt>
                <c:pt idx="2">
                  <c:v>0.34661496496056704</c:v>
                </c:pt>
                <c:pt idx="3">
                  <c:v>0.36191807303930129</c:v>
                </c:pt>
                <c:pt idx="4">
                  <c:v>0.36381655079886965</c:v>
                </c:pt>
              </c:numCache>
            </c:numRef>
          </c:yVal>
          <c:smooth val="0"/>
        </c:ser>
        <c:ser>
          <c:idx val="1"/>
          <c:order val="1"/>
          <c:tx>
            <c:strRef>
              <c:f>Sheet1!$E$24</c:f>
              <c:strCache>
                <c:ptCount val="1"/>
                <c:pt idx="0">
                  <c:v>PBIT</c:v>
                </c:pt>
              </c:strCache>
            </c:strRef>
          </c:tx>
          <c:dLbls>
            <c:showLegendKey val="0"/>
            <c:showVal val="1"/>
            <c:showCatName val="0"/>
            <c:showSerName val="0"/>
            <c:showPercent val="0"/>
            <c:showBubbleSize val="0"/>
            <c:showLeaderLines val="0"/>
          </c:dLbls>
          <c:xVal>
            <c:numRef>
              <c:f>Sheet1!$C$25:$C$29</c:f>
              <c:numCache>
                <c:formatCode>General</c:formatCode>
                <c:ptCount val="5"/>
                <c:pt idx="0">
                  <c:v>2009</c:v>
                </c:pt>
                <c:pt idx="1">
                  <c:v>2010</c:v>
                </c:pt>
                <c:pt idx="2">
                  <c:v>2011</c:v>
                </c:pt>
                <c:pt idx="3">
                  <c:v>2012</c:v>
                </c:pt>
                <c:pt idx="4">
                  <c:v>2013</c:v>
                </c:pt>
              </c:numCache>
            </c:numRef>
          </c:xVal>
          <c:yVal>
            <c:numRef>
              <c:f>Sheet1!$E$25:$E$29</c:f>
              <c:numCache>
                <c:formatCode>General</c:formatCode>
                <c:ptCount val="5"/>
                <c:pt idx="0">
                  <c:v>4844</c:v>
                </c:pt>
                <c:pt idx="1">
                  <c:v>6080</c:v>
                </c:pt>
                <c:pt idx="2">
                  <c:v>7337</c:v>
                </c:pt>
                <c:pt idx="3">
                  <c:v>8975</c:v>
                </c:pt>
                <c:pt idx="4">
                  <c:v>10771</c:v>
                </c:pt>
              </c:numCache>
            </c:numRef>
          </c:yVal>
          <c:smooth val="0"/>
        </c:ser>
        <c:ser>
          <c:idx val="2"/>
          <c:order val="2"/>
          <c:tx>
            <c:strRef>
              <c:f>Sheet1!$F$24</c:f>
              <c:strCache>
                <c:ptCount val="1"/>
                <c:pt idx="0">
                  <c:v>GROSS sales</c:v>
                </c:pt>
              </c:strCache>
            </c:strRef>
          </c:tx>
          <c:dLbls>
            <c:showLegendKey val="0"/>
            <c:showVal val="1"/>
            <c:showCatName val="0"/>
            <c:showSerName val="0"/>
            <c:showPercent val="0"/>
            <c:showBubbleSize val="0"/>
            <c:showLeaderLines val="0"/>
          </c:dLbls>
          <c:xVal>
            <c:numRef>
              <c:f>Sheet1!$C$25:$C$29</c:f>
              <c:numCache>
                <c:formatCode>General</c:formatCode>
                <c:ptCount val="5"/>
                <c:pt idx="0">
                  <c:v>2009</c:v>
                </c:pt>
                <c:pt idx="1">
                  <c:v>2010</c:v>
                </c:pt>
                <c:pt idx="2">
                  <c:v>2011</c:v>
                </c:pt>
                <c:pt idx="3">
                  <c:v>2012</c:v>
                </c:pt>
                <c:pt idx="4">
                  <c:v>2013</c:v>
                </c:pt>
              </c:numCache>
            </c:numRef>
          </c:xVal>
          <c:yVal>
            <c:numRef>
              <c:f>Sheet1!$F$25:$F$29</c:f>
              <c:numCache>
                <c:formatCode>General</c:formatCode>
                <c:ptCount val="5"/>
                <c:pt idx="0">
                  <c:v>23143.53</c:v>
                </c:pt>
                <c:pt idx="1">
                  <c:v>26259.599999999999</c:v>
                </c:pt>
                <c:pt idx="2">
                  <c:v>30604.39</c:v>
                </c:pt>
                <c:pt idx="3">
                  <c:v>34871.86</c:v>
                </c:pt>
                <c:pt idx="4">
                  <c:v>41809.82</c:v>
                </c:pt>
              </c:numCache>
            </c:numRef>
          </c:yVal>
          <c:smooth val="0"/>
        </c:ser>
        <c:dLbls>
          <c:showLegendKey val="0"/>
          <c:showVal val="0"/>
          <c:showCatName val="0"/>
          <c:showSerName val="0"/>
          <c:showPercent val="0"/>
          <c:showBubbleSize val="0"/>
        </c:dLbls>
        <c:axId val="348971392"/>
        <c:axId val="348973312"/>
      </c:scatterChart>
      <c:valAx>
        <c:axId val="348971392"/>
        <c:scaling>
          <c:orientation val="minMax"/>
        </c:scaling>
        <c:delete val="0"/>
        <c:axPos val="b"/>
        <c:title>
          <c:tx>
            <c:rich>
              <a:bodyPr/>
              <a:lstStyle/>
              <a:p>
                <a:pPr>
                  <a:defRPr/>
                </a:pPr>
                <a:r>
                  <a:rPr lang="en-US"/>
                  <a:t>YEAR</a:t>
                </a:r>
              </a:p>
              <a:p>
                <a:pPr>
                  <a:defRPr/>
                </a:pPr>
                <a:endParaRPr lang="en-US"/>
              </a:p>
            </c:rich>
          </c:tx>
          <c:overlay val="0"/>
        </c:title>
        <c:numFmt formatCode="General" sourceLinked="1"/>
        <c:majorTickMark val="none"/>
        <c:minorTickMark val="none"/>
        <c:tickLblPos val="nextTo"/>
        <c:crossAx val="348973312"/>
        <c:crosses val="autoZero"/>
        <c:crossBetween val="midCat"/>
      </c:valAx>
      <c:valAx>
        <c:axId val="348973312"/>
        <c:scaling>
          <c:orientation val="minMax"/>
          <c:max val="45000"/>
          <c:min val="0"/>
        </c:scaling>
        <c:delete val="0"/>
        <c:axPos val="l"/>
        <c:title>
          <c:tx>
            <c:rich>
              <a:bodyPr/>
              <a:lstStyle/>
              <a:p>
                <a:pPr>
                  <a:defRPr/>
                </a:pPr>
                <a:r>
                  <a:rPr lang="en-US"/>
                  <a:t>RATIO</a:t>
                </a:r>
              </a:p>
            </c:rich>
          </c:tx>
          <c:overlay val="0"/>
        </c:title>
        <c:numFmt formatCode="General" sourceLinked="1"/>
        <c:majorTickMark val="none"/>
        <c:minorTickMark val="none"/>
        <c:tickLblPos val="nextTo"/>
        <c:crossAx val="348971392"/>
        <c:crosses val="autoZero"/>
        <c:crossBetween val="midCat"/>
        <c:majorUnit val="1000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PAT</a:t>
            </a:r>
            <a:r>
              <a:rPr lang="en-US" baseline="0"/>
              <a:t> TO SALES</a:t>
            </a:r>
            <a:endParaRPr lang="en-US"/>
          </a:p>
        </c:rich>
      </c:tx>
      <c:overlay val="0"/>
    </c:title>
    <c:autoTitleDeleted val="0"/>
    <c:plotArea>
      <c:layout/>
      <c:lineChart>
        <c:grouping val="stacked"/>
        <c:varyColors val="0"/>
        <c:ser>
          <c:idx val="0"/>
          <c:order val="0"/>
          <c:tx>
            <c:strRef>
              <c:f>Sheet1!$L$20</c:f>
              <c:strCache>
                <c:ptCount val="1"/>
                <c:pt idx="0">
                  <c:v>RATIO</c:v>
                </c:pt>
              </c:strCache>
            </c:strRef>
          </c:tx>
          <c:cat>
            <c:numRef>
              <c:f>Sheet1!$K$21:$K$25</c:f>
              <c:numCache>
                <c:formatCode>General</c:formatCode>
                <c:ptCount val="5"/>
                <c:pt idx="0">
                  <c:v>2009</c:v>
                </c:pt>
                <c:pt idx="1">
                  <c:v>2010</c:v>
                </c:pt>
                <c:pt idx="2">
                  <c:v>2011</c:v>
                </c:pt>
                <c:pt idx="3">
                  <c:v>2012</c:v>
                </c:pt>
                <c:pt idx="4">
                  <c:v>2013</c:v>
                </c:pt>
              </c:numCache>
            </c:numRef>
          </c:cat>
          <c:val>
            <c:numRef>
              <c:f>Sheet1!$L$21:$L$25</c:f>
              <c:numCache>
                <c:formatCode>General</c:formatCode>
                <c:ptCount val="5"/>
                <c:pt idx="0">
                  <c:v>14.101522110067046</c:v>
                </c:pt>
                <c:pt idx="1">
                  <c:v>15.464820484698929</c:v>
                </c:pt>
                <c:pt idx="2">
                  <c:v>16.297041045418649</c:v>
                </c:pt>
                <c:pt idx="3">
                  <c:v>17.671469201814872</c:v>
                </c:pt>
                <c:pt idx="4">
                  <c:v>17.743176124652056</c:v>
                </c:pt>
              </c:numCache>
            </c:numRef>
          </c:val>
          <c:smooth val="0"/>
        </c:ser>
        <c:ser>
          <c:idx val="1"/>
          <c:order val="1"/>
          <c:tx>
            <c:strRef>
              <c:f>Sheet1!$M$20</c:f>
              <c:strCache>
                <c:ptCount val="1"/>
                <c:pt idx="0">
                  <c:v>PAT</c:v>
                </c:pt>
              </c:strCache>
            </c:strRef>
          </c:tx>
          <c:dLbls>
            <c:showLegendKey val="0"/>
            <c:showVal val="1"/>
            <c:showCatName val="0"/>
            <c:showSerName val="0"/>
            <c:showPercent val="0"/>
            <c:showBubbleSize val="0"/>
            <c:showLeaderLines val="0"/>
          </c:dLbls>
          <c:cat>
            <c:numRef>
              <c:f>Sheet1!$K$21:$K$25</c:f>
              <c:numCache>
                <c:formatCode>General</c:formatCode>
                <c:ptCount val="5"/>
                <c:pt idx="0">
                  <c:v>2009</c:v>
                </c:pt>
                <c:pt idx="1">
                  <c:v>2010</c:v>
                </c:pt>
                <c:pt idx="2">
                  <c:v>2011</c:v>
                </c:pt>
                <c:pt idx="3">
                  <c:v>2012</c:v>
                </c:pt>
                <c:pt idx="4">
                  <c:v>2013</c:v>
                </c:pt>
              </c:numCache>
            </c:numRef>
          </c:cat>
          <c:val>
            <c:numRef>
              <c:f>Sheet1!$M$21:$M$25</c:f>
              <c:numCache>
                <c:formatCode>General</c:formatCode>
                <c:ptCount val="5"/>
                <c:pt idx="0">
                  <c:v>3263.59</c:v>
                </c:pt>
                <c:pt idx="1">
                  <c:v>4061</c:v>
                </c:pt>
                <c:pt idx="2">
                  <c:v>4987.6099999999997</c:v>
                </c:pt>
                <c:pt idx="3">
                  <c:v>6162.37</c:v>
                </c:pt>
                <c:pt idx="4">
                  <c:v>7418.39</c:v>
                </c:pt>
              </c:numCache>
            </c:numRef>
          </c:val>
          <c:smooth val="0"/>
        </c:ser>
        <c:ser>
          <c:idx val="2"/>
          <c:order val="2"/>
          <c:tx>
            <c:strRef>
              <c:f>Sheet1!$N$20</c:f>
              <c:strCache>
                <c:ptCount val="1"/>
                <c:pt idx="0">
                  <c:v>GROSS sales</c:v>
                </c:pt>
              </c:strCache>
            </c:strRef>
          </c:tx>
          <c:dLbls>
            <c:showLegendKey val="0"/>
            <c:showVal val="1"/>
            <c:showCatName val="0"/>
            <c:showSerName val="0"/>
            <c:showPercent val="0"/>
            <c:showBubbleSize val="0"/>
            <c:showLeaderLines val="0"/>
          </c:dLbls>
          <c:cat>
            <c:numRef>
              <c:f>Sheet1!$K$21:$K$25</c:f>
              <c:numCache>
                <c:formatCode>General</c:formatCode>
                <c:ptCount val="5"/>
                <c:pt idx="0">
                  <c:v>2009</c:v>
                </c:pt>
                <c:pt idx="1">
                  <c:v>2010</c:v>
                </c:pt>
                <c:pt idx="2">
                  <c:v>2011</c:v>
                </c:pt>
                <c:pt idx="3">
                  <c:v>2012</c:v>
                </c:pt>
                <c:pt idx="4">
                  <c:v>2013</c:v>
                </c:pt>
              </c:numCache>
            </c:numRef>
          </c:cat>
          <c:val>
            <c:numRef>
              <c:f>Sheet1!$N$21:$N$25</c:f>
              <c:numCache>
                <c:formatCode>General</c:formatCode>
                <c:ptCount val="5"/>
                <c:pt idx="0">
                  <c:v>23143.53</c:v>
                </c:pt>
                <c:pt idx="1">
                  <c:v>26259.599999999999</c:v>
                </c:pt>
                <c:pt idx="2">
                  <c:v>30604.39</c:v>
                </c:pt>
                <c:pt idx="3">
                  <c:v>34871.86</c:v>
                </c:pt>
                <c:pt idx="4">
                  <c:v>41809.82</c:v>
                </c:pt>
              </c:numCache>
            </c:numRef>
          </c:val>
          <c:smooth val="0"/>
        </c:ser>
        <c:dLbls>
          <c:showLegendKey val="0"/>
          <c:showVal val="0"/>
          <c:showCatName val="0"/>
          <c:showSerName val="0"/>
          <c:showPercent val="0"/>
          <c:showBubbleSize val="0"/>
        </c:dLbls>
        <c:marker val="1"/>
        <c:smooth val="0"/>
        <c:axId val="349078656"/>
        <c:axId val="349080576"/>
      </c:lineChart>
      <c:catAx>
        <c:axId val="349078656"/>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349080576"/>
        <c:crosses val="autoZero"/>
        <c:auto val="1"/>
        <c:lblAlgn val="ctr"/>
        <c:lblOffset val="100"/>
        <c:noMultiLvlLbl val="0"/>
      </c:catAx>
      <c:valAx>
        <c:axId val="349080576"/>
        <c:scaling>
          <c:orientation val="minMax"/>
        </c:scaling>
        <c:delete val="0"/>
        <c:axPos val="l"/>
        <c:title>
          <c:tx>
            <c:rich>
              <a:bodyPr/>
              <a:lstStyle/>
              <a:p>
                <a:pPr>
                  <a:defRPr/>
                </a:pPr>
                <a:r>
                  <a:rPr lang="en-US"/>
                  <a:t>PAT</a:t>
                </a:r>
                <a:r>
                  <a:rPr lang="en-US" baseline="0"/>
                  <a:t> to SALES(In Millions)</a:t>
                </a:r>
                <a:endParaRPr lang="en-US"/>
              </a:p>
            </c:rich>
          </c:tx>
          <c:overlay val="0"/>
        </c:title>
        <c:numFmt formatCode="General" sourceLinked="1"/>
        <c:majorTickMark val="out"/>
        <c:minorTickMark val="none"/>
        <c:tickLblPos val="nextTo"/>
        <c:crossAx val="3490786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MARKET CAPITALISATION</a:t>
            </a:r>
          </a:p>
        </c:rich>
      </c:tx>
      <c:overlay val="0"/>
    </c:title>
    <c:autoTitleDeleted val="0"/>
    <c:plotArea>
      <c:layout/>
      <c:scatterChart>
        <c:scatterStyle val="lineMarker"/>
        <c:varyColors val="0"/>
        <c:ser>
          <c:idx val="0"/>
          <c:order val="0"/>
          <c:tx>
            <c:strRef>
              <c:f>Sheet5!$B$3</c:f>
              <c:strCache>
                <c:ptCount val="1"/>
                <c:pt idx="0">
                  <c:v>MARKET CAP</c:v>
                </c:pt>
              </c:strCache>
            </c:strRef>
          </c:tx>
          <c:dLbls>
            <c:showLegendKey val="0"/>
            <c:showVal val="1"/>
            <c:showCatName val="0"/>
            <c:showSerName val="0"/>
            <c:showPercent val="0"/>
            <c:showBubbleSize val="0"/>
            <c:showLeaderLines val="0"/>
          </c:dLbls>
          <c:xVal>
            <c:numRef>
              <c:f>Sheet5!$A$4:$A$8</c:f>
              <c:numCache>
                <c:formatCode>General</c:formatCode>
                <c:ptCount val="5"/>
                <c:pt idx="0">
                  <c:v>2009</c:v>
                </c:pt>
                <c:pt idx="1">
                  <c:v>2010</c:v>
                </c:pt>
                <c:pt idx="2">
                  <c:v>2011</c:v>
                </c:pt>
                <c:pt idx="3">
                  <c:v>2012</c:v>
                </c:pt>
                <c:pt idx="4">
                  <c:v>2013</c:v>
                </c:pt>
              </c:numCache>
            </c:numRef>
          </c:xVal>
          <c:yVal>
            <c:numRef>
              <c:f>Sheet5!$B$4:$B$8</c:f>
              <c:numCache>
                <c:formatCode>General</c:formatCode>
                <c:ptCount val="5"/>
                <c:pt idx="0">
                  <c:v>69751</c:v>
                </c:pt>
                <c:pt idx="1">
                  <c:v>100476</c:v>
                </c:pt>
                <c:pt idx="2">
                  <c:v>140408</c:v>
                </c:pt>
                <c:pt idx="3">
                  <c:v>177360</c:v>
                </c:pt>
                <c:pt idx="4">
                  <c:v>244245</c:v>
                </c:pt>
              </c:numCache>
            </c:numRef>
          </c:yVal>
          <c:smooth val="0"/>
        </c:ser>
        <c:dLbls>
          <c:showLegendKey val="0"/>
          <c:showVal val="0"/>
          <c:showCatName val="0"/>
          <c:showSerName val="0"/>
          <c:showPercent val="0"/>
          <c:showBubbleSize val="0"/>
        </c:dLbls>
        <c:axId val="349900800"/>
        <c:axId val="349902720"/>
      </c:scatterChart>
      <c:valAx>
        <c:axId val="349900800"/>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349902720"/>
        <c:crosses val="autoZero"/>
        <c:crossBetween val="midCat"/>
      </c:valAx>
      <c:valAx>
        <c:axId val="349902720"/>
        <c:scaling>
          <c:orientation val="minMax"/>
        </c:scaling>
        <c:delete val="0"/>
        <c:axPos val="l"/>
        <c:title>
          <c:tx>
            <c:rich>
              <a:bodyPr/>
              <a:lstStyle/>
              <a:p>
                <a:pPr>
                  <a:defRPr/>
                </a:pPr>
                <a:r>
                  <a:rPr lang="en-US"/>
                  <a:t>M.CAP(In Millions)</a:t>
                </a:r>
              </a:p>
            </c:rich>
          </c:tx>
          <c:overlay val="0"/>
        </c:title>
        <c:numFmt formatCode="General" sourceLinked="1"/>
        <c:majorTickMark val="out"/>
        <c:minorTickMark val="none"/>
        <c:tickLblPos val="nextTo"/>
        <c:crossAx val="349900800"/>
        <c:crosses val="autoZero"/>
        <c:crossBetween val="midCat"/>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Sheet1!$K$48</c:f>
              <c:strCache>
                <c:ptCount val="1"/>
                <c:pt idx="0">
                  <c:v>Return on Assets (%)</c:v>
                </c:pt>
              </c:strCache>
            </c:strRef>
          </c:tx>
          <c:dLbls>
            <c:dLbl>
              <c:idx val="0"/>
              <c:tx>
                <c:rich>
                  <a:bodyPr/>
                  <a:lstStyle/>
                  <a:p>
                    <a:r>
                      <a:rPr lang="en-US"/>
                      <a:t>16.714</a:t>
                    </a:r>
                  </a:p>
                </c:rich>
              </c:tx>
              <c:showLegendKey val="0"/>
              <c:showVal val="1"/>
              <c:showCatName val="0"/>
              <c:showSerName val="0"/>
              <c:showPercent val="0"/>
              <c:showBubbleSize val="0"/>
            </c:dLbl>
            <c:dLbl>
              <c:idx val="1"/>
              <c:layout>
                <c:manualLayout>
                  <c:x val="-2.8368794326241134E-2"/>
                  <c:y val="5.0534499514091349E-2"/>
                </c:manualLayout>
              </c:layout>
              <c:tx>
                <c:rich>
                  <a:bodyPr/>
                  <a:lstStyle/>
                  <a:p>
                    <a:r>
                      <a:rPr lang="en-US"/>
                      <a:t>17.65</a:t>
                    </a:r>
                  </a:p>
                </c:rich>
              </c:tx>
              <c:showLegendKey val="0"/>
              <c:showVal val="1"/>
              <c:showCatName val="0"/>
              <c:showSerName val="0"/>
              <c:showPercent val="0"/>
              <c:showBubbleSize val="0"/>
            </c:dLbl>
            <c:dLbl>
              <c:idx val="2"/>
              <c:layout>
                <c:manualLayout>
                  <c:x val="-4.1263700838168972E-2"/>
                  <c:y val="3.8872691933916424E-2"/>
                </c:manualLayout>
              </c:layout>
              <c:tx>
                <c:rich>
                  <a:bodyPr/>
                  <a:lstStyle/>
                  <a:p>
                    <a:r>
                      <a:rPr lang="en-US"/>
                      <a:t>19.625</a:t>
                    </a:r>
                  </a:p>
                </c:rich>
              </c:tx>
              <c:showLegendKey val="0"/>
              <c:showVal val="1"/>
              <c:showCatName val="0"/>
              <c:showSerName val="0"/>
              <c:showPercent val="0"/>
              <c:showBubbleSize val="0"/>
            </c:dLbl>
            <c:dLbl>
              <c:idx val="3"/>
              <c:layout>
                <c:manualLayout>
                  <c:x val="-3.3526756931012251E-2"/>
                  <c:y val="5.8309037900874675E-2"/>
                </c:manualLayout>
              </c:layout>
              <c:tx>
                <c:rich>
                  <a:bodyPr/>
                  <a:lstStyle/>
                  <a:p>
                    <a:r>
                      <a:rPr lang="en-US"/>
                      <a:t>21.2581</a:t>
                    </a:r>
                  </a:p>
                </c:rich>
              </c:tx>
              <c:showLegendKey val="0"/>
              <c:showVal val="1"/>
              <c:showCatName val="0"/>
              <c:showSerName val="0"/>
              <c:showPercent val="0"/>
              <c:showBubbleSize val="0"/>
            </c:dLbl>
            <c:dLbl>
              <c:idx val="4"/>
              <c:layout>
                <c:manualLayout>
                  <c:x val="-1.5473887814313346E-2"/>
                  <c:y val="2.3323615160349854E-2"/>
                </c:manualLayout>
              </c:layout>
              <c:tx>
                <c:rich>
                  <a:bodyPr/>
                  <a:lstStyle/>
                  <a:p>
                    <a:r>
                      <a:rPr lang="en-US"/>
                      <a:t>21.80</a:t>
                    </a:r>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Sheet1!$J$49:$J$53</c:f>
              <c:numCache>
                <c:formatCode>General</c:formatCode>
                <c:ptCount val="5"/>
                <c:pt idx="0">
                  <c:v>2009</c:v>
                </c:pt>
                <c:pt idx="1">
                  <c:v>2010</c:v>
                </c:pt>
                <c:pt idx="2">
                  <c:v>2011</c:v>
                </c:pt>
                <c:pt idx="3">
                  <c:v>2012</c:v>
                </c:pt>
                <c:pt idx="4">
                  <c:v>2013</c:v>
                </c:pt>
              </c:numCache>
            </c:numRef>
          </c:xVal>
          <c:yVal>
            <c:numRef>
              <c:f>Sheet1!$K$49:$K$53</c:f>
              <c:numCache>
                <c:formatCode>General</c:formatCode>
                <c:ptCount val="5"/>
                <c:pt idx="0">
                  <c:v>16.74938914016699</c:v>
                </c:pt>
                <c:pt idx="1">
                  <c:v>17.651778782918328</c:v>
                </c:pt>
                <c:pt idx="2">
                  <c:v>19.623049049655545</c:v>
                </c:pt>
                <c:pt idx="3">
                  <c:v>21.258201613070145</c:v>
                </c:pt>
                <c:pt idx="4">
                  <c:v>21.807614508209468</c:v>
                </c:pt>
              </c:numCache>
            </c:numRef>
          </c:yVal>
          <c:smooth val="0"/>
        </c:ser>
        <c:dLbls>
          <c:showLegendKey val="0"/>
          <c:showVal val="0"/>
          <c:showCatName val="0"/>
          <c:showSerName val="0"/>
          <c:showPercent val="0"/>
          <c:showBubbleSize val="0"/>
        </c:dLbls>
        <c:axId val="349923968"/>
        <c:axId val="349950720"/>
      </c:scatterChart>
      <c:valAx>
        <c:axId val="349923968"/>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349950720"/>
        <c:crosses val="autoZero"/>
        <c:crossBetween val="midCat"/>
      </c:valAx>
      <c:valAx>
        <c:axId val="349950720"/>
        <c:scaling>
          <c:orientation val="minMax"/>
        </c:scaling>
        <c:delete val="0"/>
        <c:axPos val="l"/>
        <c:title>
          <c:tx>
            <c:rich>
              <a:bodyPr/>
              <a:lstStyle/>
              <a:p>
                <a:pPr>
                  <a:defRPr/>
                </a:pPr>
                <a:r>
                  <a:rPr lang="en-US"/>
                  <a:t>%</a:t>
                </a:r>
              </a:p>
            </c:rich>
          </c:tx>
          <c:overlay val="0"/>
        </c:title>
        <c:numFmt formatCode="General" sourceLinked="1"/>
        <c:majorTickMark val="none"/>
        <c:minorTickMark val="none"/>
        <c:tickLblPos val="nextTo"/>
        <c:crossAx val="349923968"/>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a:t>
            </a:r>
            <a:r>
              <a:rPr lang="en-US" baseline="0"/>
              <a:t> RATIO</a:t>
            </a:r>
            <a:endParaRPr lang="en-US"/>
          </a:p>
        </c:rich>
      </c:tx>
      <c:overlay val="0"/>
    </c:title>
    <c:autoTitleDeleted val="0"/>
    <c:plotArea>
      <c:layout/>
      <c:scatterChart>
        <c:scatterStyle val="lineMarker"/>
        <c:varyColors val="0"/>
        <c:ser>
          <c:idx val="0"/>
          <c:order val="0"/>
          <c:tx>
            <c:strRef>
              <c:f>Sheet4!$C$34</c:f>
              <c:strCache>
                <c:ptCount val="1"/>
                <c:pt idx="0">
                  <c:v>P/E RATIO</c:v>
                </c:pt>
              </c:strCache>
            </c:strRef>
          </c:tx>
          <c:spPr>
            <a:ln>
              <a:solidFill>
                <a:srgbClr val="FF0000"/>
              </a:solidFill>
            </a:ln>
          </c:spPr>
          <c:xVal>
            <c:numRef>
              <c:f>Sheet4!$B$35:$B$39</c:f>
              <c:numCache>
                <c:formatCode>General</c:formatCode>
                <c:ptCount val="5"/>
                <c:pt idx="0">
                  <c:v>2009</c:v>
                </c:pt>
                <c:pt idx="1">
                  <c:v>2010</c:v>
                </c:pt>
                <c:pt idx="2">
                  <c:v>2011</c:v>
                </c:pt>
                <c:pt idx="3">
                  <c:v>2012</c:v>
                </c:pt>
                <c:pt idx="4">
                  <c:v>2013</c:v>
                </c:pt>
              </c:numCache>
            </c:numRef>
          </c:xVal>
          <c:yVal>
            <c:numRef>
              <c:f>Sheet4!$C$35:$C$39</c:f>
              <c:numCache>
                <c:formatCode>General</c:formatCode>
                <c:ptCount val="5"/>
                <c:pt idx="0">
                  <c:v>21.53846153846154</c:v>
                </c:pt>
                <c:pt idx="1">
                  <c:v>24.779661016949156</c:v>
                </c:pt>
                <c:pt idx="2">
                  <c:v>28.131782945736433</c:v>
                </c:pt>
                <c:pt idx="3">
                  <c:v>28.788071065989847</c:v>
                </c:pt>
                <c:pt idx="4">
                  <c:v>32.917997870074551</c:v>
                </c:pt>
              </c:numCache>
            </c:numRef>
          </c:yVal>
          <c:smooth val="0"/>
        </c:ser>
        <c:ser>
          <c:idx val="1"/>
          <c:order val="1"/>
          <c:tx>
            <c:strRef>
              <c:f>Sheet4!$D$34</c:f>
              <c:strCache>
                <c:ptCount val="1"/>
                <c:pt idx="0">
                  <c:v>EPS</c:v>
                </c:pt>
              </c:strCache>
            </c:strRef>
          </c:tx>
          <c:spPr>
            <a:ln>
              <a:solidFill>
                <a:srgbClr val="00FFCC"/>
              </a:solidFill>
            </a:ln>
          </c:spPr>
          <c:xVal>
            <c:numRef>
              <c:f>Sheet4!$B$35:$B$39</c:f>
              <c:numCache>
                <c:formatCode>General</c:formatCode>
                <c:ptCount val="5"/>
                <c:pt idx="0">
                  <c:v>2009</c:v>
                </c:pt>
                <c:pt idx="1">
                  <c:v>2010</c:v>
                </c:pt>
                <c:pt idx="2">
                  <c:v>2011</c:v>
                </c:pt>
                <c:pt idx="3">
                  <c:v>2012</c:v>
                </c:pt>
                <c:pt idx="4">
                  <c:v>2013</c:v>
                </c:pt>
              </c:numCache>
            </c:numRef>
          </c:xVal>
          <c:yVal>
            <c:numRef>
              <c:f>Sheet4!$D$35:$D$39</c:f>
              <c:numCache>
                <c:formatCode>General</c:formatCode>
                <c:ptCount val="5"/>
                <c:pt idx="0">
                  <c:v>4.29</c:v>
                </c:pt>
                <c:pt idx="1">
                  <c:v>5.31</c:v>
                </c:pt>
                <c:pt idx="2">
                  <c:v>6.45</c:v>
                </c:pt>
                <c:pt idx="3">
                  <c:v>7.88</c:v>
                </c:pt>
                <c:pt idx="4">
                  <c:v>9.39</c:v>
                </c:pt>
              </c:numCache>
            </c:numRef>
          </c:yVal>
          <c:smooth val="0"/>
        </c:ser>
        <c:ser>
          <c:idx val="2"/>
          <c:order val="2"/>
          <c:tx>
            <c:strRef>
              <c:f>Sheet4!$E$34</c:f>
              <c:strCache>
                <c:ptCount val="1"/>
                <c:pt idx="0">
                  <c:v>stock price</c:v>
                </c:pt>
              </c:strCache>
            </c:strRef>
          </c:tx>
          <c:spPr>
            <a:ln>
              <a:solidFill>
                <a:srgbClr val="FFFF00"/>
              </a:solidFill>
            </a:ln>
          </c:spPr>
          <c:xVal>
            <c:numRef>
              <c:f>Sheet4!$B$35:$B$39</c:f>
              <c:numCache>
                <c:formatCode>General</c:formatCode>
                <c:ptCount val="5"/>
                <c:pt idx="0">
                  <c:v>2009</c:v>
                </c:pt>
                <c:pt idx="1">
                  <c:v>2010</c:v>
                </c:pt>
                <c:pt idx="2">
                  <c:v>2011</c:v>
                </c:pt>
                <c:pt idx="3">
                  <c:v>2012</c:v>
                </c:pt>
                <c:pt idx="4">
                  <c:v>2013</c:v>
                </c:pt>
              </c:numCache>
            </c:numRef>
          </c:xVal>
          <c:yVal>
            <c:numRef>
              <c:f>Sheet4!$E$35:$E$39</c:f>
              <c:numCache>
                <c:formatCode>General</c:formatCode>
                <c:ptCount val="5"/>
                <c:pt idx="0">
                  <c:v>92.4</c:v>
                </c:pt>
                <c:pt idx="1">
                  <c:v>131.58000000000001</c:v>
                </c:pt>
                <c:pt idx="2">
                  <c:v>181.45</c:v>
                </c:pt>
                <c:pt idx="3">
                  <c:v>226.85</c:v>
                </c:pt>
                <c:pt idx="4">
                  <c:v>309.10000000000002</c:v>
                </c:pt>
              </c:numCache>
            </c:numRef>
          </c:yVal>
          <c:smooth val="0"/>
        </c:ser>
        <c:dLbls>
          <c:showLegendKey val="0"/>
          <c:showVal val="0"/>
          <c:showCatName val="0"/>
          <c:showSerName val="0"/>
          <c:showPercent val="0"/>
          <c:showBubbleSize val="0"/>
        </c:dLbls>
        <c:axId val="197429888"/>
        <c:axId val="197448448"/>
      </c:scatterChart>
      <c:valAx>
        <c:axId val="197429888"/>
        <c:scaling>
          <c:orientation val="minMax"/>
          <c:max val="2013"/>
          <c:min val="2009"/>
        </c:scaling>
        <c:delete val="0"/>
        <c:axPos val="b"/>
        <c:title>
          <c:tx>
            <c:rich>
              <a:bodyPr/>
              <a:lstStyle/>
              <a:p>
                <a:pPr>
                  <a:defRPr/>
                </a:pPr>
                <a:r>
                  <a:rPr lang="en-US"/>
                  <a:t>YEAR</a:t>
                </a:r>
              </a:p>
            </c:rich>
          </c:tx>
          <c:overlay val="0"/>
        </c:title>
        <c:numFmt formatCode="General" sourceLinked="1"/>
        <c:majorTickMark val="none"/>
        <c:minorTickMark val="none"/>
        <c:tickLblPos val="nextTo"/>
        <c:crossAx val="197448448"/>
        <c:crosses val="autoZero"/>
        <c:crossBetween val="midCat"/>
      </c:valAx>
      <c:valAx>
        <c:axId val="197448448"/>
        <c:scaling>
          <c:orientation val="minMax"/>
          <c:max val="355"/>
          <c:min val="3"/>
        </c:scaling>
        <c:delete val="0"/>
        <c:axPos val="l"/>
        <c:title>
          <c:tx>
            <c:rich>
              <a:bodyPr/>
              <a:lstStyle/>
              <a:p>
                <a:pPr>
                  <a:defRPr/>
                </a:pPr>
                <a:r>
                  <a:rPr lang="en-US"/>
                  <a:t>P/E</a:t>
                </a:r>
              </a:p>
            </c:rich>
          </c:tx>
          <c:overlay val="0"/>
        </c:title>
        <c:numFmt formatCode="General" sourceLinked="1"/>
        <c:majorTickMark val="none"/>
        <c:minorTickMark val="none"/>
        <c:tickLblPos val="nextTo"/>
        <c:crossAx val="197429888"/>
        <c:crosses val="autoZero"/>
        <c:crossBetween val="midCat"/>
        <c:majorUnit val="50"/>
        <c:min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3727</TotalTime>
  <Pages>70</Pages>
  <Words>12141</Words>
  <Characters>69205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HRP</dc:creator>
  <cp:lastModifiedBy>bhanu1</cp:lastModifiedBy>
  <cp:revision>20</cp:revision>
  <dcterms:created xsi:type="dcterms:W3CDTF">2014-06-23T03:16:00Z</dcterms:created>
  <dcterms:modified xsi:type="dcterms:W3CDTF">2014-09-06T00:13:00Z</dcterms:modified>
</cp:coreProperties>
</file>