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0D264" w14:textId="77777777" w:rsidR="00A20DDC" w:rsidRDefault="00000000" w:rsidP="003B6D15">
      <w:pPr>
        <w:pStyle w:val="Title"/>
      </w:pPr>
      <w:r>
        <w:t>Summative Evaluation Plan: Invitation to Learning Engineering E-Learning Course</w:t>
      </w:r>
    </w:p>
    <w:p w14:paraId="21E446AF" w14:textId="582ABD30" w:rsidR="00A20DDC" w:rsidRDefault="00000000">
      <w:r>
        <w:t>This summative evaluation plan leverages the Learning-Transfer Evaluation Model (LTEM)</w:t>
      </w:r>
      <w:r w:rsidR="0004323F">
        <w:rPr>
          <w:rStyle w:val="FootnoteReference"/>
        </w:rPr>
        <w:footnoteReference w:id="1"/>
      </w:r>
      <w:r>
        <w:t xml:space="preserve"> framework to assess the effectiveness and real-world impact of the </w:t>
      </w:r>
      <w:r w:rsidR="00567320">
        <w:t>“</w:t>
      </w:r>
      <w:r>
        <w:t>Invitation to Learning Engineering</w:t>
      </w:r>
      <w:r w:rsidR="00567320">
        <w:t>”</w:t>
      </w:r>
      <w:r>
        <w:t xml:space="preserve"> e-learning course. Each LTEM tier is represented to provide a comprehensive approach, from basic completion metrics to work performance and broader organizational impact.</w:t>
      </w:r>
    </w:p>
    <w:p w14:paraId="4D7860E5" w14:textId="77777777" w:rsidR="00A20DDC" w:rsidRDefault="00000000">
      <w:pPr>
        <w:pStyle w:val="Heading2"/>
      </w:pPr>
      <w:r>
        <w:t>Tier 1: Attendance/Completion</w:t>
      </w:r>
    </w:p>
    <w:p w14:paraId="1E2A094F" w14:textId="77777777" w:rsidR="00A20DDC" w:rsidRDefault="00000000">
      <w:r>
        <w:t>Metric: Track course completion rates to ensure all participants reach the end of the e-learning course.</w:t>
      </w:r>
    </w:p>
    <w:p w14:paraId="4DB3E68D" w14:textId="77777777" w:rsidR="00A20DDC" w:rsidRDefault="00000000">
      <w:r>
        <w:t>Purpose: Serve as a baseline to identify who completed the course.</w:t>
      </w:r>
    </w:p>
    <w:p w14:paraId="09A09AAC" w14:textId="77777777" w:rsidR="00A20DDC" w:rsidRDefault="00000000">
      <w:pPr>
        <w:pStyle w:val="Heading2"/>
      </w:pPr>
      <w:r>
        <w:t>Tier 2: Learner Activity</w:t>
      </w:r>
    </w:p>
    <w:p w14:paraId="715A7E17" w14:textId="77777777" w:rsidR="00A20DDC" w:rsidRDefault="00000000">
      <w:r>
        <w:t>Metric: Monitor learner engagement through interactive elements, like quizzes and discussion prompts.</w:t>
      </w:r>
    </w:p>
    <w:p w14:paraId="37A42EBE" w14:textId="77777777" w:rsidR="00A20DDC" w:rsidRDefault="00000000">
      <w:r>
        <w:t>Purpose: Evaluate engagement levels to ensure active participation, though not a direct indicator of learning success.</w:t>
      </w:r>
    </w:p>
    <w:p w14:paraId="30A20890" w14:textId="77777777" w:rsidR="00A20DDC" w:rsidRDefault="00000000">
      <w:pPr>
        <w:pStyle w:val="Heading2"/>
      </w:pPr>
      <w:r>
        <w:t>Tier 3A: Learner Perceptions</w:t>
      </w:r>
    </w:p>
    <w:p w14:paraId="532F5879" w14:textId="77777777" w:rsidR="00A20DDC" w:rsidRDefault="00000000">
      <w:r>
        <w:t>Metric: Use performance-focused learner surveys assessing learners' perceptions of their own understanding, motivation to apply content, and perceived relevance to their work.</w:t>
      </w:r>
    </w:p>
    <w:p w14:paraId="5A6203D4" w14:textId="77777777" w:rsidR="00A20DDC" w:rsidRDefault="00000000">
      <w:r>
        <w:t>Purpose: Gather insights into learners’ motivation and perceived value of the course content for practical application.</w:t>
      </w:r>
    </w:p>
    <w:p w14:paraId="7D39CF1A" w14:textId="77777777" w:rsidR="00A20DDC" w:rsidRDefault="00000000">
      <w:pPr>
        <w:pStyle w:val="Heading2"/>
      </w:pPr>
      <w:r>
        <w:t>Tier 4A and 4B: Knowledge</w:t>
      </w:r>
    </w:p>
    <w:p w14:paraId="2DCB18A6" w14:textId="77777777" w:rsidR="00A20DDC" w:rsidRDefault="00000000">
      <w:r>
        <w:t>Metric: Conduct assessments on foundational concepts (4A) necessary for applying learning engineering principles in real scenarios.</w:t>
      </w:r>
    </w:p>
    <w:p w14:paraId="637D6A0D" w14:textId="77777777" w:rsidR="00A20DDC" w:rsidRDefault="00000000">
      <w:r>
        <w:t>Purpose: Validate learners’ understanding of key principles needed for decision-making. Assess trivial knowledge (4B) minimally to avoid overemphasis on non-essential details.</w:t>
      </w:r>
    </w:p>
    <w:p w14:paraId="5D5A5514" w14:textId="77777777" w:rsidR="00A20DDC" w:rsidRDefault="00000000">
      <w:pPr>
        <w:pStyle w:val="Heading2"/>
      </w:pPr>
      <w:r>
        <w:lastRenderedPageBreak/>
        <w:t>Tier 5: Decision-Making</w:t>
      </w:r>
    </w:p>
    <w:p w14:paraId="6D7ED0BB" w14:textId="77777777" w:rsidR="00A20DDC" w:rsidRDefault="00000000">
      <w:r>
        <w:t>Metric: Scenario-based questions requiring learners to make decisions in realistic learning engineering contexts.</w:t>
      </w:r>
    </w:p>
    <w:p w14:paraId="351A886D" w14:textId="77777777" w:rsidR="00A20DDC" w:rsidRDefault="00000000">
      <w:r>
        <w:t>Purpose: Measure the ability to apply foundational knowledge in decision-making situations relevant to learning engineering.</w:t>
      </w:r>
    </w:p>
    <w:p w14:paraId="55F0860D" w14:textId="77777777" w:rsidR="00A20DDC" w:rsidRDefault="00000000">
      <w:pPr>
        <w:pStyle w:val="Heading2"/>
      </w:pPr>
      <w:r>
        <w:t>Tier 6: Task Performance</w:t>
      </w:r>
    </w:p>
    <w:p w14:paraId="0753935E" w14:textId="77777777" w:rsidR="00A20DDC" w:rsidRDefault="00000000">
      <w:r>
        <w:t>Metric: Provide a practical task or simulation where learners must demonstrate a core learning engineering skill (e.g., designing an instructional intervention).</w:t>
      </w:r>
    </w:p>
    <w:p w14:paraId="2C492D2E" w14:textId="77777777" w:rsidR="00A20DDC" w:rsidRDefault="00000000">
      <w:r>
        <w:t>Purpose: Assess real-world task performance without aid to evaluate readiness for on-the-job application.</w:t>
      </w:r>
    </w:p>
    <w:p w14:paraId="0E5701C0" w14:textId="77777777" w:rsidR="00A20DDC" w:rsidRDefault="00000000">
      <w:pPr>
        <w:pStyle w:val="Heading2"/>
      </w:pPr>
      <w:r>
        <w:t>Tier 7: Transfer to Work Performance</w:t>
      </w:r>
    </w:p>
    <w:p w14:paraId="3AEAD387" w14:textId="77777777" w:rsidR="00A20DDC" w:rsidRDefault="00000000">
      <w:r>
        <w:t>Metric: Conduct follow-up surveys with participants’ managers or collect observational feedback to gauge the application of learning engineering skills on the job.</w:t>
      </w:r>
    </w:p>
    <w:p w14:paraId="5DC1C565" w14:textId="77777777" w:rsidR="00A20DDC" w:rsidRDefault="00000000">
      <w:r>
        <w:t>Purpose: Validate that skills learned are being effectively transferred and utilized in workplace contexts.</w:t>
      </w:r>
    </w:p>
    <w:p w14:paraId="6DBEAE59" w14:textId="77777777" w:rsidR="00A20DDC" w:rsidRDefault="00000000">
      <w:pPr>
        <w:pStyle w:val="Heading2"/>
      </w:pPr>
      <w:r>
        <w:t>Tier 8: Effects of Transfer</w:t>
      </w:r>
    </w:p>
    <w:p w14:paraId="4733736F" w14:textId="77777777" w:rsidR="00A20DDC" w:rsidRDefault="00000000">
      <w:r>
        <w:t>Metric: Evaluate broader organizational impact metrics, such as improvements in project outcomes linked to learning engineering interventions.</w:t>
      </w:r>
    </w:p>
    <w:p w14:paraId="1BE040C5" w14:textId="77777777" w:rsidR="00A20DDC" w:rsidRDefault="00000000">
      <w:r>
        <w:t>Purpose: Assess the downstream effects of skill transfer on organizational performance indicators and stakeholder impact.</w:t>
      </w:r>
    </w:p>
    <w:sectPr w:rsidR="00A20DD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715C1" w14:textId="77777777" w:rsidR="00B64287" w:rsidRDefault="00B64287" w:rsidP="00337311">
      <w:pPr>
        <w:spacing w:after="0" w:line="240" w:lineRule="auto"/>
      </w:pPr>
      <w:r>
        <w:separator/>
      </w:r>
    </w:p>
  </w:endnote>
  <w:endnote w:type="continuationSeparator" w:id="0">
    <w:p w14:paraId="578A5349" w14:textId="77777777" w:rsidR="00B64287" w:rsidRDefault="00B64287" w:rsidP="00337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CDE60" w14:textId="77777777" w:rsidR="00337311" w:rsidRDefault="003373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BB562" w14:textId="0F1BD4CD" w:rsidR="00337311" w:rsidRPr="0004323F" w:rsidRDefault="00337311" w:rsidP="000432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F67B7" w14:textId="77777777" w:rsidR="00337311" w:rsidRDefault="00337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BB280" w14:textId="77777777" w:rsidR="00B64287" w:rsidRDefault="00B64287" w:rsidP="00337311">
      <w:pPr>
        <w:spacing w:after="0" w:line="240" w:lineRule="auto"/>
      </w:pPr>
      <w:r>
        <w:separator/>
      </w:r>
    </w:p>
  </w:footnote>
  <w:footnote w:type="continuationSeparator" w:id="0">
    <w:p w14:paraId="4F610F50" w14:textId="77777777" w:rsidR="00B64287" w:rsidRDefault="00B64287" w:rsidP="00337311">
      <w:pPr>
        <w:spacing w:after="0" w:line="240" w:lineRule="auto"/>
      </w:pPr>
      <w:r>
        <w:continuationSeparator/>
      </w:r>
    </w:p>
  </w:footnote>
  <w:footnote w:id="1">
    <w:p w14:paraId="5C59FBC9" w14:textId="671C719C" w:rsidR="0004323F" w:rsidRPr="009069EF" w:rsidRDefault="0004323F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9069EF">
        <w:rPr>
          <w:sz w:val="18"/>
          <w:szCs w:val="18"/>
        </w:rPr>
        <w:t xml:space="preserve">Thalheimer, W. (2024). </w:t>
      </w:r>
      <w:r w:rsidRPr="009069EF">
        <w:rPr>
          <w:rStyle w:val="Emphasis"/>
          <w:sz w:val="18"/>
          <w:szCs w:val="18"/>
        </w:rPr>
        <w:t>The Learning-Transfer Evaluation Model: Sending messages and nudging evidence-informed thinking to enable learning effectiveness</w:t>
      </w:r>
      <w:r w:rsidRPr="009069EF">
        <w:rPr>
          <w:sz w:val="18"/>
          <w:szCs w:val="18"/>
        </w:rPr>
        <w:t xml:space="preserve">. Available at </w:t>
      </w:r>
      <w:hyperlink r:id="rId1" w:tgtFrame="_new" w:history="1">
        <w:r w:rsidRPr="009069EF">
          <w:rPr>
            <w:rStyle w:val="Hyperlink"/>
            <w:sz w:val="18"/>
            <w:szCs w:val="18"/>
          </w:rPr>
          <w:t>https://worklearning.com/ltem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B791C" w14:textId="77777777" w:rsidR="00337311" w:rsidRDefault="003373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449B5" w14:textId="77777777" w:rsidR="00337311" w:rsidRDefault="003373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DD35A" w14:textId="77777777" w:rsidR="00337311" w:rsidRDefault="003373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2297639">
    <w:abstractNumId w:val="8"/>
  </w:num>
  <w:num w:numId="2" w16cid:durableId="262498168">
    <w:abstractNumId w:val="6"/>
  </w:num>
  <w:num w:numId="3" w16cid:durableId="1471363121">
    <w:abstractNumId w:val="5"/>
  </w:num>
  <w:num w:numId="4" w16cid:durableId="680474697">
    <w:abstractNumId w:val="4"/>
  </w:num>
  <w:num w:numId="5" w16cid:durableId="2134203819">
    <w:abstractNumId w:val="7"/>
  </w:num>
  <w:num w:numId="6" w16cid:durableId="1561819882">
    <w:abstractNumId w:val="3"/>
  </w:num>
  <w:num w:numId="7" w16cid:durableId="1773553939">
    <w:abstractNumId w:val="2"/>
  </w:num>
  <w:num w:numId="8" w16cid:durableId="156774346">
    <w:abstractNumId w:val="1"/>
  </w:num>
  <w:num w:numId="9" w16cid:durableId="172262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3MTAzNbcwNjQ1sTBQ0lEKTi0uzszPAykwrAUAOBokCCwAAAA="/>
  </w:docVars>
  <w:rsids>
    <w:rsidRoot w:val="00B47730"/>
    <w:rsid w:val="00034616"/>
    <w:rsid w:val="0004323F"/>
    <w:rsid w:val="0006063C"/>
    <w:rsid w:val="00070770"/>
    <w:rsid w:val="0015074B"/>
    <w:rsid w:val="0029639D"/>
    <w:rsid w:val="00326F90"/>
    <w:rsid w:val="00337311"/>
    <w:rsid w:val="003B6D15"/>
    <w:rsid w:val="0050310E"/>
    <w:rsid w:val="00567320"/>
    <w:rsid w:val="009069EF"/>
    <w:rsid w:val="00943428"/>
    <w:rsid w:val="00A20DDC"/>
    <w:rsid w:val="00A71A47"/>
    <w:rsid w:val="00AA1D8D"/>
    <w:rsid w:val="00B47730"/>
    <w:rsid w:val="00B64287"/>
    <w:rsid w:val="00CB0664"/>
    <w:rsid w:val="00CC76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6B4633C-AE28-4406-A650-C70C039B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9313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363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9313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3637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3637A" w:themeColor="accent1"/>
      </w:pBdr>
      <w:spacing w:before="200" w:after="280"/>
      <w:ind w:left="936" w:right="936"/>
    </w:pPr>
    <w:rPr>
      <w:b/>
      <w:bCs/>
      <w:i/>
      <w:iCs/>
      <w:color w:val="13637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3637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3637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53A3B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53A3B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E495B" w:themeColor="accent1" w:themeShade="BF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397C90" w:themeColor="accent2" w:themeShade="BF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2B808E" w:themeColor="accent3" w:themeShade="BF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648BA3" w:themeColor="accent5" w:themeShade="BF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FF6D04" w:themeColor="accent6" w:themeShade="BF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1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  <w:shd w:val="clear" w:color="auto" w:fill="AFE3F2" w:themeFill="accent1" w:themeFillTint="3F"/>
      </w:tcPr>
    </w:tblStylePr>
    <w:tblStylePr w:type="band2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1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  <w:shd w:val="clear" w:color="auto" w:fill="D4E8EE" w:themeFill="accent2" w:themeFillTint="3F"/>
      </w:tcPr>
    </w:tblStylePr>
    <w:tblStylePr w:type="band2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1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  <w:shd w:val="clear" w:color="auto" w:fill="CDEBEF" w:themeFill="accent3" w:themeFillTint="3F"/>
      </w:tcPr>
    </w:tblStylePr>
    <w:tblStylePr w:type="band2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1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  <w:shd w:val="clear" w:color="auto" w:fill="E6ECF0" w:themeFill="accent5" w:themeFillTint="3F"/>
      </w:tcPr>
    </w:tblStylePr>
    <w:tblStylePr w:type="band2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1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  <w:shd w:val="clear" w:color="auto" w:fill="FFE7D6" w:themeFill="accent6" w:themeFillTint="3F"/>
      </w:tcPr>
    </w:tblStylePr>
    <w:tblStylePr w:type="band2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E3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8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B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3637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shd w:val="clear" w:color="auto" w:fill="AFE3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A3BB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shd w:val="clear" w:color="auto" w:fill="D4E8EE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CBE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shd w:val="clear" w:color="auto" w:fill="CDEBE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B5C4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shd w:val="clear" w:color="auto" w:fill="E6EC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15C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shd w:val="clear" w:color="auto" w:fill="FFE7D6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363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3637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363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363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E3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3A3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A3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A3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8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AACB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CB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ACB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B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8C8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B5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B5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B5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15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15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15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  <w:insideV w:val="single" w:sz="8" w:space="0" w:color="1FA3C9" w:themeColor="accent1" w:themeTint="BF"/>
      </w:tblBorders>
    </w:tblPr>
    <w:tcPr>
      <w:shd w:val="clear" w:color="auto" w:fill="AFE3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3C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  <w:insideV w:val="single" w:sz="8" w:space="0" w:color="7EB9CC" w:themeColor="accent2" w:themeTint="BF"/>
      </w:tblBorders>
    </w:tblPr>
    <w:tcPr>
      <w:shd w:val="clear" w:color="auto" w:fill="D4E8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B9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  <w:insideV w:val="single" w:sz="8" w:space="0" w:color="68C2D1" w:themeColor="accent3" w:themeTint="BF"/>
      </w:tblBorders>
    </w:tblPr>
    <w:tcPr>
      <w:shd w:val="clear" w:color="auto" w:fill="CDEB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8C2D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  <w:insideV w:val="single" w:sz="8" w:space="0" w:color="B4C7D2" w:themeColor="accent5" w:themeTint="BF"/>
      </w:tblBorders>
    </w:tblPr>
    <w:tcPr>
      <w:shd w:val="clear" w:color="auto" w:fill="E6E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7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  <w:insideV w:val="single" w:sz="8" w:space="0" w:color="FFB784" w:themeColor="accent6" w:themeTint="BF"/>
      </w:tblBorders>
    </w:tblPr>
    <w:tcPr>
      <w:shd w:val="clear" w:color="auto" w:fill="FFE7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78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cPr>
      <w:shd w:val="clear" w:color="auto" w:fill="AFE3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4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9F5" w:themeFill="accent1" w:themeFillTint="33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tcBorders>
          <w:insideH w:val="single" w:sz="6" w:space="0" w:color="13637A" w:themeColor="accent1"/>
          <w:insideV w:val="single" w:sz="6" w:space="0" w:color="13637A" w:themeColor="accent1"/>
        </w:tcBorders>
        <w:shd w:val="clear" w:color="auto" w:fill="5FC8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cPr>
      <w:shd w:val="clear" w:color="auto" w:fill="D4E8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CF1" w:themeFill="accent2" w:themeFillTint="33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tcBorders>
          <w:insideH w:val="single" w:sz="6" w:space="0" w:color="53A3BB" w:themeColor="accent2"/>
          <w:insideV w:val="single" w:sz="6" w:space="0" w:color="53A3BB" w:themeColor="accent2"/>
        </w:tcBorders>
        <w:shd w:val="clear" w:color="auto" w:fill="A9D1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cPr>
      <w:shd w:val="clear" w:color="auto" w:fill="CDEB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7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F2" w:themeFill="accent3" w:themeFillTint="33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tcBorders>
          <w:insideH w:val="single" w:sz="6" w:space="0" w:color="3AACBE" w:themeColor="accent3"/>
          <w:insideV w:val="single" w:sz="6" w:space="0" w:color="3AACBE" w:themeColor="accent3"/>
        </w:tcBorders>
        <w:shd w:val="clear" w:color="auto" w:fill="9AD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cPr>
      <w:shd w:val="clear" w:color="auto" w:fill="E6EC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3" w:themeFill="accent5" w:themeFillTint="33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tcBorders>
          <w:insideH w:val="single" w:sz="6" w:space="0" w:color="9CB5C4" w:themeColor="accent5"/>
          <w:insideV w:val="single" w:sz="6" w:space="0" w:color="9CB5C4" w:themeColor="accent5"/>
        </w:tcBorders>
        <w:shd w:val="clear" w:color="auto" w:fill="CDD9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cPr>
      <w:shd w:val="clear" w:color="auto" w:fill="FFE7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DE" w:themeFill="accent6" w:themeFillTint="33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tcBorders>
          <w:insideH w:val="single" w:sz="6" w:space="0" w:color="FFA15C" w:themeColor="accent6"/>
          <w:insideV w:val="single" w:sz="6" w:space="0" w:color="FFA15C" w:themeColor="accent6"/>
        </w:tcBorders>
        <w:shd w:val="clear" w:color="auto" w:fill="FFCF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E3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C8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C8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8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1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1D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B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AD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AD6E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C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9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9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F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FAD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363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31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49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A3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2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7C9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ACB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808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B5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C6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8BA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15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48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6D0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13637A" w:themeColor="accent1"/>
        <w:bottom w:val="single" w:sz="4" w:space="0" w:color="13637A" w:themeColor="accent1"/>
        <w:right w:val="single" w:sz="4" w:space="0" w:color="1363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4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3B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3B48" w:themeColor="accent1" w:themeShade="99"/>
          <w:insideV w:val="nil"/>
        </w:tcBorders>
        <w:shd w:val="clear" w:color="auto" w:fill="0B3B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3B48" w:themeFill="accent1" w:themeFillShade="99"/>
      </w:tcPr>
    </w:tblStylePr>
    <w:tblStylePr w:type="band1Vert">
      <w:tblPr/>
      <w:tcPr>
        <w:shd w:val="clear" w:color="auto" w:fill="7FD3EB" w:themeFill="accent1" w:themeFillTint="66"/>
      </w:tcPr>
    </w:tblStylePr>
    <w:tblStylePr w:type="band1Horz">
      <w:tblPr/>
      <w:tcPr>
        <w:shd w:val="clear" w:color="auto" w:fill="5FC8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53A3BB" w:themeColor="accent2"/>
        <w:bottom w:val="single" w:sz="4" w:space="0" w:color="53A3BB" w:themeColor="accent2"/>
        <w:right w:val="single" w:sz="4" w:space="0" w:color="53A3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3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374" w:themeColor="accent2" w:themeShade="99"/>
          <w:insideV w:val="nil"/>
        </w:tcBorders>
        <w:shd w:val="clear" w:color="auto" w:fill="2E63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374" w:themeFill="accent2" w:themeFillShade="99"/>
      </w:tcPr>
    </w:tblStylePr>
    <w:tblStylePr w:type="band1Vert">
      <w:tblPr/>
      <w:tcPr>
        <w:shd w:val="clear" w:color="auto" w:fill="BADAE3" w:themeFill="accent2" w:themeFillTint="66"/>
      </w:tcPr>
    </w:tblStylePr>
    <w:tblStylePr w:type="band1Horz">
      <w:tblPr/>
      <w:tcPr>
        <w:shd w:val="clear" w:color="auto" w:fill="A9D1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3AACBE" w:themeColor="accent3"/>
        <w:bottom w:val="single" w:sz="4" w:space="0" w:color="3AACBE" w:themeColor="accent3"/>
        <w:right w:val="single" w:sz="4" w:space="0" w:color="3AACB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66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671" w:themeColor="accent3" w:themeShade="99"/>
          <w:insideV w:val="nil"/>
        </w:tcBorders>
        <w:shd w:val="clear" w:color="auto" w:fill="2266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671" w:themeFill="accent3" w:themeFillShade="99"/>
      </w:tcPr>
    </w:tblStylePr>
    <w:tblStylePr w:type="band1Vert">
      <w:tblPr/>
      <w:tcPr>
        <w:shd w:val="clear" w:color="auto" w:fill="AEDEE6" w:themeFill="accent3" w:themeFillTint="66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CBE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15C" w:themeColor="accent6"/>
        <w:left w:val="single" w:sz="4" w:space="0" w:color="9CB5C4" w:themeColor="accent5"/>
        <w:bottom w:val="single" w:sz="4" w:space="0" w:color="9CB5C4" w:themeColor="accent5"/>
        <w:right w:val="single" w:sz="4" w:space="0" w:color="9CB5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708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7084" w:themeColor="accent5" w:themeShade="99"/>
          <w:insideV w:val="nil"/>
        </w:tcBorders>
        <w:shd w:val="clear" w:color="auto" w:fill="4E708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084" w:themeFill="accent5" w:themeFillShade="99"/>
      </w:tcPr>
    </w:tblStylePr>
    <w:tblStylePr w:type="band1Vert">
      <w:tblPr/>
      <w:tcPr>
        <w:shd w:val="clear" w:color="auto" w:fill="D7E1E7" w:themeFill="accent5" w:themeFillTint="66"/>
      </w:tcPr>
    </w:tblStylePr>
    <w:tblStylePr w:type="band1Horz">
      <w:tblPr/>
      <w:tcPr>
        <w:shd w:val="clear" w:color="auto" w:fill="CDD9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B5C4" w:themeColor="accent5"/>
        <w:left w:val="single" w:sz="4" w:space="0" w:color="FFA15C" w:themeColor="accent6"/>
        <w:bottom w:val="single" w:sz="4" w:space="0" w:color="FFA15C" w:themeColor="accent6"/>
        <w:right w:val="single" w:sz="4" w:space="0" w:color="FFA15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057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05700" w:themeColor="accent6" w:themeShade="99"/>
          <w:insideV w:val="nil"/>
        </w:tcBorders>
        <w:shd w:val="clear" w:color="auto" w:fill="D057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5700" w:themeFill="accent6" w:themeFillShade="99"/>
      </w:tcPr>
    </w:tblStylePr>
    <w:tblStylePr w:type="band1Vert">
      <w:tblPr/>
      <w:tcPr>
        <w:shd w:val="clear" w:color="auto" w:fill="FFD9BD" w:themeFill="accent6" w:themeFillTint="66"/>
      </w:tcPr>
    </w:tblStylePr>
    <w:tblStylePr w:type="band1Horz">
      <w:tblPr/>
      <w:tcPr>
        <w:shd w:val="clear" w:color="auto" w:fill="FFCF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F4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shd w:val="clear" w:color="auto" w:fill="BEE9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shd w:val="clear" w:color="auto" w:fill="DCECF1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7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shd w:val="clear" w:color="auto" w:fill="D6EEF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8997" w:themeFill="accent3" w:themeFillShade="CC"/>
      </w:tcPr>
    </w:tblStylePr>
    <w:tblStylePr w:type="lastRow">
      <w:rPr>
        <w:b/>
        <w:bCs/>
        <w:color w:val="2E899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7716" w:themeFill="accent6" w:themeFillShade="CC"/>
      </w:tcPr>
    </w:tblStylePr>
    <w:tblStylePr w:type="lastRow">
      <w:rPr>
        <w:b/>
        <w:bCs/>
        <w:color w:val="FF771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shd w:val="clear" w:color="auto" w:fill="EBF0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F93A9" w:themeFill="accent5" w:themeFillShade="CC"/>
      </w:tcPr>
    </w:tblStylePr>
    <w:tblStylePr w:type="lastRow">
      <w:rPr>
        <w:b/>
        <w:bCs/>
        <w:color w:val="6F93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shd w:val="clear" w:color="auto" w:fill="FFECDE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9F5" w:themeFill="accent1" w:themeFillTint="33"/>
    </w:tcPr>
    <w:tblStylePr w:type="firstRow">
      <w:rPr>
        <w:b/>
        <w:bCs/>
      </w:rPr>
      <w:tblPr/>
      <w:tcPr>
        <w:shd w:val="clear" w:color="auto" w:fill="7FD3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FD3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CF1" w:themeFill="accent2" w:themeFillTint="33"/>
    </w:tcPr>
    <w:tblStylePr w:type="firstRow">
      <w:rPr>
        <w:b/>
        <w:bCs/>
      </w:rPr>
      <w:tblPr/>
      <w:tcPr>
        <w:shd w:val="clear" w:color="auto" w:fill="BADA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DA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EEF2" w:themeFill="accent3" w:themeFillTint="33"/>
    </w:tcPr>
    <w:tblStylePr w:type="firstRow">
      <w:rPr>
        <w:b/>
        <w:bCs/>
      </w:rPr>
      <w:tblPr/>
      <w:tcPr>
        <w:shd w:val="clear" w:color="auto" w:fill="AEDE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EDE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3" w:themeFill="accent5" w:themeFillTint="33"/>
    </w:tcPr>
    <w:tblStylePr w:type="firstRow">
      <w:rPr>
        <w:b/>
        <w:bCs/>
      </w:rPr>
      <w:tblPr/>
      <w:tcPr>
        <w:shd w:val="clear" w:color="auto" w:fill="D7E1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1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DE" w:themeFill="accent6" w:themeFillTint="33"/>
    </w:tcPr>
    <w:tblStylePr w:type="firstRow">
      <w:rPr>
        <w:b/>
        <w:bCs/>
      </w:rPr>
      <w:tblPr/>
      <w:tcPr>
        <w:shd w:val="clear" w:color="auto" w:fill="FFD9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33731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323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32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3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orklearning.com/ltem" TargetMode="External"/></Relationships>
</file>

<file path=word/theme/theme1.xml><?xml version="1.0" encoding="utf-8"?>
<a:theme xmlns:a="http://schemas.openxmlformats.org/drawingml/2006/main" name="Learning Engineering Primer">
  <a:themeElements>
    <a:clrScheme name="Third Coast Learning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3637A"/>
      </a:accent1>
      <a:accent2>
        <a:srgbClr val="53A3BB"/>
      </a:accent2>
      <a:accent3>
        <a:srgbClr val="3AACBE"/>
      </a:accent3>
      <a:accent4>
        <a:srgbClr val="7A8C8E"/>
      </a:accent4>
      <a:accent5>
        <a:srgbClr val="9CB5C4"/>
      </a:accent5>
      <a:accent6>
        <a:srgbClr val="FFA15C"/>
      </a:accent6>
      <a:hlink>
        <a:srgbClr val="578793"/>
      </a:hlink>
      <a:folHlink>
        <a:srgbClr val="9F6715"/>
      </a:folHlink>
    </a:clrScheme>
    <a:fontScheme name="IDET PhD">
      <a:majorFont>
        <a:latin typeface="Montserrat Medium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rchitecture" id="{4EB688BC-8EA8-4717-9CCE-F5F991E4A865}" vid="{BA57AD4E-0C31-4391-8D8A-DA353C3491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350</Words>
  <Characters>2358</Characters>
  <Application>Microsoft Office Word</Application>
  <DocSecurity>0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Johnson, Renee</cp:lastModifiedBy>
  <cp:revision>10</cp:revision>
  <dcterms:created xsi:type="dcterms:W3CDTF">2013-12-23T23:15:00Z</dcterms:created>
  <dcterms:modified xsi:type="dcterms:W3CDTF">2024-11-10T19:39:00Z</dcterms:modified>
  <cp:category/>
</cp:coreProperties>
</file>