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E5" w:rsidRDefault="00B806E5" w:rsidP="00B806E5">
      <w:pPr>
        <w:pStyle w:val="SectionTitle"/>
      </w:pPr>
      <w:bookmarkStart w:id="0" w:name="_Toc513293811"/>
      <w:bookmarkStart w:id="1" w:name="_Toc7021529"/>
      <w:r>
        <w:t>NOLs Step-by-Step</w:t>
      </w:r>
      <w:bookmarkEnd w:id="0"/>
      <w:bookmarkEnd w:id="1"/>
    </w:p>
    <w:p w:rsidR="00B806E5" w:rsidRDefault="00B806E5" w:rsidP="00B806E5">
      <w:pPr>
        <w:pStyle w:val="ListParagraph"/>
        <w:numPr>
          <w:ilvl w:val="0"/>
          <w:numId w:val="1"/>
        </w:numPr>
        <w:ind w:left="360"/>
        <w:jc w:val="both"/>
      </w:pPr>
      <w:r>
        <w:t>Complete tax return for NOL year. If taxable income &lt; $0 there may be a NOL.</w:t>
      </w:r>
    </w:p>
    <w:p w:rsidR="00B806E5" w:rsidRDefault="00B806E5" w:rsidP="00B806E5">
      <w:pPr>
        <w:pStyle w:val="ListParagraph"/>
        <w:ind w:left="720"/>
        <w:jc w:val="both"/>
      </w:pPr>
    </w:p>
    <w:p w:rsidR="00B806E5" w:rsidRDefault="00B806E5" w:rsidP="00B806E5">
      <w:pPr>
        <w:pStyle w:val="ListParagraph"/>
        <w:numPr>
          <w:ilvl w:val="0"/>
          <w:numId w:val="1"/>
        </w:numPr>
        <w:ind w:left="360"/>
        <w:jc w:val="both"/>
      </w:pPr>
      <w:r>
        <w:t>Verify the software’s calculation of the NOL and correct as needed</w:t>
      </w:r>
    </w:p>
    <w:p w:rsidR="00B806E5" w:rsidRDefault="00B806E5" w:rsidP="00B806E5">
      <w:pPr>
        <w:pStyle w:val="ListParagraph"/>
        <w:numPr>
          <w:ilvl w:val="0"/>
          <w:numId w:val="2"/>
        </w:numPr>
        <w:ind w:left="720"/>
        <w:jc w:val="both"/>
      </w:pPr>
      <w:r w:rsidRPr="00012F52">
        <w:t>Adjust state income taxes and refund to show the business portion</w:t>
      </w:r>
    </w:p>
    <w:p w:rsidR="00B806E5" w:rsidRDefault="00B806E5" w:rsidP="00B806E5">
      <w:pPr>
        <w:pStyle w:val="ListParagraph"/>
        <w:numPr>
          <w:ilvl w:val="0"/>
          <w:numId w:val="2"/>
        </w:numPr>
        <w:ind w:left="720"/>
        <w:jc w:val="both"/>
      </w:pPr>
      <w:r w:rsidRPr="00012F52">
        <w:t>Check categorization of capital gains/loss</w:t>
      </w:r>
      <w:r>
        <w:t>es</w:t>
      </w:r>
      <w:r w:rsidRPr="00012F52">
        <w:t xml:space="preserve"> as business/nonbusiness</w:t>
      </w:r>
    </w:p>
    <w:p w:rsidR="00B806E5" w:rsidRDefault="00B806E5" w:rsidP="00B806E5">
      <w:pPr>
        <w:pStyle w:val="ListParagraph"/>
        <w:numPr>
          <w:ilvl w:val="0"/>
          <w:numId w:val="2"/>
        </w:numPr>
        <w:ind w:left="720"/>
        <w:jc w:val="both"/>
      </w:pPr>
      <w:r>
        <w:t>Consider deducting state income taxes rather than sales tax</w:t>
      </w:r>
    </w:p>
    <w:p w:rsidR="00B806E5" w:rsidRPr="00012F52" w:rsidRDefault="00B806E5" w:rsidP="00B806E5">
      <w:pPr>
        <w:pStyle w:val="ListParagraph"/>
        <w:numPr>
          <w:ilvl w:val="1"/>
          <w:numId w:val="6"/>
        </w:numPr>
        <w:ind w:left="1080"/>
        <w:jc w:val="both"/>
      </w:pPr>
      <w:r w:rsidRPr="00012F52">
        <w:t xml:space="preserve">If nonbusiness income is low, </w:t>
      </w:r>
      <w:r>
        <w:t>deduct state income tax</w:t>
      </w:r>
    </w:p>
    <w:p w:rsidR="00B806E5" w:rsidRDefault="00B806E5" w:rsidP="00B806E5">
      <w:pPr>
        <w:pStyle w:val="ListParagraph"/>
        <w:numPr>
          <w:ilvl w:val="1"/>
          <w:numId w:val="6"/>
        </w:numPr>
        <w:ind w:left="1080"/>
        <w:jc w:val="both"/>
      </w:pPr>
      <w:r w:rsidRPr="00012F52">
        <w:t xml:space="preserve">If nonbusiness income is high, </w:t>
      </w:r>
      <w:r>
        <w:t>deduct whichever is higher</w:t>
      </w:r>
    </w:p>
    <w:p w:rsidR="00B806E5" w:rsidRPr="00012F52" w:rsidRDefault="00B806E5" w:rsidP="00B806E5">
      <w:pPr>
        <w:pStyle w:val="ListParagraph"/>
        <w:numPr>
          <w:ilvl w:val="0"/>
          <w:numId w:val="2"/>
        </w:numPr>
        <w:ind w:left="720"/>
        <w:jc w:val="both"/>
      </w:pPr>
      <w:r w:rsidRPr="00012F52">
        <w:t>Consider itemizing</w:t>
      </w:r>
    </w:p>
    <w:p w:rsidR="00B806E5" w:rsidRPr="00012F52" w:rsidRDefault="00B806E5" w:rsidP="00B806E5">
      <w:pPr>
        <w:pStyle w:val="ListParagraph"/>
        <w:numPr>
          <w:ilvl w:val="1"/>
          <w:numId w:val="3"/>
        </w:numPr>
        <w:ind w:left="1080"/>
        <w:jc w:val="both"/>
      </w:pPr>
      <w:r w:rsidRPr="00012F52">
        <w:t xml:space="preserve">If nonbusiness income is low, </w:t>
      </w:r>
      <w:r>
        <w:t>elect</w:t>
      </w:r>
      <w:r w:rsidRPr="00012F52">
        <w:t xml:space="preserve"> itemized deductions</w:t>
      </w:r>
    </w:p>
    <w:p w:rsidR="00B806E5" w:rsidRDefault="00B806E5" w:rsidP="00B806E5">
      <w:pPr>
        <w:pStyle w:val="ListParagraph"/>
        <w:numPr>
          <w:ilvl w:val="1"/>
          <w:numId w:val="3"/>
        </w:numPr>
        <w:ind w:left="1080"/>
        <w:jc w:val="both"/>
      </w:pPr>
      <w:r w:rsidRPr="00012F52">
        <w:t xml:space="preserve">If nonbusiness income is high, do not </w:t>
      </w:r>
      <w:r>
        <w:t>elect</w:t>
      </w:r>
      <w:r w:rsidRPr="00012F52">
        <w:t xml:space="preserve"> itemized deductions</w:t>
      </w:r>
    </w:p>
    <w:p w:rsidR="00B806E5" w:rsidRDefault="00B806E5" w:rsidP="00B806E5">
      <w:pPr>
        <w:pStyle w:val="ListParagraph"/>
        <w:ind w:left="1440"/>
        <w:jc w:val="both"/>
      </w:pPr>
    </w:p>
    <w:p w:rsidR="00B806E5" w:rsidRDefault="00B806E5" w:rsidP="00B806E5">
      <w:pPr>
        <w:pStyle w:val="ListParagraph"/>
        <w:numPr>
          <w:ilvl w:val="0"/>
          <w:numId w:val="1"/>
        </w:numPr>
        <w:ind w:left="360"/>
        <w:jc w:val="both"/>
      </w:pPr>
      <w:r>
        <w:t>Carry the NOL forward to the next year</w:t>
      </w:r>
    </w:p>
    <w:p w:rsidR="00B806E5" w:rsidRDefault="00B806E5" w:rsidP="00B806E5">
      <w:pPr>
        <w:pStyle w:val="ListParagraph"/>
        <w:numPr>
          <w:ilvl w:val="1"/>
          <w:numId w:val="1"/>
        </w:numPr>
        <w:ind w:left="720"/>
        <w:jc w:val="both"/>
      </w:pPr>
      <w:r>
        <w:t xml:space="preserve">Pre-TCJA NOL – Can offset 100% of taxable income </w:t>
      </w:r>
    </w:p>
    <w:p w:rsidR="00B806E5" w:rsidRDefault="00B806E5" w:rsidP="00B806E5">
      <w:pPr>
        <w:pStyle w:val="ListParagraph"/>
        <w:numPr>
          <w:ilvl w:val="1"/>
          <w:numId w:val="1"/>
        </w:numPr>
        <w:ind w:left="720"/>
        <w:jc w:val="both"/>
      </w:pPr>
      <w:r>
        <w:t>Post-2017 NOL - Apply the 80%-of-taxable-income rule</w:t>
      </w:r>
    </w:p>
    <w:p w:rsidR="00B806E5" w:rsidRDefault="00B806E5" w:rsidP="00B806E5">
      <w:pPr>
        <w:pStyle w:val="ListParagraph"/>
        <w:ind w:left="1080"/>
        <w:jc w:val="both"/>
      </w:pPr>
    </w:p>
    <w:p w:rsidR="00B806E5" w:rsidRDefault="00B806E5" w:rsidP="00B806E5">
      <w:pPr>
        <w:pStyle w:val="ListParagraph"/>
        <w:numPr>
          <w:ilvl w:val="0"/>
          <w:numId w:val="1"/>
        </w:numPr>
        <w:ind w:left="360"/>
        <w:jc w:val="both"/>
      </w:pPr>
      <w:r>
        <w:t>Determine the amount absorbed and the amount of carryover. After application of the NOL carryover, if taxable income is $0 there may be some NOL to carry to the next year.  Determine the amount of unused NOL and carry it forward to the next year.</w:t>
      </w:r>
    </w:p>
    <w:p w:rsidR="00B806E5" w:rsidRDefault="00B806E5" w:rsidP="00B806E5">
      <w:pPr>
        <w:pStyle w:val="ListParagraph"/>
        <w:numPr>
          <w:ilvl w:val="1"/>
          <w:numId w:val="4"/>
        </w:numPr>
        <w:ind w:left="720"/>
        <w:jc w:val="both"/>
      </w:pPr>
      <w:r>
        <w:t>Pre-TCJA NOL - Do NOT use the worksheet produced by software. It may be incorrect!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 xml:space="preserve">Make a copy of the software program’s client file from the carryover year 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>Remove the NOL carryover amount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>Remove the capital loss, §1202 exclusion, DPAD or §199A deduction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</w:pPr>
      <w:r>
        <w:t>Remove any exemption deduction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>Do NOT allow any additional §199A deduction (override)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>Do NOT allow recalculation of charitable that was originally disallowed because of the %-of-AGI rule</w:t>
      </w:r>
    </w:p>
    <w:p w:rsidR="00B806E5" w:rsidRDefault="00B806E5" w:rsidP="00B806E5">
      <w:pPr>
        <w:pStyle w:val="ListParagraph"/>
        <w:numPr>
          <w:ilvl w:val="2"/>
          <w:numId w:val="5"/>
        </w:numPr>
        <w:ind w:left="907" w:hanging="187"/>
        <w:jc w:val="both"/>
      </w:pPr>
      <w:r>
        <w:t>Taxable income on this new return is “Modified Taxable Income” and is the amount of NOL that is absorbed</w:t>
      </w:r>
    </w:p>
    <w:p w:rsidR="00B806E5" w:rsidRDefault="00B806E5" w:rsidP="00B806E5">
      <w:pPr>
        <w:pStyle w:val="ListParagraph"/>
        <w:numPr>
          <w:ilvl w:val="0"/>
          <w:numId w:val="5"/>
        </w:numPr>
        <w:jc w:val="both"/>
      </w:pPr>
      <w:r>
        <w:t>If Post-2017 NOL use was limited by 80%-of-taxable-income rule, NOL absorbed is the amount allowed as a deduction.</w:t>
      </w:r>
    </w:p>
    <w:p w:rsidR="00B806E5" w:rsidRDefault="00B806E5" w:rsidP="00B806E5">
      <w:pPr>
        <w:pStyle w:val="ListParagraph"/>
        <w:numPr>
          <w:ilvl w:val="1"/>
          <w:numId w:val="4"/>
        </w:numPr>
        <w:ind w:left="720"/>
        <w:jc w:val="both"/>
      </w:pPr>
      <w:r>
        <w:t>Any NOL in excess of the amount absorbed carries forward to the next year.</w:t>
      </w:r>
    </w:p>
    <w:p w:rsidR="00B806E5" w:rsidRDefault="00B806E5" w:rsidP="00B806E5">
      <w:pPr>
        <w:numPr>
          <w:ilvl w:val="0"/>
          <w:numId w:val="1"/>
        </w:numPr>
        <w:spacing w:after="0"/>
        <w:ind w:left="360"/>
        <w:jc w:val="both"/>
      </w:pPr>
      <w:r>
        <w:t>Repeat steps 3 &amp; 4 until the NOL is used up.</w:t>
      </w:r>
    </w:p>
    <w:p w:rsidR="00D40610" w:rsidRDefault="00D40610">
      <w:bookmarkStart w:id="2" w:name="_GoBack"/>
      <w:bookmarkEnd w:id="2"/>
    </w:p>
    <w:sectPr w:rsidR="00D4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5BFB"/>
    <w:multiLevelType w:val="hybridMultilevel"/>
    <w:tmpl w:val="A4DAEDB8"/>
    <w:lvl w:ilvl="0" w:tplc="5C64FDC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4102"/>
    <w:multiLevelType w:val="hybridMultilevel"/>
    <w:tmpl w:val="4C68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1786"/>
    <w:multiLevelType w:val="hybridMultilevel"/>
    <w:tmpl w:val="42288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76BA4"/>
    <w:multiLevelType w:val="hybridMultilevel"/>
    <w:tmpl w:val="325AEFEC"/>
    <w:lvl w:ilvl="0" w:tplc="A704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26672A4">
      <w:start w:val="1"/>
      <w:numFmt w:val="lowerLetter"/>
      <w:lvlText w:val="%3."/>
      <w:lvlJc w:val="left"/>
      <w:pPr>
        <w:ind w:left="2160" w:hanging="180"/>
      </w:pPr>
      <w:rPr>
        <w:rFonts w:ascii="Arial" w:eastAsiaTheme="min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1305"/>
    <w:multiLevelType w:val="hybridMultilevel"/>
    <w:tmpl w:val="3490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57B82"/>
    <w:multiLevelType w:val="hybridMultilevel"/>
    <w:tmpl w:val="1EE24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E5"/>
    <w:rsid w:val="00B806E5"/>
    <w:rsid w:val="00BF21D1"/>
    <w:rsid w:val="00D4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C3ADF-A32A-4461-AB6A-98F8B207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6E5"/>
    <w:pPr>
      <w:spacing w:line="240" w:lineRule="auto"/>
    </w:pPr>
    <w:rPr>
      <w:rFonts w:ascii="Arial" w:eastAsiaTheme="minorEastAsia" w:hAnsi="Arial" w:cs="Arial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06E5"/>
    <w:pPr>
      <w:contextualSpacing/>
    </w:pPr>
  </w:style>
  <w:style w:type="paragraph" w:customStyle="1" w:styleId="SectionTitle">
    <w:name w:val="Section Title"/>
    <w:basedOn w:val="Normal"/>
    <w:link w:val="SectionTitleChar"/>
    <w:qFormat/>
    <w:rsid w:val="00B806E5"/>
    <w:pPr>
      <w:pBdr>
        <w:top w:val="thinThickThinMediumGap" w:sz="18" w:space="1" w:color="auto"/>
        <w:bottom w:val="thinThickThinMediumGap" w:sz="18" w:space="1" w:color="auto"/>
      </w:pBdr>
      <w:jc w:val="center"/>
    </w:pPr>
    <w:rPr>
      <w:b/>
      <w:bCs/>
      <w:sz w:val="28"/>
      <w:szCs w:val="28"/>
    </w:rPr>
  </w:style>
  <w:style w:type="character" w:customStyle="1" w:styleId="SectionTitleChar">
    <w:name w:val="Section Title Char"/>
    <w:basedOn w:val="DefaultParagraphFont"/>
    <w:link w:val="SectionTitle"/>
    <w:rsid w:val="00B806E5"/>
    <w:rPr>
      <w:rFonts w:ascii="Arial" w:eastAsiaTheme="minorEastAsia" w:hAnsi="Arial" w:cs="Arial"/>
      <w:b/>
      <w:bCs/>
      <w:kern w:val="24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06E5"/>
    <w:rPr>
      <w:rFonts w:ascii="Arial" w:eastAsiaTheme="minorEastAsia" w:hAnsi="Arial" w:cs="Arial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2019-10-08T12:29:00Z</dcterms:created>
  <dcterms:modified xsi:type="dcterms:W3CDTF">2019-10-08T12:30:00Z</dcterms:modified>
</cp:coreProperties>
</file>