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United States District Court</w:t>
      </w:r>
    </w:p>
    <w:p w:rsidR="00000000" w:rsidDel="00000000" w:rsidP="00000000" w:rsidRDefault="00000000" w:rsidRPr="00000000" w14:paraId="00000002">
      <w:pPr>
        <w:jc w:val="center"/>
        <w:rPr>
          <w:b w:val="1"/>
        </w:rPr>
      </w:pPr>
      <w:r w:rsidDel="00000000" w:rsidR="00000000" w:rsidRPr="00000000">
        <w:rPr>
          <w:b w:val="1"/>
          <w:rtl w:val="0"/>
        </w:rPr>
        <w:t xml:space="preserve">for the </w:t>
      </w:r>
    </w:p>
    <w:p w:rsidR="00000000" w:rsidDel="00000000" w:rsidP="00000000" w:rsidRDefault="00000000" w:rsidRPr="00000000" w14:paraId="00000003">
      <w:pPr>
        <w:jc w:val="center"/>
        <w:rPr>
          <w:b w:val="1"/>
        </w:rPr>
      </w:pPr>
      <w:r w:rsidDel="00000000" w:rsidR="00000000" w:rsidRPr="00000000">
        <w:rPr>
          <w:b w:val="1"/>
          <w:rtl w:val="0"/>
        </w:rPr>
        <w:t xml:space="preserve">Eastern District of North Carolina</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Civil Division</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Kevin Sleem</w:t>
      </w:r>
    </w:p>
    <w:p w:rsidR="00000000" w:rsidDel="00000000" w:rsidP="00000000" w:rsidRDefault="00000000" w:rsidRPr="00000000" w14:paraId="00000009">
      <w:pPr>
        <w:rPr>
          <w:b w:val="1"/>
        </w:rPr>
      </w:pPr>
      <w:r w:rsidDel="00000000" w:rsidR="00000000" w:rsidRPr="00000000">
        <w:rPr>
          <w:b w:val="1"/>
          <w:rtl w:val="0"/>
        </w:rPr>
        <w:t xml:space="preserve">       v.</w:t>
      </w:r>
    </w:p>
    <w:p w:rsidR="00000000" w:rsidDel="00000000" w:rsidP="00000000" w:rsidRDefault="00000000" w:rsidRPr="00000000" w14:paraId="0000000A">
      <w:pPr>
        <w:rPr>
          <w:b w:val="1"/>
        </w:rPr>
      </w:pPr>
      <w:r w:rsidDel="00000000" w:rsidR="00000000" w:rsidRPr="00000000">
        <w:rPr>
          <w:b w:val="1"/>
          <w:rtl w:val="0"/>
        </w:rPr>
        <w:t xml:space="preserve">Florida Atlantic University</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u w:val="single"/>
        </w:rPr>
      </w:pPr>
      <w:r w:rsidDel="00000000" w:rsidR="00000000" w:rsidRPr="00000000">
        <w:rPr>
          <w:b w:val="1"/>
          <w:u w:val="single"/>
          <w:rtl w:val="0"/>
        </w:rPr>
        <w:t xml:space="preserve">Statement of the Case</w:t>
      </w:r>
    </w:p>
    <w:p w:rsidR="00000000" w:rsidDel="00000000" w:rsidP="00000000" w:rsidRDefault="00000000" w:rsidRPr="00000000" w14:paraId="0000000E">
      <w:pPr>
        <w:rPr/>
      </w:pPr>
      <w:r w:rsidDel="00000000" w:rsidR="00000000" w:rsidRPr="00000000">
        <w:rPr>
          <w:rtl w:val="0"/>
        </w:rPr>
        <w:t xml:space="preserve">On March 6, 2008, Kevin Sleem (plaintiff) was admitted to the finance PhD program at Florida Atlantic University (FAU). On December 2, 2008, the plaintiff was fired and dismissed, Exhibit I. He was subsequently issued No Trespass Orders and an Injunction, Exhibit II. There was an offer on March 6, 2008, via mail, and an acceptance on March 7, 2008, via email to Jeff Madura, the PhD advisor. Thus, with an offer and acceptance, a contract was formed between the plaintiff and FAU. There was no ambiguity in the contract, it was for 4 years of guaranteed funding in an American Academia PhD program, as American Academia PhD programs commonly advertise 4 years of guaranteed funding as the norm. However, just as tenured professors can still be fired, like if they get arrested, so can a PhD student on a PhD contract. What is important for this court to rule on, is rules for getting arrested and terminated from employment for PhD students. This is where the graduate student union becomes important, and the collective bargaining contract for unionized PhD students, at every Ivy League school except Princeton.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graduate student union in their contract with FAU, which the plaintiff hopes this court will order FAU to comply and create a graduate student union for their PhD students, which the plaintiff has attempted to organize a vote with the finance PhD students listed on the departmental website in 2023, and pay their student dues and website fees. The graduate student union contract must specify under what conditions a PhD student can be either or both dismissed from the program, and fired from his job as a teaching/research assistant, including which legal offenses warrant dismissal or termination. For example, does DUI? Does domestic violence? These are important legal questions for the FAU union contract.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statute of limitations for Florida contact law and U.S. contract law is not relevant, because the plaintiff is still under a research professor PhD contract with FAU, and because FAU committed another tort when they denied him reentrance to the PhD program after his research dissertation was finished, on October 25, 2022, and on July 7, 2023, Exhibit III. As a result of these decisions to not re enroll the plaintiff when he was ready to defend his dissertation, FAU committed a tort, which is currently in mediation with the U.S. Department of Education (USDE). The final report will be delivered to the court.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first USDE report, Exhibit IV., was issued December 9, 2010, and made slanderous and libelous claims about the defendant not showing up to class, not doing his work, and homework, and committing plagiarism. He missed the last two classes in Statistics in November, out of protest, and because he was sick (he admits he did not notify Dinev he was sick, just blew off the classes because classes don’t matter in a PhD program), and was preparing to go to the penultimate review class December 2 when Dr. Madura fired him, without appeal.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second USDE report, Exhibit V., was issued August 29, 2023, and dealt with FAU not providing references to transfer, neither in 2008, nor in 2023.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third USDE report, which is currently in mediation, asks to be readmitted to FAU, and to have a Final Grades Conference, per the FAU student handbook, Exhibit VI. Non academic criteria were used in the determination of final grades, including Geoff Gitlen, a rogue CIA agent and shapeshifter and black panther, being in the freshman seminar class with Gleason.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police discovery is also included, Exhibit VII. A sample dismissal letter for FAU to use next time from the Biltmore Estate in North Carolina is Exhibit VIII. My dissertation defense, Thesis Only in American Academia, is Exhibit IX. The witnesses from FAU called to testify at trial are Emilio Zarruk, Finance Department Chair, and Larry Faerman, Vice President for Student Affairs.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plaintiff is suing for back pay, the American Academia PhD contract, $21,000 per year for 1 year, 4 years, or 15 years, and $50,000 in legal fees. The legal fees can be paid to his parents.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federal court in North Carolina should take this case because the plaintiff lives in a different state than the defendant, and maybe the federal court should have intervened in 2009 when the plaintiff was arrested for protesting not getting a termination meeting or unemployment insurance. The plaintiff was arrested for stalking and extortion, and then extortion again for asking the state to drop the case upon completion of his dissertation.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federal court also has an opportunity to make a ruling on graduate student unions in American Academia, and the importance of honoring the PhD contract in America, to retain America’s preeminent position in Global Academia.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is the third filing of this case. The first time was with Judge Donald Middlebrooks, in Florida, and it was filed and withdrawn while in prison. The second time was with Judge Louise Flanagan, and it was dismissed for frivolity. This attempt is pared down and focused on the third USDE Report, in mediation.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Kevin Sleem, Plaintiff, President FAU GAU</w:t>
      </w:r>
    </w:p>
    <w:p w:rsidR="00000000" w:rsidDel="00000000" w:rsidP="00000000" w:rsidRDefault="00000000" w:rsidRPr="00000000" w14:paraId="00000026">
      <w:pPr>
        <w:rPr/>
      </w:pPr>
      <w:r w:rsidDel="00000000" w:rsidR="00000000" w:rsidRPr="00000000">
        <w:rPr>
          <w:rtl w:val="0"/>
        </w:rPr>
        <w:t xml:space="preserve">707 Greenland Drive</w:t>
      </w:r>
    </w:p>
    <w:p w:rsidR="00000000" w:rsidDel="00000000" w:rsidP="00000000" w:rsidRDefault="00000000" w:rsidRPr="00000000" w14:paraId="00000027">
      <w:pPr>
        <w:rPr/>
      </w:pPr>
      <w:r w:rsidDel="00000000" w:rsidR="00000000" w:rsidRPr="00000000">
        <w:rPr>
          <w:rtl w:val="0"/>
        </w:rPr>
        <w:t xml:space="preserve">Fayetteville, North Carolina 28305</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Torts Committed by FAU</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Failure to honor the terms of the American Academia PhD Contract of 4 years of guaranteed funding, assuming no arrests or hate speech</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Failure to provide termination counseling, including a meeting and notification of unemployment benefits, as is common in the U.S.</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Failure to provide a Final Grades Conference in accordance with FAU Statute 4.002, when on academic criteria were used in the determination of final grades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Exhibit List</w:t>
      </w:r>
    </w:p>
    <w:p w:rsidR="00000000" w:rsidDel="00000000" w:rsidP="00000000" w:rsidRDefault="00000000" w:rsidRPr="00000000" w14:paraId="0000002F">
      <w:pPr>
        <w:numPr>
          <w:ilvl w:val="0"/>
          <w:numId w:val="2"/>
        </w:numPr>
        <w:ind w:left="720" w:hanging="360"/>
      </w:pPr>
      <w:r w:rsidDel="00000000" w:rsidR="00000000" w:rsidRPr="00000000">
        <w:rPr>
          <w:rtl w:val="0"/>
        </w:rPr>
        <w:t xml:space="preserve">Dismissal Email</w:t>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No Trespass Order and Injunction</w:t>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Readmission Denials</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First USDE Report, Appeal of Dismissal</w:t>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Second USDE Report, References</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Final Grades Conference, FAU Student Handbook, Statute 4.002</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Police Discovery</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Biltmore Estate Sample Unemployment Letter</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Dissertation Defense, Thesis Only in American Academia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b w:val="1"/>
          <w:u w:val="single"/>
          <w:rtl w:val="0"/>
        </w:rPr>
        <w:t xml:space="preserve">Witness List</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Emilio Zarruk, Finance Department Chair, FAU</w:t>
      </w:r>
    </w:p>
    <w:p w:rsidR="00000000" w:rsidDel="00000000" w:rsidP="00000000" w:rsidRDefault="00000000" w:rsidRPr="00000000" w14:paraId="0000003B">
      <w:pPr>
        <w:numPr>
          <w:ilvl w:val="0"/>
          <w:numId w:val="1"/>
        </w:numPr>
        <w:ind w:left="720" w:hanging="360"/>
      </w:pPr>
      <w:r w:rsidDel="00000000" w:rsidR="00000000" w:rsidRPr="00000000">
        <w:rPr>
          <w:rtl w:val="0"/>
        </w:rPr>
        <w:t xml:space="preserve">Larry Faerman, Vice President for Student Affairs, FAU</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Kevin Sleem, Plaintiff, President FAU GAU</w:t>
      </w:r>
    </w:p>
    <w:p w:rsidR="00000000" w:rsidDel="00000000" w:rsidP="00000000" w:rsidRDefault="00000000" w:rsidRPr="00000000" w14:paraId="00000040">
      <w:pPr>
        <w:rPr/>
      </w:pPr>
      <w:r w:rsidDel="00000000" w:rsidR="00000000" w:rsidRPr="00000000">
        <w:rPr>
          <w:rtl w:val="0"/>
        </w:rPr>
        <w:t xml:space="preserve">707 Greenland Drive</w:t>
      </w:r>
    </w:p>
    <w:p w:rsidR="00000000" w:rsidDel="00000000" w:rsidP="00000000" w:rsidRDefault="00000000" w:rsidRPr="00000000" w14:paraId="00000041">
      <w:pPr>
        <w:rPr/>
      </w:pPr>
      <w:r w:rsidDel="00000000" w:rsidR="00000000" w:rsidRPr="00000000">
        <w:rPr>
          <w:rtl w:val="0"/>
        </w:rPr>
        <w:t xml:space="preserve">Fayetteville, North Carolina 28305</w:t>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