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56A0" w14:textId="77777777" w:rsidR="00E74953" w:rsidRPr="00066A64" w:rsidRDefault="00E74953" w:rsidP="00E74953">
      <w:pPr>
        <w:pStyle w:val="Heading2"/>
        <w:rPr>
          <w:rFonts w:asciiTheme="minorHAnsi" w:hAnsiTheme="minorHAnsi"/>
        </w:rPr>
      </w:pPr>
      <w:bookmarkStart w:id="0" w:name="_Toc186009802"/>
      <w:r w:rsidRPr="00066A64">
        <w:rPr>
          <w:rFonts w:asciiTheme="minorHAnsi" w:hAnsiTheme="minorHAnsi"/>
        </w:rPr>
        <w:t>Expense Reimbursement Policy Template</w:t>
      </w:r>
      <w:bookmarkEnd w:id="0"/>
    </w:p>
    <w:p w14:paraId="4B3A1230" w14:textId="77777777" w:rsidR="00E74953" w:rsidRPr="00066A64" w:rsidRDefault="00E74953" w:rsidP="00E74953">
      <w:r w:rsidRPr="00066A64">
        <w:rPr>
          <w:b/>
          <w:bCs/>
        </w:rPr>
        <w:t>Effective Date</w:t>
      </w:r>
      <w:r w:rsidRPr="00066A64">
        <w:t>: [Insert Date]</w:t>
      </w:r>
      <w:r w:rsidRPr="00066A64">
        <w:br/>
      </w:r>
      <w:r w:rsidRPr="00066A64">
        <w:rPr>
          <w:b/>
          <w:bCs/>
        </w:rPr>
        <w:t>Revision Date</w:t>
      </w:r>
      <w:r w:rsidRPr="00066A64">
        <w:t>: [Insert Date]</w:t>
      </w:r>
      <w:r w:rsidRPr="00066A64">
        <w:br/>
      </w:r>
      <w:r w:rsidRPr="00066A64">
        <w:rPr>
          <w:b/>
          <w:bCs/>
        </w:rPr>
        <w:t>Approved By</w:t>
      </w:r>
      <w:r w:rsidRPr="00066A64">
        <w:t>: Board of Directors</w:t>
      </w:r>
    </w:p>
    <w:p w14:paraId="0DD8A205" w14:textId="77777777" w:rsidR="00E74953" w:rsidRPr="00066A64" w:rsidRDefault="00E74953" w:rsidP="00E74953">
      <w:r>
        <w:pict w14:anchorId="3DE47A7C">
          <v:rect id="_x0000_i1328" style="width:0;height:1.5pt" o:hrstd="t" o:hr="t" fillcolor="#a0a0a0" stroked="f"/>
        </w:pict>
      </w:r>
    </w:p>
    <w:p w14:paraId="4ACC407B" w14:textId="77777777" w:rsidR="00E74953" w:rsidRPr="00066A64" w:rsidRDefault="00E74953" w:rsidP="00E74953">
      <w:pPr>
        <w:rPr>
          <w:b/>
          <w:bCs/>
        </w:rPr>
      </w:pPr>
      <w:r w:rsidRPr="00066A64">
        <w:rPr>
          <w:b/>
          <w:bCs/>
        </w:rPr>
        <w:t>1. Purpose</w:t>
      </w:r>
    </w:p>
    <w:p w14:paraId="18D27E09" w14:textId="77777777" w:rsidR="00E74953" w:rsidRPr="00066A64" w:rsidRDefault="00E74953" w:rsidP="00E74953">
      <w:r w:rsidRPr="00066A64">
        <w:t>The purpose of this policy is to establish clear guidelines for reimbursing employees and board members for reasonable and necessary business expenses incurred in the performance of their duties for [ORGANIZATION NAME].</w:t>
      </w:r>
    </w:p>
    <w:p w14:paraId="5E39E075" w14:textId="77777777" w:rsidR="00E74953" w:rsidRPr="00066A64" w:rsidRDefault="00E74953" w:rsidP="00E74953">
      <w:r>
        <w:pict w14:anchorId="013BABE9">
          <v:rect id="_x0000_i1329" style="width:0;height:1.5pt" o:hrstd="t" o:hr="t" fillcolor="#a0a0a0" stroked="f"/>
        </w:pict>
      </w:r>
    </w:p>
    <w:p w14:paraId="6D64C364" w14:textId="77777777" w:rsidR="00E74953" w:rsidRPr="00066A64" w:rsidRDefault="00E74953" w:rsidP="00E74953">
      <w:pPr>
        <w:rPr>
          <w:b/>
          <w:bCs/>
        </w:rPr>
      </w:pPr>
      <w:r w:rsidRPr="00066A64">
        <w:rPr>
          <w:b/>
          <w:bCs/>
        </w:rPr>
        <w:t>2. Scope</w:t>
      </w:r>
    </w:p>
    <w:p w14:paraId="4DA8B9D4" w14:textId="77777777" w:rsidR="00E74953" w:rsidRPr="00066A64" w:rsidRDefault="00E74953" w:rsidP="00E74953">
      <w:r w:rsidRPr="00066A64">
        <w:t>This policy applies to all employees, contractors, and board members seeking reimbursement for business-related expenses.</w:t>
      </w:r>
    </w:p>
    <w:p w14:paraId="5CEDE66F" w14:textId="77777777" w:rsidR="00E74953" w:rsidRPr="00066A64" w:rsidRDefault="00E74953" w:rsidP="00E74953">
      <w:r>
        <w:pict w14:anchorId="693EBA59">
          <v:rect id="_x0000_i1330" style="width:0;height:1.5pt" o:hrstd="t" o:hr="t" fillcolor="#a0a0a0" stroked="f"/>
        </w:pict>
      </w:r>
    </w:p>
    <w:p w14:paraId="2DAE2A29" w14:textId="77777777" w:rsidR="00E74953" w:rsidRPr="00066A64" w:rsidRDefault="00E74953" w:rsidP="00E74953">
      <w:pPr>
        <w:rPr>
          <w:b/>
          <w:bCs/>
        </w:rPr>
      </w:pPr>
      <w:r w:rsidRPr="00066A64">
        <w:rPr>
          <w:b/>
          <w:bCs/>
        </w:rPr>
        <w:t>3. Policy Statements</w:t>
      </w:r>
    </w:p>
    <w:p w14:paraId="0D9427B6" w14:textId="77777777" w:rsidR="00E74953" w:rsidRPr="00066A64" w:rsidRDefault="00E74953" w:rsidP="00E74953">
      <w:r w:rsidRPr="00066A64">
        <w:t xml:space="preserve">3.1. </w:t>
      </w:r>
      <w:r w:rsidRPr="00066A64">
        <w:rPr>
          <w:b/>
          <w:bCs/>
        </w:rPr>
        <w:t>Eligible Expenses</w:t>
      </w:r>
      <w:r w:rsidRPr="00066A64">
        <w:t>:</w:t>
      </w:r>
      <w:r w:rsidRPr="00066A64">
        <w:br/>
        <w:t>Eligible expenses must directly support organizational activities and include:</w:t>
      </w:r>
    </w:p>
    <w:p w14:paraId="07C4292B" w14:textId="77777777" w:rsidR="00E74953" w:rsidRPr="00066A64" w:rsidRDefault="00E74953" w:rsidP="00E74953">
      <w:r w:rsidRPr="00066A64">
        <w:t>Travel (airfare, lodging, meals, mileage at IRS-approved rates).</w:t>
      </w:r>
    </w:p>
    <w:p w14:paraId="0B6C0501" w14:textId="77777777" w:rsidR="00E74953" w:rsidRPr="00066A64" w:rsidRDefault="00E74953" w:rsidP="00E74953">
      <w:r w:rsidRPr="00066A64">
        <w:t>Professional development (conference fees, training materials).</w:t>
      </w:r>
    </w:p>
    <w:p w14:paraId="4A08BB8C" w14:textId="77777777" w:rsidR="00E74953" w:rsidRPr="00066A64" w:rsidRDefault="00E74953" w:rsidP="00E74953">
      <w:r w:rsidRPr="00066A64">
        <w:t>Office supplies directly related to the employee’s job functions.</w:t>
      </w:r>
    </w:p>
    <w:p w14:paraId="4C0FCEF0" w14:textId="77777777" w:rsidR="00E74953" w:rsidRPr="00066A64" w:rsidRDefault="00E74953" w:rsidP="00E74953">
      <w:r w:rsidRPr="00066A64">
        <w:t xml:space="preserve">3.2. </w:t>
      </w:r>
      <w:r w:rsidRPr="00066A64">
        <w:rPr>
          <w:b/>
          <w:bCs/>
        </w:rPr>
        <w:t>Ineligible Expenses</w:t>
      </w:r>
      <w:r w:rsidRPr="00066A64">
        <w:t>:</w:t>
      </w:r>
      <w:r w:rsidRPr="00066A64">
        <w:br/>
        <w:t>Expenses not eligible for reimbursement include:</w:t>
      </w:r>
    </w:p>
    <w:p w14:paraId="1582A84E" w14:textId="77777777" w:rsidR="00E74953" w:rsidRPr="00066A64" w:rsidRDefault="00E74953" w:rsidP="00E74953">
      <w:r w:rsidRPr="00066A64">
        <w:t>Personal entertainment or non-business meals.</w:t>
      </w:r>
    </w:p>
    <w:p w14:paraId="507F6704" w14:textId="77777777" w:rsidR="00E74953" w:rsidRPr="00066A64" w:rsidRDefault="00E74953" w:rsidP="00E74953">
      <w:r w:rsidRPr="00066A64">
        <w:t>Upgrades for travel beyond economy class.</w:t>
      </w:r>
    </w:p>
    <w:p w14:paraId="429FE483" w14:textId="77777777" w:rsidR="00E74953" w:rsidRPr="00066A64" w:rsidRDefault="00E74953" w:rsidP="00E74953">
      <w:r w:rsidRPr="00066A64">
        <w:t>Alcoholic beverages, unless part of pre-approved events.</w:t>
      </w:r>
    </w:p>
    <w:p w14:paraId="0B0E4A30" w14:textId="77777777" w:rsidR="00E74953" w:rsidRPr="00066A64" w:rsidRDefault="00E74953" w:rsidP="00E74953">
      <w:r w:rsidRPr="00066A64">
        <w:t xml:space="preserve">3.3. </w:t>
      </w:r>
      <w:r w:rsidRPr="00066A64">
        <w:rPr>
          <w:b/>
          <w:bCs/>
        </w:rPr>
        <w:t>Documentation</w:t>
      </w:r>
      <w:r w:rsidRPr="00066A64">
        <w:t>:</w:t>
      </w:r>
      <w:r w:rsidRPr="00066A64">
        <w:br/>
        <w:t>All reimbursement requests must include:</w:t>
      </w:r>
    </w:p>
    <w:p w14:paraId="3E40C9B0" w14:textId="77777777" w:rsidR="00E74953" w:rsidRPr="00066A64" w:rsidRDefault="00E74953" w:rsidP="00E74953">
      <w:r w:rsidRPr="00066A64">
        <w:lastRenderedPageBreak/>
        <w:t>Original itemized receipts.</w:t>
      </w:r>
    </w:p>
    <w:p w14:paraId="56862BE5" w14:textId="77777777" w:rsidR="00E74953" w:rsidRPr="00066A64" w:rsidRDefault="00E74953" w:rsidP="00E74953">
      <w:r w:rsidRPr="00066A64">
        <w:t>A completed reimbursement form.</w:t>
      </w:r>
    </w:p>
    <w:p w14:paraId="744ECA8D" w14:textId="77777777" w:rsidR="00E74953" w:rsidRPr="00066A64" w:rsidRDefault="00E74953" w:rsidP="00E74953">
      <w:r w:rsidRPr="00066A64">
        <w:t>Approval from the employee’s supervisor or designated approver.</w:t>
      </w:r>
    </w:p>
    <w:p w14:paraId="0DBD85AD" w14:textId="77777777" w:rsidR="00E74953" w:rsidRPr="00066A64" w:rsidRDefault="00E74953" w:rsidP="00E74953">
      <w:r w:rsidRPr="00066A64">
        <w:t xml:space="preserve">3.4. </w:t>
      </w:r>
      <w:r w:rsidRPr="00066A64">
        <w:rPr>
          <w:b/>
          <w:bCs/>
        </w:rPr>
        <w:t>Submission and Approval</w:t>
      </w:r>
      <w:r w:rsidRPr="00066A64">
        <w:t>:</w:t>
      </w:r>
      <w:r w:rsidRPr="00066A64">
        <w:br/>
        <w:t>Reimbursement forms must be submitted within [INSERT TIMEFRAME, E.G., 30 DAYS] of incurring the expense.</w:t>
      </w:r>
    </w:p>
    <w:p w14:paraId="3ABDFA77" w14:textId="77777777" w:rsidR="00E74953" w:rsidRPr="00066A64" w:rsidRDefault="00E74953" w:rsidP="00E74953">
      <w:r w:rsidRPr="00066A64">
        <w:t xml:space="preserve">3.5. </w:t>
      </w:r>
      <w:r w:rsidRPr="00066A64">
        <w:rPr>
          <w:b/>
          <w:bCs/>
        </w:rPr>
        <w:t>Processing Timeline</w:t>
      </w:r>
      <w:r w:rsidRPr="00066A64">
        <w:t>:</w:t>
      </w:r>
      <w:r w:rsidRPr="00066A64">
        <w:br/>
        <w:t>Reimbursement payments will be processed within [INSERT TIMEFRAME, E.G., 10 BUSINESS DAYS] of receiving an approved request.</w:t>
      </w:r>
    </w:p>
    <w:p w14:paraId="253E7F0C" w14:textId="77777777" w:rsidR="00E74953" w:rsidRPr="00066A64" w:rsidRDefault="00E74953" w:rsidP="00E74953">
      <w:r>
        <w:pict w14:anchorId="267FC4B9">
          <v:rect id="_x0000_i1331" style="width:0;height:1.5pt" o:hrstd="t" o:hr="t" fillcolor="#a0a0a0" stroked="f"/>
        </w:pict>
      </w:r>
    </w:p>
    <w:p w14:paraId="699CC4B3" w14:textId="77777777" w:rsidR="00E74953" w:rsidRPr="00066A64" w:rsidRDefault="00E74953" w:rsidP="00E74953">
      <w:pPr>
        <w:rPr>
          <w:b/>
          <w:bCs/>
        </w:rPr>
      </w:pPr>
      <w:r w:rsidRPr="00066A64">
        <w:rPr>
          <w:b/>
          <w:bCs/>
        </w:rPr>
        <w:t>4. Roles and Responsibilities</w:t>
      </w:r>
    </w:p>
    <w:p w14:paraId="3E3302F6" w14:textId="77777777" w:rsidR="00E74953" w:rsidRPr="00066A64" w:rsidRDefault="00E74953" w:rsidP="00E74953">
      <w:r w:rsidRPr="00066A64">
        <w:rPr>
          <w:b/>
          <w:bCs/>
        </w:rPr>
        <w:t>Employees/Board Members</w:t>
      </w:r>
      <w:r w:rsidRPr="00066A64">
        <w:t>: Submit complete and accurate reimbursement requests.</w:t>
      </w:r>
    </w:p>
    <w:p w14:paraId="46055B7A" w14:textId="77777777" w:rsidR="00E74953" w:rsidRPr="00066A64" w:rsidRDefault="00E74953" w:rsidP="00E74953">
      <w:r w:rsidRPr="00066A64">
        <w:rPr>
          <w:b/>
          <w:bCs/>
        </w:rPr>
        <w:t>Supervisors</w:t>
      </w:r>
      <w:r w:rsidRPr="00066A64">
        <w:t>: Review and approve requests for compliance and necessity.</w:t>
      </w:r>
    </w:p>
    <w:p w14:paraId="5693356E" w14:textId="77777777" w:rsidR="00E74953" w:rsidRPr="00066A64" w:rsidRDefault="00E74953" w:rsidP="00E74953">
      <w:r w:rsidRPr="00066A64">
        <w:rPr>
          <w:b/>
          <w:bCs/>
        </w:rPr>
        <w:t>Finance Department</w:t>
      </w:r>
      <w:r w:rsidRPr="00066A64">
        <w:t>: Ensure timely processing and compliance with organizational policies.</w:t>
      </w:r>
    </w:p>
    <w:p w14:paraId="68759C31" w14:textId="77777777" w:rsidR="00E74953" w:rsidRPr="00066A64" w:rsidRDefault="00E74953" w:rsidP="00E74953">
      <w:r>
        <w:pict w14:anchorId="0EAAAABA">
          <v:rect id="_x0000_i1332" style="width:0;height:1.5pt" o:hrstd="t" o:hr="t" fillcolor="#a0a0a0" stroked="f"/>
        </w:pict>
      </w:r>
    </w:p>
    <w:p w14:paraId="02F5FED6" w14:textId="77777777" w:rsidR="00E74953" w:rsidRPr="00066A64" w:rsidRDefault="00E74953" w:rsidP="00E74953">
      <w:pPr>
        <w:rPr>
          <w:b/>
          <w:bCs/>
        </w:rPr>
      </w:pPr>
      <w:r w:rsidRPr="00066A64">
        <w:rPr>
          <w:b/>
          <w:bCs/>
        </w:rPr>
        <w:t>5. Review and Revision</w:t>
      </w:r>
    </w:p>
    <w:p w14:paraId="323E14F6" w14:textId="77777777" w:rsidR="00E74953" w:rsidRPr="00066A64" w:rsidRDefault="00E74953" w:rsidP="00E74953">
      <w:r w:rsidRPr="00066A64">
        <w:t>This policy will be reviewed annually to ensure alignment with organizational needs and IRS guidelines.</w:t>
      </w:r>
    </w:p>
    <w:p w14:paraId="12B6E435" w14:textId="77777777" w:rsidR="00E74953" w:rsidRPr="00066A64" w:rsidRDefault="00E74953" w:rsidP="00E74953">
      <w:r>
        <w:pict w14:anchorId="446459EB">
          <v:rect id="_x0000_i1333" style="width:0;height:1.5pt" o:hrstd="t" o:hr="t" fillcolor="#a0a0a0" stroked="f"/>
        </w:pict>
      </w:r>
    </w:p>
    <w:p w14:paraId="0D5D90A3" w14:textId="77777777" w:rsidR="00E74953" w:rsidRPr="00066A64" w:rsidRDefault="00E74953" w:rsidP="00E74953">
      <w:r w:rsidRPr="00066A64">
        <w:t>Approved by: [Insert Name or Position]</w:t>
      </w:r>
      <w:r w:rsidRPr="00066A64">
        <w:br/>
        <w:t>Date: [Insert Date]</w:t>
      </w:r>
      <w:r w:rsidRPr="00066A64">
        <w:br/>
        <w:t>Review Date: [Insert Date]</w:t>
      </w:r>
      <w:r w:rsidRPr="00066A64">
        <w:br/>
        <w:t>Next Review Date: [Insert Date]</w:t>
      </w:r>
    </w:p>
    <w:p w14:paraId="067BCAC2" w14:textId="77777777" w:rsidR="006021E9" w:rsidRPr="00E74953" w:rsidRDefault="006021E9" w:rsidP="00E74953"/>
    <w:sectPr w:rsidR="006021E9" w:rsidRPr="00E74953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567"/>
    <w:multiLevelType w:val="multilevel"/>
    <w:tmpl w:val="B79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828A2"/>
    <w:multiLevelType w:val="multilevel"/>
    <w:tmpl w:val="ECE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D6701"/>
    <w:multiLevelType w:val="multilevel"/>
    <w:tmpl w:val="BFC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37D81"/>
    <w:multiLevelType w:val="multilevel"/>
    <w:tmpl w:val="142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A2D2E"/>
    <w:multiLevelType w:val="multilevel"/>
    <w:tmpl w:val="FF6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85BA5"/>
    <w:multiLevelType w:val="multilevel"/>
    <w:tmpl w:val="3F2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751974">
    <w:abstractNumId w:val="4"/>
  </w:num>
  <w:num w:numId="2" w16cid:durableId="246380845">
    <w:abstractNumId w:val="2"/>
  </w:num>
  <w:num w:numId="3" w16cid:durableId="1251156733">
    <w:abstractNumId w:val="1"/>
  </w:num>
  <w:num w:numId="4" w16cid:durableId="274024429">
    <w:abstractNumId w:val="5"/>
  </w:num>
  <w:num w:numId="5" w16cid:durableId="826551543">
    <w:abstractNumId w:val="0"/>
  </w:num>
  <w:num w:numId="6" w16cid:durableId="1053463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24D6C"/>
    <w:rsid w:val="0043385B"/>
    <w:rsid w:val="00440C3B"/>
    <w:rsid w:val="004441A5"/>
    <w:rsid w:val="00527CE3"/>
    <w:rsid w:val="006021E9"/>
    <w:rsid w:val="00660CDD"/>
    <w:rsid w:val="00714FEA"/>
    <w:rsid w:val="00721514"/>
    <w:rsid w:val="00751DAC"/>
    <w:rsid w:val="008204BA"/>
    <w:rsid w:val="008A0E80"/>
    <w:rsid w:val="008B1DB0"/>
    <w:rsid w:val="009017D1"/>
    <w:rsid w:val="00915027"/>
    <w:rsid w:val="00995965"/>
    <w:rsid w:val="009F6CF7"/>
    <w:rsid w:val="00A060A7"/>
    <w:rsid w:val="00A3247D"/>
    <w:rsid w:val="00B06717"/>
    <w:rsid w:val="00B1442A"/>
    <w:rsid w:val="00B24AA9"/>
    <w:rsid w:val="00B268C3"/>
    <w:rsid w:val="00BA7980"/>
    <w:rsid w:val="00C7352B"/>
    <w:rsid w:val="00DC61E3"/>
    <w:rsid w:val="00E51C8A"/>
    <w:rsid w:val="00E74953"/>
    <w:rsid w:val="00EF0613"/>
    <w:rsid w:val="00F75B05"/>
    <w:rsid w:val="00FA329D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53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2025-02-06T19:32:00Z</dcterms:created>
  <dcterms:modified xsi:type="dcterms:W3CDTF">2025-02-06T19:32:00Z</dcterms:modified>
</cp:coreProperties>
</file>