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line="264" w:lineRule="auto"/>
      </w:pPr>
      <w:r>
        <w:rPr>
          <w:rFonts w:ascii="Calibri" w:hAnsi="Calibri"/>
          <w:b/>
          <w:i w:val="0"/>
          <w:color w:val="2E74B5"/>
          <w:sz w:val="20"/>
        </w:rPr>
        <w:t>DISSERTATION FRONTIER</w:t>
      </w:r>
    </w:p>
    <w:p>
      <w:pPr>
        <w:spacing w:before="0" w:after="100" w:line="264" w:lineRule="auto"/>
      </w:pPr>
      <w:r>
        <w:rPr>
          <w:rFonts w:ascii="Calibri" w:hAnsi="Calibri"/>
          <w:b/>
          <w:i w:val="0"/>
          <w:color w:val="1F4D78"/>
          <w:sz w:val="44"/>
        </w:rPr>
        <w:t>Closed Target–Apparatus–Memory Dynamics</w:t>
      </w:r>
    </w:p>
    <w:p>
      <w:pPr>
        <w:spacing w:before="0" w:after="280" w:line="264" w:lineRule="auto"/>
      </w:pPr>
      <w:r>
        <w:rPr>
          <w:rFonts w:ascii="Calibri" w:hAnsi="Calibri"/>
          <w:b w:val="0"/>
          <w:i/>
          <w:color w:val="555555"/>
          <w:sz w:val="26"/>
        </w:rPr>
        <w:t>Information Gain, Back-Action, Protocol Work, and Record Lifetime</w:t>
      </w:r>
    </w:p>
    <w:tbl>
      <w:tblPr>
        <w:tblW w:type="dxa" w:w="9360"/>
        <w:jc w:val="left"/>
        <w:tblLayout w:type="fixed"/>
        <w:tblLook w:firstColumn="1" w:firstRow="1" w:lastColumn="0" w:lastRow="0" w:noHBand="0" w:noVBand="1" w:val="04A0"/>
        <w:tblInd w:w="120" w:type="dxa"/>
      </w:tblPr>
      <w:tblGrid>
        <w:gridCol w:w="9360"/>
      </w:tblGrid>
      <w:tr>
        <w:trPr>
          <w:tblHeader/>
        </w:trPr>
        <w:tc>
          <w:tcPr>
            <w:tcW w:type="dxa" w:w="9360"/>
            <w:shd w:fill="F4F6F9"/>
            <w:tcMar>
              <w:top w:w="150" w:type="dxa"/>
              <w:start w:w="180" w:type="dxa"/>
              <w:bottom w:w="150" w:type="dxa"/>
              <w:end w:w="180" w:type="dxa"/>
            </w:tcMar>
          </w:tcPr>
          <w:p>
            <w:pPr>
              <w:spacing w:after="0" w:line="264" w:lineRule="auto"/>
            </w:pPr>
            <w:r>
              <w:rPr>
                <w:rFonts w:ascii="Calibri" w:hAnsi="Calibri"/>
                <w:b/>
                <w:i w:val="0"/>
                <w:color w:val="1F4D78"/>
                <w:sz w:val="18"/>
              </w:rPr>
              <w:t xml:space="preserve">FRONTIER VERDICT  </w:t>
            </w:r>
            <w:r>
              <w:rPr>
                <w:rFonts w:ascii="Calibri" w:hAnsi="Calibri"/>
                <w:b w:val="0"/>
                <w:i w:val="0"/>
                <w:color w:val="191919"/>
                <w:sz w:val="20"/>
              </w:rPr>
              <w:t>The v1.5 kernel can be closed into one finite stochastic model. A target writes evidence into Memory through a dynamical apparatus, while the same coupling produces measurable back-action and protocol work. Memory retains evidence only for a separately specified decay time. The construction is exact conditional on imported stochastic thermodynamics; it does not derive a universal information–energy law or an EIM-specific microphysics.</w:t>
            </w:r>
          </w:p>
        </w:tc>
      </w:tr>
    </w:tbl>
    <w:p>
      <w:pPr>
        <w:spacing w:before="0" w:after="40" w:line="264" w:lineRule="auto"/>
      </w:pPr>
      <w:r>
        <w:rPr>
          <w:rFonts w:ascii="Calibri" w:hAnsi="Calibri"/>
          <w:b w:val="0"/>
          <w:i w:val="0"/>
          <w:color w:val="191919"/>
          <w:sz w:val="22"/>
        </w:rPr>
      </w:r>
    </w:p>
    <w:p>
      <w:pPr>
        <w:spacing w:before="0" w:after="200" w:line="264" w:lineRule="auto"/>
      </w:pPr>
      <w:r>
        <w:rPr>
          <w:rFonts w:ascii="Calibri" w:hAnsi="Calibri"/>
          <w:b/>
          <w:i w:val="0"/>
          <w:color w:val="555555"/>
          <w:sz w:val="18"/>
        </w:rPr>
        <w:t>Version 1.6 | Standalone dissertation increment</w:t>
      </w:r>
    </w:p>
    <w:p>
      <w:pPr>
        <w:pStyle w:val="Heading1"/>
        <w:keepNext/>
      </w:pPr>
      <w:r>
        <w:rPr>
          <w:rFonts w:ascii="Calibri" w:hAnsi="Calibri"/>
          <w:b/>
          <w:i w:val="0"/>
          <w:color w:val="2E74B5"/>
          <w:sz w:val="32"/>
        </w:rPr>
        <w:t>1. The closure obligation</w:t>
      </w:r>
    </w:p>
    <w:p>
      <w:pPr>
        <w:spacing w:before="0" w:after="120" w:line="264" w:lineRule="auto"/>
      </w:pPr>
      <w:r>
        <w:rPr>
          <w:rFonts w:ascii="Calibri" w:hAnsi="Calibri"/>
          <w:b w:val="0"/>
          <w:i w:val="0"/>
          <w:color w:val="191919"/>
          <w:sz w:val="22"/>
        </w:rPr>
        <w:t>Version 1.5 clamped the target and left Memory as an unspecified writer. Closure requires all three degrees of freedom to evolve in one normalized dynamics, with the initial target retained as the reference variable. Four ledgers must be computed from the same process: evidence in Memory, target disturbance, energetic price, and post-exposure lifetime.</w:t>
      </w:r>
    </w:p>
    <w:p>
      <w:pPr>
        <w:keepLines/>
        <w:spacing w:before="60" w:after="160"/>
        <w:jc w:val="center"/>
      </w:pPr>
      <w:r>
        <w:rPr>
          <w:rFonts w:ascii="Calibri" w:hAnsi="Calibri"/>
          <w:b w:val="0"/>
          <w:i w:val="0"/>
          <w:color w:val="1F4D78"/>
          <w:sz w:val="22"/>
        </w:rPr>
        <w:t>initial target S₀  →  dynamical target s(t)  ↔  apparatus z(t)  ↔  Memory m(t).</w:t>
      </w:r>
    </w:p>
    <w:p>
      <w:pPr>
        <w:pStyle w:val="Heading1"/>
        <w:keepNext/>
      </w:pPr>
      <w:r>
        <w:rPr>
          <w:rFonts w:ascii="Calibri" w:hAnsi="Calibri"/>
          <w:b/>
          <w:i w:val="0"/>
          <w:color w:val="2E74B5"/>
          <w:sz w:val="32"/>
        </w:rPr>
        <w:t>2. Finite thermal model</w:t>
      </w:r>
    </w:p>
    <w:p>
      <w:pPr>
        <w:spacing w:before="0" w:after="120" w:line="264" w:lineRule="auto"/>
      </w:pPr>
      <w:r>
        <w:rPr>
          <w:rFonts w:ascii="Calibri" w:hAnsi="Calibri"/>
          <w:b w:val="0"/>
          <w:i w:val="0"/>
          <w:color w:val="191919"/>
          <w:sz w:val="22"/>
        </w:rPr>
        <w:t>Let s,z,m∈{−1,+1}. During an exposure interval 0≤t≤τ, use the interaction energy</w:t>
      </w:r>
    </w:p>
    <w:p>
      <w:pPr>
        <w:keepLines/>
        <w:spacing w:before="60" w:after="160"/>
        <w:jc w:val="center"/>
      </w:pPr>
      <w:r>
        <w:rPr>
          <w:rFonts w:ascii="Calibri" w:hAnsi="Calibri"/>
          <w:b w:val="0"/>
          <w:i w:val="0"/>
          <w:color w:val="1F4D78"/>
          <w:sz w:val="22"/>
        </w:rPr>
        <w:t>E(s,z,m)=−g s z−h z m.</w:t>
      </w:r>
    </w:p>
    <w:p>
      <w:pPr>
        <w:spacing w:before="0" w:after="120" w:line="264" w:lineRule="auto"/>
      </w:pPr>
      <w:r>
        <w:rPr>
          <w:rFonts w:ascii="Calibri" w:hAnsi="Calibri"/>
          <w:b w:val="0"/>
          <w:i w:val="0"/>
          <w:color w:val="191919"/>
          <w:sz w:val="22"/>
        </w:rPr>
        <w:t>Each variable flips singly. For coordinate i with attempt frequency γᵢ and energy change ΔᵢE, define the heat-bath rate</w:t>
      </w:r>
    </w:p>
    <w:p>
      <w:pPr>
        <w:keepLines/>
        <w:spacing w:before="60" w:after="160"/>
        <w:jc w:val="center"/>
      </w:pPr>
      <w:r>
        <w:rPr>
          <w:rFonts w:ascii="Calibri" w:hAnsi="Calibri"/>
          <w:b w:val="0"/>
          <w:i w:val="0"/>
          <w:color w:val="1F4D78"/>
          <w:sz w:val="22"/>
        </w:rPr>
        <w:t>wᵢ(x→xⁱ)=γᵢ / [1+exp(βΔᵢE)].</w:t>
      </w:r>
    </w:p>
    <w:p>
      <w:pPr>
        <w:spacing w:before="0" w:after="120" w:line="264" w:lineRule="auto"/>
      </w:pPr>
      <w:r>
        <w:rPr>
          <w:rFonts w:ascii="Calibri" w:hAnsi="Calibri"/>
          <w:b w:val="0"/>
          <w:i w:val="0"/>
          <w:color w:val="191919"/>
          <w:sz w:val="22"/>
        </w:rPr>
        <w:t>The eight-state generator is positive, probability conserving, and obeys local detailed balance. Initialize S₀ uniformly, set s(0)=S₀, and take z(0),m(0) independent and unbiased. The target is no longer clamped: γₛ&gt;0 permits measurement back-action.</w:t>
      </w:r>
    </w:p>
    <w:tbl>
      <w:tblPr>
        <w:tblW w:type="dxa" w:w="9360"/>
        <w:jc w:val="left"/>
        <w:tblLayout w:type="fixed"/>
        <w:tblLook w:firstColumn="1" w:firstRow="1" w:lastColumn="0" w:lastRow="0" w:noHBand="0" w:noVBand="1" w:val="04A0"/>
        <w:tblInd w:w="120" w:type="dxa"/>
      </w:tblPr>
      <w:tblGrid>
        <w:gridCol w:w="9360"/>
      </w:tblGrid>
      <w:tr>
        <w:trPr>
          <w:tblHeader/>
        </w:trPr>
        <w:tc>
          <w:tcPr>
            <w:tcW w:type="dxa" w:w="9360"/>
            <w:shd w:fill="F3EEE7"/>
            <w:tcMar>
              <w:top w:w="150" w:type="dxa"/>
              <w:start w:w="180" w:type="dxa"/>
              <w:bottom w:w="150" w:type="dxa"/>
              <w:end w:w="180" w:type="dxa"/>
            </w:tcMar>
          </w:tcPr>
          <w:p>
            <w:pPr>
              <w:spacing w:after="0" w:line="264" w:lineRule="auto"/>
            </w:pPr>
            <w:r>
              <w:rPr>
                <w:rFonts w:ascii="Calibri" w:hAnsi="Calibri"/>
                <w:b/>
                <w:i w:val="0"/>
                <w:color w:val="1F4D78"/>
                <w:sz w:val="18"/>
              </w:rPr>
              <w:t xml:space="preserve">MODEL STATUS  </w:t>
            </w:r>
            <w:r>
              <w:rPr>
                <w:rFonts w:ascii="Calibri" w:hAnsi="Calibri"/>
                <w:b w:val="0"/>
                <w:i w:val="0"/>
                <w:color w:val="191919"/>
                <w:sz w:val="20"/>
              </w:rPr>
              <w:t>This is a physically coherent realization, not an EIM-only derivation. Binary degrees of freedom, bath temperature, couplings, attempt frequencies, and the switching protocol are imported assumptions.</w:t>
            </w:r>
          </w:p>
        </w:tc>
      </w:tr>
    </w:tbl>
    <w:p>
      <w:pPr>
        <w:spacing w:before="0" w:after="40" w:line="264" w:lineRule="auto"/>
      </w:pPr>
      <w:r>
        <w:rPr>
          <w:rFonts w:ascii="Calibri" w:hAnsi="Calibri"/>
          <w:b w:val="0"/>
          <w:i w:val="0"/>
          <w:color w:val="191919"/>
          <w:sz w:val="22"/>
        </w:rPr>
      </w:r>
    </w:p>
    <w:p>
      <w:pPr>
        <w:pStyle w:val="Heading1"/>
        <w:keepNext/>
      </w:pPr>
      <w:r>
        <w:rPr>
          <w:rFonts w:ascii="Calibri" w:hAnsi="Calibri"/>
          <w:b/>
          <w:i w:val="0"/>
          <w:color w:val="2E74B5"/>
          <w:sz w:val="32"/>
        </w:rPr>
        <w:t>3. Exact observables</w:t>
      </w:r>
    </w:p>
    <w:p>
      <w:pPr>
        <w:spacing w:before="0" w:after="120" w:line="264" w:lineRule="auto"/>
      </w:pPr>
      <w:r>
        <w:rPr>
          <w:rFonts w:ascii="Calibri" w:hAnsi="Calibri"/>
          <w:b w:val="0"/>
          <w:i w:val="0"/>
          <w:color w:val="191919"/>
          <w:sz w:val="22"/>
        </w:rPr>
        <w:t>Let pτ(S₀,s,z,m) be obtained from the matrix exponential of the generator. The four ledgers are operationally distinct:</w:t>
      </w:r>
    </w:p>
    <w:p>
      <w:pPr>
        <w:keepLines/>
        <w:spacing w:before="60" w:after="160"/>
        <w:jc w:val="center"/>
      </w:pPr>
      <w:r>
        <w:rPr>
          <w:rFonts w:ascii="Calibri" w:hAnsi="Calibri"/>
          <w:b w:val="0"/>
          <w:i w:val="0"/>
          <w:color w:val="1F4D78"/>
          <w:sz w:val="22"/>
        </w:rPr>
        <w:t>information gain:  I(S₀;Mτ),       disturbance:  Dτ=Pr[s(τ)≠S₀],</w:t>
      </w:r>
    </w:p>
    <w:p>
      <w:pPr>
        <w:keepLines/>
        <w:spacing w:before="60" w:after="160"/>
        <w:jc w:val="center"/>
      </w:pPr>
      <w:r>
        <w:rPr>
          <w:rFonts w:ascii="Calibri" w:hAnsi="Calibri"/>
          <w:b w:val="0"/>
          <w:i w:val="0"/>
          <w:color w:val="1F4D78"/>
          <w:sz w:val="22"/>
        </w:rPr>
        <w:t>switching work:  W=g⟨sz⟩τ+h⟨zm⟩τ,       lifetime:  I(S₀;Mτ+u).</w:t>
      </w:r>
    </w:p>
    <w:p>
      <w:pPr>
        <w:spacing w:before="0" w:after="120" w:line="264" w:lineRule="auto"/>
      </w:pPr>
      <w:r>
        <w:rPr>
          <w:rFonts w:ascii="Calibri" w:hAnsi="Calibri"/>
          <w:b w:val="0"/>
          <w:i w:val="0"/>
          <w:color w:val="191919"/>
          <w:sz w:val="22"/>
        </w:rPr>
        <w:t>The work formula corresponds to a sudden switch-on from an initially unbiased state, followed by a sudden switch-off at τ. The mean switch-on work is zero; switch-off costs the stored interaction energy shown above. This is protocol work—not a universal lower bound and not automatically a Landauer cost.</w:t>
      </w:r>
    </w:p>
    <w:p>
      <w:pPr>
        <w:pStyle w:val="Heading2"/>
        <w:keepNext/>
      </w:pPr>
      <w:r>
        <w:rPr>
          <w:rFonts w:ascii="Calibri" w:hAnsi="Calibri"/>
          <w:b/>
          <w:i w:val="0"/>
          <w:color w:val="1F4D78"/>
          <w:sz w:val="26"/>
        </w:rPr>
        <w:t>Theorem 1 (record decay after decoupling)</w:t>
      </w:r>
    </w:p>
    <w:p>
      <w:pPr>
        <w:spacing w:before="0" w:after="120" w:line="264" w:lineRule="auto"/>
      </w:pPr>
      <w:r>
        <w:rPr>
          <w:rFonts w:ascii="Calibri" w:hAnsi="Calibri"/>
          <w:b w:val="0"/>
          <w:i w:val="0"/>
          <w:color w:val="191919"/>
          <w:sz w:val="22"/>
        </w:rPr>
        <w:t>After exposure, set g=h=0 and allow Memory to flip with heat-bath attempt frequency γₘ. If ητ=E[S₀m(τ)], then</w:t>
      </w:r>
    </w:p>
    <w:p>
      <w:pPr>
        <w:keepLines/>
        <w:spacing w:before="60" w:after="160"/>
        <w:jc w:val="center"/>
      </w:pPr>
      <w:r>
        <w:rPr>
          <w:rFonts w:ascii="Calibri" w:hAnsi="Calibri"/>
          <w:b w:val="0"/>
          <w:i w:val="0"/>
          <w:color w:val="1F4D78"/>
          <w:sz w:val="22"/>
        </w:rPr>
        <w:t>η(τ+u)=ητ exp(−γₘu),</w:t>
      </w:r>
    </w:p>
    <w:p>
      <w:pPr>
        <w:keepLines/>
        <w:spacing w:before="60" w:after="160"/>
        <w:jc w:val="center"/>
      </w:pPr>
      <w:r>
        <w:rPr>
          <w:rFonts w:ascii="Calibri" w:hAnsi="Calibri"/>
          <w:b w:val="0"/>
          <w:i w:val="0"/>
          <w:color w:val="1F4D78"/>
          <w:sz w:val="22"/>
        </w:rPr>
        <w:t>I(S₀;Mτ+u)=1−h₂([1−ητ exp(−γₘu)]/2).</w:t>
      </w:r>
    </w:p>
    <w:p>
      <w:pPr>
        <w:spacing w:before="0" w:after="120" w:line="264" w:lineRule="auto"/>
      </w:pPr>
      <w:r>
        <w:rPr>
          <w:rFonts w:ascii="Calibri" w:hAnsi="Calibri"/>
          <w:b w:val="0"/>
          <w:i w:val="0"/>
          <w:color w:val="191919"/>
          <w:sz w:val="22"/>
        </w:rPr>
        <w:t>Proof. With zero field the two Memory flip rates are γₘ/2, so its signed expectation decays at total rate γₘ. Symmetry makes the S₀-to-Memory channel binary symmetric, giving the displayed mutual information. ∎</w:t>
      </w:r>
    </w:p>
    <w:tbl>
      <w:tblPr>
        <w:tblW w:type="dxa" w:w="9360"/>
        <w:jc w:val="left"/>
        <w:tblLayout w:type="fixed"/>
        <w:tblLook w:firstColumn="1" w:firstRow="1" w:lastColumn="0" w:lastRow="0" w:noHBand="0" w:noVBand="1" w:val="04A0"/>
        <w:tblInd w:w="120" w:type="dxa"/>
      </w:tblPr>
      <w:tblGrid>
        <w:gridCol w:w="9360"/>
      </w:tblGrid>
      <w:tr>
        <w:trPr>
          <w:tblHeader/>
        </w:trPr>
        <w:tc>
          <w:tcPr>
            <w:tcW w:type="dxa" w:w="9360"/>
            <w:shd w:fill="E8EEF5"/>
            <w:tcMar>
              <w:top w:w="150" w:type="dxa"/>
              <w:start w:w="180" w:type="dxa"/>
              <w:bottom w:w="150" w:type="dxa"/>
              <w:end w:w="180" w:type="dxa"/>
            </w:tcMar>
          </w:tcPr>
          <w:p>
            <w:pPr>
              <w:spacing w:after="0" w:line="264" w:lineRule="auto"/>
            </w:pPr>
            <w:r>
              <w:rPr>
                <w:rFonts w:ascii="Calibri" w:hAnsi="Calibri"/>
                <w:b/>
                <w:i w:val="0"/>
                <w:color w:val="1F4D78"/>
                <w:sz w:val="18"/>
              </w:rPr>
              <w:t xml:space="preserve">EARNED DISTINCTION  </w:t>
            </w:r>
            <w:r>
              <w:rPr>
                <w:rFonts w:ascii="Calibri" w:hAnsi="Calibri"/>
                <w:b w:val="0"/>
                <w:i w:val="0"/>
                <w:color w:val="191919"/>
                <w:sz w:val="20"/>
              </w:rPr>
              <w:t>Writing and persistence are different dynamical achievements. The exposure coupling determines ητ; the free Memory rate γₘ determines how rapidly the evidence disappears.</w:t>
            </w:r>
          </w:p>
        </w:tc>
      </w:tr>
    </w:tbl>
    <w:p>
      <w:pPr>
        <w:spacing w:before="0" w:after="40" w:line="264" w:lineRule="auto"/>
      </w:pPr>
      <w:r>
        <w:rPr>
          <w:rFonts w:ascii="Calibri" w:hAnsi="Calibri"/>
          <w:b w:val="0"/>
          <w:i w:val="0"/>
          <w:color w:val="191919"/>
          <w:sz w:val="22"/>
        </w:rPr>
      </w:r>
    </w:p>
    <w:p>
      <w:pPr>
        <w:pStyle w:val="Heading1"/>
        <w:keepNext/>
      </w:pPr>
      <w:r>
        <w:rPr>
          <w:rFonts w:ascii="Calibri" w:hAnsi="Calibri"/>
          <w:b/>
          <w:i w:val="0"/>
          <w:color w:val="2E74B5"/>
          <w:sz w:val="32"/>
        </w:rPr>
        <w:t>4. Verified finite instance</w:t>
      </w:r>
    </w:p>
    <w:p>
      <w:pPr>
        <w:spacing w:before="0" w:after="120" w:line="264" w:lineRule="auto"/>
      </w:pPr>
      <w:r>
        <w:rPr>
          <w:rFonts w:ascii="Calibri" w:hAnsi="Calibri"/>
          <w:b w:val="0"/>
          <w:i w:val="0"/>
          <w:color w:val="191919"/>
          <w:sz w:val="22"/>
        </w:rPr>
        <w:t>For β=g=h=γ_z=1, γₛ=0.05, γₘ=0.30, and τ=4, exact 8-state exponentiation gives:</w:t>
      </w:r>
    </w:p>
    <w:tbl>
      <w:tblPr>
        <w:tblW w:type="dxa" w:w="9360"/>
        <w:jc w:val="left"/>
        <w:tblLayout w:type="fixed"/>
        <w:tblLook w:firstColumn="1" w:firstRow="1" w:lastColumn="0" w:lastRow="0" w:noHBand="0" w:noVBand="1" w:val="04A0"/>
        <w:tblInd w:w="120" w:type="dxa"/>
      </w:tblPr>
      <w:tblGrid>
        <w:gridCol w:w="2500"/>
        <w:gridCol w:w="2200"/>
        <w:gridCol w:w="4660"/>
      </w:tblGrid>
      <w:tr>
        <w:trPr>
          <w:tblHeader/>
        </w:trPr>
        <w:tc>
          <w:tcPr>
            <w:tcW w:type="dxa" w:w="250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Quantity</w:t>
            </w:r>
          </w:p>
        </w:tc>
        <w:tc>
          <w:tcPr>
            <w:tcW w:type="dxa" w:w="220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Value</w:t>
            </w:r>
          </w:p>
        </w:tc>
        <w:tc>
          <w:tcPr>
            <w:tcW w:type="dxa" w:w="466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Interpretation</w:t>
            </w:r>
          </w:p>
        </w:tc>
      </w:tr>
      <w:tr>
        <w:tc>
          <w:tcPr>
            <w:tcW w:type="dxa" w:w="25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Memory separation ητ</w:t>
            </w:r>
          </w:p>
        </w:tc>
        <w:tc>
          <w:tcPr>
            <w:tcW w:type="dxa" w:w="2200"/>
            <w:vAlign w:val="center"/>
            <w:tcMar>
              <w:top w:w="80" w:type="dxa"/>
              <w:start w:w="120" w:type="dxa"/>
              <w:bottom w:w="80" w:type="dxa"/>
              <w:end w:w="120" w:type="dxa"/>
            </w:tcMar>
            <w:shd w:fill="F5F7F9"/>
          </w:tcPr>
          <w:p>
            <w:pPr>
              <w:spacing w:after="0" w:line="252" w:lineRule="auto"/>
              <w:jc w:val="center"/>
            </w:pPr>
            <w:r/>
            <w:r>
              <w:rPr>
                <w:rFonts w:ascii="Calibri" w:hAnsi="Calibri"/>
                <w:b w:val="0"/>
                <w:i w:val="0"/>
                <w:color w:val="191919"/>
                <w:sz w:val="16"/>
              </w:rPr>
              <w:t>0.217401</w:t>
            </w:r>
          </w:p>
        </w:tc>
        <w:tc>
          <w:tcPr>
            <w:tcW w:type="dxa" w:w="466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E[S₀m(τ)]</w:t>
            </w:r>
          </w:p>
        </w:tc>
      </w:tr>
      <w:tr>
        <w:tc>
          <w:tcPr>
            <w:tcW w:type="dxa" w:w="25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Memory information</w:t>
            </w:r>
          </w:p>
        </w:tc>
        <w:tc>
          <w:tcPr>
            <w:tcW w:type="dxa" w:w="2200"/>
            <w:vAlign w:val="center"/>
            <w:tcMar>
              <w:top w:w="80" w:type="dxa"/>
              <w:start w:w="120" w:type="dxa"/>
              <w:bottom w:w="80" w:type="dxa"/>
              <w:end w:w="120" w:type="dxa"/>
            </w:tcMar>
            <w:shd w:fill="FFFFFF"/>
          </w:tcPr>
          <w:p>
            <w:pPr>
              <w:spacing w:after="0" w:line="252" w:lineRule="auto"/>
              <w:jc w:val="center"/>
            </w:pPr>
            <w:r/>
            <w:r>
              <w:rPr>
                <w:rFonts w:ascii="Calibri" w:hAnsi="Calibri"/>
                <w:b w:val="0"/>
                <w:i w:val="0"/>
                <w:color w:val="191919"/>
                <w:sz w:val="16"/>
              </w:rPr>
              <w:t>0.034367 bits</w:t>
            </w:r>
          </w:p>
        </w:tc>
        <w:tc>
          <w:tcPr>
            <w:tcW w:type="dxa" w:w="466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I(S₀;Mτ)</w:t>
            </w:r>
          </w:p>
        </w:tc>
      </w:tr>
      <w:tr>
        <w:tc>
          <w:tcPr>
            <w:tcW w:type="dxa" w:w="25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Target disturbance</w:t>
            </w:r>
          </w:p>
        </w:tc>
        <w:tc>
          <w:tcPr>
            <w:tcW w:type="dxa" w:w="2200"/>
            <w:vAlign w:val="center"/>
            <w:tcMar>
              <w:top w:w="80" w:type="dxa"/>
              <w:start w:w="120" w:type="dxa"/>
              <w:bottom w:w="80" w:type="dxa"/>
              <w:end w:w="120" w:type="dxa"/>
            </w:tcMar>
            <w:shd w:fill="F5F7F9"/>
          </w:tcPr>
          <w:p>
            <w:pPr>
              <w:spacing w:after="0" w:line="252" w:lineRule="auto"/>
              <w:jc w:val="center"/>
            </w:pPr>
            <w:r/>
            <w:r>
              <w:rPr>
                <w:rFonts w:ascii="Calibri" w:hAnsi="Calibri"/>
                <w:b w:val="0"/>
                <w:i w:val="0"/>
                <w:color w:val="191919"/>
                <w:sz w:val="16"/>
              </w:rPr>
              <w:t>0.064587</w:t>
            </w:r>
          </w:p>
        </w:tc>
        <w:tc>
          <w:tcPr>
            <w:tcW w:type="dxa" w:w="466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Probability target flips from S₀</w:t>
            </w:r>
          </w:p>
        </w:tc>
      </w:tr>
      <w:tr>
        <w:tc>
          <w:tcPr>
            <w:tcW w:type="dxa" w:w="25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Protocol work</w:t>
            </w:r>
          </w:p>
        </w:tc>
        <w:tc>
          <w:tcPr>
            <w:tcW w:type="dxa" w:w="2200"/>
            <w:vAlign w:val="center"/>
            <w:tcMar>
              <w:top w:w="80" w:type="dxa"/>
              <w:start w:w="120" w:type="dxa"/>
              <w:bottom w:w="80" w:type="dxa"/>
              <w:end w:w="120" w:type="dxa"/>
            </w:tcMar>
            <w:shd w:fill="FFFFFF"/>
          </w:tcPr>
          <w:p>
            <w:pPr>
              <w:spacing w:after="0" w:line="252" w:lineRule="auto"/>
              <w:jc w:val="center"/>
            </w:pPr>
            <w:r/>
            <w:r>
              <w:rPr>
                <w:rFonts w:ascii="Calibri" w:hAnsi="Calibri"/>
                <w:b w:val="0"/>
                <w:i w:val="0"/>
                <w:color w:val="191919"/>
                <w:sz w:val="16"/>
              </w:rPr>
              <w:t>1.208165 energy units</w:t>
            </w:r>
          </w:p>
        </w:tc>
        <w:tc>
          <w:tcPr>
            <w:tcW w:type="dxa" w:w="466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Sudden switch-on/off convention</w:t>
            </w:r>
          </w:p>
        </w:tc>
      </w:tr>
      <w:tr>
        <w:tc>
          <w:tcPr>
            <w:tcW w:type="dxa" w:w="25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Correlation half-life</w:t>
            </w:r>
          </w:p>
        </w:tc>
        <w:tc>
          <w:tcPr>
            <w:tcW w:type="dxa" w:w="2200"/>
            <w:vAlign w:val="center"/>
            <w:tcMar>
              <w:top w:w="80" w:type="dxa"/>
              <w:start w:w="120" w:type="dxa"/>
              <w:bottom w:w="80" w:type="dxa"/>
              <w:end w:w="120" w:type="dxa"/>
            </w:tcMar>
            <w:shd w:fill="F5F7F9"/>
          </w:tcPr>
          <w:p>
            <w:pPr>
              <w:spacing w:after="0" w:line="252" w:lineRule="auto"/>
              <w:jc w:val="center"/>
            </w:pPr>
            <w:r/>
            <w:r>
              <w:rPr>
                <w:rFonts w:ascii="Calibri" w:hAnsi="Calibri"/>
                <w:b w:val="0"/>
                <w:i w:val="0"/>
                <w:color w:val="191919"/>
                <w:sz w:val="16"/>
              </w:rPr>
              <w:t>2.310491 time units</w:t>
            </w:r>
          </w:p>
        </w:tc>
        <w:tc>
          <w:tcPr>
            <w:tcW w:type="dxa" w:w="466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ln 2 / γₘ</w:t>
            </w:r>
          </w:p>
        </w:tc>
      </w:tr>
      <w:tr>
        <w:tc>
          <w:tcPr>
            <w:tcW w:type="dxa" w:w="25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Information half-life</w:t>
            </w:r>
          </w:p>
        </w:tc>
        <w:tc>
          <w:tcPr>
            <w:tcW w:type="dxa" w:w="2200"/>
            <w:vAlign w:val="center"/>
            <w:tcMar>
              <w:top w:w="80" w:type="dxa"/>
              <w:start w:w="120" w:type="dxa"/>
              <w:bottom w:w="80" w:type="dxa"/>
              <w:end w:w="120" w:type="dxa"/>
            </w:tcMar>
            <w:shd w:fill="FFFFFF"/>
          </w:tcPr>
          <w:p>
            <w:pPr>
              <w:spacing w:after="0" w:line="252" w:lineRule="auto"/>
              <w:jc w:val="center"/>
            </w:pPr>
            <w:r/>
            <w:r>
              <w:rPr>
                <w:rFonts w:ascii="Calibri" w:hAnsi="Calibri"/>
                <w:b w:val="0"/>
                <w:i w:val="0"/>
                <w:color w:val="191919"/>
                <w:sz w:val="16"/>
              </w:rPr>
              <w:t>1.148556 time units</w:t>
            </w:r>
          </w:p>
        </w:tc>
        <w:tc>
          <w:tcPr>
            <w:tcW w:type="dxa" w:w="466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Time for I to fall by one half</w:t>
            </w:r>
          </w:p>
        </w:tc>
      </w:tr>
    </w:tbl>
    <w:p>
      <w:pPr>
        <w:spacing w:before="0" w:after="20" w:line="264" w:lineRule="auto"/>
      </w:pPr>
      <w:r>
        <w:rPr>
          <w:rFonts w:ascii="Calibri" w:hAnsi="Calibri"/>
          <w:b w:val="0"/>
          <w:i w:val="0"/>
          <w:color w:val="191919"/>
          <w:sz w:val="22"/>
        </w:rPr>
      </w:r>
    </w:p>
    <w:p>
      <w:pPr>
        <w:spacing w:before="0" w:after="120" w:line="264" w:lineRule="auto"/>
      </w:pPr>
      <w:r>
        <w:rPr>
          <w:rFonts w:ascii="Calibri" w:hAnsi="Calibri"/>
          <w:b w:val="0"/>
          <w:i w:val="0"/>
          <w:color w:val="191919"/>
          <w:sz w:val="22"/>
        </w:rPr>
        <w:t>The record is genuine but weak in this illustrative regime. That is scientifically useful: the model does not guarantee high-fidelity observation merely because all three slots exist. Information, disturbance, and work change differently with τ and the rates, so no one scalar can replace the four ledgers without an additional theorem.</w:t>
      </w:r>
    </w:p>
    <w:p>
      <w:pPr>
        <w:pStyle w:val="Heading1"/>
        <w:keepNext/>
      </w:pPr>
      <w:r>
        <w:rPr>
          <w:rFonts w:ascii="Calibri" w:hAnsi="Calibri"/>
          <w:b/>
          <w:i w:val="0"/>
          <w:color w:val="2E74B5"/>
          <w:sz w:val="32"/>
        </w:rPr>
        <w:t>5. Controls and kill conditions</w:t>
      </w:r>
    </w:p>
    <w:p>
      <w:pPr>
        <w:pStyle w:val="ListBullet"/>
        <w:spacing w:after="140" w:line="276" w:lineRule="auto"/>
      </w:pPr>
      <w:r>
        <w:rPr>
          <w:rFonts w:ascii="Calibri" w:hAnsi="Calibri"/>
          <w:b w:val="0"/>
          <w:i w:val="0"/>
          <w:color w:val="191919"/>
          <w:sz w:val="21"/>
        </w:rPr>
        <w:t>No target–apparatus coupling (g=0): Memory cannot acquire information about S₀ through this chain.</w:t>
      </w:r>
    </w:p>
    <w:p>
      <w:pPr>
        <w:pStyle w:val="ListBullet"/>
        <w:spacing w:after="140" w:line="276" w:lineRule="auto"/>
      </w:pPr>
      <w:r>
        <w:rPr>
          <w:rFonts w:ascii="Calibri" w:hAnsi="Calibri"/>
          <w:b w:val="0"/>
          <w:i w:val="0"/>
          <w:color w:val="191919"/>
          <w:sz w:val="21"/>
        </w:rPr>
        <w:t>No apparatus–Memory coupling (h=0): target-sensitive apparatus dynamics occur, but Memory remains uninformative.</w:t>
      </w:r>
    </w:p>
    <w:p>
      <w:pPr>
        <w:pStyle w:val="ListBullet"/>
        <w:spacing w:after="140" w:line="276" w:lineRule="auto"/>
      </w:pPr>
      <w:r>
        <w:rPr>
          <w:rFonts w:ascii="Calibri" w:hAnsi="Calibri"/>
          <w:b w:val="0"/>
          <w:i w:val="0"/>
          <w:color w:val="191919"/>
          <w:sz w:val="21"/>
        </w:rPr>
        <w:t>No exposure (τ=0) or infinite temperature (β=0): the recorded target separation is zero.</w:t>
      </w:r>
    </w:p>
    <w:p>
      <w:pPr>
        <w:pStyle w:val="ListBullet"/>
        <w:spacing w:after="140" w:line="276" w:lineRule="auto"/>
      </w:pPr>
      <w:r>
        <w:rPr>
          <w:rFonts w:ascii="Calibri" w:hAnsi="Calibri"/>
          <w:b w:val="0"/>
          <w:i w:val="0"/>
          <w:color w:val="191919"/>
          <w:sz w:val="21"/>
        </w:rPr>
        <w:t>Fast target dynamics: back-action can erase correlation with S₀ before Memory acquires it.</w:t>
      </w:r>
    </w:p>
    <w:p>
      <w:pPr>
        <w:pStyle w:val="ListBullet"/>
        <w:spacing w:after="140" w:line="276" w:lineRule="auto"/>
      </w:pPr>
      <w:r>
        <w:rPr>
          <w:rFonts w:ascii="Calibri" w:hAnsi="Calibri"/>
          <w:b w:val="0"/>
          <w:i w:val="0"/>
          <w:color w:val="191919"/>
          <w:sz w:val="21"/>
        </w:rPr>
        <w:t>Fast Memory decay: evidence may be written at τ but disappear before public use.</w:t>
      </w:r>
    </w:p>
    <w:p>
      <w:pPr>
        <w:pStyle w:val="ListBullet"/>
        <w:spacing w:after="140" w:line="276" w:lineRule="auto"/>
      </w:pPr>
      <w:r>
        <w:rPr>
          <w:rFonts w:ascii="Calibri" w:hAnsi="Calibri"/>
          <w:b w:val="0"/>
          <w:i w:val="0"/>
          <w:color w:val="191919"/>
          <w:sz w:val="21"/>
        </w:rPr>
        <w:t>A claimed universal work-per-bit law is killed unless a fixed protocol and admissible comparison class are supplied.</w:t>
      </w:r>
    </w:p>
    <w:p>
      <w:pPr>
        <w:pStyle w:val="Heading1"/>
        <w:keepNext/>
      </w:pPr>
      <w:r>
        <w:rPr>
          <w:rFonts w:ascii="Calibri" w:hAnsi="Calibri"/>
          <w:b/>
          <w:i w:val="0"/>
          <w:color w:val="2E74B5"/>
          <w:sz w:val="32"/>
        </w:rPr>
        <w:t>6. What this does—and does not—earn</w:t>
      </w:r>
    </w:p>
    <w:p>
      <w:pPr>
        <w:spacing w:before="0" w:after="120" w:line="264" w:lineRule="auto"/>
      </w:pPr>
      <w:r>
        <w:rPr>
          <w:rFonts w:ascii="Calibri" w:hAnsi="Calibri"/>
          <w:b w:val="0"/>
          <w:i w:val="0"/>
          <w:color w:val="191919"/>
          <w:sz w:val="22"/>
        </w:rPr>
        <w:t>The model earns a closed bookkeeping architecture: one joint generator produces target-sensitive Memory, disturbance, and energetic accounting, while a decoupled continuation defines lifetime. It also identifies a genuine optimization problem: choose coupling, exposure, and timescale separation to improve retained information subject to disturbance and work constraints.</w:t>
      </w:r>
    </w:p>
    <w:p>
      <w:pPr>
        <w:spacing w:before="0" w:after="120" w:line="264" w:lineRule="auto"/>
      </w:pPr>
      <w:r>
        <w:rPr>
          <w:rFonts w:ascii="Calibri" w:hAnsi="Calibri"/>
          <w:b w:val="0"/>
          <w:i w:val="0"/>
          <w:color w:val="191919"/>
          <w:sz w:val="22"/>
        </w:rPr>
        <w:t>It does not earn the Born rule, quantum back-action, relativistic locality, a universal Landauer equality, or the claim that focal obligation equals thermodynamic work. Those require additional physical structure. In particular, W/I is not invariant under changes of protocol or parameters and therefore is not yet an EIM constant.</w:t>
      </w:r>
    </w:p>
    <w:p>
      <w:pPr>
        <w:pStyle w:val="Heading1"/>
        <w:keepNext/>
      </w:pPr>
      <w:r>
        <w:rPr>
          <w:rFonts w:ascii="Calibri" w:hAnsi="Calibri"/>
          <w:b/>
          <w:i w:val="0"/>
          <w:color w:val="2E74B5"/>
          <w:sz w:val="32"/>
        </w:rPr>
        <w:t>7. Claim ledger, v1.6</w:t>
      </w:r>
    </w:p>
    <w:tbl>
      <w:tblPr>
        <w:tblW w:type="dxa" w:w="9360"/>
        <w:jc w:val="left"/>
        <w:tblLayout w:type="fixed"/>
        <w:tblLook w:firstColumn="1" w:firstRow="1" w:lastColumn="0" w:lastRow="0" w:noHBand="0" w:noVBand="1" w:val="04A0"/>
        <w:tblInd w:w="120" w:type="dxa"/>
      </w:tblPr>
      <w:tblGrid>
        <w:gridCol w:w="1600"/>
        <w:gridCol w:w="3820"/>
        <w:gridCol w:w="3940"/>
      </w:tblGrid>
      <w:tr>
        <w:trPr>
          <w:tblHeader/>
        </w:trPr>
        <w:tc>
          <w:tcPr>
            <w:tcW w:type="dxa" w:w="160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ID / Grade</w:t>
            </w:r>
          </w:p>
        </w:tc>
        <w:tc>
          <w:tcPr>
            <w:tcW w:type="dxa" w:w="382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Earned statement</w:t>
            </w:r>
          </w:p>
        </w:tc>
        <w:tc>
          <w:tcPr>
            <w:tcW w:type="dxa" w:w="3940"/>
            <w:vAlign w:val="center"/>
            <w:tcMar>
              <w:top w:w="80" w:type="dxa"/>
              <w:start w:w="120" w:type="dxa"/>
              <w:bottom w:w="80" w:type="dxa"/>
              <w:end w:w="120" w:type="dxa"/>
            </w:tcMar>
            <w:shd w:fill="2E74B5"/>
          </w:tcPr>
          <w:p>
            <w:pPr>
              <w:spacing w:after="0" w:line="252" w:lineRule="auto"/>
              <w:jc w:val="center"/>
            </w:pPr>
            <w:r/>
            <w:r>
              <w:rPr>
                <w:rFonts w:ascii="Calibri" w:hAnsi="Calibri"/>
                <w:b/>
                <w:i w:val="0"/>
                <w:color w:val="FFFFFF"/>
                <w:sz w:val="17"/>
              </w:rPr>
              <w:t>Boundary / kill condition</w:t>
            </w:r>
          </w:p>
        </w:tc>
      </w:tr>
      <w:tr>
        <w:tc>
          <w:tcPr>
            <w:tcW w:type="dxa" w:w="16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TAM-1 / Exact</w:t>
            </w:r>
          </w:p>
        </w:tc>
        <w:tc>
          <w:tcPr>
            <w:tcW w:type="dxa" w:w="382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The declared eight-state generator is positive, normalized, and locally detailed-balanced.</w:t>
            </w:r>
          </w:p>
        </w:tc>
        <w:tc>
          <w:tcPr>
            <w:tcW w:type="dxa" w:w="394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Conditional on the stated thermal rate law.</w:t>
            </w:r>
          </w:p>
        </w:tc>
      </w:tr>
      <w:tr>
        <w:tc>
          <w:tcPr>
            <w:tcW w:type="dxa" w:w="16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TAM-2 / Exact</w:t>
            </w:r>
          </w:p>
        </w:tc>
        <w:tc>
          <w:tcPr>
            <w:tcW w:type="dxa" w:w="382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One process jointly defines Memory information, target disturbance, and protocol work.</w:t>
            </w:r>
          </w:p>
        </w:tc>
        <w:tc>
          <w:tcPr>
            <w:tcW w:type="dxa" w:w="394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Uses S₀ as the operational target reference.</w:t>
            </w:r>
          </w:p>
        </w:tc>
      </w:tr>
      <w:tr>
        <w:tc>
          <w:tcPr>
            <w:tcW w:type="dxa" w:w="16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TAM-3 / Exact</w:t>
            </w:r>
          </w:p>
        </w:tc>
        <w:tc>
          <w:tcPr>
            <w:tcW w:type="dxa" w:w="382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After decoupling, Memory correlation decays as exp(−γₘu).</w:t>
            </w:r>
          </w:p>
        </w:tc>
        <w:tc>
          <w:tcPr>
            <w:tcW w:type="dxa" w:w="394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Assumes unbiased free Memory flips.</w:t>
            </w:r>
          </w:p>
        </w:tc>
      </w:tr>
      <w:tr>
        <w:tc>
          <w:tcPr>
            <w:tcW w:type="dxa" w:w="16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TAM-4 / Computed</w:t>
            </w:r>
          </w:p>
        </w:tc>
        <w:tc>
          <w:tcPr>
            <w:tcW w:type="dxa" w:w="382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The stated parameter point yields positive information with nonzero disturbance and work.</w:t>
            </w:r>
          </w:p>
        </w:tc>
        <w:tc>
          <w:tcPr>
            <w:tcW w:type="dxa" w:w="394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Illustrative finite instance, not a fitted prediction.</w:t>
            </w:r>
          </w:p>
        </w:tc>
      </w:tr>
      <w:tr>
        <w:tc>
          <w:tcPr>
            <w:tcW w:type="dxa" w:w="160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TAM-5 / Exact distinction</w:t>
            </w:r>
          </w:p>
        </w:tc>
        <w:tc>
          <w:tcPr>
            <w:tcW w:type="dxa" w:w="382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Record formation and record lifetime are separate gates.</w:t>
            </w:r>
          </w:p>
        </w:tc>
        <w:tc>
          <w:tcPr>
            <w:tcW w:type="dxa" w:w="3940"/>
            <w:vAlign w:val="center"/>
            <w:tcMar>
              <w:top w:w="80" w:type="dxa"/>
              <w:start w:w="120" w:type="dxa"/>
              <w:bottom w:w="80" w:type="dxa"/>
              <w:end w:w="120" w:type="dxa"/>
            </w:tcMar>
            <w:shd w:fill="F5F7F9"/>
          </w:tcPr>
          <w:p>
            <w:pPr>
              <w:spacing w:after="0" w:line="252" w:lineRule="auto"/>
              <w:jc w:val="left"/>
            </w:pPr>
            <w:r/>
            <w:r>
              <w:rPr>
                <w:rFonts w:ascii="Calibri" w:hAnsi="Calibri"/>
                <w:b w:val="0"/>
                <w:i w:val="0"/>
                <w:color w:val="191919"/>
                <w:sz w:val="16"/>
              </w:rPr>
              <w:t>They coincide only under an added dynamical relation.</w:t>
            </w:r>
          </w:p>
        </w:tc>
      </w:tr>
      <w:tr>
        <w:tc>
          <w:tcPr>
            <w:tcW w:type="dxa" w:w="160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TAM-6 / Open</w:t>
            </w:r>
          </w:p>
        </w:tc>
        <w:tc>
          <w:tcPr>
            <w:tcW w:type="dxa" w:w="382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EIM selects an optimal or universal information–disturbance–cost relation.</w:t>
            </w:r>
          </w:p>
        </w:tc>
        <w:tc>
          <w:tcPr>
            <w:tcW w:type="dxa" w:w="3940"/>
            <w:vAlign w:val="center"/>
            <w:tcMar>
              <w:top w:w="80" w:type="dxa"/>
              <w:start w:w="120" w:type="dxa"/>
              <w:bottom w:w="80" w:type="dxa"/>
              <w:end w:w="120" w:type="dxa"/>
            </w:tcMar>
            <w:shd w:fill="FFFFFF"/>
          </w:tcPr>
          <w:p>
            <w:pPr>
              <w:spacing w:after="0" w:line="252" w:lineRule="auto"/>
              <w:jc w:val="left"/>
            </w:pPr>
            <w:r/>
            <w:r>
              <w:rPr>
                <w:rFonts w:ascii="Calibri" w:hAnsi="Calibri"/>
                <w:b w:val="0"/>
                <w:i w:val="0"/>
                <w:color w:val="191919"/>
                <w:sz w:val="16"/>
              </w:rPr>
              <w:t>Requires an admissible protocol class and optimization theorem.</w:t>
            </w:r>
          </w:p>
        </w:tc>
      </w:tr>
    </w:tbl>
    <w:p>
      <w:pPr>
        <w:spacing w:before="0" w:after="20" w:line="264" w:lineRule="auto"/>
      </w:pPr>
      <w:r>
        <w:rPr>
          <w:rFonts w:ascii="Calibri" w:hAnsi="Calibri"/>
          <w:b w:val="0"/>
          <w:i w:val="0"/>
          <w:color w:val="191919"/>
          <w:sz w:val="22"/>
        </w:rPr>
      </w:r>
    </w:p>
    <w:p>
      <w:pPr>
        <w:pStyle w:val="Heading1"/>
        <w:keepNext/>
      </w:pPr>
      <w:r>
        <w:rPr>
          <w:rFonts w:ascii="Calibri" w:hAnsi="Calibri"/>
          <w:b/>
          <w:i w:val="0"/>
          <w:color w:val="2E74B5"/>
          <w:sz w:val="32"/>
        </w:rPr>
        <w:t>8. Dissertation-ready replacement paragraph</w:t>
      </w:r>
    </w:p>
    <w:tbl>
      <w:tblPr>
        <w:tblW w:type="dxa" w:w="9360"/>
        <w:jc w:val="left"/>
        <w:tblLayout w:type="fixed"/>
        <w:tblLook w:firstColumn="1" w:firstRow="1" w:lastColumn="0" w:lastRow="0" w:noHBand="0" w:noVBand="1" w:val="04A0"/>
        <w:tblInd w:w="120" w:type="dxa"/>
      </w:tblPr>
      <w:tblGrid>
        <w:gridCol w:w="9360"/>
      </w:tblGrid>
      <w:tr>
        <w:trPr>
          <w:tblHeader/>
        </w:trPr>
        <w:tc>
          <w:tcPr>
            <w:tcW w:type="dxa" w:w="9360"/>
            <w:shd w:fill="F4F6F9"/>
            <w:tcMar>
              <w:top w:w="150" w:type="dxa"/>
              <w:start w:w="180" w:type="dxa"/>
              <w:bottom w:w="150" w:type="dxa"/>
              <w:end w:w="180" w:type="dxa"/>
            </w:tcMar>
          </w:tcPr>
          <w:p>
            <w:pPr>
              <w:spacing w:after="0" w:line="264" w:lineRule="auto"/>
            </w:pPr>
            <w:r>
              <w:rPr>
                <w:rFonts w:ascii="Calibri" w:hAnsi="Calibri"/>
                <w:b/>
                <w:i w:val="0"/>
                <w:color w:val="1F4D78"/>
                <w:sz w:val="18"/>
              </w:rPr>
              <w:t xml:space="preserve">SAFE PROPOSITION  </w:t>
            </w:r>
            <w:r>
              <w:rPr>
                <w:rFonts w:ascii="Calibri" w:hAnsi="Calibri"/>
                <w:b w:val="0"/>
                <w:i w:val="0"/>
                <w:color w:val="191919"/>
                <w:sz w:val="20"/>
              </w:rPr>
              <w:t>A closed finite realization of target, apparatus, and Memory is obtained from three binary degrees of freedom with interaction energy E=−gsz−hzm and single-coordinate thermal transitions satisfying local detailed balance. Starting from an unbiased apparatus and Memory, the joint generator determines—without separate narrative assumptions—the information retained about the initial target, the probability of target disturbance, and the work of a declared switching protocol. After the couplings are removed, the Memory correlation decays as exp(−γₘu), so record lifetime is controlled by a distinct retention timescale. This establishes a coherent stochastic-thermodynamic realization of EIM's Interaction-to-Memory chain, conditional on imported microphysics; it does not establish a universal cost per bit or derive the model from EIM primitives.</w:t>
            </w:r>
          </w:p>
        </w:tc>
      </w:tr>
    </w:tbl>
    <w:p>
      <w:pPr>
        <w:spacing w:before="0" w:after="40" w:line="264" w:lineRule="auto"/>
      </w:pPr>
      <w:r>
        <w:rPr>
          <w:rFonts w:ascii="Calibri" w:hAnsi="Calibri"/>
          <w:b w:val="0"/>
          <w:i w:val="0"/>
          <w:color w:val="191919"/>
          <w:sz w:val="22"/>
        </w:rPr>
      </w:r>
    </w:p>
    <w:p>
      <w:pPr>
        <w:pStyle w:val="Heading1"/>
        <w:keepNext/>
      </w:pPr>
      <w:r>
        <w:rPr>
          <w:rFonts w:ascii="Calibri" w:hAnsi="Calibri"/>
          <w:b/>
          <w:i w:val="0"/>
          <w:color w:val="2E74B5"/>
          <w:sz w:val="32"/>
        </w:rPr>
        <w:t>9. Next decisive computation</w:t>
      </w:r>
    </w:p>
    <w:p>
      <w:pPr>
        <w:spacing w:before="0" w:after="120" w:line="264" w:lineRule="auto"/>
      </w:pPr>
      <w:r>
        <w:rPr>
          <w:rFonts w:ascii="Calibri" w:hAnsi="Calibri"/>
          <w:b w:val="0"/>
          <w:i w:val="0"/>
          <w:color w:val="191919"/>
          <w:sz w:val="22"/>
        </w:rPr>
        <w:t>The next best calculation is a Pareto-frontier scan over exposure time, couplings, and rate separation. For a fixed protocol class, maximize retained information at a declared readout delay while minimizing disturbance and work:</w:t>
      </w:r>
    </w:p>
    <w:p>
      <w:pPr>
        <w:keepLines/>
        <w:spacing w:before="60" w:after="160"/>
        <w:jc w:val="center"/>
      </w:pPr>
      <w:r>
        <w:rPr>
          <w:rFonts w:ascii="Calibri" w:hAnsi="Calibri"/>
          <w:b w:val="0"/>
          <w:i w:val="0"/>
          <w:color w:val="1F4D78"/>
          <w:sz w:val="22"/>
        </w:rPr>
        <w:t>maximize I(S₀;Mτ+u) subject to Dτ≤Dmax and W≤Wmax.</w:t>
      </w:r>
    </w:p>
    <w:p>
      <w:pPr>
        <w:spacing w:before="0" w:after="120" w:line="264" w:lineRule="auto"/>
      </w:pPr>
      <w:r>
        <w:rPr>
          <w:rFonts w:ascii="Calibri" w:hAnsi="Calibri"/>
          <w:b w:val="0"/>
          <w:i w:val="0"/>
          <w:color w:val="191919"/>
          <w:sz w:val="22"/>
        </w:rPr>
        <w:t>This is the first non-arbitrary test of the existential-gamble claim. It can determine whether increased observational reach necessarily narrows another actionable capacity within the model, or whether the apparent tradeoff disappears under parameter optimization. Any stronger claim should wait for that computation.</w:t>
      </w:r>
    </w:p>
    <w:p>
      <w:pPr>
        <w:pStyle w:val="Heading1"/>
        <w:keepNext/>
      </w:pPr>
      <w:r>
        <w:rPr>
          <w:rFonts w:ascii="Calibri" w:hAnsi="Calibri"/>
          <w:b/>
          <w:i w:val="0"/>
          <w:color w:val="2E74B5"/>
          <w:sz w:val="32"/>
        </w:rPr>
        <w:t>10. Frontier verdict</w:t>
      </w:r>
    </w:p>
    <w:p>
      <w:pPr>
        <w:spacing w:before="0" w:after="120" w:line="264" w:lineRule="auto"/>
      </w:pPr>
      <w:r>
        <w:rPr>
          <w:rFonts w:ascii="Calibri" w:hAnsi="Calibri"/>
          <w:b w:val="0"/>
          <w:i w:val="0"/>
          <w:color w:val="191919"/>
          <w:sz w:val="22"/>
        </w:rPr>
        <w:t>The target–apparatus kernel now has an explicit Memory and a closed finite dynamics. Positive evidence is possible, but it is purchased with model-dependent disturbance and switching work and survives only for a finite retention time. The frontier has therefore moved from existence of interaction to optimization of a four-ledger physical protocol. The next result must be a computed tradeoff surface, not another identification by analogy.</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Submission-oriented research increment  •  3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55555"/>
        <w:sz w:val="16"/>
      </w:rPr>
      <w:t>EIM DISSERTATION FRONTIER  |  v1.6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Closed Target–Apparatus–Memory Dynamics</dc:title>
  <dc:subject>EIM Dissertation Frontier v1.6</dc:subject>
  <dc:creator>Tom Connelly</dc:creator>
  <cp:keywords>EIM, target apparatus Memory, stochastic thermodynamics, information, disturbance, work, lifetime</cp:keywords>
  <dc:description>generated by python-docx</dc:description>
  <cp:lastModifiedBy/>
  <cp:revision>1</cp:revision>
  <dcterms:created xsi:type="dcterms:W3CDTF">2013-12-23T23:15:00Z</dcterms:created>
  <dcterms:modified xsi:type="dcterms:W3CDTF">2013-12-23T23:15:00Z</dcterms:modified>
  <cp:category/>
</cp:coreProperties>
</file>