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before="2400"/>
        <w:jc w:val="center"/>
      </w:pPr>
      <w:r>
        <w:rPr>
          <w:rFonts w:ascii="Arial" w:cs="Arial" w:eastAsia="Arial" w:hAnsi="Arial"/>
          <w:b/>
          <w:bCs/>
          <w:sz w:val="40"/>
          <w:szCs w:val="40"/>
        </w:rPr>
        <w:t xml:space="preserve">EIM as Domain-First Epistemology</w:t>
      </w:r>
    </w:p>
    <w:p>
      <w:pPr>
        <w:spacing w:after="600" w:before="80"/>
        <w:jc w:val="center"/>
      </w:pPr>
      <w:r>
        <w:rPr>
          <w:rFonts w:ascii="Arial" w:cs="Arial" w:eastAsia="Arial" w:hAnsi="Arial"/>
          <w:i/>
          <w:iCs/>
          <w:sz w:val="30"/>
          <w:szCs w:val="30"/>
        </w:rPr>
        <w:t xml:space="preserve">Distinction, Memory, and the Conditions of Knowable Domains</w:t>
      </w:r>
    </w:p>
    <w:p>
      <w:pPr>
        <w:spacing w:after="80" w:before="200"/>
        <w:jc w:val="center"/>
      </w:pPr>
      <w:r>
        <w:rPr>
          <w:rFonts w:ascii="Arial" w:cs="Arial" w:eastAsia="Arial" w:hAnsi="Arial"/>
          <w:sz w:val="26"/>
          <w:szCs w:val="26"/>
        </w:rPr>
        <w:t xml:space="preserve">Thomas P. Connelly Jr.</w:t>
      </w:r>
    </w:p>
    <w:p>
      <w:pPr>
        <w:spacing w:after="80" w:before="40"/>
        <w:jc w:val="center"/>
      </w:pPr>
      <w:r>
        <w:rPr>
          <w:rFonts w:ascii="Arial" w:cs="Arial" w:eastAsia="Arial" w:hAnsi="Arial"/>
          <w:sz w:val="20"/>
          <w:szCs w:val="20"/>
        </w:rPr>
        <w:t xml:space="preserve">ORCID: 0009-0006-8267-1378</w:t>
      </w:r>
    </w:p>
    <w:p>
      <w:pPr>
        <w:spacing w:after="80" w:before="40"/>
        <w:jc w:val="center"/>
      </w:pPr>
      <w:r>
        <w:rPr>
          <w:rFonts w:ascii="Arial" w:cs="Arial" w:eastAsia="Arial" w:hAnsi="Arial"/>
          <w:i/>
          <w:iCs/>
          <w:sz w:val="22"/>
          <w:szCs w:val="22"/>
        </w:rPr>
        <w:t xml:space="preserve">GCAS College Dublin</w:t>
      </w:r>
    </w:p>
    <w:p>
      <w:pPr>
        <w:spacing w:after="80" w:before="600"/>
        <w:jc w:val="center"/>
      </w:pPr>
      <w:r>
        <w:rPr>
          <w:rFonts w:ascii="Arial" w:cs="Arial" w:eastAsia="Arial" w:hAnsi="Arial"/>
          <w:sz w:val="20"/>
          <w:szCs w:val="20"/>
        </w:rPr>
        <w:t xml:space="preserve">Draft, May 2026</w:t>
      </w:r>
    </w:p>
    <w:p>
      <w:pPr>
        <w:spacing w:after="80" w:before="1200"/>
        <w:jc w:val="center"/>
      </w:pPr>
      <w:r>
        <w:rPr>
          <w:rFonts w:ascii="Arial" w:cs="Arial" w:eastAsia="Arial" w:hAnsi="Arial"/>
          <w:i/>
          <w:iCs/>
          <w:sz w:val="20"/>
          <w:szCs w:val="20"/>
        </w:rPr>
        <w:t xml:space="preserve">Foundations paper of the EIM corpus.</w:t>
      </w:r>
    </w:p>
    <w:p>
      <w:pPr>
        <w:jc w:val="center"/>
      </w:pPr>
      <w:r>
        <w:rPr>
          <w:rFonts w:ascii="Arial" w:cs="Arial" w:eastAsia="Arial" w:hAnsi="Arial"/>
          <w:i/>
          <w:iCs/>
          <w:sz w:val="20"/>
          <w:szCs w:val="20"/>
        </w:rPr>
        <w:t xml:space="preserve">Companion to the Projection Calculus and the Framework Document.</w:t>
      </w:r>
    </w:p>
    <w:p>
      <w:r>
        <w:br w:type="page"/>
      </w:r>
    </w:p>
    <w:p>
      <w:pPr>
        <w:pStyle w:val="Heading1"/>
        <w:spacing w:after="140" w:before="280"/>
      </w:pPr>
      <w:r>
        <w:rPr>
          <w:rFonts w:ascii="Arial" w:cs="Arial" w:eastAsia="Arial" w:hAnsi="Arial"/>
          <w:b/>
          <w:bCs/>
          <w:sz w:val="28"/>
          <w:szCs w:val="28"/>
        </w:rPr>
        <w:t xml:space="preserve">Abstract</w:t>
      </w:r>
    </w:p>
    <w:p>
      <w:pPr>
        <w:spacing w:after="80" w:before="80" w:line="312"/>
        <w:jc w:val="both"/>
      </w:pPr>
      <w:r>
        <w:rPr>
          <w:rFonts w:ascii="Arial" w:cs="Arial" w:eastAsia="Arial" w:hAnsi="Arial"/>
          <w:sz w:val="22"/>
          <w:szCs w:val="22"/>
        </w:rPr>
        <w:t xml:space="preserve">The Execution</w:t>
      </w:r>
      <w:r>
        <w:rPr>
          <w:rFonts w:ascii="Arial" w:cs="Arial" w:eastAsia="Arial" w:hAnsi="Arial"/>
          <w:sz w:val="22"/>
          <w:szCs w:val="22"/>
        </w:rPr>
        <w:t xml:space="preserve">–</w:t>
      </w:r>
      <w:r>
        <w:rPr>
          <w:rFonts w:ascii="Arial" w:cs="Arial" w:eastAsia="Arial" w:hAnsi="Arial"/>
          <w:sz w:val="22"/>
          <w:szCs w:val="22"/>
        </w:rPr>
        <w:t xml:space="preserve">Interaction</w:t>
      </w:r>
      <w:r>
        <w:rPr>
          <w:rFonts w:ascii="Arial" w:cs="Arial" w:eastAsia="Arial" w:hAnsi="Arial"/>
          <w:sz w:val="22"/>
          <w:szCs w:val="22"/>
        </w:rPr>
        <w:t xml:space="preserve">–</w:t>
      </w:r>
      <w:r>
        <w:rPr>
          <w:rFonts w:ascii="Arial" w:cs="Arial" w:eastAsia="Arial" w:hAnsi="Arial"/>
          <w:sz w:val="22"/>
          <w:szCs w:val="22"/>
        </w:rPr>
        <w:t xml:space="preserve">Memory (EIM) framework is often introduced as a candidate physical model. This paper proposes a different starting point. We argue that EIM is, in its primary register, a </w:t>
      </w:r>
      <w:r>
        <w:rPr>
          <w:rFonts w:ascii="Arial" w:cs="Arial" w:eastAsia="Arial" w:hAnsi="Arial"/>
          <w:i/>
          <w:iCs/>
          <w:sz w:val="22"/>
          <w:szCs w:val="22"/>
        </w:rPr>
        <w:t xml:space="preserve">theory of domain formation</w:t>
      </w:r>
      <w:r>
        <w:rPr>
          <w:rFonts w:ascii="Arial" w:cs="Arial" w:eastAsia="Arial" w:hAnsi="Arial"/>
          <w:sz w:val="22"/>
          <w:szCs w:val="22"/>
        </w:rPr>
        <w:t xml:space="preserve">: an account of what must be in place before any mathematical theory can declare a working domain, and consequently before physics, measurement, proof, or scientific objectivity can function. Every formal theory begins with a phrase of the form </w:t>
      </w:r>
      <w:r>
        <w:rPr>
          <w:rFonts w:ascii="Arial" w:cs="Arial" w:eastAsia="Arial" w:hAnsi="Arial"/>
          <w:sz w:val="22"/>
          <w:szCs w:val="22"/>
        </w:rPr>
        <w:t xml:space="preserve">“let there be a domain”</w:t>
      </w:r>
      <w:r>
        <w:rPr>
          <w:rFonts w:ascii="Arial" w:cs="Arial" w:eastAsia="Arial" w:hAnsi="Arial"/>
          <w:sz w:val="22"/>
          <w:szCs w:val="22"/>
        </w:rPr>
        <w:t xml:space="preserve"> — a set, a manifold, a vector space, a probability space. EIM asks what that </w:t>
      </w:r>
      <w:r>
        <w:rPr>
          <w:rFonts w:ascii="Arial" w:cs="Arial" w:eastAsia="Arial" w:hAnsi="Arial"/>
          <w:sz w:val="22"/>
          <w:szCs w:val="22"/>
        </w:rPr>
        <w:t xml:space="preserve">“let there be”</w:t>
      </w:r>
      <w:r>
        <w:rPr>
          <w:rFonts w:ascii="Arial" w:cs="Arial" w:eastAsia="Arial" w:hAnsi="Arial"/>
          <w:sz w:val="22"/>
          <w:szCs w:val="22"/>
        </w:rPr>
        <w:t xml:space="preserve"> already presupposes: distinguishability of elements, admissible operations, persistence of distinctions across operations, rules of sameness and difference, and a boundary between admissible and inadmissible. We argue that these requirements correspond, minimally, to </w:t>
      </w:r>
      <w:r>
        <w:rPr>
          <w:rFonts w:ascii="Arial" w:cs="Arial" w:eastAsia="Arial" w:hAnsi="Arial"/>
          <w:i/>
          <w:iCs/>
          <w:sz w:val="22"/>
          <w:szCs w:val="22"/>
        </w:rPr>
        <w:t xml:space="preserve">Execution</w:t>
      </w:r>
      <w:r>
        <w:rPr>
          <w:rFonts w:ascii="Arial" w:cs="Arial" w:eastAsia="Arial" w:hAnsi="Arial"/>
          <w:sz w:val="22"/>
          <w:szCs w:val="22"/>
        </w:rPr>
        <w:t xml:space="preserve"> (the act of making a distinction), </w:t>
      </w:r>
      <w:r>
        <w:rPr>
          <w:rFonts w:ascii="Arial" w:cs="Arial" w:eastAsia="Arial" w:hAnsi="Arial"/>
          <w:i/>
          <w:iCs/>
          <w:sz w:val="22"/>
          <w:szCs w:val="22"/>
        </w:rPr>
        <w:t xml:space="preserve">Interaction</w:t>
      </w:r>
      <w:r>
        <w:rPr>
          <w:rFonts w:ascii="Arial" w:cs="Arial" w:eastAsia="Arial" w:hAnsi="Arial"/>
          <w:sz w:val="22"/>
          <w:szCs w:val="22"/>
        </w:rPr>
        <w:t xml:space="preserve"> (the relation between distinctions), and </w:t>
      </w:r>
      <w:r>
        <w:rPr>
          <w:rFonts w:ascii="Arial" w:cs="Arial" w:eastAsia="Arial" w:hAnsi="Arial"/>
          <w:i/>
          <w:iCs/>
          <w:sz w:val="22"/>
          <w:szCs w:val="22"/>
        </w:rPr>
        <w:t xml:space="preserve">Memory</w:t>
      </w:r>
      <w:r>
        <w:rPr>
          <w:rFonts w:ascii="Arial" w:cs="Arial" w:eastAsia="Arial" w:hAnsi="Arial"/>
          <w:sz w:val="22"/>
          <w:szCs w:val="22"/>
        </w:rPr>
        <w:t xml:space="preserve"> (the retention of distinctions across operations). On this reading, science is </w:t>
      </w:r>
      <w:r>
        <w:rPr>
          <w:rFonts w:ascii="Arial" w:cs="Arial" w:eastAsia="Arial" w:hAnsi="Arial"/>
          <w:i/>
          <w:iCs/>
          <w:sz w:val="22"/>
          <w:szCs w:val="22"/>
        </w:rPr>
        <w:t xml:space="preserve">distributed localization</w:t>
      </w:r>
      <w:r>
        <w:rPr>
          <w:rFonts w:ascii="Arial" w:cs="Arial" w:eastAsia="Arial" w:hAnsi="Arial"/>
          <w:sz w:val="22"/>
          <w:szCs w:val="22"/>
        </w:rPr>
        <w:t xml:space="preserve">: local observers with finite horizons coordinate measurements toward an isotropic global description; objectivity is the zero-perspective limit of corrected local perspectives; and a measurement is itself an EIM event. Physical claims do not follow from this epistemic core alone: they require an additional </w:t>
      </w:r>
      <w:r>
        <w:rPr>
          <w:rFonts w:ascii="Arial" w:cs="Arial" w:eastAsia="Arial" w:hAnsi="Arial"/>
          <w:i/>
          <w:iCs/>
          <w:sz w:val="22"/>
          <w:szCs w:val="22"/>
        </w:rPr>
        <w:t xml:space="preserve">Projection Calculus</w:t>
      </w:r>
      <w:r>
        <w:rPr>
          <w:rFonts w:ascii="Arial" w:cs="Arial" w:eastAsia="Arial" w:hAnsi="Arial"/>
          <w:sz w:val="22"/>
          <w:szCs w:val="22"/>
        </w:rPr>
        <w:t xml:space="preserve"> discipline that fixes regime, invariant, observable, and failure condition for each translation. We do not claim that EIM cannot be denied; we claim that the need for an EIM-like structure is difficult to avoid once one asks what makes a domain knowable, and that EIM is one minimal formalization of that structure.</w:t>
      </w:r>
    </w:p>
    <w:p>
      <w:r>
        <w:t xml:space="preserve"/>
      </w:r>
    </w:p>
    <w:p>
      <w:pPr>
        <w:spacing w:after="80" w:before="80" w:line="312"/>
        <w:jc w:val="both"/>
      </w:pPr>
      <w:r>
        <w:rPr>
          <w:rFonts w:ascii="Arial" w:cs="Arial" w:eastAsia="Arial" w:hAnsi="Arial"/>
          <w:b/>
          <w:bCs/>
          <w:sz w:val="22"/>
          <w:szCs w:val="22"/>
        </w:rPr>
        <w:t xml:space="preserve">Keywords: </w:t>
      </w:r>
      <w:r>
        <w:rPr>
          <w:rFonts w:ascii="Arial" w:cs="Arial" w:eastAsia="Arial" w:hAnsi="Arial"/>
          <w:sz w:val="22"/>
          <w:szCs w:val="22"/>
        </w:rPr>
        <w:t xml:space="preserve">foundations of physics; foundations of mathematics; domain formation; epistemology of measurement; memory; distinction; objectivity; localization; projection calculus; coordination.</w:t>
      </w:r>
    </w:p>
    <w:p>
      <w:r>
        <w:br w:type="page"/>
      </w:r>
    </w:p>
    <w:p>
      <w:pPr>
        <w:pStyle w:val="Heading1"/>
        <w:spacing w:after="140" w:before="280"/>
      </w:pPr>
      <w:r>
        <w:rPr>
          <w:rFonts w:ascii="Arial" w:cs="Arial" w:eastAsia="Arial" w:hAnsi="Arial"/>
          <w:b/>
          <w:bCs/>
          <w:sz w:val="28"/>
          <w:szCs w:val="28"/>
        </w:rPr>
        <w:t xml:space="preserve">1. Introduction: The Domain-First Turn</w:t>
      </w:r>
    </w:p>
    <w:p>
      <w:pPr>
        <w:spacing w:after="80" w:before="80" w:line="312"/>
        <w:jc w:val="both"/>
      </w:pPr>
      <w:r>
        <w:rPr>
          <w:rFonts w:ascii="Arial" w:cs="Arial" w:eastAsia="Arial" w:hAnsi="Arial"/>
          <w:sz w:val="22"/>
          <w:szCs w:val="22"/>
        </w:rPr>
        <w:t xml:space="preserve">A familiar story about the foundations of mathematics says: first we choose axioms, then we generate consequences. A familiar story about the foundations of physics says: first we choose a state space and a dynamical law, then we generate predictions. Both stories begin with an unstated act. Before the axioms, before the state space, someone has already declared a </w:t>
      </w:r>
      <w:r>
        <w:rPr>
          <w:rFonts w:ascii="Arial" w:cs="Arial" w:eastAsia="Arial" w:hAnsi="Arial"/>
          <w:i/>
          <w:iCs/>
          <w:sz w:val="22"/>
          <w:szCs w:val="22"/>
        </w:rPr>
        <w:t xml:space="preserve">domain</w:t>
      </w:r>
      <w:r>
        <w:rPr>
          <w:rFonts w:ascii="Arial" w:cs="Arial" w:eastAsia="Arial" w:hAnsi="Arial"/>
          <w:sz w:val="22"/>
          <w:szCs w:val="22"/>
        </w:rPr>
        <w:t xml:space="preserve"> — a set, a manifold, a Hilbert space, a probability space — and within that declaration, an entire class of preconditions has already been assumed. Elements must be distinguishable. Operations must be admissible. The result of an operation must remain comparable to its inputs. There must be a boundary between what counts as a member and what does not.</w:t>
      </w:r>
    </w:p>
    <w:p>
      <w:pPr>
        <w:spacing w:after="80" w:before="80" w:line="312"/>
        <w:jc w:val="both"/>
      </w:pPr>
      <w:r>
        <w:rPr>
          <w:rFonts w:ascii="Arial" w:cs="Arial" w:eastAsia="Arial" w:hAnsi="Arial"/>
          <w:sz w:val="22"/>
          <w:szCs w:val="22"/>
        </w:rPr>
        <w:t xml:space="preserve">Most foundational programs do not foreground these preconditions because they treat the domain as given. Set theory, category theory, structuralism, and homotopy type theory all give powerful accounts of what one can do </w:t>
      </w:r>
      <w:r>
        <w:rPr>
          <w:rFonts w:ascii="Arial" w:cs="Arial" w:eastAsia="Arial" w:hAnsi="Arial"/>
          <w:i/>
          <w:iCs/>
          <w:sz w:val="22"/>
          <w:szCs w:val="22"/>
        </w:rPr>
        <w:t xml:space="preserve">with</w:t>
      </w:r>
      <w:r>
        <w:rPr>
          <w:rFonts w:ascii="Arial" w:cs="Arial" w:eastAsia="Arial" w:hAnsi="Arial"/>
          <w:sz w:val="22"/>
          <w:szCs w:val="22"/>
        </w:rPr>
        <w:t xml:space="preserve"> a domain; they say comparatively little about what </w:t>
      </w:r>
      <w:r>
        <w:rPr>
          <w:rFonts w:ascii="Arial" w:cs="Arial" w:eastAsia="Arial" w:hAnsi="Arial"/>
          <w:i/>
          <w:iCs/>
          <w:sz w:val="22"/>
          <w:szCs w:val="22"/>
        </w:rPr>
        <w:t xml:space="preserve">being a knowable domain</w:t>
      </w:r>
      <w:r>
        <w:rPr>
          <w:rFonts w:ascii="Arial" w:cs="Arial" w:eastAsia="Arial" w:hAnsi="Arial"/>
          <w:sz w:val="22"/>
          <w:szCs w:val="22"/>
        </w:rPr>
        <w:t xml:space="preserve"> requires. The Execution–Interaction–Memory (EIM) framework is, in its most basic register, an attempt to answer that prior question. Mathematics begins with </w:t>
      </w:r>
      <w:r>
        <w:rPr>
          <w:rFonts w:ascii="Arial" w:cs="Arial" w:eastAsia="Arial" w:hAnsi="Arial"/>
          <w:sz w:val="22"/>
          <w:szCs w:val="22"/>
        </w:rPr>
        <w:t xml:space="preserve">“let there be a domain”</w:t>
      </w:r>
      <w:r>
        <w:rPr>
          <w:rFonts w:ascii="Arial" w:cs="Arial" w:eastAsia="Arial" w:hAnsi="Arial"/>
          <w:sz w:val="22"/>
          <w:szCs w:val="22"/>
        </w:rPr>
        <w:t xml:space="preserve">; EIM asks what </w:t>
      </w:r>
      <w:r>
        <w:rPr>
          <w:rFonts w:ascii="Arial" w:cs="Arial" w:eastAsia="Arial" w:hAnsi="Arial"/>
          <w:sz w:val="22"/>
          <w:szCs w:val="22"/>
        </w:rPr>
        <w:t xml:space="preserve">“let there be”</w:t>
      </w:r>
      <w:r>
        <w:rPr>
          <w:rFonts w:ascii="Arial" w:cs="Arial" w:eastAsia="Arial" w:hAnsi="Arial"/>
          <w:sz w:val="22"/>
          <w:szCs w:val="22"/>
        </w:rPr>
        <w:t xml:space="preserve"> already requires.</w:t>
      </w:r>
    </w:p>
    <w:p>
      <w:pPr>
        <w:spacing w:after="80" w:before="80" w:line="312"/>
        <w:jc w:val="both"/>
      </w:pPr>
      <w:r>
        <w:rPr>
          <w:rFonts w:ascii="Arial" w:cs="Arial" w:eastAsia="Arial" w:hAnsi="Arial"/>
          <w:sz w:val="22"/>
          <w:szCs w:val="22"/>
        </w:rPr>
        <w:t xml:space="preserve">The proposal of this paper is that EIM is best read first as a </w:t>
      </w:r>
      <w:r>
        <w:rPr>
          <w:rFonts w:ascii="Arial" w:cs="Arial" w:eastAsia="Arial" w:hAnsi="Arial"/>
          <w:i/>
          <w:iCs/>
          <w:sz w:val="22"/>
          <w:szCs w:val="22"/>
        </w:rPr>
        <w:t xml:space="preserve">domain-first epistemology</w:t>
      </w:r>
      <w:r>
        <w:rPr>
          <w:rFonts w:ascii="Arial" w:cs="Arial" w:eastAsia="Arial" w:hAnsi="Arial"/>
          <w:sz w:val="22"/>
          <w:szCs w:val="22"/>
        </w:rPr>
        <w:t xml:space="preserve"> — an account of the minimal structural conditions under which a working domain becomes available — and only second as a candidate physical theory. Physical claims are downstream projections of domain availability. They require not only the EIM core but a separate </w:t>
      </w:r>
      <w:r>
        <w:rPr>
          <w:rFonts w:ascii="Arial" w:cs="Arial" w:eastAsia="Arial" w:hAnsi="Arial"/>
          <w:i/>
          <w:iCs/>
          <w:sz w:val="22"/>
          <w:szCs w:val="22"/>
        </w:rPr>
        <w:t xml:space="preserve">Projection Calculus</w:t>
      </w:r>
      <w:r>
        <w:rPr>
          <w:rFonts w:ascii="Arial" w:cs="Arial" w:eastAsia="Arial" w:hAnsi="Arial"/>
          <w:sz w:val="22"/>
          <w:szCs w:val="22"/>
        </w:rPr>
        <w:t xml:space="preserve"> discipline that fixes how each physical translation is performed.</w:t>
      </w:r>
    </w:p>
    <w:p>
      <w:pPr>
        <w:spacing w:after="80" w:before="80" w:line="312"/>
        <w:jc w:val="both"/>
      </w:pPr>
      <w:r>
        <w:rPr>
          <w:rFonts w:ascii="Arial" w:cs="Arial" w:eastAsia="Arial" w:hAnsi="Arial"/>
          <w:sz w:val="22"/>
          <w:szCs w:val="22"/>
        </w:rPr>
        <w:t xml:space="preserve">This paper is the conceptual front door of the EIM program. It does not derive new physical predictions, nor does it claim to settle long-standing questions in the philosophy of mathematics. It clarifies what EIM is asking, why it is asking it, and what one is committed to once one accepts the question as well-posed.</w:t>
      </w:r>
    </w:p>
    <w:p>
      <w:pPr>
        <w:pStyle w:val="Heading1"/>
        <w:spacing w:after="140" w:before="280"/>
      </w:pPr>
      <w:r>
        <w:rPr>
          <w:rFonts w:ascii="Arial" w:cs="Arial" w:eastAsia="Arial" w:hAnsi="Arial"/>
          <w:b/>
          <w:bCs/>
          <w:sz w:val="28"/>
          <w:szCs w:val="28"/>
        </w:rPr>
        <w:t xml:space="preserve">2. What “Let There Be a Domain” Already Requires</w:t>
      </w:r>
    </w:p>
    <w:p>
      <w:pPr>
        <w:spacing w:after="80" w:before="80" w:line="312"/>
        <w:jc w:val="both"/>
      </w:pPr>
      <w:r>
        <w:rPr>
          <w:rFonts w:ascii="Arial" w:cs="Arial" w:eastAsia="Arial" w:hAnsi="Arial"/>
          <w:sz w:val="22"/>
          <w:szCs w:val="22"/>
        </w:rPr>
        <w:t xml:space="preserve">Consider what is presupposed when a textbook writes: </w:t>
      </w:r>
      <w:r>
        <w:rPr>
          <w:rFonts w:ascii="Arial" w:cs="Arial" w:eastAsia="Arial" w:hAnsi="Arial"/>
          <w:i/>
          <w:iCs/>
          <w:sz w:val="22"/>
          <w:szCs w:val="22"/>
        </w:rPr>
        <w:t xml:space="preserve">“Let G be a group.”</w:t>
      </w:r>
      <w:r>
        <w:rPr>
          <w:rFonts w:ascii="Arial" w:cs="Arial" w:eastAsia="Arial" w:hAnsi="Arial"/>
          <w:sz w:val="22"/>
          <w:szCs w:val="22"/>
        </w:rPr>
        <w:t xml:space="preserve"> We are asked to imagine a set with a binary operation satisfying associativity, identity, and inverses. The presuppositions include:</w:t>
      </w:r>
    </w:p>
    <w:p>
      <w:pPr>
        <w:spacing w:after="80" w:before="80" w:line="312"/>
        <w:jc w:val="both"/>
      </w:pPr>
      <w:r>
        <w:rPr>
          <w:rFonts w:ascii="Arial" w:cs="Arial" w:eastAsia="Arial" w:hAnsi="Arial"/>
          <w:sz w:val="22"/>
          <w:szCs w:val="22"/>
        </w:rPr>
        <w:t xml:space="preserve">(a) </w:t>
      </w:r>
      <w:r>
        <w:rPr>
          <w:rFonts w:ascii="Arial" w:cs="Arial" w:eastAsia="Arial" w:hAnsi="Arial"/>
          <w:i/>
          <w:iCs/>
          <w:sz w:val="22"/>
          <w:szCs w:val="22"/>
        </w:rPr>
        <w:t xml:space="preserve">Distinguishability</w:t>
      </w:r>
      <w:r>
        <w:rPr>
          <w:rFonts w:ascii="Arial" w:cs="Arial" w:eastAsia="Arial" w:hAnsi="Arial"/>
          <w:sz w:val="22"/>
          <w:szCs w:val="22"/>
        </w:rPr>
        <w:t xml:space="preserve">: there are elements g, h, k that can be told apart; otherwise the operation g·h has no determinate result.</w:t>
      </w:r>
    </w:p>
    <w:p>
      <w:pPr>
        <w:spacing w:after="80" w:before="80" w:line="312"/>
        <w:jc w:val="both"/>
      </w:pPr>
      <w:r>
        <w:rPr>
          <w:rFonts w:ascii="Arial" w:cs="Arial" w:eastAsia="Arial" w:hAnsi="Arial"/>
          <w:sz w:val="22"/>
          <w:szCs w:val="22"/>
        </w:rPr>
        <w:t xml:space="preserve">(b) </w:t>
      </w:r>
      <w:r>
        <w:rPr>
          <w:rFonts w:ascii="Arial" w:cs="Arial" w:eastAsia="Arial" w:hAnsi="Arial"/>
          <w:i/>
          <w:iCs/>
          <w:sz w:val="22"/>
          <w:szCs w:val="22"/>
        </w:rPr>
        <w:t xml:space="preserve">Admissible operations</w:t>
      </w:r>
      <w:r>
        <w:rPr>
          <w:rFonts w:ascii="Arial" w:cs="Arial" w:eastAsia="Arial" w:hAnsi="Arial"/>
          <w:sz w:val="22"/>
          <w:szCs w:val="22"/>
        </w:rPr>
        <w:t xml:space="preserve">: the binary operation is well-defined on every ordered pair; otherwise the closure axiom fails.</w:t>
      </w:r>
    </w:p>
    <w:p>
      <w:pPr>
        <w:spacing w:after="80" w:before="80" w:line="312"/>
        <w:jc w:val="both"/>
      </w:pPr>
      <w:r>
        <w:rPr>
          <w:rFonts w:ascii="Arial" w:cs="Arial" w:eastAsia="Arial" w:hAnsi="Arial"/>
          <w:sz w:val="22"/>
          <w:szCs w:val="22"/>
        </w:rPr>
        <w:t xml:space="preserve">(c) </w:t>
      </w:r>
      <w:r>
        <w:rPr>
          <w:rFonts w:ascii="Arial" w:cs="Arial" w:eastAsia="Arial" w:hAnsi="Arial"/>
          <w:i/>
          <w:iCs/>
          <w:sz w:val="22"/>
          <w:szCs w:val="22"/>
        </w:rPr>
        <w:t xml:space="preserve">Persistence</w:t>
      </w:r>
      <w:r>
        <w:rPr>
          <w:rFonts w:ascii="Arial" w:cs="Arial" w:eastAsia="Arial" w:hAnsi="Arial"/>
          <w:sz w:val="22"/>
          <w:szCs w:val="22"/>
        </w:rPr>
        <w:t xml:space="preserve">: when we write (g·h)·k, the result of g·h must remain available to be combined with k; otherwise associativity is not a stateable property.</w:t>
      </w:r>
    </w:p>
    <w:p>
      <w:pPr>
        <w:spacing w:after="80" w:before="80" w:line="312"/>
        <w:jc w:val="both"/>
      </w:pPr>
      <w:r>
        <w:rPr>
          <w:rFonts w:ascii="Arial" w:cs="Arial" w:eastAsia="Arial" w:hAnsi="Arial"/>
          <w:sz w:val="22"/>
          <w:szCs w:val="22"/>
        </w:rPr>
        <w:t xml:space="preserve">(d) </w:t>
      </w:r>
      <w:r>
        <w:rPr>
          <w:rFonts w:ascii="Arial" w:cs="Arial" w:eastAsia="Arial" w:hAnsi="Arial"/>
          <w:i/>
          <w:iCs/>
          <w:sz w:val="22"/>
          <w:szCs w:val="22"/>
        </w:rPr>
        <w:t xml:space="preserve">Sameness rule</w:t>
      </w:r>
      <w:r>
        <w:rPr>
          <w:rFonts w:ascii="Arial" w:cs="Arial" w:eastAsia="Arial" w:hAnsi="Arial"/>
          <w:sz w:val="22"/>
          <w:szCs w:val="22"/>
        </w:rPr>
        <w:t xml:space="preserve">: there is a criterion under which g = g, distinguishing identity from coincidence; otherwise the identity axiom is empty.</w:t>
      </w:r>
    </w:p>
    <w:p>
      <w:pPr>
        <w:spacing w:after="80" w:before="80" w:line="312"/>
        <w:jc w:val="both"/>
      </w:pPr>
      <w:r>
        <w:rPr>
          <w:rFonts w:ascii="Arial" w:cs="Arial" w:eastAsia="Arial" w:hAnsi="Arial"/>
          <w:sz w:val="22"/>
          <w:szCs w:val="22"/>
        </w:rPr>
        <w:t xml:space="preserve">(e) </w:t>
      </w:r>
      <w:r>
        <w:rPr>
          <w:rFonts w:ascii="Arial" w:cs="Arial" w:eastAsia="Arial" w:hAnsi="Arial"/>
          <w:i/>
          <w:iCs/>
          <w:sz w:val="22"/>
          <w:szCs w:val="22"/>
        </w:rPr>
        <w:t xml:space="preserve">Boundary</w:t>
      </w:r>
      <w:r>
        <w:rPr>
          <w:rFonts w:ascii="Arial" w:cs="Arial" w:eastAsia="Arial" w:hAnsi="Arial"/>
          <w:sz w:val="22"/>
          <w:szCs w:val="22"/>
        </w:rPr>
        <w:t xml:space="preserve">: there is a clear sense of which objects belong to G and which do not; otherwise quantifiers like </w:t>
      </w:r>
      <w:r>
        <w:rPr>
          <w:rFonts w:ascii="Arial" w:cs="Arial" w:eastAsia="Arial" w:hAnsi="Arial"/>
          <w:sz w:val="22"/>
          <w:szCs w:val="22"/>
        </w:rPr>
        <w:t xml:space="preserve">“for all g ∈ G”</w:t>
      </w:r>
      <w:r>
        <w:rPr>
          <w:rFonts w:ascii="Arial" w:cs="Arial" w:eastAsia="Arial" w:hAnsi="Arial"/>
          <w:sz w:val="22"/>
          <w:szCs w:val="22"/>
        </w:rPr>
        <w:t xml:space="preserve"> are not interpretable.</w:t>
      </w:r>
    </w:p>
    <w:p>
      <w:pPr>
        <w:spacing w:after="80" w:before="80" w:line="312"/>
        <w:jc w:val="both"/>
      </w:pPr>
      <w:r>
        <w:rPr>
          <w:rFonts w:ascii="Arial" w:cs="Arial" w:eastAsia="Arial" w:hAnsi="Arial"/>
          <w:sz w:val="22"/>
          <w:szCs w:val="22"/>
        </w:rPr>
        <w:t xml:space="preserve">These five presuppositions are not group-specific. The same list, with the same structure, returns when one writes </w:t>
      </w:r>
      <w:r>
        <w:rPr>
          <w:rFonts w:ascii="Arial" w:cs="Arial" w:eastAsia="Arial" w:hAnsi="Arial"/>
          <w:i/>
          <w:iCs/>
          <w:sz w:val="22"/>
          <w:szCs w:val="22"/>
        </w:rPr>
        <w:t xml:space="preserve">“let X be a topological space,”</w:t>
      </w:r>
      <w:r>
        <w:rPr>
          <w:rFonts w:ascii="Arial" w:cs="Arial" w:eastAsia="Arial" w:hAnsi="Arial"/>
          <w:sz w:val="22"/>
          <w:szCs w:val="22"/>
        </w:rPr>
        <w:t xml:space="preserve"> </w:t>
      </w:r>
      <w:r>
        <w:rPr>
          <w:rFonts w:ascii="Arial" w:cs="Arial" w:eastAsia="Arial" w:hAnsi="Arial"/>
          <w:i/>
          <w:iCs/>
          <w:sz w:val="22"/>
          <w:szCs w:val="22"/>
        </w:rPr>
        <w:t xml:space="preserve">“let H be a Hilbert space,”</w:t>
      </w:r>
      <w:r>
        <w:rPr>
          <w:rFonts w:ascii="Arial" w:cs="Arial" w:eastAsia="Arial" w:hAnsi="Arial"/>
          <w:sz w:val="22"/>
          <w:szCs w:val="22"/>
        </w:rPr>
        <w:t xml:space="preserve"> or </w:t>
      </w:r>
      <w:r>
        <w:rPr>
          <w:rFonts w:ascii="Arial" w:cs="Arial" w:eastAsia="Arial" w:hAnsi="Arial"/>
          <w:i/>
          <w:iCs/>
          <w:sz w:val="22"/>
          <w:szCs w:val="22"/>
        </w:rPr>
        <w:t xml:space="preserve">“let (Ω, ℱ, P) be a probability space.”</w:t>
      </w:r>
      <w:r>
        <w:rPr>
          <w:rFonts w:ascii="Arial" w:cs="Arial" w:eastAsia="Arial" w:hAnsi="Arial"/>
          <w:sz w:val="22"/>
          <w:szCs w:val="22"/>
        </w:rPr>
        <w:t xml:space="preserve"> A domain declaration is not a primitive. It is a compound act that combines distinction, admissible coupling, retained record, sameness-comparison, and inadmissibility-rejection. We name these collectively </w:t>
      </w:r>
      <w:r>
        <w:rPr>
          <w:rFonts w:ascii="Arial" w:cs="Arial" w:eastAsia="Arial" w:hAnsi="Arial"/>
          <w:i/>
          <w:iCs/>
          <w:sz w:val="22"/>
          <w:szCs w:val="22"/>
        </w:rPr>
        <w:t xml:space="preserve">the conditions of knowable domains</w:t>
      </w:r>
      <w:r>
        <w:rPr>
          <w:rFonts w:ascii="Arial" w:cs="Arial" w:eastAsia="Arial" w:hAnsi="Arial"/>
          <w:sz w:val="22"/>
          <w:szCs w:val="22"/>
        </w:rPr>
        <w:t xml:space="preserve">.</w:t>
      </w:r>
    </w:p>
    <w:p>
      <w:pPr>
        <w:spacing w:after="80" w:before="160"/>
        <w:jc w:val="center"/>
      </w:pPr>
      <w:r>
        <w:rPr>
          <w:rFonts w:ascii="Arial" w:cs="Arial" w:eastAsia="Arial" w:hAnsi="Arial"/>
          <w:b/>
          <w:bCs/>
          <w:sz w:val="20"/>
          <w:szCs w:val="20"/>
        </w:rPr>
        <w:t xml:space="preserve">Table 1. </w:t>
      </w:r>
      <w:r>
        <w:rPr>
          <w:rFonts w:ascii="Arial" w:cs="Arial" w:eastAsia="Arial" w:hAnsi="Arial"/>
          <w:i/>
          <w:iCs/>
          <w:sz w:val="20"/>
          <w:szCs w:val="20"/>
        </w:rPr>
        <w:t xml:space="preserve">The five conditions of knowable domains.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rPr>
          <w:tblHeader/>
        </w:trPr>
        <w:tc>
          <w:tcPr>
            <w:tcW w:type="dxa" w:w="2200"/>
            <w:tcBorders>
              <w:top w:val="single" w:color="888888" w:sz="6"/>
              <w:left w:val="single" w:color="888888" w:sz="6"/>
              <w:bottom w:val="single" w:color="888888" w:sz="6"/>
              <w:right w:val="single" w:color="888888" w:sz="6"/>
            </w:tcBorders>
            <w:shd w:fill="D9E2F3" w:val="clear"/>
            <w:tcMar>
              <w:top w:type="dxa" w:w="100"/>
              <w:left w:type="dxa" w:w="140"/>
              <w:bottom w:type="dxa" w:w="100"/>
              <w:right w:type="dxa" w:w="140"/>
            </w:tcMar>
          </w:tcPr>
          <w:p>
            <w:r>
              <w:rPr>
                <w:rFonts w:ascii="Arial" w:cs="Arial" w:eastAsia="Arial" w:hAnsi="Arial"/>
                <w:b/>
                <w:bCs/>
                <w:sz w:val="20"/>
                <w:szCs w:val="20"/>
              </w:rPr>
              <w:t xml:space="preserve">Condition</w:t>
            </w:r>
          </w:p>
        </w:tc>
        <w:tc>
          <w:tcPr>
            <w:tcW w:type="dxa" w:w="7160"/>
            <w:tcBorders>
              <w:top w:val="single" w:color="888888" w:sz="6"/>
              <w:left w:val="single" w:color="888888" w:sz="6"/>
              <w:bottom w:val="single" w:color="888888" w:sz="6"/>
              <w:right w:val="single" w:color="888888" w:sz="6"/>
            </w:tcBorders>
            <w:shd w:fill="D9E2F3" w:val="clear"/>
            <w:tcMar>
              <w:top w:type="dxa" w:w="100"/>
              <w:left w:type="dxa" w:w="140"/>
              <w:bottom w:type="dxa" w:w="100"/>
              <w:right w:type="dxa" w:w="140"/>
            </w:tcMar>
          </w:tcPr>
          <w:p>
            <w:r>
              <w:rPr>
                <w:rFonts w:ascii="Arial" w:cs="Arial" w:eastAsia="Arial" w:hAnsi="Arial"/>
                <w:b/>
                <w:bCs/>
                <w:sz w:val="20"/>
                <w:szCs w:val="20"/>
              </w:rPr>
              <w:t xml:space="preserve">Minimal content</w:t>
            </w:r>
          </w:p>
        </w:tc>
      </w:tr>
      <w:tr>
        <w:tc>
          <w:tcPr>
            <w:tcW w:type="dxa" w:w="2200"/>
            <w:tcBorders>
              <w:top w:val="single" w:color="888888" w:sz="6"/>
              <w:left w:val="single" w:color="888888" w:sz="6"/>
              <w:bottom w:val="single" w:color="888888" w:sz="6"/>
              <w:right w:val="single" w:color="888888" w:sz="6"/>
            </w:tcBorders>
            <w:tcMar>
              <w:top w:type="dxa" w:w="100"/>
              <w:left w:type="dxa" w:w="140"/>
              <w:bottom w:type="dxa" w:w="100"/>
              <w:right w:type="dxa" w:w="140"/>
            </w:tcMar>
          </w:tcPr>
          <w:p>
            <w:pPr>
              <w:spacing w:after="40" w:before="40"/>
            </w:pPr>
            <w:r>
              <w:rPr>
                <w:rFonts w:ascii="Arial" w:cs="Arial" w:eastAsia="Arial" w:hAnsi="Arial"/>
                <w:sz w:val="20"/>
                <w:szCs w:val="20"/>
              </w:rPr>
              <w:t xml:space="preserve">(a) Distinguishability</w:t>
            </w:r>
          </w:p>
        </w:tc>
        <w:tc>
          <w:tcPr>
            <w:tcW w:type="dxa" w:w="7160"/>
            <w:tcBorders>
              <w:top w:val="single" w:color="888888" w:sz="6"/>
              <w:left w:val="single" w:color="888888" w:sz="6"/>
              <w:bottom w:val="single" w:color="888888" w:sz="6"/>
              <w:right w:val="single" w:color="888888" w:sz="6"/>
            </w:tcBorders>
            <w:tcMar>
              <w:top w:type="dxa" w:w="100"/>
              <w:left w:type="dxa" w:w="140"/>
              <w:bottom w:type="dxa" w:w="100"/>
              <w:right w:type="dxa" w:w="140"/>
            </w:tcMar>
          </w:tcPr>
          <w:p>
            <w:pPr>
              <w:spacing w:after="40" w:before="40"/>
            </w:pPr>
            <w:r>
              <w:rPr>
                <w:rFonts w:ascii="Arial" w:cs="Arial" w:eastAsia="Arial" w:hAnsi="Arial"/>
                <w:sz w:val="20"/>
                <w:szCs w:val="20"/>
              </w:rPr>
              <w:t xml:space="preserve">There exist tokens that can be told apart; without it, no operation has a determinate input.</w:t>
            </w:r>
          </w:p>
        </w:tc>
      </w:tr>
      <w:tr>
        <w:tc>
          <w:tcPr>
            <w:tcW w:type="dxa" w:w="2200"/>
            <w:tcBorders>
              <w:top w:val="single" w:color="888888" w:sz="6"/>
              <w:left w:val="single" w:color="888888" w:sz="6"/>
              <w:bottom w:val="single" w:color="888888" w:sz="6"/>
              <w:right w:val="single" w:color="888888" w:sz="6"/>
            </w:tcBorders>
            <w:shd w:fill="F2F2F2" w:val="clear"/>
            <w:tcMar>
              <w:top w:type="dxa" w:w="100"/>
              <w:left w:type="dxa" w:w="140"/>
              <w:bottom w:type="dxa" w:w="100"/>
              <w:right w:type="dxa" w:w="140"/>
            </w:tcMar>
          </w:tcPr>
          <w:p>
            <w:pPr>
              <w:spacing w:after="40" w:before="40"/>
            </w:pPr>
            <w:r>
              <w:rPr>
                <w:rFonts w:ascii="Arial" w:cs="Arial" w:eastAsia="Arial" w:hAnsi="Arial"/>
                <w:sz w:val="20"/>
                <w:szCs w:val="20"/>
              </w:rPr>
              <w:t xml:space="preserve">(b) Admissibility</w:t>
            </w:r>
          </w:p>
        </w:tc>
        <w:tc>
          <w:tcPr>
            <w:tcW w:type="dxa" w:w="7160"/>
            <w:tcBorders>
              <w:top w:val="single" w:color="888888" w:sz="6"/>
              <w:left w:val="single" w:color="888888" w:sz="6"/>
              <w:bottom w:val="single" w:color="888888" w:sz="6"/>
              <w:right w:val="single" w:color="888888" w:sz="6"/>
            </w:tcBorders>
            <w:shd w:fill="F2F2F2" w:val="clear"/>
            <w:tcMar>
              <w:top w:type="dxa" w:w="100"/>
              <w:left w:type="dxa" w:w="140"/>
              <w:bottom w:type="dxa" w:w="100"/>
              <w:right w:type="dxa" w:w="140"/>
            </w:tcMar>
          </w:tcPr>
          <w:p>
            <w:pPr>
              <w:spacing w:after="40" w:before="40"/>
            </w:pPr>
            <w:r>
              <w:rPr>
                <w:rFonts w:ascii="Arial" w:cs="Arial" w:eastAsia="Arial" w:hAnsi="Arial"/>
                <w:sz w:val="20"/>
                <w:szCs w:val="20"/>
              </w:rPr>
              <w:t xml:space="preserve">The operations of the domain are well-defined on the relevant tuples; without it, closure fails.</w:t>
            </w:r>
          </w:p>
        </w:tc>
      </w:tr>
      <w:tr>
        <w:tc>
          <w:tcPr>
            <w:tcW w:type="dxa" w:w="2200"/>
            <w:tcBorders>
              <w:top w:val="single" w:color="888888" w:sz="6"/>
              <w:left w:val="single" w:color="888888" w:sz="6"/>
              <w:bottom w:val="single" w:color="888888" w:sz="6"/>
              <w:right w:val="single" w:color="888888" w:sz="6"/>
            </w:tcBorders>
            <w:tcMar>
              <w:top w:type="dxa" w:w="100"/>
              <w:left w:type="dxa" w:w="140"/>
              <w:bottom w:type="dxa" w:w="100"/>
              <w:right w:type="dxa" w:w="140"/>
            </w:tcMar>
          </w:tcPr>
          <w:p>
            <w:pPr>
              <w:spacing w:after="40" w:before="40"/>
            </w:pPr>
            <w:r>
              <w:rPr>
                <w:rFonts w:ascii="Arial" w:cs="Arial" w:eastAsia="Arial" w:hAnsi="Arial"/>
                <w:sz w:val="20"/>
                <w:szCs w:val="20"/>
              </w:rPr>
              <w:t xml:space="preserve">(c) Persistence</w:t>
            </w:r>
          </w:p>
        </w:tc>
        <w:tc>
          <w:tcPr>
            <w:tcW w:type="dxa" w:w="7160"/>
            <w:tcBorders>
              <w:top w:val="single" w:color="888888" w:sz="6"/>
              <w:left w:val="single" w:color="888888" w:sz="6"/>
              <w:bottom w:val="single" w:color="888888" w:sz="6"/>
              <w:right w:val="single" w:color="888888" w:sz="6"/>
            </w:tcBorders>
            <w:tcMar>
              <w:top w:type="dxa" w:w="100"/>
              <w:left w:type="dxa" w:w="140"/>
              <w:bottom w:type="dxa" w:w="100"/>
              <w:right w:type="dxa" w:w="140"/>
            </w:tcMar>
          </w:tcPr>
          <w:p>
            <w:pPr>
              <w:spacing w:after="40" w:before="40"/>
            </w:pPr>
            <w:r>
              <w:rPr>
                <w:rFonts w:ascii="Arial" w:cs="Arial" w:eastAsia="Arial" w:hAnsi="Arial"/>
                <w:sz w:val="20"/>
                <w:szCs w:val="20"/>
              </w:rPr>
              <w:t xml:space="preserve">Tokens and intermediate results remain available across successive operations; without it, multi-step claims are not stateable.</w:t>
            </w:r>
          </w:p>
        </w:tc>
      </w:tr>
      <w:tr>
        <w:tc>
          <w:tcPr>
            <w:tcW w:type="dxa" w:w="2200"/>
            <w:tcBorders>
              <w:top w:val="single" w:color="888888" w:sz="6"/>
              <w:left w:val="single" w:color="888888" w:sz="6"/>
              <w:bottom w:val="single" w:color="888888" w:sz="6"/>
              <w:right w:val="single" w:color="888888" w:sz="6"/>
            </w:tcBorders>
            <w:shd w:fill="F2F2F2" w:val="clear"/>
            <w:tcMar>
              <w:top w:type="dxa" w:w="100"/>
              <w:left w:type="dxa" w:w="140"/>
              <w:bottom w:type="dxa" w:w="100"/>
              <w:right w:type="dxa" w:w="140"/>
            </w:tcMar>
          </w:tcPr>
          <w:p>
            <w:pPr>
              <w:spacing w:after="40" w:before="40"/>
            </w:pPr>
            <w:r>
              <w:rPr>
                <w:rFonts w:ascii="Arial" w:cs="Arial" w:eastAsia="Arial" w:hAnsi="Arial"/>
                <w:sz w:val="20"/>
                <w:szCs w:val="20"/>
              </w:rPr>
              <w:t xml:space="preserve">(d) Sameness rule</w:t>
            </w:r>
          </w:p>
        </w:tc>
        <w:tc>
          <w:tcPr>
            <w:tcW w:type="dxa" w:w="7160"/>
            <w:tcBorders>
              <w:top w:val="single" w:color="888888" w:sz="6"/>
              <w:left w:val="single" w:color="888888" w:sz="6"/>
              <w:bottom w:val="single" w:color="888888" w:sz="6"/>
              <w:right w:val="single" w:color="888888" w:sz="6"/>
            </w:tcBorders>
            <w:shd w:fill="F2F2F2" w:val="clear"/>
            <w:tcMar>
              <w:top w:type="dxa" w:w="100"/>
              <w:left w:type="dxa" w:w="140"/>
              <w:bottom w:type="dxa" w:w="100"/>
              <w:right w:type="dxa" w:w="140"/>
            </w:tcMar>
          </w:tcPr>
          <w:p>
            <w:pPr>
              <w:spacing w:after="40" w:before="40"/>
            </w:pPr>
            <w:r>
              <w:rPr>
                <w:rFonts w:ascii="Arial" w:cs="Arial" w:eastAsia="Arial" w:hAnsi="Arial"/>
                <w:sz w:val="20"/>
                <w:szCs w:val="20"/>
              </w:rPr>
              <w:t xml:space="preserve">There is a criterion under which two tokens count as the same; without it, identity statements are empty.</w:t>
            </w:r>
          </w:p>
        </w:tc>
      </w:tr>
      <w:tr>
        <w:tc>
          <w:tcPr>
            <w:tcW w:type="dxa" w:w="2200"/>
            <w:tcBorders>
              <w:top w:val="single" w:color="888888" w:sz="6"/>
              <w:left w:val="single" w:color="888888" w:sz="6"/>
              <w:bottom w:val="single" w:color="888888" w:sz="6"/>
              <w:right w:val="single" w:color="888888" w:sz="6"/>
            </w:tcBorders>
            <w:tcMar>
              <w:top w:type="dxa" w:w="100"/>
              <w:left w:type="dxa" w:w="140"/>
              <w:bottom w:type="dxa" w:w="100"/>
              <w:right w:type="dxa" w:w="140"/>
            </w:tcMar>
          </w:tcPr>
          <w:p>
            <w:pPr>
              <w:spacing w:after="40" w:before="40"/>
            </w:pPr>
            <w:r>
              <w:rPr>
                <w:rFonts w:ascii="Arial" w:cs="Arial" w:eastAsia="Arial" w:hAnsi="Arial"/>
                <w:sz w:val="20"/>
                <w:szCs w:val="20"/>
              </w:rPr>
              <w:t xml:space="preserve">(e) Boundary</w:t>
            </w:r>
          </w:p>
        </w:tc>
        <w:tc>
          <w:tcPr>
            <w:tcW w:type="dxa" w:w="7160"/>
            <w:tcBorders>
              <w:top w:val="single" w:color="888888" w:sz="6"/>
              <w:left w:val="single" w:color="888888" w:sz="6"/>
              <w:bottom w:val="single" w:color="888888" w:sz="6"/>
              <w:right w:val="single" w:color="888888" w:sz="6"/>
            </w:tcBorders>
            <w:tcMar>
              <w:top w:type="dxa" w:w="100"/>
              <w:left w:type="dxa" w:w="140"/>
              <w:bottom w:type="dxa" w:w="100"/>
              <w:right w:type="dxa" w:w="140"/>
            </w:tcMar>
          </w:tcPr>
          <w:p>
            <w:pPr>
              <w:spacing w:after="40" w:before="40"/>
            </w:pPr>
            <w:r>
              <w:rPr>
                <w:rFonts w:ascii="Arial" w:cs="Arial" w:eastAsia="Arial" w:hAnsi="Arial"/>
                <w:sz w:val="20"/>
                <w:szCs w:val="20"/>
              </w:rPr>
              <w:t xml:space="preserve">There is a determinate criterion of membership; without it, quantification over the domain is not interpretable.</w:t>
            </w:r>
          </w:p>
        </w:tc>
      </w:tr>
    </w:tbl>
    <w:p>
      <w:r>
        <w:t xml:space="preserve"/>
      </w:r>
    </w:p>
    <w:p>
      <w:pPr>
        <w:pStyle w:val="Heading1"/>
        <w:spacing w:after="140" w:before="280"/>
      </w:pPr>
      <w:r>
        <w:rPr>
          <w:rFonts w:ascii="Arial" w:cs="Arial" w:eastAsia="Arial" w:hAnsi="Arial"/>
          <w:b/>
          <w:bCs/>
          <w:sz w:val="28"/>
          <w:szCs w:val="28"/>
        </w:rPr>
        <w:t xml:space="preserve">3. The EIM Triad as Minimal Closure</w:t>
      </w:r>
    </w:p>
    <w:p>
      <w:pPr>
        <w:spacing w:after="80" w:before="80" w:line="312"/>
        <w:jc w:val="both"/>
      </w:pPr>
      <w:r>
        <w:rPr>
          <w:rFonts w:ascii="Arial" w:cs="Arial" w:eastAsia="Arial" w:hAnsi="Arial"/>
          <w:sz w:val="22"/>
          <w:szCs w:val="22"/>
        </w:rPr>
        <w:t xml:space="preserve">EIM proposes that the five conditions of knowable domains are not five independent primitives but a triad with a closure relation. We adopt the following terminology:</w:t>
      </w:r>
    </w:p>
    <w:p>
      <w:pPr>
        <w:spacing w:after="80" w:before="80" w:line="312"/>
        <w:jc w:val="both"/>
      </w:pPr>
      <w:r>
        <w:rPr>
          <w:rFonts w:ascii="Arial" w:cs="Arial" w:eastAsia="Arial" w:hAnsi="Arial"/>
          <w:b/>
          <w:bCs/>
          <w:sz w:val="22"/>
          <w:szCs w:val="22"/>
        </w:rPr>
        <w:t xml:space="preserve">Execution (E): </w:t>
      </w:r>
      <w:r>
        <w:rPr>
          <w:rFonts w:ascii="Arial" w:cs="Arial" w:eastAsia="Arial" w:hAnsi="Arial"/>
          <w:sz w:val="22"/>
          <w:szCs w:val="22"/>
        </w:rPr>
        <w:t xml:space="preserve">the act by which a distinction is performed — a difference is made and registered as an instance.</w:t>
      </w:r>
    </w:p>
    <w:p>
      <w:pPr>
        <w:spacing w:after="80" w:before="80" w:line="312"/>
        <w:jc w:val="both"/>
      </w:pPr>
      <w:r>
        <w:rPr>
          <w:rFonts w:ascii="Arial" w:cs="Arial" w:eastAsia="Arial" w:hAnsi="Arial"/>
          <w:b/>
          <w:bCs/>
          <w:sz w:val="22"/>
          <w:szCs w:val="22"/>
        </w:rPr>
        <w:t xml:space="preserve">Interaction (I): </w:t>
      </w:r>
      <w:r>
        <w:rPr>
          <w:rFonts w:ascii="Arial" w:cs="Arial" w:eastAsia="Arial" w:hAnsi="Arial"/>
          <w:sz w:val="22"/>
          <w:szCs w:val="22"/>
        </w:rPr>
        <w:t xml:space="preserve">the structured admissibility of pairings, couplings, or relations among distinctions, including the rule by which sameness and difference are tested.</w:t>
      </w:r>
    </w:p>
    <w:p>
      <w:pPr>
        <w:spacing w:after="80" w:before="80" w:line="312"/>
        <w:jc w:val="both"/>
      </w:pPr>
      <w:r>
        <w:rPr>
          <w:rFonts w:ascii="Arial" w:cs="Arial" w:eastAsia="Arial" w:hAnsi="Arial"/>
          <w:b/>
          <w:bCs/>
          <w:sz w:val="22"/>
          <w:szCs w:val="22"/>
        </w:rPr>
        <w:t xml:space="preserve">Memory (M): </w:t>
      </w:r>
      <w:r>
        <w:rPr>
          <w:rFonts w:ascii="Arial" w:cs="Arial" w:eastAsia="Arial" w:hAnsi="Arial"/>
          <w:sz w:val="22"/>
          <w:szCs w:val="22"/>
        </w:rPr>
        <w:t xml:space="preserve">the retention of an executed distinction in a form that remains available for future operations.</w:t>
      </w:r>
    </w:p>
    <w:p>
      <w:pPr>
        <w:spacing w:after="80" w:before="80" w:line="312"/>
        <w:jc w:val="both"/>
      </w:pPr>
      <w:r>
        <w:rPr>
          <w:rFonts w:ascii="Arial" w:cs="Arial" w:eastAsia="Arial" w:hAnsi="Arial"/>
          <w:sz w:val="22"/>
          <w:szCs w:val="22"/>
        </w:rPr>
        <w:t xml:space="preserve">Distinguishability (a) and the admissibility of operations (b) belong to the joint operation of E and I. Persistence (c) is the work of M. The sameness rule (d) is the joint operation of I (the testing relation) and M (the retained tokens being compared). The boundary (e) is the residual: a domain is the closure of the equivalence </w:t>
      </w:r>
      <w:r>
        <w:rPr>
          <w:rFonts w:ascii="Arial" w:cs="Arial" w:eastAsia="Arial" w:hAnsi="Arial"/>
          <w:sz w:val="22"/>
          <w:szCs w:val="22"/>
        </w:rPr>
        <w:t xml:space="preserve">“what E can produce, I can admit, and M can retain.”</w:t>
      </w:r>
    </w:p>
    <w:p>
      <w:pPr>
        <w:spacing w:after="140" w:before="140"/>
        <w:jc w:val="center"/>
      </w:pPr>
      <w:r>
        <w:rPr>
          <w:rFonts w:ascii="Arial" w:cs="Arial" w:eastAsia="Arial" w:hAnsi="Arial"/>
          <w:i/>
          <w:iCs/>
          <w:sz w:val="22"/>
          <w:szCs w:val="22"/>
        </w:rPr>
        <w:t xml:space="preserve">σ = ( E, I, M )</w:t>
      </w:r>
    </w:p>
    <w:p>
      <w:pPr>
        <w:spacing w:after="80" w:before="80" w:line="312"/>
        <w:jc w:val="both"/>
      </w:pPr>
      <w:r>
        <w:rPr>
          <w:rFonts w:ascii="Arial" w:cs="Arial" w:eastAsia="Arial" w:hAnsi="Arial"/>
          <w:sz w:val="22"/>
          <w:szCs w:val="22"/>
        </w:rPr>
        <w:t xml:space="preserve">A </w:t>
      </w:r>
      <w:r>
        <w:rPr>
          <w:rFonts w:ascii="Arial" w:cs="Arial" w:eastAsia="Arial" w:hAnsi="Arial"/>
          <w:i/>
          <w:iCs/>
          <w:sz w:val="22"/>
          <w:szCs w:val="22"/>
        </w:rPr>
        <w:t xml:space="preserve">domain event</w:t>
      </w:r>
      <w:r>
        <w:rPr>
          <w:rFonts w:ascii="Arial" w:cs="Arial" w:eastAsia="Arial" w:hAnsi="Arial"/>
          <w:sz w:val="22"/>
          <w:szCs w:val="22"/>
        </w:rPr>
        <w:t xml:space="preserve"> σ is a triple in which an executed distinction is admissibly related and retained. A </w:t>
      </w:r>
      <w:r>
        <w:rPr>
          <w:rFonts w:ascii="Arial" w:cs="Arial" w:eastAsia="Arial" w:hAnsi="Arial"/>
          <w:i/>
          <w:iCs/>
          <w:sz w:val="22"/>
          <w:szCs w:val="22"/>
        </w:rPr>
        <w:t xml:space="preserve">domain</w:t>
      </w:r>
      <w:r>
        <w:rPr>
          <w:rFonts w:ascii="Arial" w:cs="Arial" w:eastAsia="Arial" w:hAnsi="Arial"/>
          <w:sz w:val="22"/>
          <w:szCs w:val="22"/>
        </w:rPr>
        <w:t xml:space="preserve"> is a population of such events together with the admissibility relation defined on them. We claim no priority over set-theoretic, categorical, or type-theoretic foundations as accounts of what one can do once a domain is in place. We claim only that any such account presupposes the EIM triad as a precondition.</w:t>
      </w:r>
    </w:p>
    <w:p>
      <w:pPr>
        <w:spacing w:after="80" w:before="80" w:line="312"/>
        <w:jc w:val="both"/>
      </w:pPr>
      <w:r>
        <w:rPr>
          <w:rFonts w:ascii="Arial" w:cs="Arial" w:eastAsia="Arial" w:hAnsi="Arial"/>
          <w:sz w:val="22"/>
          <w:szCs w:val="22"/>
        </w:rPr>
        <w:t xml:space="preserve">We do not claim this list is uniquely correct. Other decompositions are possible. We do claim that any decomposition into fewer than these three roles collapses one of the five conditions of knowable domains: distinction without retention cannot count; retention without admissibility cannot relate; admissibility without distinction cannot apply.</w:t>
      </w:r>
    </w:p>
    <w:p>
      <w:pPr>
        <w:pStyle w:val="Heading1"/>
        <w:spacing w:after="140" w:before="280"/>
      </w:pPr>
      <w:r>
        <w:rPr>
          <w:rFonts w:ascii="Arial" w:cs="Arial" w:eastAsia="Arial" w:hAnsi="Arial"/>
          <w:b/>
          <w:bCs/>
          <w:sz w:val="28"/>
          <w:szCs w:val="28"/>
        </w:rPr>
        <w:t xml:space="preserve">4. A Conceptual Ladder of Closure Thresholds</w:t>
      </w:r>
    </w:p>
    <w:p>
      <w:pPr>
        <w:spacing w:after="80" w:before="80" w:line="312"/>
        <w:jc w:val="both"/>
      </w:pPr>
      <w:r>
        <w:rPr>
          <w:rFonts w:ascii="Arial" w:cs="Arial" w:eastAsia="Arial" w:hAnsi="Arial"/>
          <w:sz w:val="22"/>
          <w:szCs w:val="22"/>
        </w:rPr>
        <w:t xml:space="preserve">It is convenient to organize what is required at each successive level of structural complexity. We present the following ladder </w:t>
      </w:r>
      <w:r>
        <w:rPr>
          <w:rFonts w:ascii="Arial" w:cs="Arial" w:eastAsia="Arial" w:hAnsi="Arial"/>
          <w:i/>
          <w:iCs/>
          <w:sz w:val="22"/>
          <w:szCs w:val="22"/>
        </w:rPr>
        <w:t xml:space="preserve">as a sequence of minimal closure thresholds</w:t>
      </w:r>
      <w:r>
        <w:rPr>
          <w:rFonts w:ascii="Arial" w:cs="Arial" w:eastAsia="Arial" w:hAnsi="Arial"/>
          <w:sz w:val="22"/>
          <w:szCs w:val="22"/>
        </w:rPr>
        <w:t xml:space="preserve">, not as an esoteric numerology. The numerals index how many distinct roles are simultaneously in play.</w:t>
      </w:r>
    </w:p>
    <w:p>
      <w:pPr>
        <w:spacing w:after="80" w:before="160"/>
        <w:jc w:val="center"/>
      </w:pPr>
      <w:r>
        <w:rPr>
          <w:rFonts w:ascii="Arial" w:cs="Arial" w:eastAsia="Arial" w:hAnsi="Arial"/>
          <w:b/>
          <w:bCs/>
          <w:sz w:val="20"/>
          <w:szCs w:val="20"/>
        </w:rPr>
        <w:t xml:space="preserve">Table 2. </w:t>
      </w:r>
      <w:r>
        <w:rPr>
          <w:rFonts w:ascii="Arial" w:cs="Arial" w:eastAsia="Arial" w:hAnsi="Arial"/>
          <w:i/>
          <w:iCs/>
          <w:sz w:val="20"/>
          <w:szCs w:val="20"/>
        </w:rPr>
        <w:t xml:space="preserve">Conceptual ladder of closure thresholds.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2400"/>
        <w:gridCol w:w="6360"/>
      </w:tblGrid>
      <w:tr>
        <w:trPr>
          <w:tblHeader/>
        </w:trPr>
        <w:tc>
          <w:tcPr>
            <w:tcW w:type="dxa" w:w="600"/>
            <w:tcBorders>
              <w:top w:val="single" w:color="888888" w:sz="6"/>
              <w:left w:val="single" w:color="888888" w:sz="6"/>
              <w:bottom w:val="single" w:color="888888" w:sz="6"/>
              <w:right w:val="single" w:color="888888" w:sz="6"/>
            </w:tcBorders>
            <w:shd w:fill="D9E2F3" w:val="clear"/>
            <w:tcMar>
              <w:top w:type="dxa" w:w="100"/>
              <w:left w:type="dxa" w:w="140"/>
              <w:bottom w:type="dxa" w:w="100"/>
              <w:right w:type="dxa" w:w="140"/>
            </w:tcMar>
          </w:tcPr>
          <w:p>
            <w:r>
              <w:rPr>
                <w:rFonts w:ascii="Arial" w:cs="Arial" w:eastAsia="Arial" w:hAnsi="Arial"/>
                <w:b/>
                <w:bCs/>
                <w:sz w:val="20"/>
                <w:szCs w:val="20"/>
              </w:rPr>
              <w:t xml:space="preserve">Level</w:t>
            </w:r>
          </w:p>
        </w:tc>
        <w:tc>
          <w:tcPr>
            <w:tcW w:type="dxa" w:w="2400"/>
            <w:tcBorders>
              <w:top w:val="single" w:color="888888" w:sz="6"/>
              <w:left w:val="single" w:color="888888" w:sz="6"/>
              <w:bottom w:val="single" w:color="888888" w:sz="6"/>
              <w:right w:val="single" w:color="888888" w:sz="6"/>
            </w:tcBorders>
            <w:shd w:fill="D9E2F3" w:val="clear"/>
            <w:tcMar>
              <w:top w:type="dxa" w:w="100"/>
              <w:left w:type="dxa" w:w="140"/>
              <w:bottom w:type="dxa" w:w="100"/>
              <w:right w:type="dxa" w:w="140"/>
            </w:tcMar>
          </w:tcPr>
          <w:p>
            <w:r>
              <w:rPr>
                <w:rFonts w:ascii="Arial" w:cs="Arial" w:eastAsia="Arial" w:hAnsi="Arial"/>
                <w:b/>
                <w:bCs/>
                <w:sz w:val="20"/>
                <w:szCs w:val="20"/>
              </w:rPr>
              <w:t xml:space="preserve">Threshold</w:t>
            </w:r>
          </w:p>
        </w:tc>
        <w:tc>
          <w:tcPr>
            <w:tcW w:type="dxa" w:w="6360"/>
            <w:tcBorders>
              <w:top w:val="single" w:color="888888" w:sz="6"/>
              <w:left w:val="single" w:color="888888" w:sz="6"/>
              <w:bottom w:val="single" w:color="888888" w:sz="6"/>
              <w:right w:val="single" w:color="888888" w:sz="6"/>
            </w:tcBorders>
            <w:shd w:fill="D9E2F3" w:val="clear"/>
            <w:tcMar>
              <w:top w:type="dxa" w:w="100"/>
              <w:left w:type="dxa" w:w="140"/>
              <w:bottom w:type="dxa" w:w="100"/>
              <w:right w:type="dxa" w:w="140"/>
            </w:tcMar>
          </w:tcPr>
          <w:p>
            <w:r>
              <w:rPr>
                <w:rFonts w:ascii="Arial" w:cs="Arial" w:eastAsia="Arial" w:hAnsi="Arial"/>
                <w:b/>
                <w:bCs/>
                <w:sz w:val="20"/>
                <w:szCs w:val="20"/>
              </w:rPr>
              <w:t xml:space="preserve">Minimal content</w:t>
            </w:r>
          </w:p>
        </w:tc>
      </w:tr>
      <w:tr>
        <w:tc>
          <w:tcPr>
            <w:tcW w:type="dxa" w:w="600"/>
            <w:tcBorders>
              <w:top w:val="single" w:color="888888" w:sz="6"/>
              <w:left w:val="single" w:color="888888" w:sz="6"/>
              <w:bottom w:val="single" w:color="888888" w:sz="6"/>
              <w:right w:val="single" w:color="888888" w:sz="6"/>
            </w:tcBorders>
            <w:tcMar>
              <w:top w:type="dxa" w:w="100"/>
              <w:left w:type="dxa" w:w="140"/>
              <w:bottom w:type="dxa" w:w="100"/>
              <w:right w:type="dxa" w:w="140"/>
            </w:tcMar>
          </w:tcPr>
          <w:p>
            <w:pPr>
              <w:spacing w:after="40" w:before="40"/>
            </w:pPr>
            <w:r>
              <w:rPr>
                <w:rFonts w:ascii="Arial" w:cs="Arial" w:eastAsia="Arial" w:hAnsi="Arial"/>
                <w:sz w:val="20"/>
                <w:szCs w:val="20"/>
              </w:rPr>
              <w:t xml:space="preserve">0</w:t>
            </w:r>
          </w:p>
        </w:tc>
        <w:tc>
          <w:tcPr>
            <w:tcW w:type="dxa" w:w="2400"/>
            <w:tcBorders>
              <w:top w:val="single" w:color="888888" w:sz="6"/>
              <w:left w:val="single" w:color="888888" w:sz="6"/>
              <w:bottom w:val="single" w:color="888888" w:sz="6"/>
              <w:right w:val="single" w:color="888888" w:sz="6"/>
            </w:tcBorders>
            <w:tcMar>
              <w:top w:type="dxa" w:w="100"/>
              <w:left w:type="dxa" w:w="140"/>
              <w:bottom w:type="dxa" w:w="100"/>
              <w:right w:type="dxa" w:w="140"/>
            </w:tcMar>
          </w:tcPr>
          <w:p>
            <w:pPr>
              <w:spacing w:after="40" w:before="40"/>
            </w:pPr>
            <w:r>
              <w:rPr>
                <w:rFonts w:ascii="Arial" w:cs="Arial" w:eastAsia="Arial" w:hAnsi="Arial"/>
                <w:sz w:val="20"/>
                <w:szCs w:val="20"/>
              </w:rPr>
              <w:t xml:space="preserve">Undifferentiated</w:t>
            </w:r>
          </w:p>
        </w:tc>
        <w:tc>
          <w:tcPr>
            <w:tcW w:type="dxa" w:w="6360"/>
            <w:tcBorders>
              <w:top w:val="single" w:color="888888" w:sz="6"/>
              <w:left w:val="single" w:color="888888" w:sz="6"/>
              <w:bottom w:val="single" w:color="888888" w:sz="6"/>
              <w:right w:val="single" w:color="888888" w:sz="6"/>
            </w:tcBorders>
            <w:tcMar>
              <w:top w:type="dxa" w:w="100"/>
              <w:left w:type="dxa" w:w="140"/>
              <w:bottom w:type="dxa" w:w="100"/>
              <w:right w:type="dxa" w:w="140"/>
            </w:tcMar>
          </w:tcPr>
          <w:p>
            <w:pPr>
              <w:spacing w:after="40" w:before="40"/>
            </w:pPr>
            <w:r>
              <w:rPr>
                <w:rFonts w:ascii="Arial" w:cs="Arial" w:eastAsia="Arial" w:hAnsi="Arial"/>
                <w:sz w:val="20"/>
                <w:szCs w:val="20"/>
              </w:rPr>
              <w:t xml:space="preserve">No operational distinction. No element, no relation, no record.</w:t>
            </w:r>
          </w:p>
        </w:tc>
      </w:tr>
      <w:tr>
        <w:tc>
          <w:tcPr>
            <w:tcW w:type="dxa" w:w="600"/>
            <w:tcBorders>
              <w:top w:val="single" w:color="888888" w:sz="6"/>
              <w:left w:val="single" w:color="888888" w:sz="6"/>
              <w:bottom w:val="single" w:color="888888" w:sz="6"/>
              <w:right w:val="single" w:color="888888" w:sz="6"/>
            </w:tcBorders>
            <w:shd w:fill="F2F2F2" w:val="clear"/>
            <w:tcMar>
              <w:top w:type="dxa" w:w="100"/>
              <w:left w:type="dxa" w:w="140"/>
              <w:bottom w:type="dxa" w:w="100"/>
              <w:right w:type="dxa" w:w="140"/>
            </w:tcMar>
          </w:tcPr>
          <w:p>
            <w:pPr>
              <w:spacing w:after="40" w:before="40"/>
            </w:pPr>
            <w:r>
              <w:rPr>
                <w:rFonts w:ascii="Arial" w:cs="Arial" w:eastAsia="Arial" w:hAnsi="Arial"/>
                <w:sz w:val="20"/>
                <w:szCs w:val="20"/>
              </w:rPr>
              <w:t xml:space="preserve">1</w:t>
            </w:r>
          </w:p>
        </w:tc>
        <w:tc>
          <w:tcPr>
            <w:tcW w:type="dxa" w:w="2400"/>
            <w:tcBorders>
              <w:top w:val="single" w:color="888888" w:sz="6"/>
              <w:left w:val="single" w:color="888888" w:sz="6"/>
              <w:bottom w:val="single" w:color="888888" w:sz="6"/>
              <w:right w:val="single" w:color="888888" w:sz="6"/>
            </w:tcBorders>
            <w:shd w:fill="F2F2F2" w:val="clear"/>
            <w:tcMar>
              <w:top w:type="dxa" w:w="100"/>
              <w:left w:type="dxa" w:w="140"/>
              <w:bottom w:type="dxa" w:w="100"/>
              <w:right w:type="dxa" w:w="140"/>
            </w:tcMar>
          </w:tcPr>
          <w:p>
            <w:pPr>
              <w:spacing w:after="40" w:before="40"/>
            </w:pPr>
            <w:r>
              <w:rPr>
                <w:rFonts w:ascii="Arial" w:cs="Arial" w:eastAsia="Arial" w:hAnsi="Arial"/>
                <w:sz w:val="20"/>
                <w:szCs w:val="20"/>
              </w:rPr>
              <w:t xml:space="preserve">Identity</w:t>
            </w:r>
          </w:p>
        </w:tc>
        <w:tc>
          <w:tcPr>
            <w:tcW w:type="dxa" w:w="6360"/>
            <w:tcBorders>
              <w:top w:val="single" w:color="888888" w:sz="6"/>
              <w:left w:val="single" w:color="888888" w:sz="6"/>
              <w:bottom w:val="single" w:color="888888" w:sz="6"/>
              <w:right w:val="single" w:color="888888" w:sz="6"/>
            </w:tcBorders>
            <w:shd w:fill="F2F2F2" w:val="clear"/>
            <w:tcMar>
              <w:top w:type="dxa" w:w="100"/>
              <w:left w:type="dxa" w:w="140"/>
              <w:bottom w:type="dxa" w:w="100"/>
              <w:right w:type="dxa" w:w="140"/>
            </w:tcMar>
          </w:tcPr>
          <w:p>
            <w:pPr>
              <w:spacing w:after="40" w:before="40"/>
            </w:pPr>
            <w:r>
              <w:rPr>
                <w:rFonts w:ascii="Arial" w:cs="Arial" w:eastAsia="Arial" w:hAnsi="Arial"/>
                <w:sz w:val="20"/>
                <w:szCs w:val="20"/>
              </w:rPr>
              <w:t xml:space="preserve">A unit condition: “this.” Tokenhood without comparison.</w:t>
            </w:r>
          </w:p>
        </w:tc>
      </w:tr>
      <w:tr>
        <w:tc>
          <w:tcPr>
            <w:tcW w:type="dxa" w:w="600"/>
            <w:tcBorders>
              <w:top w:val="single" w:color="888888" w:sz="6"/>
              <w:left w:val="single" w:color="888888" w:sz="6"/>
              <w:bottom w:val="single" w:color="888888" w:sz="6"/>
              <w:right w:val="single" w:color="888888" w:sz="6"/>
            </w:tcBorders>
            <w:tcMar>
              <w:top w:type="dxa" w:w="100"/>
              <w:left w:type="dxa" w:w="140"/>
              <w:bottom w:type="dxa" w:w="100"/>
              <w:right w:type="dxa" w:w="140"/>
            </w:tcMar>
          </w:tcPr>
          <w:p>
            <w:pPr>
              <w:spacing w:after="40" w:before="40"/>
            </w:pPr>
            <w:r>
              <w:rPr>
                <w:rFonts w:ascii="Arial" w:cs="Arial" w:eastAsia="Arial" w:hAnsi="Arial"/>
                <w:sz w:val="20"/>
                <w:szCs w:val="20"/>
              </w:rPr>
              <w:t xml:space="preserve">2</w:t>
            </w:r>
          </w:p>
        </w:tc>
        <w:tc>
          <w:tcPr>
            <w:tcW w:type="dxa" w:w="2400"/>
            <w:tcBorders>
              <w:top w:val="single" w:color="888888" w:sz="6"/>
              <w:left w:val="single" w:color="888888" w:sz="6"/>
              <w:bottom w:val="single" w:color="888888" w:sz="6"/>
              <w:right w:val="single" w:color="888888" w:sz="6"/>
            </w:tcBorders>
            <w:tcMar>
              <w:top w:type="dxa" w:w="100"/>
              <w:left w:type="dxa" w:w="140"/>
              <w:bottom w:type="dxa" w:w="100"/>
              <w:right w:type="dxa" w:w="140"/>
            </w:tcMar>
          </w:tcPr>
          <w:p>
            <w:pPr>
              <w:spacing w:after="40" w:before="40"/>
            </w:pPr>
            <w:r>
              <w:rPr>
                <w:rFonts w:ascii="Arial" w:cs="Arial" w:eastAsia="Arial" w:hAnsi="Arial"/>
                <w:sz w:val="20"/>
                <w:szCs w:val="20"/>
              </w:rPr>
              <w:t xml:space="preserve">Polarity</w:t>
            </w:r>
          </w:p>
        </w:tc>
        <w:tc>
          <w:tcPr>
            <w:tcW w:type="dxa" w:w="6360"/>
            <w:tcBorders>
              <w:top w:val="single" w:color="888888" w:sz="6"/>
              <w:left w:val="single" w:color="888888" w:sz="6"/>
              <w:bottom w:val="single" w:color="888888" w:sz="6"/>
              <w:right w:val="single" w:color="888888" w:sz="6"/>
            </w:tcBorders>
            <w:tcMar>
              <w:top w:type="dxa" w:w="100"/>
              <w:left w:type="dxa" w:w="140"/>
              <w:bottom w:type="dxa" w:w="100"/>
              <w:right w:type="dxa" w:w="140"/>
            </w:tcMar>
          </w:tcPr>
          <w:p>
            <w:pPr>
              <w:spacing w:after="40" w:before="40"/>
            </w:pPr>
            <w:r>
              <w:rPr>
                <w:rFonts w:ascii="Arial" w:cs="Arial" w:eastAsia="Arial" w:hAnsi="Arial"/>
                <w:sz w:val="20"/>
                <w:szCs w:val="20"/>
              </w:rPr>
              <w:t xml:space="preserve">A two-element relation: same/different, this/that. Comparison becomes possible.</w:t>
            </w:r>
          </w:p>
        </w:tc>
      </w:tr>
      <w:tr>
        <w:tc>
          <w:tcPr>
            <w:tcW w:type="dxa" w:w="600"/>
            <w:tcBorders>
              <w:top w:val="single" w:color="888888" w:sz="6"/>
              <w:left w:val="single" w:color="888888" w:sz="6"/>
              <w:bottom w:val="single" w:color="888888" w:sz="6"/>
              <w:right w:val="single" w:color="888888" w:sz="6"/>
            </w:tcBorders>
            <w:shd w:fill="F2F2F2" w:val="clear"/>
            <w:tcMar>
              <w:top w:type="dxa" w:w="100"/>
              <w:left w:type="dxa" w:w="140"/>
              <w:bottom w:type="dxa" w:w="100"/>
              <w:right w:type="dxa" w:w="140"/>
            </w:tcMar>
          </w:tcPr>
          <w:p>
            <w:pPr>
              <w:spacing w:after="40" w:before="40"/>
            </w:pPr>
            <w:r>
              <w:rPr>
                <w:rFonts w:ascii="Arial" w:cs="Arial" w:eastAsia="Arial" w:hAnsi="Arial"/>
                <w:sz w:val="20"/>
                <w:szCs w:val="20"/>
              </w:rPr>
              <w:t xml:space="preserve">3</w:t>
            </w:r>
          </w:p>
        </w:tc>
        <w:tc>
          <w:tcPr>
            <w:tcW w:type="dxa" w:w="2400"/>
            <w:tcBorders>
              <w:top w:val="single" w:color="888888" w:sz="6"/>
              <w:left w:val="single" w:color="888888" w:sz="6"/>
              <w:bottom w:val="single" w:color="888888" w:sz="6"/>
              <w:right w:val="single" w:color="888888" w:sz="6"/>
            </w:tcBorders>
            <w:shd w:fill="F2F2F2" w:val="clear"/>
            <w:tcMar>
              <w:top w:type="dxa" w:w="100"/>
              <w:left w:type="dxa" w:w="140"/>
              <w:bottom w:type="dxa" w:w="100"/>
              <w:right w:type="dxa" w:w="140"/>
            </w:tcMar>
          </w:tcPr>
          <w:p>
            <w:pPr>
              <w:spacing w:after="40" w:before="40"/>
            </w:pPr>
            <w:r>
              <w:rPr>
                <w:rFonts w:ascii="Arial" w:cs="Arial" w:eastAsia="Arial" w:hAnsi="Arial"/>
                <w:sz w:val="20"/>
                <w:szCs w:val="20"/>
              </w:rPr>
              <w:t xml:space="preserve">EIM triad</w:t>
            </w:r>
          </w:p>
        </w:tc>
        <w:tc>
          <w:tcPr>
            <w:tcW w:type="dxa" w:w="6360"/>
            <w:tcBorders>
              <w:top w:val="single" w:color="888888" w:sz="6"/>
              <w:left w:val="single" w:color="888888" w:sz="6"/>
              <w:bottom w:val="single" w:color="888888" w:sz="6"/>
              <w:right w:val="single" w:color="888888" w:sz="6"/>
            </w:tcBorders>
            <w:shd w:fill="F2F2F2" w:val="clear"/>
            <w:tcMar>
              <w:top w:type="dxa" w:w="100"/>
              <w:left w:type="dxa" w:w="140"/>
              <w:bottom w:type="dxa" w:w="100"/>
              <w:right w:type="dxa" w:w="140"/>
            </w:tcMar>
          </w:tcPr>
          <w:p>
            <w:pPr>
              <w:spacing w:after="40" w:before="40"/>
            </w:pPr>
            <w:r>
              <w:rPr>
                <w:rFonts w:ascii="Arial" w:cs="Arial" w:eastAsia="Arial" w:hAnsi="Arial"/>
                <w:sz w:val="20"/>
                <w:szCs w:val="20"/>
              </w:rPr>
              <w:t xml:space="preserve">Distinction, admissible relation, and retention coexist. Domain events are stateable.</w:t>
            </w:r>
          </w:p>
        </w:tc>
      </w:tr>
      <w:tr>
        <w:tc>
          <w:tcPr>
            <w:tcW w:type="dxa" w:w="600"/>
            <w:tcBorders>
              <w:top w:val="single" w:color="888888" w:sz="6"/>
              <w:left w:val="single" w:color="888888" w:sz="6"/>
              <w:bottom w:val="single" w:color="888888" w:sz="6"/>
              <w:right w:val="single" w:color="888888" w:sz="6"/>
            </w:tcBorders>
            <w:tcMar>
              <w:top w:type="dxa" w:w="100"/>
              <w:left w:type="dxa" w:w="140"/>
              <w:bottom w:type="dxa" w:w="100"/>
              <w:right w:type="dxa" w:w="140"/>
            </w:tcMar>
          </w:tcPr>
          <w:p>
            <w:pPr>
              <w:spacing w:after="40" w:before="40"/>
            </w:pPr>
            <w:r>
              <w:rPr>
                <w:rFonts w:ascii="Arial" w:cs="Arial" w:eastAsia="Arial" w:hAnsi="Arial"/>
                <w:sz w:val="20"/>
                <w:szCs w:val="20"/>
              </w:rPr>
              <w:t xml:space="preserve">4</w:t>
            </w:r>
          </w:p>
        </w:tc>
        <w:tc>
          <w:tcPr>
            <w:tcW w:type="dxa" w:w="2400"/>
            <w:tcBorders>
              <w:top w:val="single" w:color="888888" w:sz="6"/>
              <w:left w:val="single" w:color="888888" w:sz="6"/>
              <w:bottom w:val="single" w:color="888888" w:sz="6"/>
              <w:right w:val="single" w:color="888888" w:sz="6"/>
            </w:tcBorders>
            <w:tcMar>
              <w:top w:type="dxa" w:w="100"/>
              <w:left w:type="dxa" w:w="140"/>
              <w:bottom w:type="dxa" w:w="100"/>
              <w:right w:type="dxa" w:w="140"/>
            </w:tcMar>
          </w:tcPr>
          <w:p>
            <w:pPr>
              <w:spacing w:after="40" w:before="40"/>
            </w:pPr>
            <w:r>
              <w:rPr>
                <w:rFonts w:ascii="Arial" w:cs="Arial" w:eastAsia="Arial" w:hAnsi="Arial"/>
                <w:sz w:val="20"/>
                <w:szCs w:val="20"/>
              </w:rPr>
              <w:t xml:space="preserve">Faithful state space</w:t>
            </w:r>
          </w:p>
        </w:tc>
        <w:tc>
          <w:tcPr>
            <w:tcW w:type="dxa" w:w="6360"/>
            <w:tcBorders>
              <w:top w:val="single" w:color="888888" w:sz="6"/>
              <w:left w:val="single" w:color="888888" w:sz="6"/>
              <w:bottom w:val="single" w:color="888888" w:sz="6"/>
              <w:right w:val="single" w:color="888888" w:sz="6"/>
            </w:tcBorders>
            <w:tcMar>
              <w:top w:type="dxa" w:w="100"/>
              <w:left w:type="dxa" w:w="140"/>
              <w:bottom w:type="dxa" w:w="100"/>
              <w:right w:type="dxa" w:w="140"/>
            </w:tcMar>
          </w:tcPr>
          <w:p>
            <w:pPr>
              <w:spacing w:after="40" w:before="40"/>
            </w:pPr>
            <w:r>
              <w:rPr>
                <w:rFonts w:ascii="Arial" w:cs="Arial" w:eastAsia="Arial" w:hAnsi="Arial"/>
                <w:sz w:val="20"/>
                <w:szCs w:val="20"/>
              </w:rPr>
              <w:t xml:space="preserve">A coherent space of EIM events together with a projection map onto observables; in physics, the analogue of 3+1 bookkeeping.</w:t>
            </w:r>
          </w:p>
        </w:tc>
      </w:tr>
      <w:tr>
        <w:tc>
          <w:tcPr>
            <w:tcW w:type="dxa" w:w="600"/>
            <w:tcBorders>
              <w:top w:val="single" w:color="888888" w:sz="6"/>
              <w:left w:val="single" w:color="888888" w:sz="6"/>
              <w:bottom w:val="single" w:color="888888" w:sz="6"/>
              <w:right w:val="single" w:color="888888" w:sz="6"/>
            </w:tcBorders>
            <w:shd w:fill="F2F2F2" w:val="clear"/>
            <w:tcMar>
              <w:top w:type="dxa" w:w="100"/>
              <w:left w:type="dxa" w:w="140"/>
              <w:bottom w:type="dxa" w:w="100"/>
              <w:right w:type="dxa" w:w="140"/>
            </w:tcMar>
          </w:tcPr>
          <w:p>
            <w:pPr>
              <w:spacing w:after="40" w:before="40"/>
            </w:pPr>
            <w:r>
              <w:rPr>
                <w:rFonts w:ascii="Arial" w:cs="Arial" w:eastAsia="Arial" w:hAnsi="Arial"/>
                <w:sz w:val="20"/>
                <w:szCs w:val="20"/>
              </w:rPr>
              <w:t xml:space="preserve">(5)</w:t>
            </w:r>
          </w:p>
        </w:tc>
        <w:tc>
          <w:tcPr>
            <w:tcW w:type="dxa" w:w="2400"/>
            <w:tcBorders>
              <w:top w:val="single" w:color="888888" w:sz="6"/>
              <w:left w:val="single" w:color="888888" w:sz="6"/>
              <w:bottom w:val="single" w:color="888888" w:sz="6"/>
              <w:right w:val="single" w:color="888888" w:sz="6"/>
            </w:tcBorders>
            <w:shd w:fill="F2F2F2" w:val="clear"/>
            <w:tcMar>
              <w:top w:type="dxa" w:w="100"/>
              <w:left w:type="dxa" w:w="140"/>
              <w:bottom w:type="dxa" w:w="100"/>
              <w:right w:type="dxa" w:w="140"/>
            </w:tcMar>
          </w:tcPr>
          <w:p>
            <w:pPr>
              <w:spacing w:after="40" w:before="40"/>
            </w:pPr>
            <w:r>
              <w:rPr>
                <w:rFonts w:ascii="Arial" w:cs="Arial" w:eastAsia="Arial" w:hAnsi="Arial"/>
                <w:sz w:val="20"/>
                <w:szCs w:val="20"/>
              </w:rPr>
              <w:t xml:space="preserve">Closure driver</w:t>
            </w:r>
          </w:p>
        </w:tc>
        <w:tc>
          <w:tcPr>
            <w:tcW w:type="dxa" w:w="6360"/>
            <w:tcBorders>
              <w:top w:val="single" w:color="888888" w:sz="6"/>
              <w:left w:val="single" w:color="888888" w:sz="6"/>
              <w:bottom w:val="single" w:color="888888" w:sz="6"/>
              <w:right w:val="single" w:color="888888" w:sz="6"/>
            </w:tcBorders>
            <w:shd w:fill="F2F2F2" w:val="clear"/>
            <w:tcMar>
              <w:top w:type="dxa" w:w="100"/>
              <w:left w:type="dxa" w:w="140"/>
              <w:bottom w:type="dxa" w:w="100"/>
              <w:right w:type="dxa" w:w="140"/>
            </w:tcMar>
          </w:tcPr>
          <w:p>
            <w:pPr>
              <w:spacing w:after="40" w:before="40"/>
            </w:pPr>
            <w:r>
              <w:rPr>
                <w:rFonts w:ascii="Arial" w:cs="Arial" w:eastAsia="Arial" w:hAnsi="Arial"/>
                <w:sz w:val="20"/>
                <w:szCs w:val="20"/>
              </w:rPr>
              <w:t xml:space="preserve">A program-internal threshold associated with the pentagonal/dodecahedral closure of the EIM physical projection. Not part of the universal foundational argument; flagged as program-specific.</w:t>
            </w:r>
          </w:p>
        </w:tc>
      </w:tr>
    </w:tbl>
    <w:p>
      <w:r>
        <w:t xml:space="preserve"/>
      </w:r>
    </w:p>
    <w:p>
      <w:pPr>
        <w:spacing w:after="80" w:before="80" w:line="312"/>
        <w:jc w:val="both"/>
      </w:pPr>
      <w:r>
        <w:rPr>
          <w:rFonts w:ascii="Arial" w:cs="Arial" w:eastAsia="Arial" w:hAnsi="Arial"/>
          <w:sz w:val="22"/>
          <w:szCs w:val="22"/>
        </w:rPr>
        <w:t xml:space="preserve">Levels 0–4 are intended as foundationally general. Level (5) belongs to the program-specific physics projection of EIM and should not be read as part of the domain-first epistemology proper. We mark it explicitly so as not to conflate epistemic preconditions with physical commitments. The foundational argument of this paper terminates at Level 4.</w:t>
      </w:r>
    </w:p>
    <w:p>
      <w:pPr>
        <w:pStyle w:val="Heading1"/>
        <w:spacing w:after="140" w:before="280"/>
      </w:pPr>
      <w:r>
        <w:rPr>
          <w:rFonts w:ascii="Arial" w:cs="Arial" w:eastAsia="Arial" w:hAnsi="Arial"/>
          <w:b/>
          <w:bCs/>
          <w:sz w:val="28"/>
          <w:szCs w:val="28"/>
        </w:rPr>
        <w:t xml:space="preserve">5. Counting, Variables, and the Genesis of Eventhood</w:t>
      </w:r>
    </w:p>
    <w:p>
      <w:pPr>
        <w:spacing w:after="80" w:before="80" w:line="312"/>
        <w:jc w:val="both"/>
      </w:pPr>
      <w:r>
        <w:rPr>
          <w:rFonts w:ascii="Arial" w:cs="Arial" w:eastAsia="Arial" w:hAnsi="Arial"/>
          <w:sz w:val="22"/>
          <w:szCs w:val="22"/>
        </w:rPr>
        <w:t xml:space="preserve">Counting is widely treated as primitive. It is not. To count from n to n + 1, the count n must remain available — i.e., be in M — while a fresh distinction is executed and admissibly compared to the prior count. Without M, n is not retrievable when n + 1 is to be inscribed; without I, n + 1 is not relatable to n; without E, no new act has occurred. The intuition is not novel: Brouwer’s </w:t>
      </w:r>
      <w:r>
        <w:rPr>
          <w:rFonts w:ascii="Arial" w:cs="Arial" w:eastAsia="Arial" w:hAnsi="Arial"/>
          <w:i/>
          <w:iCs/>
          <w:sz w:val="22"/>
          <w:szCs w:val="22"/>
        </w:rPr>
        <w:t xml:space="preserve">two-ity</w:t>
      </w:r>
      <w:r>
        <w:rPr>
          <w:rFonts w:ascii="Arial" w:cs="Arial" w:eastAsia="Arial" w:hAnsi="Arial"/>
          <w:sz w:val="22"/>
          <w:szCs w:val="22"/>
        </w:rPr>
        <w:t xml:space="preserve"> (Brouwer, 1948) and Husserl’s </w:t>
      </w:r>
      <w:r>
        <w:rPr>
          <w:rFonts w:ascii="Arial" w:cs="Arial" w:eastAsia="Arial" w:hAnsi="Arial"/>
          <w:i/>
          <w:iCs/>
          <w:sz w:val="22"/>
          <w:szCs w:val="22"/>
        </w:rPr>
        <w:t xml:space="preserve">Origin of Geometry</w:t>
      </w:r>
      <w:r>
        <w:rPr>
          <w:rFonts w:ascii="Arial" w:cs="Arial" w:eastAsia="Arial" w:hAnsi="Arial"/>
          <w:sz w:val="22"/>
          <w:szCs w:val="22"/>
        </w:rPr>
        <w:t xml:space="preserve"> (Husserl, 1939/1970) make adjacent points. Our claim is more modest. We do not argue that EIM founds counting; we argue that any account of counting must furnish the same three roles, by some name.</w:t>
      </w:r>
    </w:p>
    <w:p>
      <w:pPr>
        <w:spacing w:after="80" w:before="80" w:line="312"/>
        <w:jc w:val="both"/>
      </w:pPr>
      <w:r>
        <w:rPr>
          <w:rFonts w:ascii="Arial" w:cs="Arial" w:eastAsia="Arial" w:hAnsi="Arial"/>
          <w:sz w:val="22"/>
          <w:szCs w:val="22"/>
        </w:rPr>
        <w:t xml:space="preserve">Variables inherit the same dependency. A variable is a name introduced for a distinction whose token can vary across admissible operations while its identity-as-variable persists. </w:t>
      </w:r>
      <w:r>
        <w:rPr>
          <w:rFonts w:ascii="Arial" w:cs="Arial" w:eastAsia="Arial" w:hAnsi="Arial"/>
          <w:i/>
          <w:iCs/>
          <w:sz w:val="22"/>
          <w:szCs w:val="22"/>
        </w:rPr>
        <w:t xml:space="preserve">Eventhood</w:t>
      </w:r>
      <w:r>
        <w:rPr>
          <w:rFonts w:ascii="Arial" w:cs="Arial" w:eastAsia="Arial" w:hAnsi="Arial"/>
          <w:sz w:val="22"/>
          <w:szCs w:val="22"/>
        </w:rPr>
        <w:t xml:space="preserve"> — the very ability to say </w:t>
      </w:r>
      <w:r>
        <w:rPr>
          <w:rFonts w:ascii="Arial" w:cs="Arial" w:eastAsia="Arial" w:hAnsi="Arial"/>
          <w:sz w:val="22"/>
          <w:szCs w:val="22"/>
        </w:rPr>
        <w:t xml:space="preserve">“and then”</w:t>
      </w:r>
      <w:r>
        <w:rPr>
          <w:rFonts w:ascii="Arial" w:cs="Arial" w:eastAsia="Arial" w:hAnsi="Arial"/>
          <w:sz w:val="22"/>
          <w:szCs w:val="22"/>
        </w:rPr>
        <w:t xml:space="preserve"> — is not given for free either. An event is an executed distinction with finite propagation, retained record, and comparability across admissibly coupled frames. Without M, </w:t>
      </w:r>
      <w:r>
        <w:rPr>
          <w:rFonts w:ascii="Arial" w:cs="Arial" w:eastAsia="Arial" w:hAnsi="Arial"/>
          <w:sz w:val="22"/>
          <w:szCs w:val="22"/>
        </w:rPr>
        <w:t xml:space="preserve">“and then”</w:t>
      </w:r>
      <w:r>
        <w:rPr>
          <w:rFonts w:ascii="Arial" w:cs="Arial" w:eastAsia="Arial" w:hAnsi="Arial"/>
          <w:sz w:val="22"/>
          <w:szCs w:val="22"/>
        </w:rPr>
        <w:t xml:space="preserve"> has no anchor; without I, </w:t>
      </w:r>
      <w:r>
        <w:rPr>
          <w:rFonts w:ascii="Arial" w:cs="Arial" w:eastAsia="Arial" w:hAnsi="Arial"/>
          <w:sz w:val="22"/>
          <w:szCs w:val="22"/>
        </w:rPr>
        <w:t xml:space="preserve">“and”</w:t>
      </w:r>
      <w:r>
        <w:rPr>
          <w:rFonts w:ascii="Arial" w:cs="Arial" w:eastAsia="Arial" w:hAnsi="Arial"/>
          <w:sz w:val="22"/>
          <w:szCs w:val="22"/>
        </w:rPr>
        <w:t xml:space="preserve"> has no relation; without E, there is no </w:t>
      </w:r>
      <w:r>
        <w:rPr>
          <w:rFonts w:ascii="Arial" w:cs="Arial" w:eastAsia="Arial" w:hAnsi="Arial"/>
          <w:sz w:val="22"/>
          <w:szCs w:val="22"/>
        </w:rPr>
        <w:t xml:space="preserve">“and.”</w:t>
      </w:r>
    </w:p>
    <w:p>
      <w:pPr>
        <w:spacing w:after="80" w:before="80" w:line="312"/>
        <w:jc w:val="both"/>
      </w:pPr>
      <w:r>
        <w:rPr>
          <w:rFonts w:ascii="Arial" w:cs="Arial" w:eastAsia="Arial" w:hAnsi="Arial"/>
          <w:sz w:val="22"/>
          <w:szCs w:val="22"/>
        </w:rPr>
        <w:t xml:space="preserve">This is why the EIM triad cannot be replaced by a single primitive: each of Execution, Interaction, and Memory does work that the others cannot do.</w:t>
      </w:r>
    </w:p>
    <w:p>
      <w:pPr>
        <w:pStyle w:val="Heading1"/>
        <w:spacing w:after="140" w:before="280"/>
      </w:pPr>
      <w:r>
        <w:rPr>
          <w:rFonts w:ascii="Arial" w:cs="Arial" w:eastAsia="Arial" w:hAnsi="Arial"/>
          <w:b/>
          <w:bCs/>
          <w:sz w:val="28"/>
          <w:szCs w:val="28"/>
        </w:rPr>
        <w:t xml:space="preserve">6. Entropy, Negentropy, and the Architecture of Records</w:t>
      </w:r>
    </w:p>
    <w:p>
      <w:pPr>
        <w:spacing w:after="80" w:before="80" w:line="312"/>
        <w:jc w:val="both"/>
      </w:pPr>
      <w:r>
        <w:rPr>
          <w:rFonts w:ascii="Arial" w:cs="Arial" w:eastAsia="Arial" w:hAnsi="Arial"/>
          <w:sz w:val="22"/>
          <w:szCs w:val="22"/>
        </w:rPr>
        <w:t xml:space="preserve">Entropy, in the information-theoretic sense, disperses distinction into unresolved possibility. Negentropy locally stabilizes distinction — as a coordinate, a record, an instrument reading, an organism, a theory, a citation. Records are not free: as Landauer (1961) made clear, the erasure of a bit of distinction has a thermodynamic cost. Memory is not magical persistence; it is paid-for persistence. Interaction is not magical coupling; it is the structured admissibility of paid-for distinctions to be compared.</w:t>
      </w:r>
    </w:p>
    <w:p>
      <w:pPr>
        <w:spacing w:after="80" w:before="80" w:line="312"/>
        <w:jc w:val="both"/>
      </w:pPr>
      <w:r>
        <w:rPr>
          <w:rFonts w:ascii="Arial" w:cs="Arial" w:eastAsia="Arial" w:hAnsi="Arial"/>
          <w:sz w:val="22"/>
          <w:szCs w:val="22"/>
        </w:rPr>
        <w:t xml:space="preserve">On this reading, science is a </w:t>
      </w:r>
      <w:r>
        <w:rPr>
          <w:rFonts w:ascii="Arial" w:cs="Arial" w:eastAsia="Arial" w:hAnsi="Arial"/>
          <w:i/>
          <w:iCs/>
          <w:sz w:val="22"/>
          <w:szCs w:val="22"/>
        </w:rPr>
        <w:t xml:space="preserve">negentropic Memory architecture</w:t>
      </w:r>
      <w:r>
        <w:rPr>
          <w:rFonts w:ascii="Arial" w:cs="Arial" w:eastAsia="Arial" w:hAnsi="Arial"/>
          <w:sz w:val="22"/>
          <w:szCs w:val="22"/>
        </w:rPr>
        <w:t xml:space="preserve"> embedded in an entropic universe: a distributed, error-correcting record of executed distinctions whose admissibility is policed by replication and peer review. The cost of maintaining the record is paid by laboratories, journals, datasets, conferences, and instruments. None of these come for free, and none of them are incidental to what science is.</w:t>
      </w:r>
    </w:p>
    <w:p>
      <w:pPr>
        <w:pStyle w:val="Heading1"/>
        <w:spacing w:after="140" w:before="280"/>
      </w:pPr>
      <w:r>
        <w:rPr>
          <w:rFonts w:ascii="Arial" w:cs="Arial" w:eastAsia="Arial" w:hAnsi="Arial"/>
          <w:b/>
          <w:bCs/>
          <w:sz w:val="28"/>
          <w:szCs w:val="28"/>
        </w:rPr>
        <w:t xml:space="preserve">7. Location as Coordination Event</w:t>
      </w:r>
    </w:p>
    <w:p>
      <w:pPr>
        <w:spacing w:after="80" w:before="80" w:line="312"/>
        <w:jc w:val="both"/>
      </w:pPr>
      <w:r>
        <w:rPr>
          <w:rFonts w:ascii="Arial" w:cs="Arial" w:eastAsia="Arial" w:hAnsi="Arial"/>
          <w:sz w:val="22"/>
          <w:szCs w:val="22"/>
        </w:rPr>
        <w:t xml:space="preserve">It is tempting to say: a thing has a location, and our job is to find it. EIM resists this. Location is not a primitive property; it is a </w:t>
      </w:r>
      <w:r>
        <w:rPr>
          <w:rFonts w:ascii="Arial" w:cs="Arial" w:eastAsia="Arial" w:hAnsi="Arial"/>
          <w:i/>
          <w:iCs/>
          <w:sz w:val="22"/>
          <w:szCs w:val="22"/>
        </w:rPr>
        <w:t xml:space="preserve">successful coordination event</w:t>
      </w:r>
      <w:r>
        <w:rPr>
          <w:rFonts w:ascii="Arial" w:cs="Arial" w:eastAsia="Arial" w:hAnsi="Arial"/>
          <w:sz w:val="22"/>
          <w:szCs w:val="22"/>
        </w:rPr>
        <w:t xml:space="preserve">. To locate something is to execute a distinction (it, here, not there), interact with it through some channel (a ping, a photon, a measurement), retain a record (a coordinate, a timestamp), and admit the result into a frame in which it can be compared with other locations. The familiar phrase </w:t>
      </w:r>
      <w:r>
        <w:rPr>
          <w:rFonts w:ascii="Arial" w:cs="Arial" w:eastAsia="Arial" w:hAnsi="Arial"/>
          <w:sz w:val="22"/>
          <w:szCs w:val="22"/>
        </w:rPr>
        <w:t xml:space="preserve">“where is it?”</w:t>
      </w:r>
      <w:r>
        <w:rPr>
          <w:rFonts w:ascii="Arial" w:cs="Arial" w:eastAsia="Arial" w:hAnsi="Arial"/>
          <w:sz w:val="22"/>
          <w:szCs w:val="22"/>
        </w:rPr>
        <w:t xml:space="preserve"> is shorthand for a structured EIM event.</w:t>
      </w:r>
    </w:p>
    <w:p>
      <w:pPr>
        <w:spacing w:after="80" w:before="80" w:line="312"/>
        <w:jc w:val="both"/>
      </w:pPr>
      <w:r>
        <w:rPr>
          <w:rFonts w:ascii="Arial" w:cs="Arial" w:eastAsia="Arial" w:hAnsi="Arial"/>
          <w:sz w:val="22"/>
          <w:szCs w:val="22"/>
        </w:rPr>
        <w:t xml:space="preserve">This reading is consistent with operationalism (Bridgman, 1927) but not coextensive with it. Operationalism makes the </w:t>
      </w:r>
      <w:r>
        <w:rPr>
          <w:rFonts w:ascii="Arial" w:cs="Arial" w:eastAsia="Arial" w:hAnsi="Arial"/>
          <w:i/>
          <w:iCs/>
          <w:sz w:val="22"/>
          <w:szCs w:val="22"/>
        </w:rPr>
        <w:t xml:space="preserve">meaning</w:t>
      </w:r>
      <w:r>
        <w:rPr>
          <w:rFonts w:ascii="Arial" w:cs="Arial" w:eastAsia="Arial" w:hAnsi="Arial"/>
          <w:sz w:val="22"/>
          <w:szCs w:val="22"/>
        </w:rPr>
        <w:t xml:space="preserve"> of a quantity its measurement procedure; EIM is silent on meaning and instead structurally requires that any quantity be the outcome of an EIM event in a Memory-bearing network. A coordinate without a record is not a coordinate; it is a stipulation.</w:t>
      </w:r>
    </w:p>
    <w:p>
      <w:pPr>
        <w:pStyle w:val="Heading1"/>
        <w:spacing w:after="140" w:before="280"/>
      </w:pPr>
      <w:r>
        <w:rPr>
          <w:rFonts w:ascii="Arial" w:cs="Arial" w:eastAsia="Arial" w:hAnsi="Arial"/>
          <w:b/>
          <w:bCs/>
          <w:sz w:val="28"/>
          <w:szCs w:val="28"/>
        </w:rPr>
        <w:t xml:space="preserve">8. Science as Distributed Localization; Objectivity as Epistemic Isotropy</w:t>
      </w:r>
    </w:p>
    <w:p>
      <w:pPr>
        <w:spacing w:after="80" w:before="80" w:line="312"/>
        <w:jc w:val="both"/>
      </w:pPr>
      <w:r>
        <w:rPr>
          <w:rFonts w:ascii="Arial" w:cs="Arial" w:eastAsia="Arial" w:hAnsi="Arial"/>
          <w:sz w:val="22"/>
          <w:szCs w:val="22"/>
        </w:rPr>
        <w:t xml:space="preserve">We can now restate the structure of science. A measurement is an EIM event:</w:t>
      </w:r>
    </w:p>
    <w:p>
      <w:pPr>
        <w:spacing w:after="80" w:before="80" w:line="312"/>
        <w:jc w:val="both"/>
      </w:pPr>
      <w:r>
        <w:rPr>
          <w:rFonts w:ascii="Arial" w:cs="Arial" w:eastAsia="Arial" w:hAnsi="Arial"/>
          <w:b/>
          <w:bCs/>
          <w:sz w:val="22"/>
          <w:szCs w:val="22"/>
        </w:rPr>
        <w:t xml:space="preserve">Execution</w:t>
      </w:r>
      <w:r>
        <w:rPr>
          <w:rFonts w:ascii="Arial" w:cs="Arial" w:eastAsia="Arial" w:hAnsi="Arial"/>
          <w:sz w:val="22"/>
          <w:szCs w:val="22"/>
        </w:rPr>
        <w:t xml:space="preserve">: the distinction performed (a click, a photon, a count).</w:t>
      </w:r>
    </w:p>
    <w:p>
      <w:pPr>
        <w:spacing w:after="80" w:before="80" w:line="312"/>
        <w:jc w:val="both"/>
      </w:pPr>
      <w:r>
        <w:rPr>
          <w:rFonts w:ascii="Arial" w:cs="Arial" w:eastAsia="Arial" w:hAnsi="Arial"/>
          <w:b/>
          <w:bCs/>
          <w:sz w:val="22"/>
          <w:szCs w:val="22"/>
        </w:rPr>
        <w:t xml:space="preserve">Interaction</w:t>
      </w:r>
      <w:r>
        <w:rPr>
          <w:rFonts w:ascii="Arial" w:cs="Arial" w:eastAsia="Arial" w:hAnsi="Arial"/>
          <w:sz w:val="22"/>
          <w:szCs w:val="22"/>
        </w:rPr>
        <w:t xml:space="preserve">: the coupling between system and instrument.</w:t>
      </w:r>
    </w:p>
    <w:p>
      <w:pPr>
        <w:spacing w:after="80" w:before="80" w:line="312"/>
        <w:jc w:val="both"/>
      </w:pPr>
      <w:r>
        <w:rPr>
          <w:rFonts w:ascii="Arial" w:cs="Arial" w:eastAsia="Arial" w:hAnsi="Arial"/>
          <w:b/>
          <w:bCs/>
          <w:sz w:val="22"/>
          <w:szCs w:val="22"/>
        </w:rPr>
        <w:t xml:space="preserve">Memory</w:t>
      </w:r>
      <w:r>
        <w:rPr>
          <w:rFonts w:ascii="Arial" w:cs="Arial" w:eastAsia="Arial" w:hAnsi="Arial"/>
          <w:sz w:val="22"/>
          <w:szCs w:val="22"/>
        </w:rPr>
        <w:t xml:space="preserve">: the retained record (a logbook entry, a digital file, a published table).</w:t>
      </w:r>
    </w:p>
    <w:p>
      <w:pPr>
        <w:spacing w:after="80" w:before="80" w:line="312"/>
        <w:jc w:val="both"/>
      </w:pPr>
      <w:r>
        <w:rPr>
          <w:rFonts w:ascii="Arial" w:cs="Arial" w:eastAsia="Arial" w:hAnsi="Arial"/>
          <w:b/>
          <w:bCs/>
          <w:sz w:val="22"/>
          <w:szCs w:val="22"/>
        </w:rPr>
        <w:t xml:space="preserve">Replication</w:t>
      </w:r>
      <w:r>
        <w:rPr>
          <w:rFonts w:ascii="Arial" w:cs="Arial" w:eastAsia="Arial" w:hAnsi="Arial"/>
          <w:sz w:val="22"/>
          <w:szCs w:val="22"/>
        </w:rPr>
        <w:t xml:space="preserve">: validation of the Memory by repeated execution.</w:t>
      </w:r>
    </w:p>
    <w:p>
      <w:pPr>
        <w:spacing w:after="80" w:before="80" w:line="312"/>
        <w:jc w:val="both"/>
      </w:pPr>
      <w:r>
        <w:rPr>
          <w:rFonts w:ascii="Arial" w:cs="Arial" w:eastAsia="Arial" w:hAnsi="Arial"/>
          <w:b/>
          <w:bCs/>
          <w:sz w:val="22"/>
          <w:szCs w:val="22"/>
        </w:rPr>
        <w:t xml:space="preserve">Theory</w:t>
      </w:r>
      <w:r>
        <w:rPr>
          <w:rFonts w:ascii="Arial" w:cs="Arial" w:eastAsia="Arial" w:hAnsi="Arial"/>
          <w:sz w:val="22"/>
          <w:szCs w:val="22"/>
        </w:rPr>
        <w:t xml:space="preserve">: compression of Memory into a transmissible structure.</w:t>
      </w:r>
    </w:p>
    <w:p>
      <w:pPr>
        <w:spacing w:after="80" w:before="80" w:line="312"/>
        <w:jc w:val="both"/>
      </w:pPr>
      <w:r>
        <w:rPr>
          <w:rFonts w:ascii="Arial" w:cs="Arial" w:eastAsia="Arial" w:hAnsi="Arial"/>
          <w:b/>
          <w:bCs/>
          <w:sz w:val="22"/>
          <w:szCs w:val="22"/>
        </w:rPr>
        <w:t xml:space="preserve">Peer review</w:t>
      </w:r>
      <w:r>
        <w:rPr>
          <w:rFonts w:ascii="Arial" w:cs="Arial" w:eastAsia="Arial" w:hAnsi="Arial"/>
          <w:sz w:val="22"/>
          <w:szCs w:val="22"/>
        </w:rPr>
        <w:t xml:space="preserve">: distributed admissibility filter on the records that enter the shared Memory.</w:t>
      </w:r>
    </w:p>
    <w:p>
      <w:pPr>
        <w:spacing w:after="80" w:before="80" w:line="312"/>
        <w:jc w:val="both"/>
      </w:pPr>
      <w:r>
        <w:rPr>
          <w:rFonts w:ascii="Arial" w:cs="Arial" w:eastAsia="Arial" w:hAnsi="Arial"/>
          <w:sz w:val="22"/>
          <w:szCs w:val="22"/>
        </w:rPr>
        <w:t xml:space="preserve">Each scientist works from a finite horizon — finite instruments, finite training, finite data. Science is not the negation of perspective. It is the </w:t>
      </w:r>
      <w:r>
        <w:rPr>
          <w:rFonts w:ascii="Arial" w:cs="Arial" w:eastAsia="Arial" w:hAnsi="Arial"/>
          <w:i/>
          <w:iCs/>
          <w:sz w:val="22"/>
          <w:szCs w:val="22"/>
        </w:rPr>
        <w:t xml:space="preserve">coordination</w:t>
      </w:r>
      <w:r>
        <w:rPr>
          <w:rFonts w:ascii="Arial" w:cs="Arial" w:eastAsia="Arial" w:hAnsi="Arial"/>
          <w:sz w:val="22"/>
          <w:szCs w:val="22"/>
        </w:rPr>
        <w:t xml:space="preserve"> of perspectives. We may call this </w:t>
      </w:r>
      <w:r>
        <w:rPr>
          <w:rFonts w:ascii="Arial" w:cs="Arial" w:eastAsia="Arial" w:hAnsi="Arial"/>
          <w:i/>
          <w:iCs/>
          <w:sz w:val="22"/>
          <w:szCs w:val="22"/>
        </w:rPr>
        <w:t xml:space="preserve">distributed localization</w:t>
      </w:r>
      <w:r>
        <w:rPr>
          <w:rFonts w:ascii="Arial" w:cs="Arial" w:eastAsia="Arial" w:hAnsi="Arial"/>
          <w:sz w:val="22"/>
          <w:szCs w:val="22"/>
        </w:rPr>
        <w:t xml:space="preserve">: a network of locally horizoned EIM events whose records are mutually admissible and mutually correctable.</w:t>
      </w:r>
    </w:p>
    <w:p>
      <w:pPr>
        <w:spacing w:after="80" w:before="80" w:line="312"/>
        <w:jc w:val="both"/>
      </w:pPr>
      <w:r>
        <w:rPr>
          <w:rFonts w:ascii="Arial" w:cs="Arial" w:eastAsia="Arial" w:hAnsi="Arial"/>
          <w:sz w:val="22"/>
          <w:szCs w:val="22"/>
        </w:rPr>
        <w:t xml:space="preserve">What, then, is objectivity? Not a </w:t>
      </w:r>
      <w:r>
        <w:rPr>
          <w:rFonts w:ascii="Arial" w:cs="Arial" w:eastAsia="Arial" w:hAnsi="Arial"/>
          <w:sz w:val="22"/>
          <w:szCs w:val="22"/>
        </w:rPr>
        <w:t xml:space="preserve">“view from nowhere”</w:t>
      </w:r>
      <w:r>
        <w:rPr>
          <w:rFonts w:ascii="Arial" w:cs="Arial" w:eastAsia="Arial" w:hAnsi="Arial"/>
          <w:sz w:val="22"/>
          <w:szCs w:val="22"/>
        </w:rPr>
        <w:t xml:space="preserve"> — that phrase mistakes the achievement for the absence of a viewer. Objectivity is the </w:t>
      </w:r>
      <w:r>
        <w:rPr>
          <w:rFonts w:ascii="Arial" w:cs="Arial" w:eastAsia="Arial" w:hAnsi="Arial"/>
          <w:i/>
          <w:iCs/>
          <w:sz w:val="22"/>
          <w:szCs w:val="22"/>
        </w:rPr>
        <w:t xml:space="preserve">zero-perspective limit</w:t>
      </w:r>
      <w:r>
        <w:rPr>
          <w:rFonts w:ascii="Arial" w:cs="Arial" w:eastAsia="Arial" w:hAnsi="Arial"/>
          <w:sz w:val="22"/>
          <w:szCs w:val="22"/>
        </w:rPr>
        <w:t xml:space="preserve"> of corrected local perspectives: the structural condition under which the description does not depend on which local perspective performed the EIM event. We name this condition </w:t>
      </w:r>
      <w:r>
        <w:rPr>
          <w:rFonts w:ascii="Arial" w:cs="Arial" w:eastAsia="Arial" w:hAnsi="Arial"/>
          <w:i/>
          <w:iCs/>
          <w:sz w:val="22"/>
          <w:szCs w:val="22"/>
        </w:rPr>
        <w:t xml:space="preserve">epistemic isotropy</w:t>
      </w:r>
      <w:r>
        <w:rPr>
          <w:rFonts w:ascii="Arial" w:cs="Arial" w:eastAsia="Arial" w:hAnsi="Arial"/>
          <w:sz w:val="22"/>
          <w:szCs w:val="22"/>
        </w:rPr>
        <w:t xml:space="preserve">.</w:t>
      </w:r>
    </w:p>
    <w:p>
      <w:pPr>
        <w:spacing w:after="80" w:before="80" w:line="312"/>
        <w:jc w:val="both"/>
      </w:pPr>
      <w:r>
        <w:rPr>
          <w:rFonts w:ascii="Arial" w:cs="Arial" w:eastAsia="Arial" w:hAnsi="Arial"/>
          <w:sz w:val="22"/>
          <w:szCs w:val="22"/>
        </w:rPr>
        <w:t xml:space="preserve">To make </w:t>
      </w:r>
      <w:r>
        <w:rPr>
          <w:rFonts w:ascii="Arial" w:cs="Arial" w:eastAsia="Arial" w:hAnsi="Arial"/>
          <w:sz w:val="22"/>
          <w:szCs w:val="22"/>
        </w:rPr>
        <w:t xml:space="preserve">“isotropy”</w:t>
      </w:r>
      <w:r>
        <w:rPr>
          <w:rFonts w:ascii="Arial" w:cs="Arial" w:eastAsia="Arial" w:hAnsi="Arial"/>
          <w:sz w:val="22"/>
          <w:szCs w:val="22"/>
        </w:rPr>
        <w:t xml:space="preserve"> non-metaphorical, we make the following minimal proposal. Let G be the group of admissible perspective transformations on a record (e.g., choice of frame, observer, instrument, or language of description). A description D is </w:t>
      </w:r>
      <w:r>
        <w:rPr>
          <w:rFonts w:ascii="Arial" w:cs="Arial" w:eastAsia="Arial" w:hAnsi="Arial"/>
          <w:i/>
          <w:iCs/>
          <w:sz w:val="22"/>
          <w:szCs w:val="22"/>
        </w:rPr>
        <w:t xml:space="preserve">isotropic under G</w:t>
      </w:r>
      <w:r>
        <w:rPr>
          <w:rFonts w:ascii="Arial" w:cs="Arial" w:eastAsia="Arial" w:hAnsi="Arial"/>
          <w:sz w:val="22"/>
          <w:szCs w:val="22"/>
        </w:rPr>
        <w:t xml:space="preserve"> if g · D ≅ D for all g ∈ G under the appropriate equivalence. Objectivity is the project of finding descriptions whose admissible orbits collapse to a single equivalence class; subjectivity is the residue of choices that do not.</w:t>
      </w:r>
    </w:p>
    <w:p>
      <w:pPr>
        <w:spacing w:after="140" w:before="140"/>
        <w:jc w:val="center"/>
      </w:pPr>
      <w:r>
        <w:rPr>
          <w:rFonts w:ascii="Arial" w:cs="Arial" w:eastAsia="Arial" w:hAnsi="Arial"/>
          <w:i/>
          <w:iCs/>
          <w:sz w:val="22"/>
          <w:szCs w:val="22"/>
        </w:rPr>
        <w:t xml:space="preserve">Objectivity</w:t>
      </w:r>
      <w:r>
        <w:rPr>
          <w:rFonts w:ascii="Arial" w:cs="Arial" w:eastAsia="Arial" w:hAnsi="Arial"/>
          <w:sz w:val="22"/>
          <w:szCs w:val="22"/>
        </w:rPr>
        <w:t xml:space="preserve">:  </w:t>
      </w:r>
      <w:r>
        <w:rPr>
          <w:rFonts w:ascii="Arial" w:cs="Arial" w:eastAsia="Arial" w:hAnsi="Arial"/>
          <w:sz w:val="22"/>
          <w:szCs w:val="22"/>
        </w:rPr>
        <w:t xml:space="preserve">∀</w:t>
      </w:r>
      <w:r>
        <w:rPr>
          <w:rFonts w:ascii="Arial" w:cs="Arial" w:eastAsia="Arial" w:hAnsi="Arial"/>
          <w:sz w:val="22"/>
          <w:szCs w:val="22"/>
        </w:rPr>
        <w:t xml:space="preserve"> g ∈ G,  g · D ≅ D.</w:t>
      </w:r>
    </w:p>
    <w:p>
      <w:pPr>
        <w:spacing w:after="80" w:before="80" w:line="312"/>
        <w:jc w:val="both"/>
      </w:pPr>
      <w:r>
        <w:rPr>
          <w:rFonts w:ascii="Arial" w:cs="Arial" w:eastAsia="Arial" w:hAnsi="Arial"/>
          <w:sz w:val="22"/>
          <w:szCs w:val="22"/>
        </w:rPr>
        <w:t xml:space="preserve">We make no claim that G is fully specifiable in advance. Specifying G is itself a scientific task; arguments about which transformations should be in G are the everyday substance of methodology, calibration, and interpretation.</w:t>
      </w:r>
    </w:p>
    <w:p>
      <w:pPr>
        <w:pStyle w:val="Heading1"/>
        <w:spacing w:after="140" w:before="280"/>
      </w:pPr>
      <w:r>
        <w:rPr>
          <w:rFonts w:ascii="Arial" w:cs="Arial" w:eastAsia="Arial" w:hAnsi="Arial"/>
          <w:b/>
          <w:bCs/>
          <w:sz w:val="28"/>
          <w:szCs w:val="28"/>
        </w:rPr>
        <w:t xml:space="preserve">9. Why Projection Calculus Is Required</w:t>
      </w:r>
    </w:p>
    <w:p>
      <w:pPr>
        <w:spacing w:after="80" w:before="80" w:line="312"/>
        <w:jc w:val="both"/>
      </w:pPr>
      <w:r>
        <w:rPr>
          <w:rFonts w:ascii="Arial" w:cs="Arial" w:eastAsia="Arial" w:hAnsi="Arial"/>
          <w:sz w:val="22"/>
          <w:szCs w:val="22"/>
        </w:rPr>
        <w:t xml:space="preserve">The EIM core, as stated, is foundationally general. It does not by itself fix any physical observable. To go from </w:t>
      </w:r>
      <w:r>
        <w:rPr>
          <w:rFonts w:ascii="Arial" w:cs="Arial" w:eastAsia="Arial" w:hAnsi="Arial"/>
          <w:i/>
          <w:iCs/>
          <w:sz w:val="22"/>
          <w:szCs w:val="22"/>
        </w:rPr>
        <w:t xml:space="preserve">“domain events σ = (E, I, M)”</w:t>
      </w:r>
      <w:r>
        <w:rPr>
          <w:rFonts w:ascii="Arial" w:cs="Arial" w:eastAsia="Arial" w:hAnsi="Arial"/>
          <w:sz w:val="22"/>
          <w:szCs w:val="22"/>
        </w:rPr>
        <w:t xml:space="preserve"> to </w:t>
      </w:r>
      <w:r>
        <w:rPr>
          <w:rFonts w:ascii="Arial" w:cs="Arial" w:eastAsia="Arial" w:hAnsi="Arial"/>
          <w:i/>
          <w:iCs/>
          <w:sz w:val="22"/>
          <w:szCs w:val="22"/>
        </w:rPr>
        <w:t xml:space="preserve">“the fine-structure constant is α”</w:t>
      </w:r>
      <w:r>
        <w:rPr>
          <w:rFonts w:ascii="Arial" w:cs="Arial" w:eastAsia="Arial" w:hAnsi="Arial"/>
          <w:sz w:val="22"/>
          <w:szCs w:val="22"/>
        </w:rPr>
        <w:t xml:space="preserve"> requires an additional discipline. We have called this discipline the </w:t>
      </w:r>
      <w:r>
        <w:rPr>
          <w:rFonts w:ascii="Arial" w:cs="Arial" w:eastAsia="Arial" w:hAnsi="Arial"/>
          <w:i/>
          <w:iCs/>
          <w:sz w:val="22"/>
          <w:szCs w:val="22"/>
        </w:rPr>
        <w:t xml:space="preserve">Projection Calculus</w:t>
      </w:r>
      <w:r>
        <w:rPr>
          <w:rFonts w:ascii="Arial" w:cs="Arial" w:eastAsia="Arial" w:hAnsi="Arial"/>
          <w:sz w:val="22"/>
          <w:szCs w:val="22"/>
        </w:rPr>
        <w:t xml:space="preserve"> (Connelly, 2026a).</w:t>
      </w:r>
    </w:p>
    <w:p>
      <w:pPr>
        <w:spacing w:after="80" w:before="80" w:line="312"/>
        <w:jc w:val="both"/>
      </w:pPr>
      <w:r>
        <w:rPr>
          <w:rFonts w:ascii="Arial" w:cs="Arial" w:eastAsia="Arial" w:hAnsi="Arial"/>
          <w:sz w:val="22"/>
          <w:szCs w:val="22"/>
        </w:rPr>
        <w:t xml:space="preserve">Every EIM-to-physics translation must, in that discipline, declare:</w:t>
      </w:r>
    </w:p>
    <w:p>
      <w:pPr>
        <w:spacing w:after="80" w:before="80" w:line="312"/>
        <w:jc w:val="both"/>
      </w:pPr>
      <w:r>
        <w:rPr>
          <w:rFonts w:ascii="Arial" w:cs="Arial" w:eastAsia="Arial" w:hAnsi="Arial"/>
          <w:b/>
          <w:bCs/>
          <w:sz w:val="22"/>
          <w:szCs w:val="22"/>
        </w:rPr>
        <w:t xml:space="preserve">Regime</w:t>
      </w:r>
      <w:r>
        <w:rPr>
          <w:rFonts w:ascii="Arial" w:cs="Arial" w:eastAsia="Arial" w:hAnsi="Arial"/>
          <w:sz w:val="22"/>
          <w:szCs w:val="22"/>
        </w:rPr>
        <w:t xml:space="preserve">: which of R0–R5 is in play.</w:t>
      </w:r>
    </w:p>
    <w:p>
      <w:pPr>
        <w:spacing w:after="80" w:before="80" w:line="312"/>
        <w:jc w:val="both"/>
      </w:pPr>
      <w:r>
        <w:rPr>
          <w:rFonts w:ascii="Arial" w:cs="Arial" w:eastAsia="Arial" w:hAnsi="Arial"/>
          <w:b/>
          <w:bCs/>
          <w:sz w:val="22"/>
          <w:szCs w:val="22"/>
        </w:rPr>
        <w:t xml:space="preserve">Preserved invariant</w:t>
      </w:r>
      <w:r>
        <w:rPr>
          <w:rFonts w:ascii="Arial" w:cs="Arial" w:eastAsia="Arial" w:hAnsi="Arial"/>
          <w:sz w:val="22"/>
          <w:szCs w:val="22"/>
        </w:rPr>
        <w:t xml:space="preserve">: what carries across the projection.</w:t>
      </w:r>
    </w:p>
    <w:p>
      <w:pPr>
        <w:spacing w:after="80" w:before="80" w:line="312"/>
        <w:jc w:val="both"/>
      </w:pPr>
      <w:r>
        <w:rPr>
          <w:rFonts w:ascii="Arial" w:cs="Arial" w:eastAsia="Arial" w:hAnsi="Arial"/>
          <w:b/>
          <w:bCs/>
          <w:sz w:val="22"/>
          <w:szCs w:val="22"/>
        </w:rPr>
        <w:t xml:space="preserve">Observable</w:t>
      </w:r>
      <w:r>
        <w:rPr>
          <w:rFonts w:ascii="Arial" w:cs="Arial" w:eastAsia="Arial" w:hAnsi="Arial"/>
          <w:sz w:val="22"/>
          <w:szCs w:val="22"/>
        </w:rPr>
        <w:t xml:space="preserve">: what is to be measured.</w:t>
      </w:r>
    </w:p>
    <w:p>
      <w:pPr>
        <w:spacing w:after="80" w:before="80" w:line="312"/>
        <w:jc w:val="both"/>
      </w:pPr>
      <w:r>
        <w:rPr>
          <w:rFonts w:ascii="Arial" w:cs="Arial" w:eastAsia="Arial" w:hAnsi="Arial"/>
          <w:b/>
          <w:bCs/>
          <w:sz w:val="22"/>
          <w:szCs w:val="22"/>
        </w:rPr>
        <w:t xml:space="preserve">Measurement</w:t>
      </w:r>
      <w:r>
        <w:rPr>
          <w:rFonts w:ascii="Arial" w:cs="Arial" w:eastAsia="Arial" w:hAnsi="Arial"/>
          <w:sz w:val="22"/>
          <w:szCs w:val="22"/>
        </w:rPr>
        <w:t xml:space="preserve">: by what EIM event.</w:t>
      </w:r>
    </w:p>
    <w:p>
      <w:pPr>
        <w:spacing w:after="80" w:before="80" w:line="312"/>
        <w:jc w:val="both"/>
      </w:pPr>
      <w:r>
        <w:rPr>
          <w:rFonts w:ascii="Arial" w:cs="Arial" w:eastAsia="Arial" w:hAnsi="Arial"/>
          <w:b/>
          <w:bCs/>
          <w:sz w:val="22"/>
          <w:szCs w:val="22"/>
        </w:rPr>
        <w:t xml:space="preserve">Failure condition</w:t>
      </w:r>
      <w:r>
        <w:rPr>
          <w:rFonts w:ascii="Arial" w:cs="Arial" w:eastAsia="Arial" w:hAnsi="Arial"/>
          <w:sz w:val="22"/>
          <w:szCs w:val="22"/>
        </w:rPr>
        <w:t xml:space="preserve">: what would falsify the projection.</w:t>
      </w:r>
    </w:p>
    <w:p>
      <w:pPr>
        <w:spacing w:after="80" w:before="80" w:line="312"/>
        <w:jc w:val="both"/>
      </w:pPr>
      <w:r>
        <w:rPr>
          <w:rFonts w:ascii="Arial" w:cs="Arial" w:eastAsia="Arial" w:hAnsi="Arial"/>
          <w:sz w:val="22"/>
          <w:szCs w:val="22"/>
        </w:rPr>
        <w:t xml:space="preserve">Without this discipline, </w:t>
      </w:r>
      <w:r>
        <w:rPr>
          <w:rFonts w:ascii="Arial" w:cs="Arial" w:eastAsia="Arial" w:hAnsi="Arial"/>
          <w:sz w:val="22"/>
          <w:szCs w:val="22"/>
        </w:rPr>
        <w:t xml:space="preserve">“EIM-flavored”</w:t>
      </w:r>
      <w:r>
        <w:rPr>
          <w:rFonts w:ascii="Arial" w:cs="Arial" w:eastAsia="Arial" w:hAnsi="Arial"/>
          <w:sz w:val="22"/>
          <w:szCs w:val="22"/>
        </w:rPr>
        <w:t xml:space="preserve"> interpretations of physical phenomena multiply freely, and the framework loses contact with empirical risk. The Projection Calculus exists to enforce that contact. The present paper’s job is to explain why such a discipline is needed: because the epistemic core does not come pre-equipped with physical observables, and any responsible translation into physics must therefore be regulated.</w:t>
      </w:r>
    </w:p>
    <w:p>
      <w:pPr>
        <w:spacing w:after="80" w:before="80" w:line="312"/>
        <w:jc w:val="both"/>
      </w:pPr>
      <w:r>
        <w:rPr>
          <w:rFonts w:ascii="Arial" w:cs="Arial" w:eastAsia="Arial" w:hAnsi="Arial"/>
          <w:sz w:val="22"/>
          <w:szCs w:val="22"/>
        </w:rPr>
        <w:t xml:space="preserve">We mark explicitly: the present paper does not derive any specific physical projection. It states the conditions under which a projection can be evaluated.</w:t>
      </w:r>
    </w:p>
    <w:p>
      <w:pPr>
        <w:pStyle w:val="Heading1"/>
        <w:spacing w:after="140" w:before="280"/>
      </w:pPr>
      <w:r>
        <w:rPr>
          <w:rFonts w:ascii="Arial" w:cs="Arial" w:eastAsia="Arial" w:hAnsi="Arial"/>
          <w:b/>
          <w:bCs/>
          <w:sz w:val="28"/>
          <w:szCs w:val="28"/>
        </w:rPr>
        <w:t xml:space="preserve">10. Relation to General Covariance: An Analogy, Not a Derivation</w:t>
      </w:r>
    </w:p>
    <w:p>
      <w:pPr>
        <w:spacing w:after="80" w:before="80" w:line="312"/>
        <w:jc w:val="both"/>
      </w:pPr>
      <w:r>
        <w:rPr>
          <w:rFonts w:ascii="Arial" w:cs="Arial" w:eastAsia="Arial" w:hAnsi="Arial"/>
          <w:sz w:val="22"/>
          <w:szCs w:val="22"/>
        </w:rPr>
        <w:t xml:space="preserve">In general relativity, the requirement that physical laws be expressible in a form invariant under arbitrary smooth coordinate transformations is encoded in the principle of general covariance. There is a long literature on whether general covariance has independent physical content (Kretschmann, 1917; Norton, 1993). We make no contribution to that debate here. We note only that general covariance is recognizable, </w:t>
      </w:r>
      <w:r>
        <w:rPr>
          <w:rFonts w:ascii="Arial" w:cs="Arial" w:eastAsia="Arial" w:hAnsi="Arial"/>
          <w:i/>
          <w:iCs/>
          <w:sz w:val="22"/>
          <w:szCs w:val="22"/>
        </w:rPr>
        <w:t xml:space="preserve">as a structural demand</w:t>
      </w:r>
      <w:r>
        <w:rPr>
          <w:rFonts w:ascii="Arial" w:cs="Arial" w:eastAsia="Arial" w:hAnsi="Arial"/>
          <w:sz w:val="22"/>
          <w:szCs w:val="22"/>
        </w:rPr>
        <w:t xml:space="preserve">, as a physical analogue of the epistemic isotropy condition described in Section 8: a description should not depend on which local frame happened to record it.</w:t>
      </w:r>
    </w:p>
    <w:p>
      <w:pPr>
        <w:spacing w:after="80" w:before="80" w:line="312"/>
        <w:jc w:val="both"/>
      </w:pPr>
      <w:r>
        <w:rPr>
          <w:rFonts w:ascii="Arial" w:cs="Arial" w:eastAsia="Arial" w:hAnsi="Arial"/>
          <w:sz w:val="22"/>
          <w:szCs w:val="22"/>
        </w:rPr>
        <w:t xml:space="preserve">We do not claim that EIM derives general relativity, that general covariance follows from epistemic isotropy, or that the two conditions are intertranslatable. They are kindred demands at different levels — one about the form of physical laws, the other about the form of admissible knowledge.</w:t>
      </w:r>
    </w:p>
    <w:p>
      <w:pPr>
        <w:pStyle w:val="Heading1"/>
        <w:spacing w:after="140" w:before="280"/>
      </w:pPr>
      <w:r>
        <w:rPr>
          <w:rFonts w:ascii="Arial" w:cs="Arial" w:eastAsia="Arial" w:hAnsi="Arial"/>
          <w:b/>
          <w:bCs/>
          <w:sz w:val="28"/>
          <w:szCs w:val="28"/>
        </w:rPr>
        <w:t xml:space="preserve">11. What This Paper Does Not Claim</w:t>
      </w:r>
    </w:p>
    <w:p>
      <w:pPr>
        <w:spacing w:after="80" w:before="80" w:line="312"/>
        <w:jc w:val="both"/>
      </w:pPr>
      <w:r>
        <w:rPr>
          <w:rFonts w:ascii="Arial" w:cs="Arial" w:eastAsia="Arial" w:hAnsi="Arial"/>
          <w:sz w:val="22"/>
          <w:szCs w:val="22"/>
        </w:rPr>
        <w:t xml:space="preserve">We summarize the limits of the present argument.</w:t>
      </w:r>
    </w:p>
    <w:p>
      <w:pPr>
        <w:spacing w:after="80" w:before="80" w:line="312"/>
        <w:jc w:val="both"/>
      </w:pPr>
      <w:r>
        <w:rPr>
          <w:rFonts w:ascii="Arial" w:cs="Arial" w:eastAsia="Arial" w:hAnsi="Arial"/>
          <w:sz w:val="22"/>
          <w:szCs w:val="22"/>
        </w:rPr>
        <w:t xml:space="preserve">(i) We do not claim that EIM cannot be denied. The need for an EIM-like structure is difficult to avoid once one asks what makes a domain knowable; EIM is one proposed minimal formalization of that structure, not the unique one.</w:t>
      </w:r>
    </w:p>
    <w:p>
      <w:pPr>
        <w:spacing w:after="80" w:before="80" w:line="312"/>
        <w:jc w:val="both"/>
      </w:pPr>
      <w:r>
        <w:rPr>
          <w:rFonts w:ascii="Arial" w:cs="Arial" w:eastAsia="Arial" w:hAnsi="Arial"/>
          <w:sz w:val="22"/>
          <w:szCs w:val="22"/>
        </w:rPr>
        <w:t xml:space="preserve">(ii) We do not claim that the triad E, I, M is unique. Other decompositions could in principle furnish the five conditions of knowable domains. We claim only that fewer than three roles cannot.</w:t>
      </w:r>
    </w:p>
    <w:p>
      <w:pPr>
        <w:spacing w:after="80" w:before="80" w:line="312"/>
        <w:jc w:val="both"/>
      </w:pPr>
      <w:r>
        <w:rPr>
          <w:rFonts w:ascii="Arial" w:cs="Arial" w:eastAsia="Arial" w:hAnsi="Arial"/>
          <w:sz w:val="22"/>
          <w:szCs w:val="22"/>
        </w:rPr>
        <w:t xml:space="preserve">(iii) We do not claim novelty for the observation that counting requires retention; the point recurs in Brouwer, Husserl, and others. We claim only a particular use of that observation as a constraint on domain-formation.</w:t>
      </w:r>
    </w:p>
    <w:p>
      <w:pPr>
        <w:spacing w:after="80" w:before="80" w:line="312"/>
        <w:jc w:val="both"/>
      </w:pPr>
      <w:r>
        <w:rPr>
          <w:rFonts w:ascii="Arial" w:cs="Arial" w:eastAsia="Arial" w:hAnsi="Arial"/>
          <w:sz w:val="22"/>
          <w:szCs w:val="22"/>
        </w:rPr>
        <w:t xml:space="preserve">(iv) We do not claim that </w:t>
      </w:r>
      <w:r>
        <w:rPr>
          <w:rFonts w:ascii="Arial" w:cs="Arial" w:eastAsia="Arial" w:hAnsi="Arial"/>
          <w:sz w:val="22"/>
          <w:szCs w:val="22"/>
        </w:rPr>
        <w:t xml:space="preserve">“objectivity is isotropy in epistemic space”</w:t>
      </w:r>
      <w:r>
        <w:rPr>
          <w:rFonts w:ascii="Arial" w:cs="Arial" w:eastAsia="Arial" w:hAnsi="Arial"/>
          <w:sz w:val="22"/>
          <w:szCs w:val="22"/>
        </w:rPr>
        <w:t xml:space="preserve"> is a new metaphor; it is, on our reading, a structural translation that becomes precise once the relevant transformation group G is fixed.</w:t>
      </w:r>
    </w:p>
    <w:p>
      <w:pPr>
        <w:spacing w:after="80" w:before="80" w:line="312"/>
        <w:jc w:val="both"/>
      </w:pPr>
      <w:r>
        <w:rPr>
          <w:rFonts w:ascii="Arial" w:cs="Arial" w:eastAsia="Arial" w:hAnsi="Arial"/>
          <w:sz w:val="22"/>
          <w:szCs w:val="22"/>
        </w:rPr>
        <w:t xml:space="preserve">(v) We do not derive any physical observable, particle, or constant in this paper. Such claims belong to the Projection Calculus and to specific projection cards.</w:t>
      </w:r>
    </w:p>
    <w:p>
      <w:pPr>
        <w:spacing w:after="80" w:before="80" w:line="312"/>
        <w:jc w:val="both"/>
      </w:pPr>
      <w:r>
        <w:rPr>
          <w:rFonts w:ascii="Arial" w:cs="Arial" w:eastAsia="Arial" w:hAnsi="Arial"/>
          <w:sz w:val="22"/>
          <w:szCs w:val="22"/>
        </w:rPr>
        <w:t xml:space="preserve">(vi) We do not claim that EIM solves the problem of the foundations of mathematics or replaces existing foundations; it asks a prior question that those foundations typically presuppose.</w:t>
      </w:r>
    </w:p>
    <w:p>
      <w:pPr>
        <w:spacing w:after="80" w:before="80" w:line="312"/>
        <w:jc w:val="both"/>
      </w:pPr>
      <w:r>
        <w:rPr>
          <w:rFonts w:ascii="Arial" w:cs="Arial" w:eastAsia="Arial" w:hAnsi="Arial"/>
          <w:sz w:val="22"/>
          <w:szCs w:val="22"/>
        </w:rPr>
        <w:t xml:space="preserve">(vii) We do not claim that the Level (5) closure threshold belongs to the foundational argument; it is program-internal physics and is flagged accordingly in Table 2.</w:t>
      </w:r>
    </w:p>
    <w:p>
      <w:pPr>
        <w:pStyle w:val="Heading1"/>
        <w:spacing w:after="140" w:before="280"/>
      </w:pPr>
      <w:r>
        <w:rPr>
          <w:rFonts w:ascii="Arial" w:cs="Arial" w:eastAsia="Arial" w:hAnsi="Arial"/>
          <w:b/>
          <w:bCs/>
          <w:sz w:val="28"/>
          <w:szCs w:val="28"/>
        </w:rPr>
        <w:t xml:space="preserve">12. Conclusion</w:t>
      </w:r>
    </w:p>
    <w:p>
      <w:pPr>
        <w:spacing w:after="80" w:before="80" w:line="312"/>
        <w:jc w:val="both"/>
      </w:pPr>
      <w:r>
        <w:rPr>
          <w:rFonts w:ascii="Arial" w:cs="Arial" w:eastAsia="Arial" w:hAnsi="Arial"/>
          <w:sz w:val="22"/>
          <w:szCs w:val="22"/>
        </w:rPr>
        <w:t xml:space="preserve">EIM, read as a domain-first epistemology, is the project of stating what must be in place before mathematics, physics, measurement, proof, or scientific objectivity can function. Its core proposal is that distinguishability, admissible relation, and retained record are jointly minimal: removing any one collapses what we ordinarily mean by </w:t>
      </w:r>
      <w:r>
        <w:rPr>
          <w:rFonts w:ascii="Arial" w:cs="Arial" w:eastAsia="Arial" w:hAnsi="Arial"/>
          <w:i/>
          <w:iCs/>
          <w:sz w:val="22"/>
          <w:szCs w:val="22"/>
        </w:rPr>
        <w:t xml:space="preserve">a knowable domain</w:t>
      </w:r>
      <w:r>
        <w:rPr>
          <w:rFonts w:ascii="Arial" w:cs="Arial" w:eastAsia="Arial" w:hAnsi="Arial"/>
          <w:sz w:val="22"/>
          <w:szCs w:val="22"/>
        </w:rPr>
        <w:t xml:space="preserve">. From this core, a structured account of counting, variables, eventhood, entropy and negentropy, location, measurement, science, and objectivity becomes available. Physical claims do not follow from this account alone; they require the separate Projection Calculus discipline that fixes regime, invariant, observable, measurement, and failure condition.</w:t>
      </w:r>
    </w:p>
    <w:p>
      <w:pPr>
        <w:spacing w:after="80" w:before="80" w:line="312"/>
        <w:jc w:val="both"/>
      </w:pPr>
      <w:r>
        <w:rPr>
          <w:rFonts w:ascii="Arial" w:cs="Arial" w:eastAsia="Arial" w:hAnsi="Arial"/>
          <w:sz w:val="22"/>
          <w:szCs w:val="22"/>
        </w:rPr>
        <w:t xml:space="preserve">The status of the proposal is foundational, not finalist. We have not closed the questions; we have specified what kind of question they are. Whether the EIM triad is the uniquely correct minimal decomposition is open. Whether epistemic isotropy can be sharpened into a working metric on description-spaces is open. Whether the program’s specific physical projections (the closure threshold marked (5) above among them) are correct is open and answerable only inside the Projection Calculus.</w:t>
      </w:r>
    </w:p>
    <w:p>
      <w:pPr>
        <w:spacing w:after="80" w:before="80" w:line="312"/>
        <w:jc w:val="both"/>
      </w:pPr>
      <w:r>
        <w:rPr>
          <w:rFonts w:ascii="Arial" w:cs="Arial" w:eastAsia="Arial" w:hAnsi="Arial"/>
          <w:sz w:val="22"/>
          <w:szCs w:val="22"/>
        </w:rPr>
        <w:t xml:space="preserve">What we have argued is narrower and, we hope, harder to dismiss. Mathematics and science do not begin with axioms; they begin with the working availability of a domain in which axioms can be stated. EIM is the proposal that a minimal account of that working availability is achievable, and that it deserves to be the conceptual front door of any program built on top of it.</w:t>
      </w:r>
    </w:p>
    <w:p>
      <w:pPr>
        <w:pStyle w:val="Heading1"/>
        <w:spacing w:after="140" w:before="280"/>
      </w:pPr>
      <w:r>
        <w:rPr>
          <w:rFonts w:ascii="Arial" w:cs="Arial" w:eastAsia="Arial" w:hAnsi="Arial"/>
          <w:b/>
          <w:bCs/>
          <w:sz w:val="28"/>
          <w:szCs w:val="28"/>
        </w:rPr>
        <w:t xml:space="preserve">13. Integration Note: Placement in the EIM Corpus</w:t>
      </w:r>
    </w:p>
    <w:p>
      <w:pPr>
        <w:spacing w:after="80" w:before="80" w:line="312"/>
        <w:jc w:val="both"/>
      </w:pPr>
      <w:r>
        <w:rPr>
          <w:rFonts w:ascii="Arial" w:cs="Arial" w:eastAsia="Arial" w:hAnsi="Arial"/>
          <w:sz w:val="22"/>
          <w:szCs w:val="22"/>
        </w:rPr>
        <w:t xml:space="preserve">This paper occupies the foundational layer of the EIM corpus. Its relations to neighboring works are as follows.</w:t>
      </w:r>
    </w:p>
    <w:p>
      <w:pPr>
        <w:spacing w:after="80" w:before="80" w:line="312"/>
        <w:jc w:val="both"/>
      </w:pPr>
      <w:r>
        <w:rPr>
          <w:rFonts w:ascii="Arial" w:cs="Arial" w:eastAsia="Arial" w:hAnsi="Arial"/>
          <w:b/>
          <w:bCs/>
          <w:sz w:val="22"/>
          <w:szCs w:val="22"/>
        </w:rPr>
        <w:t xml:space="preserve">Infinity as Projected Closure </w:t>
      </w:r>
      <w:r>
        <w:rPr>
          <w:rFonts w:ascii="Arial" w:cs="Arial" w:eastAsia="Arial" w:hAnsi="Arial"/>
          <w:sz w:val="22"/>
          <w:szCs w:val="22"/>
        </w:rPr>
        <w:t xml:space="preserve">(companion conceptual paper). That paper argues that infinity in EIM is not a primitive size but a closure projected from a domain-formation argument. The present paper supplies the prior layer: what a domain is, before any cardinality question is meaningful.</w:t>
      </w:r>
    </w:p>
    <w:p>
      <w:pPr>
        <w:spacing w:after="80" w:before="80" w:line="312"/>
        <w:jc w:val="both"/>
      </w:pPr>
      <w:r>
        <w:rPr>
          <w:rFonts w:ascii="Arial" w:cs="Arial" w:eastAsia="Arial" w:hAnsi="Arial"/>
          <w:b/>
          <w:bCs/>
          <w:sz w:val="22"/>
          <w:szCs w:val="22"/>
        </w:rPr>
        <w:t xml:space="preserve">EIM Projection Calculus and Dictionary Discipline v1.1 </w:t>
      </w:r>
      <w:r>
        <w:rPr>
          <w:rFonts w:ascii="Arial" w:cs="Arial" w:eastAsia="Arial" w:hAnsi="Arial"/>
          <w:sz w:val="22"/>
          <w:szCs w:val="22"/>
        </w:rPr>
        <w:t xml:space="preserve">(companion discipline paper). That paper defines projection cards, regimes R0–R5, preservation classes, projection-strength levels, and the anti-reinterpretation rule. The present paper explains why such a discipline is required at all: the epistemic core does not fix physical observables, and so each physical translation must be regulated rather than read off.</w:t>
      </w:r>
    </w:p>
    <w:p>
      <w:pPr>
        <w:spacing w:after="80" w:before="80" w:line="312"/>
        <w:jc w:val="both"/>
      </w:pPr>
      <w:r>
        <w:rPr>
          <w:rFonts w:ascii="Arial" w:cs="Arial" w:eastAsia="Arial" w:hAnsi="Arial"/>
          <w:b/>
          <w:bCs/>
          <w:sz w:val="22"/>
          <w:szCs w:val="22"/>
        </w:rPr>
        <w:t xml:space="preserve">EIM Framework Document v1.6 </w:t>
      </w:r>
      <w:r>
        <w:rPr>
          <w:rFonts w:ascii="Arial" w:cs="Arial" w:eastAsia="Arial" w:hAnsi="Arial"/>
          <w:sz w:val="22"/>
          <w:szCs w:val="22"/>
        </w:rPr>
        <w:t xml:space="preserve">(canonical encyclopedia). That document carries the framework’s full inventory of axioms, definitions, theorems, propositions, identifications, and operative principles, indexed by entry-type prefixes (AX, DF, TH, PR, CR, LM, ID, PD, RZ, EX, OP, CJ). The present paper is the standalone front-door reading of the framework’s foundational stance and is intended to be readable without reference to the encyclopedia.</w:t>
      </w:r>
    </w:p>
    <w:p>
      <w:pPr>
        <w:spacing w:after="80" w:before="80" w:line="312"/>
        <w:jc w:val="both"/>
      </w:pPr>
      <w:r>
        <w:rPr>
          <w:rFonts w:ascii="Arial" w:cs="Arial" w:eastAsia="Arial" w:hAnsi="Arial"/>
          <w:b/>
          <w:bCs/>
          <w:sz w:val="22"/>
          <w:szCs w:val="22"/>
        </w:rPr>
        <w:t xml:space="preserve">The Black Hole as Dynamical Bridge </w:t>
      </w:r>
      <w:r>
        <w:rPr>
          <w:rFonts w:ascii="Arial" w:cs="Arial" w:eastAsia="Arial" w:hAnsi="Arial"/>
          <w:sz w:val="22"/>
          <w:szCs w:val="22"/>
        </w:rPr>
        <w:t xml:space="preserve">(active dissertation). The dissertation is closure- and hypothesis-driven and treats the black hole as a bridge between regimes inside the projection structure. The present paper is one of the framing layers behind that bridge: it specifies the epistemic conditions under which the bridge is even posable as a physical claim, and it locates the dissertation at the application layer of the corpus.</w:t>
      </w:r>
    </w:p>
    <w:p>
      <w:pPr>
        <w:spacing w:after="80" w:before="80" w:line="312"/>
        <w:jc w:val="both"/>
      </w:pPr>
      <w:r>
        <w:rPr>
          <w:rFonts w:ascii="Arial" w:cs="Arial" w:eastAsia="Arial" w:hAnsi="Arial"/>
          <w:sz w:val="22"/>
          <w:szCs w:val="22"/>
        </w:rPr>
        <w:t xml:space="preserve">Read in the order foundational → disciplinary → encyclopedic → application, the program is intended to fail in well-defined ways. Failures in the foundational layer would invalidate the whole program. Failures in projection cards leave the foundational and disciplinary layers intact and are subject to ordinary scientific revision. This is by design: a foundations paper that could not in principle be wrong would not be doing foundational work.</w:t>
      </w:r>
    </w:p>
    <w:p>
      <w:pPr>
        <w:pStyle w:val="Heading1"/>
        <w:spacing w:after="140" w:before="280"/>
      </w:pPr>
      <w:r>
        <w:rPr>
          <w:rFonts w:ascii="Arial" w:cs="Arial" w:eastAsia="Arial" w:hAnsi="Arial"/>
          <w:b/>
          <w:bCs/>
          <w:sz w:val="28"/>
          <w:szCs w:val="28"/>
        </w:rPr>
        <w:t xml:space="preserve">Figure Concepts and Captions</w:t>
      </w:r>
    </w:p>
    <w:p>
      <w:pPr>
        <w:spacing w:after="80" w:before="80" w:line="312"/>
        <w:jc w:val="both"/>
      </w:pPr>
      <w:r>
        <w:rPr>
          <w:rFonts w:ascii="Arial" w:cs="Arial" w:eastAsia="Arial" w:hAnsi="Arial"/>
          <w:sz w:val="22"/>
          <w:szCs w:val="22"/>
        </w:rPr>
        <w:t xml:space="preserve">The following figure concepts are described for reference; they are intended to be drawn in the production version. They are conceptual and do not carry independent argumentative weight.</w:t>
      </w:r>
    </w:p>
    <w:p>
      <w:pPr>
        <w:spacing w:after="80" w:before="80" w:line="312"/>
        <w:jc w:val="both"/>
      </w:pPr>
      <w:r>
        <w:rPr>
          <w:rFonts w:ascii="Arial" w:cs="Arial" w:eastAsia="Arial" w:hAnsi="Arial"/>
          <w:b/>
          <w:bCs/>
          <w:sz w:val="22"/>
          <w:szCs w:val="22"/>
        </w:rPr>
        <w:t xml:space="preserve">Figure 1. The five preconditions of a domain declaration. </w:t>
      </w:r>
      <w:r>
        <w:rPr>
          <w:rFonts w:ascii="Arial" w:cs="Arial" w:eastAsia="Arial" w:hAnsi="Arial"/>
          <w:sz w:val="22"/>
          <w:szCs w:val="22"/>
        </w:rPr>
        <w:t xml:space="preserve">A schematic in which an arrow labeled </w:t>
      </w:r>
      <w:r>
        <w:rPr>
          <w:rFonts w:ascii="Arial" w:cs="Arial" w:eastAsia="Arial" w:hAnsi="Arial"/>
          <w:sz w:val="22"/>
          <w:szCs w:val="22"/>
        </w:rPr>
        <w:t xml:space="preserve">“Let there be G”</w:t>
      </w:r>
      <w:r>
        <w:rPr>
          <w:rFonts w:ascii="Arial" w:cs="Arial" w:eastAsia="Arial" w:hAnsi="Arial"/>
          <w:sz w:val="22"/>
          <w:szCs w:val="22"/>
        </w:rPr>
        <w:t xml:space="preserve"> decomposes into five outgoing arrows labeled (a) distinguishability, (b) admissibility, (c) persistence, (d) sameness rule, (e) boundary. Intended to make visible that domain declarations are compound, not primitive.</w:t>
      </w:r>
    </w:p>
    <w:p>
      <w:pPr>
        <w:spacing w:after="80" w:before="80" w:line="312"/>
        <w:jc w:val="both"/>
      </w:pPr>
      <w:r>
        <w:rPr>
          <w:rFonts w:ascii="Arial" w:cs="Arial" w:eastAsia="Arial" w:hAnsi="Arial"/>
          <w:b/>
          <w:bCs/>
          <w:sz w:val="22"/>
          <w:szCs w:val="22"/>
        </w:rPr>
        <w:t xml:space="preserve">Figure 2. EIM as a triadic closure of the five preconditions. </w:t>
      </w:r>
      <w:r>
        <w:rPr>
          <w:rFonts w:ascii="Arial" w:cs="Arial" w:eastAsia="Arial" w:hAnsi="Arial"/>
          <w:sz w:val="22"/>
          <w:szCs w:val="22"/>
        </w:rPr>
        <w:t xml:space="preserve">A diagram in which conditions (a)–(e) are mapped onto the three roles E, I, M, with overlaps: (a, b) realized jointly by E and I; (c) realized by M; (d) realized jointly by I and M; (e) realized as the closure residue. The figure is suggestive of a Venn-like or simplicial 2-complex structure rather than a flat list.</w:t>
      </w:r>
    </w:p>
    <w:p>
      <w:pPr>
        <w:spacing w:after="80" w:before="80" w:line="312"/>
        <w:jc w:val="both"/>
      </w:pPr>
      <w:r>
        <w:rPr>
          <w:rFonts w:ascii="Arial" w:cs="Arial" w:eastAsia="Arial" w:hAnsi="Arial"/>
          <w:b/>
          <w:bCs/>
          <w:sz w:val="22"/>
          <w:szCs w:val="22"/>
        </w:rPr>
        <w:t xml:space="preserve">Figure 3. Distributed localization and the isotropy limit. </w:t>
      </w:r>
      <w:r>
        <w:rPr>
          <w:rFonts w:ascii="Arial" w:cs="Arial" w:eastAsia="Arial" w:hAnsi="Arial"/>
          <w:sz w:val="22"/>
          <w:szCs w:val="22"/>
        </w:rPr>
        <w:t xml:space="preserve">A network diagram of locally horizoned observers performing EIM events. Edges indicate record exchange and admissibility filtering. A dotted boundary indicates the asymptotic isotropy condition: the equivalence class to which corrected local perspectives converge. Intended to make </w:t>
      </w:r>
      <w:r>
        <w:rPr>
          <w:rFonts w:ascii="Arial" w:cs="Arial" w:eastAsia="Arial" w:hAnsi="Arial"/>
          <w:sz w:val="22"/>
          <w:szCs w:val="22"/>
        </w:rPr>
        <w:t xml:space="preserve">“objectivity as zero-perspective limit”</w:t>
      </w:r>
      <w:r>
        <w:rPr>
          <w:rFonts w:ascii="Arial" w:cs="Arial" w:eastAsia="Arial" w:hAnsi="Arial"/>
          <w:sz w:val="22"/>
          <w:szCs w:val="22"/>
        </w:rPr>
        <w:t xml:space="preserve"> visually concrete.</w:t>
      </w:r>
    </w:p>
    <w:p>
      <w:pPr>
        <w:pStyle w:val="Heading1"/>
        <w:spacing w:after="140" w:before="280"/>
      </w:pPr>
      <w:r>
        <w:rPr>
          <w:rFonts w:ascii="Arial" w:cs="Arial" w:eastAsia="Arial" w:hAnsi="Arial"/>
          <w:b/>
          <w:bCs/>
          <w:sz w:val="28"/>
          <w:szCs w:val="28"/>
        </w:rPr>
        <w:t xml:space="preserve">References</w:t>
      </w:r>
    </w:p>
    <w:p>
      <w:pPr>
        <w:spacing w:after="80" w:before="80" w:line="312"/>
        <w:jc w:val="both"/>
      </w:pPr>
      <w:r>
        <w:rPr>
          <w:rFonts w:ascii="Arial" w:cs="Arial" w:eastAsia="Arial" w:hAnsi="Arial"/>
          <w:sz w:val="22"/>
          <w:szCs w:val="22"/>
        </w:rPr>
        <w:t xml:space="preserve">Bridgman, P. W. (1927). </w:t>
      </w:r>
      <w:r>
        <w:rPr>
          <w:rFonts w:ascii="Arial" w:cs="Arial" w:eastAsia="Arial" w:hAnsi="Arial"/>
          <w:i/>
          <w:iCs/>
          <w:sz w:val="22"/>
          <w:szCs w:val="22"/>
        </w:rPr>
        <w:t xml:space="preserve">The Logic of Modern Physics</w:t>
      </w:r>
      <w:r>
        <w:rPr>
          <w:rFonts w:ascii="Arial" w:cs="Arial" w:eastAsia="Arial" w:hAnsi="Arial"/>
          <w:sz w:val="22"/>
          <w:szCs w:val="22"/>
        </w:rPr>
        <w:t xml:space="preserve">. New York: Macmillan.</w:t>
      </w:r>
    </w:p>
    <w:p>
      <w:pPr>
        <w:spacing w:after="80" w:before="80" w:line="312"/>
        <w:jc w:val="both"/>
      </w:pPr>
      <w:r>
        <w:rPr>
          <w:rFonts w:ascii="Arial" w:cs="Arial" w:eastAsia="Arial" w:hAnsi="Arial"/>
          <w:sz w:val="22"/>
          <w:szCs w:val="22"/>
        </w:rPr>
        <w:t xml:space="preserve">Brouwer, L. E. J. (1948). Consciousness, philosophy, and mathematics. </w:t>
      </w:r>
      <w:r>
        <w:rPr>
          <w:rFonts w:ascii="Arial" w:cs="Arial" w:eastAsia="Arial" w:hAnsi="Arial"/>
          <w:i/>
          <w:iCs/>
          <w:sz w:val="22"/>
          <w:szCs w:val="22"/>
        </w:rPr>
        <w:t xml:space="preserve">Proceedings of the 10th International Congress of Philosophy</w:t>
      </w:r>
      <w:r>
        <w:rPr>
          <w:rFonts w:ascii="Arial" w:cs="Arial" w:eastAsia="Arial" w:hAnsi="Arial"/>
          <w:sz w:val="22"/>
          <w:szCs w:val="22"/>
        </w:rPr>
        <w:t xml:space="preserve">, 1235–1249.</w:t>
      </w:r>
    </w:p>
    <w:p>
      <w:pPr>
        <w:spacing w:after="80" w:before="80" w:line="312"/>
        <w:jc w:val="both"/>
      </w:pPr>
      <w:r>
        <w:rPr>
          <w:rFonts w:ascii="Arial" w:cs="Arial" w:eastAsia="Arial" w:hAnsi="Arial"/>
          <w:sz w:val="22"/>
          <w:szCs w:val="22"/>
        </w:rPr>
        <w:t xml:space="preserve">Connelly, T. P., Jr. (2026a). </w:t>
      </w:r>
      <w:r>
        <w:rPr>
          <w:rFonts w:ascii="Arial" w:cs="Arial" w:eastAsia="Arial" w:hAnsi="Arial"/>
          <w:i/>
          <w:iCs/>
          <w:sz w:val="22"/>
          <w:szCs w:val="22"/>
        </w:rPr>
        <w:t xml:space="preserve">EIM Projection Calculus and Dictionary Discipline</w:t>
      </w:r>
      <w:r>
        <w:rPr>
          <w:rFonts w:ascii="Arial" w:cs="Arial" w:eastAsia="Arial" w:hAnsi="Arial"/>
          <w:sz w:val="22"/>
          <w:szCs w:val="22"/>
        </w:rPr>
        <w:t xml:space="preserve">, v1.1. Internal manuscript, EIM corpus.</w:t>
      </w:r>
    </w:p>
    <w:p>
      <w:pPr>
        <w:spacing w:after="80" w:before="80" w:line="312"/>
        <w:jc w:val="both"/>
      </w:pPr>
      <w:r>
        <w:rPr>
          <w:rFonts w:ascii="Arial" w:cs="Arial" w:eastAsia="Arial" w:hAnsi="Arial"/>
          <w:sz w:val="22"/>
          <w:szCs w:val="22"/>
        </w:rPr>
        <w:t xml:space="preserve">Connelly, T. P., Jr. (2026b). </w:t>
      </w:r>
      <w:r>
        <w:rPr>
          <w:rFonts w:ascii="Arial" w:cs="Arial" w:eastAsia="Arial" w:hAnsi="Arial"/>
          <w:i/>
          <w:iCs/>
          <w:sz w:val="22"/>
          <w:szCs w:val="22"/>
        </w:rPr>
        <w:t xml:space="preserve">EIM Framework Document</w:t>
      </w:r>
      <w:r>
        <w:rPr>
          <w:rFonts w:ascii="Arial" w:cs="Arial" w:eastAsia="Arial" w:hAnsi="Arial"/>
          <w:sz w:val="22"/>
          <w:szCs w:val="22"/>
        </w:rPr>
        <w:t xml:space="preserve">, v1.6. Internal manuscript, EIM corpus.</w:t>
      </w:r>
    </w:p>
    <w:p>
      <w:pPr>
        <w:spacing w:after="80" w:before="80" w:line="312"/>
        <w:jc w:val="both"/>
      </w:pPr>
      <w:r>
        <w:rPr>
          <w:rFonts w:ascii="Arial" w:cs="Arial" w:eastAsia="Arial" w:hAnsi="Arial"/>
          <w:sz w:val="22"/>
          <w:szCs w:val="22"/>
        </w:rPr>
        <w:t xml:space="preserve">Connelly, T. P., Jr. (2026c). </w:t>
      </w:r>
      <w:r>
        <w:rPr>
          <w:rFonts w:ascii="Arial" w:cs="Arial" w:eastAsia="Arial" w:hAnsi="Arial"/>
          <w:i/>
          <w:iCs/>
          <w:sz w:val="22"/>
          <w:szCs w:val="22"/>
        </w:rPr>
        <w:t xml:space="preserve">The Black Hole as Dynamical Bridge</w:t>
      </w:r>
      <w:r>
        <w:rPr>
          <w:rFonts w:ascii="Arial" w:cs="Arial" w:eastAsia="Arial" w:hAnsi="Arial"/>
          <w:sz w:val="22"/>
          <w:szCs w:val="22"/>
        </w:rPr>
        <w:t xml:space="preserve">. Doctoral dissertation, GCAS College Dublin (in preparation).</w:t>
      </w:r>
    </w:p>
    <w:p>
      <w:pPr>
        <w:spacing w:after="80" w:before="80" w:line="312"/>
        <w:jc w:val="both"/>
      </w:pPr>
      <w:r>
        <w:rPr>
          <w:rFonts w:ascii="Arial" w:cs="Arial" w:eastAsia="Arial" w:hAnsi="Arial"/>
          <w:sz w:val="22"/>
          <w:szCs w:val="22"/>
        </w:rPr>
        <w:t xml:space="preserve">Connelly, T. P., Jr. (2026d). </w:t>
      </w:r>
      <w:r>
        <w:rPr>
          <w:rFonts w:ascii="Arial" w:cs="Arial" w:eastAsia="Arial" w:hAnsi="Arial"/>
          <w:i/>
          <w:iCs/>
          <w:sz w:val="22"/>
          <w:szCs w:val="22"/>
        </w:rPr>
        <w:t xml:space="preserve">Beyond Curved Spacetime: A Modal Foundation for Physics</w:t>
      </w:r>
      <w:r>
        <w:rPr>
          <w:rFonts w:ascii="Arial" w:cs="Arial" w:eastAsia="Arial" w:hAnsi="Arial"/>
          <w:sz w:val="22"/>
          <w:szCs w:val="22"/>
        </w:rPr>
        <w:t xml:space="preserve">. SCIRP (in production).</w:t>
      </w:r>
    </w:p>
    <w:p>
      <w:pPr>
        <w:spacing w:after="80" w:before="80" w:line="312"/>
        <w:jc w:val="both"/>
      </w:pPr>
      <w:r>
        <w:rPr>
          <w:rFonts w:ascii="Arial" w:cs="Arial" w:eastAsia="Arial" w:hAnsi="Arial"/>
          <w:sz w:val="22"/>
          <w:szCs w:val="22"/>
        </w:rPr>
        <w:t xml:space="preserve">Connelly, T. P., Jr. (forthcoming). </w:t>
      </w:r>
      <w:r>
        <w:rPr>
          <w:rFonts w:ascii="Arial" w:cs="Arial" w:eastAsia="Arial" w:hAnsi="Arial"/>
          <w:i/>
          <w:iCs/>
          <w:sz w:val="22"/>
          <w:szCs w:val="22"/>
        </w:rPr>
        <w:t xml:space="preserve">Infinity as Projected Closure</w:t>
      </w:r>
      <w:r>
        <w:rPr>
          <w:rFonts w:ascii="Arial" w:cs="Arial" w:eastAsia="Arial" w:hAnsi="Arial"/>
          <w:sz w:val="22"/>
          <w:szCs w:val="22"/>
        </w:rPr>
        <w:t xml:space="preserve">. Companion paper, EIM corpus.</w:t>
      </w:r>
    </w:p>
    <w:p>
      <w:pPr>
        <w:spacing w:after="80" w:before="80" w:line="312"/>
        <w:jc w:val="both"/>
      </w:pPr>
      <w:r>
        <w:rPr>
          <w:rFonts w:ascii="Arial" w:cs="Arial" w:eastAsia="Arial" w:hAnsi="Arial"/>
          <w:sz w:val="22"/>
          <w:szCs w:val="22"/>
        </w:rPr>
        <w:t xml:space="preserve">Husserl, E. (1970 [1939]). </w:t>
      </w:r>
      <w:r>
        <w:rPr>
          <w:rFonts w:ascii="Arial" w:cs="Arial" w:eastAsia="Arial" w:hAnsi="Arial"/>
          <w:i/>
          <w:iCs/>
          <w:sz w:val="22"/>
          <w:szCs w:val="22"/>
        </w:rPr>
        <w:t xml:space="preserve">The Origin of Geometry</w:t>
      </w:r>
      <w:r>
        <w:rPr>
          <w:rFonts w:ascii="Arial" w:cs="Arial" w:eastAsia="Arial" w:hAnsi="Arial"/>
          <w:sz w:val="22"/>
          <w:szCs w:val="22"/>
        </w:rPr>
        <w:t xml:space="preserve">. In </w:t>
      </w:r>
      <w:r>
        <w:rPr>
          <w:rFonts w:ascii="Arial" w:cs="Arial" w:eastAsia="Arial" w:hAnsi="Arial"/>
          <w:i/>
          <w:iCs/>
          <w:sz w:val="22"/>
          <w:szCs w:val="22"/>
        </w:rPr>
        <w:t xml:space="preserve">The Crisis of European Sciences and Transcendental Phenomenology</w:t>
      </w:r>
      <w:r>
        <w:rPr>
          <w:rFonts w:ascii="Arial" w:cs="Arial" w:eastAsia="Arial" w:hAnsi="Arial"/>
          <w:sz w:val="22"/>
          <w:szCs w:val="22"/>
        </w:rPr>
        <w:t xml:space="preserve">, trans. D. Carr. Evanston, IL: Northwestern University Press.</w:t>
      </w:r>
    </w:p>
    <w:p>
      <w:pPr>
        <w:spacing w:after="80" w:before="80" w:line="312"/>
        <w:jc w:val="both"/>
      </w:pPr>
      <w:r>
        <w:rPr>
          <w:rFonts w:ascii="Arial" w:cs="Arial" w:eastAsia="Arial" w:hAnsi="Arial"/>
          <w:sz w:val="22"/>
          <w:szCs w:val="22"/>
        </w:rPr>
        <w:t xml:space="preserve">Kretschmann, E. (1917). Über den physikalischen Sinn der Relativitätspostulate. </w:t>
      </w:r>
      <w:r>
        <w:rPr>
          <w:rFonts w:ascii="Arial" w:cs="Arial" w:eastAsia="Arial" w:hAnsi="Arial"/>
          <w:i/>
          <w:iCs/>
          <w:sz w:val="22"/>
          <w:szCs w:val="22"/>
        </w:rPr>
        <w:t xml:space="preserve">Annalen der Physik</w:t>
      </w:r>
      <w:r>
        <w:rPr>
          <w:rFonts w:ascii="Arial" w:cs="Arial" w:eastAsia="Arial" w:hAnsi="Arial"/>
          <w:sz w:val="22"/>
          <w:szCs w:val="22"/>
        </w:rPr>
        <w:t xml:space="preserve">, 53, 575–614.</w:t>
      </w:r>
    </w:p>
    <w:p>
      <w:pPr>
        <w:spacing w:after="80" w:before="80" w:line="312"/>
        <w:jc w:val="both"/>
      </w:pPr>
      <w:r>
        <w:rPr>
          <w:rFonts w:ascii="Arial" w:cs="Arial" w:eastAsia="Arial" w:hAnsi="Arial"/>
          <w:sz w:val="22"/>
          <w:szCs w:val="22"/>
        </w:rPr>
        <w:t xml:space="preserve">Landauer, R. (1961). Irreversibility and heat generation in the computing process. </w:t>
      </w:r>
      <w:r>
        <w:rPr>
          <w:rFonts w:ascii="Arial" w:cs="Arial" w:eastAsia="Arial" w:hAnsi="Arial"/>
          <w:i/>
          <w:iCs/>
          <w:sz w:val="22"/>
          <w:szCs w:val="22"/>
        </w:rPr>
        <w:t xml:space="preserve">IBM Journal of Research and Development</w:t>
      </w:r>
      <w:r>
        <w:rPr>
          <w:rFonts w:ascii="Arial" w:cs="Arial" w:eastAsia="Arial" w:hAnsi="Arial"/>
          <w:sz w:val="22"/>
          <w:szCs w:val="22"/>
        </w:rPr>
        <w:t xml:space="preserve">, 5(3), 183–191.</w:t>
      </w:r>
    </w:p>
    <w:p>
      <w:pPr>
        <w:spacing w:after="80" w:before="80" w:line="312"/>
        <w:jc w:val="both"/>
      </w:pPr>
      <w:r>
        <w:rPr>
          <w:rFonts w:ascii="Arial" w:cs="Arial" w:eastAsia="Arial" w:hAnsi="Arial"/>
          <w:sz w:val="22"/>
          <w:szCs w:val="22"/>
        </w:rPr>
        <w:t xml:space="preserve">Norton, J. D. (1993). General covariance and the foundations of general relativity: eight decades of dispute. </w:t>
      </w:r>
      <w:r>
        <w:rPr>
          <w:rFonts w:ascii="Arial" w:cs="Arial" w:eastAsia="Arial" w:hAnsi="Arial"/>
          <w:i/>
          <w:iCs/>
          <w:sz w:val="22"/>
          <w:szCs w:val="22"/>
        </w:rPr>
        <w:t xml:space="preserve">Reports on Progress in Physics</w:t>
      </w:r>
      <w:r>
        <w:rPr>
          <w:rFonts w:ascii="Arial" w:cs="Arial" w:eastAsia="Arial" w:hAnsi="Arial"/>
          <w:sz w:val="22"/>
          <w:szCs w:val="22"/>
        </w:rPr>
        <w:t xml:space="preserve">, 56, 791–858.</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sz w:val="18"/>
        <w:szCs w:val="18"/>
      </w:rPr>
      <w:t xml:space="preserve">— </w:t>
    </w:r>
    <w:r>
      <w:rPr>
        <w:rFonts w:ascii="Arial" w:cs="Arial" w:eastAsia="Arial" w:hAnsi="Arial"/>
        <w:sz w:val="18"/>
        <w:szCs w:val="18"/>
      </w:rPr>
      <w:fldChar w:fldCharType="begin"/>
      <w:instrText xml:space="preserve">PAGE</w:instrText>
      <w:fldChar w:fldCharType="separate"/>
      <w:fldChar w:fldCharType="end"/>
    </w:r>
    <w:r>
      <w:rPr>
        <w:rFonts w:ascii="Arial" w:cs="Arial" w:eastAsia="Arial" w:hAnsi="Arial"/>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Arial" w:cs="Arial" w:eastAsia="Arial" w:hAnsi="Arial"/>
        <w:i/>
        <w:iCs/>
        <w:sz w:val="18"/>
        <w:szCs w:val="18"/>
      </w:rPr>
      <w:t xml:space="preserve">EIM as Domain-First Epistemology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40" w:before="280"/>
      <w:outlineLvl w:val="0"/>
    </w:pPr>
    <w:rPr>
      <w:rFonts w:ascii="Arial" w:cs="Arial" w:eastAsia="Arial" w:hAnsi="Arial"/>
      <w:b/>
      <w:bCs/>
      <w:sz w:val="28"/>
      <w:szCs w:val="28"/>
    </w:rPr>
  </w:style>
  <w:style w:type="paragraph" w:styleId="Heading2">
    <w:name w:val="Heading 2"/>
    <w:basedOn w:val="Normal"/>
    <w:next w:val="Normal"/>
    <w:qFormat/>
    <w:pPr>
      <w:spacing w:after="110" w:before="220"/>
      <w:outlineLvl w:val="1"/>
    </w:pPr>
    <w:rPr>
      <w:rFonts w:ascii="Arial" w:cs="Arial" w:eastAsia="Arial" w:hAnsi="Arial"/>
      <w:b/>
      <w:bCs/>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EIM as Domain-First Epistemology</dc:title>
  <dc:creator>Thomas P. Connelly Jr.</dc:creator>
  <dc:description>Foundations paper of the EIM corpus.</dc:description>
  <cp:lastModifiedBy>Un-named</cp:lastModifiedBy>
  <cp:revision>1</cp:revision>
  <dcterms:created xsi:type="dcterms:W3CDTF">2026-05-04T16:29:43.808Z</dcterms:created>
  <dcterms:modified xsi:type="dcterms:W3CDTF">2026-05-04T16:29:43.808Z</dcterms:modified>
</cp:coreProperties>
</file>

<file path=docProps/custom.xml><?xml version="1.0" encoding="utf-8"?>
<Properties xmlns="http://schemas.openxmlformats.org/officeDocument/2006/custom-properties" xmlns:vt="http://schemas.openxmlformats.org/officeDocument/2006/docPropsVTypes"/>
</file>