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after="40" w:line="259" w:lineRule="auto"/>
      </w:pPr>
      <w:r>
        <w:rPr>
          <w:rFonts w:ascii="Aptos" w:hAnsi="Aptos"/>
          <w:b/>
          <w:color w:val="2F5597"/>
          <w:sz w:val="19"/>
        </w:rPr>
        <w:t>DISSERTATION FRONTIER</w:t>
      </w:r>
    </w:p>
    <w:p>
      <w:pPr>
        <w:keepNext w:val="0"/>
        <w:spacing w:after="40" w:line="259" w:lineRule="auto"/>
      </w:pPr>
      <w:r>
        <w:rPr>
          <w:rFonts w:ascii="Aptos" w:hAnsi="Aptos"/>
          <w:b/>
          <w:color w:val="17365D"/>
          <w:sz w:val="40"/>
        </w:rPr>
        <w:t>Pareto Optimization Reveals a Work Frontier</w:t>
      </w:r>
    </w:p>
    <w:p>
      <w:pPr>
        <w:keepNext w:val="0"/>
        <w:spacing w:after="60" w:line="259" w:lineRule="auto"/>
      </w:pPr>
      <w:r>
        <w:rPr>
          <w:rFonts w:ascii="Aptos" w:hAnsi="Aptos"/>
          <w:i/>
          <w:color w:val="666666"/>
          <w:sz w:val="23"/>
        </w:rPr>
        <w:t>Information, Target Disturbance, and Retained Memory in the Closed Eight-State Model</w:t>
      </w:r>
    </w:p>
    <w:p>
      <w:pPr>
        <w:keepNext w:val="0"/>
        <w:spacing w:after="180" w:line="259" w:lineRule="auto"/>
      </w:pPr>
      <w:r>
        <w:rPr>
          <w:rFonts w:ascii="Aptos" w:hAnsi="Aptos"/>
          <w:color w:val="666666"/>
          <w:sz w:val="18"/>
        </w:rPr>
        <w:t>Version 1.7 | Standalone dissertation increment</w:t>
      </w:r>
    </w:p>
    <w:tbl>
      <w:tblPr>
        <w:tblW w:type="auto" w:w="0"/>
        <w:tblLayout w:type="fixed"/>
        <w:tblLook w:firstColumn="1" w:firstRow="1" w:lastColumn="0" w:lastRow="0" w:noHBand="0" w:noVBand="1" w:val="04A0"/>
      </w:tblPr>
      <w:tblGrid>
        <w:gridCol w:w="9360"/>
      </w:tblGrid>
      <w:tr>
        <w:tc>
          <w:tcPr>
            <w:tcW w:type="dxa" w:w="9288"/>
            <w:shd w:fill="D9EAF7"/>
            <w:tcMar>
              <w:top w:w="120" w:type="dxa"/>
              <w:start w:w="150" w:type="dxa"/>
              <w:bottom w:w="120" w:type="dxa"/>
              <w:end w:w="150" w:type="dxa"/>
            </w:tcMar>
            <w:vAlign w:val="center"/>
          </w:tcPr>
          <w:p>
            <w:pPr>
              <w:spacing w:after="0"/>
            </w:pPr>
            <w:r>
              <w:rPr>
                <w:rFonts w:ascii="Aptos" w:hAnsi="Aptos"/>
                <w:b/>
                <w:color w:val="17365D"/>
                <w:sz w:val="18"/>
              </w:rPr>
              <w:t xml:space="preserve">FRONTIER VERDICT  </w:t>
            </w:r>
            <w:r>
              <w:rPr>
                <w:rFonts w:ascii="Aptos" w:hAnsi="Aptos"/>
                <w:sz w:val="18"/>
              </w:rPr>
              <w:t>The finite optimization does not support a necessary information–disturbance tradeoff. Strong coupling can both improve Memory and suppress target flips by energetic pinning. Within the declared sudden-switch protocol, the persistent limiting ledger is work: better records require higher switching cost. This is a computed property of the scanned model class, not a universal measurement theorem.</w:t>
            </w:r>
          </w:p>
        </w:tc>
      </w:tr>
    </w:tbl>
    <w:p>
      <w:pPr>
        <w:spacing w:after="20"/>
      </w:pPr>
    </w:p>
    <w:p>
      <w:pPr>
        <w:pStyle w:val="Heading1"/>
        <w:keepNext/>
      </w:pPr>
      <w:r>
        <w:t>1. Question and declared comparison class</w:t>
      </w:r>
    </w:p>
    <w:p>
      <w:pPr>
        <w:keepNext w:val="0"/>
        <w:spacing w:after="120" w:line="259" w:lineRule="auto"/>
      </w:pPr>
      <w:r>
        <w:rPr>
          <w:rFonts w:ascii="Aptos" w:hAnsi="Aptos"/>
          <w:sz w:val="20"/>
        </w:rPr>
        <w:t>Version 1.6 established one closed target–apparatus–Memory dynamics. The next question is whether observational reach necessarily consumes disturbance or another actionable resource after parameter optimization. To make that question testable, the comparison class must be fixed before examining outcomes.</w:t>
      </w:r>
    </w:p>
    <w:p>
      <w:pPr>
        <w:keepNext/>
        <w:spacing w:after="140" w:line="259" w:lineRule="auto"/>
        <w:jc w:val="center"/>
      </w:pPr>
      <w:r>
        <w:rPr>
          <w:rFonts w:ascii="Aptos" w:hAnsi="Aptos"/>
          <w:i/>
          <w:color w:val="17365D"/>
          <w:sz w:val="21"/>
        </w:rPr>
        <w:t>maximize  I(S₀;M₍τ+u₎)   while minimizing   Dτ  and  W.</w:t>
      </w:r>
    </w:p>
    <w:p>
      <w:pPr>
        <w:keepNext w:val="0"/>
        <w:spacing w:after="120" w:line="259" w:lineRule="auto"/>
      </w:pPr>
      <w:r>
        <w:rPr>
          <w:rFonts w:ascii="Aptos" w:hAnsi="Aptos"/>
          <w:sz w:val="20"/>
        </w:rPr>
        <w:t>The units are β=γ_z=1. The target flip attempt rate is fixed at γₛ=0.05 and the free Memory rate at γₘ=0.30. The scan varies target–apparatus coupling g, apparatus–Memory coupling h, exposure τ, and readout delay u. The initial target is unbiased; apparatus and Memory begin independent and unbiased.</w:t>
      </w:r>
    </w:p>
    <w:p>
      <w:pPr>
        <w:pStyle w:val="Heading1"/>
        <w:keepNext/>
      </w:pPr>
      <w:r>
        <w:t>2. Scan and observables</w:t>
      </w:r>
    </w:p>
    <w:p>
      <w:pPr>
        <w:keepNext w:val="0"/>
        <w:spacing w:after="120" w:line="259" w:lineRule="auto"/>
      </w:pPr>
      <w:r>
        <w:rPr>
          <w:rFonts w:ascii="Aptos" w:hAnsi="Aptos"/>
          <w:sz w:val="20"/>
        </w:rPr>
        <w:t>The exposure generator is the locally detailed-balanced eight-state process from v1.6 with E(s,z,m)=−gsz−hzm. Every parameter point is evaluated by exact matrix exponentiation. The grid contains 20,480 points:</w:t>
      </w:r>
    </w:p>
    <w:p>
      <w:pPr>
        <w:keepNext/>
        <w:spacing w:after="140" w:line="259" w:lineRule="auto"/>
        <w:jc w:val="center"/>
      </w:pPr>
      <w:r>
        <w:rPr>
          <w:rFonts w:ascii="Aptos" w:hAnsi="Aptos"/>
          <w:i/>
          <w:color w:val="17365D"/>
          <w:sz w:val="21"/>
        </w:rPr>
        <w:t>g,h ∈ 16-point linear grids on [0.10,3.00];   τ ∈ 20 log-spaced points on [0.10,12];   u∈{0,1,2.5,5}.</w:t>
      </w:r>
    </w:p>
    <w:p>
      <w:pPr>
        <w:keepNext w:val="0"/>
        <w:spacing w:after="120" w:line="259" w:lineRule="auto"/>
      </w:pPr>
      <w:r>
        <w:rPr>
          <w:rFonts w:ascii="Aptos" w:hAnsi="Aptos"/>
          <w:sz w:val="20"/>
        </w:rPr>
        <w:t>The three optimization ledgers are Memory information I(S₀;Mτ+u), target disturbance Dτ=Pr[s(τ)≠S₀], and sudden-switch protocol work W=g⟨sz⟩τ+h⟨zm⟩τ. A point is Pareto dominated when another scanned point has at least as much information, no more disturbance, and no more work, with one strict improvement.</w:t>
      </w:r>
    </w:p>
    <w:p>
      <w:pPr>
        <w:pStyle w:val="Heading1"/>
        <w:keepNext/>
      </w:pPr>
      <w:r>
        <w:t>3. Exact retention consequence</w:t>
      </w:r>
    </w:p>
    <w:p>
      <w:pPr>
        <w:keepNext w:val="0"/>
        <w:spacing w:after="120" w:line="259" w:lineRule="auto"/>
      </w:pPr>
      <w:r>
        <w:rPr>
          <w:rFonts w:ascii="Aptos" w:hAnsi="Aptos"/>
          <w:sz w:val="20"/>
        </w:rPr>
        <w:t>Positive delay cannot improve this objective. After decoupling, ητ=E[S₀m(τ)] decays as ητe^(−γₘu), while disturbance and the already-incurred switching work remain unchanged. Therefore every u&gt;0 point is dominated by its u=0 counterpart.</w:t>
      </w:r>
    </w:p>
    <w:p>
      <w:pPr>
        <w:keepNext/>
        <w:spacing w:after="140" w:line="259" w:lineRule="auto"/>
        <w:jc w:val="center"/>
      </w:pPr>
      <w:r>
        <w:rPr>
          <w:rFonts w:ascii="Aptos" w:hAnsi="Aptos"/>
          <w:i/>
          <w:color w:val="17365D"/>
          <w:sz w:val="21"/>
        </w:rPr>
        <w:t>u&gt;0  ⇒  I(S₀;M₍τ+u₎)&lt;I(S₀;Mτ),   with the same Dτ and W.</w:t>
      </w:r>
    </w:p>
    <w:p>
      <w:pPr>
        <w:keepNext w:val="0"/>
        <w:spacing w:after="120" w:line="259" w:lineRule="auto"/>
      </w:pPr>
      <w:r>
        <w:rPr>
          <w:rFonts w:ascii="Aptos" w:hAnsi="Aptos"/>
          <w:sz w:val="20"/>
        </w:rPr>
        <w:t>This is not a claim that delayed readout is physically avoidable. It says that persistence is never free in this specific unbiased post-decoupling Memory law; an operational minimum delay must be imposed as a constraint if public use requires one.</w:t>
      </w:r>
    </w:p>
    <w:p>
      <w:pPr>
        <w:pStyle w:val="Heading1"/>
        <w:keepNext/>
      </w:pPr>
      <w:r>
        <w:t>4. Computed constrained optima</w:t>
      </w:r>
    </w:p>
    <w:p>
      <w:pPr>
        <w:keepNext w:val="0"/>
        <w:spacing w:after="120" w:line="259" w:lineRule="auto"/>
      </w:pPr>
      <w:r>
        <w:rPr>
          <w:rFonts w:ascii="Aptos" w:hAnsi="Aptos"/>
          <w:sz w:val="20"/>
        </w:rPr>
        <w:t>The table reports the best grid point under representative simultaneous caps. Values are rounded; optimization and dominance tests used full precision.</w:t>
      </w:r>
    </w:p>
    <w:tbl>
      <w:tblPr>
        <w:tblStyle w:val="TableGrid"/>
        <w:tblW w:type="auto" w:w="0"/>
        <w:tblLook w:firstColumn="1" w:firstRow="1" w:lastColumn="0" w:lastRow="0" w:noHBand="0" w:noVBand="1" w:val="04A0"/>
      </w:tblPr>
      <w:tblGrid>
        <w:gridCol w:w="1337"/>
        <w:gridCol w:w="1337"/>
        <w:gridCol w:w="1337"/>
        <w:gridCol w:w="1337"/>
        <w:gridCol w:w="1337"/>
        <w:gridCol w:w="1337"/>
        <w:gridCol w:w="1337"/>
      </w:tblGrid>
      <w:tr>
        <w:trPr>
          <w:tblHeader w:val="true"/>
        </w:trPr>
        <w:tc>
          <w:tcPr>
            <w:tcW w:type="dxa" w:w="1337"/>
            <w:shd w:fill="17365D"/>
            <w:tcMar>
              <w:top w:w="80" w:type="dxa"/>
              <w:start w:w="100" w:type="dxa"/>
              <w:bottom w:w="80" w:type="dxa"/>
              <w:end w:w="100" w:type="dxa"/>
            </w:tcMar>
            <w:vAlign w:val="center"/>
          </w:tcPr>
          <w:p>
            <w:r>
              <w:rPr>
                <w:rFonts w:ascii="Aptos" w:hAnsi="Aptos"/>
                <w:b/>
                <w:color w:val="FFFFFF"/>
                <w:sz w:val="16"/>
              </w:rPr>
              <w:t>D max</w:t>
            </w:r>
          </w:p>
        </w:tc>
        <w:tc>
          <w:tcPr>
            <w:tcW w:type="dxa" w:w="1337"/>
            <w:shd w:fill="17365D"/>
            <w:tcMar>
              <w:top w:w="80" w:type="dxa"/>
              <w:start w:w="100" w:type="dxa"/>
              <w:bottom w:w="80" w:type="dxa"/>
              <w:end w:w="100" w:type="dxa"/>
            </w:tcMar>
            <w:vAlign w:val="center"/>
          </w:tcPr>
          <w:p>
            <w:r>
              <w:rPr>
                <w:rFonts w:ascii="Aptos" w:hAnsi="Aptos"/>
                <w:b/>
                <w:color w:val="FFFFFF"/>
                <w:sz w:val="16"/>
              </w:rPr>
              <w:t>W max</w:t>
            </w:r>
          </w:p>
        </w:tc>
        <w:tc>
          <w:tcPr>
            <w:tcW w:type="dxa" w:w="1337"/>
            <w:shd w:fill="17365D"/>
            <w:tcMar>
              <w:top w:w="80" w:type="dxa"/>
              <w:start w:w="100" w:type="dxa"/>
              <w:bottom w:w="80" w:type="dxa"/>
              <w:end w:w="100" w:type="dxa"/>
            </w:tcMar>
            <w:vAlign w:val="center"/>
          </w:tcPr>
          <w:p>
            <w:r>
              <w:rPr>
                <w:rFonts w:ascii="Aptos" w:hAnsi="Aptos"/>
                <w:b/>
                <w:color w:val="FFFFFF"/>
                <w:sz w:val="16"/>
              </w:rPr>
              <w:t>Best I (bits)</w:t>
            </w:r>
          </w:p>
        </w:tc>
        <w:tc>
          <w:tcPr>
            <w:tcW w:type="dxa" w:w="1337"/>
            <w:shd w:fill="17365D"/>
            <w:tcMar>
              <w:top w:w="80" w:type="dxa"/>
              <w:start w:w="100" w:type="dxa"/>
              <w:bottom w:w="80" w:type="dxa"/>
              <w:end w:w="100" w:type="dxa"/>
            </w:tcMar>
            <w:vAlign w:val="center"/>
          </w:tcPr>
          <w:p>
            <w:r>
              <w:rPr>
                <w:rFonts w:ascii="Aptos" w:hAnsi="Aptos"/>
                <w:b/>
                <w:color w:val="FFFFFF"/>
                <w:sz w:val="16"/>
              </w:rPr>
              <w:t>D</w:t>
            </w:r>
          </w:p>
        </w:tc>
        <w:tc>
          <w:tcPr>
            <w:tcW w:type="dxa" w:w="1337"/>
            <w:shd w:fill="17365D"/>
            <w:tcMar>
              <w:top w:w="80" w:type="dxa"/>
              <w:start w:w="100" w:type="dxa"/>
              <w:bottom w:w="80" w:type="dxa"/>
              <w:end w:w="100" w:type="dxa"/>
            </w:tcMar>
            <w:vAlign w:val="center"/>
          </w:tcPr>
          <w:p>
            <w:r>
              <w:rPr>
                <w:rFonts w:ascii="Aptos" w:hAnsi="Aptos"/>
                <w:b/>
                <w:color w:val="FFFFFF"/>
                <w:sz w:val="16"/>
              </w:rPr>
              <w:t>W</w:t>
            </w:r>
          </w:p>
        </w:tc>
        <w:tc>
          <w:tcPr>
            <w:tcW w:type="dxa" w:w="1337"/>
            <w:shd w:fill="17365D"/>
            <w:tcMar>
              <w:top w:w="80" w:type="dxa"/>
              <w:start w:w="100" w:type="dxa"/>
              <w:bottom w:w="80" w:type="dxa"/>
              <w:end w:w="100" w:type="dxa"/>
            </w:tcMar>
            <w:vAlign w:val="center"/>
          </w:tcPr>
          <w:p>
            <w:r>
              <w:rPr>
                <w:rFonts w:ascii="Aptos" w:hAnsi="Aptos"/>
                <w:b/>
                <w:color w:val="FFFFFF"/>
                <w:sz w:val="16"/>
              </w:rPr>
              <w:t>g / h</w:t>
            </w:r>
          </w:p>
        </w:tc>
        <w:tc>
          <w:tcPr>
            <w:tcW w:type="dxa" w:w="1337"/>
            <w:shd w:fill="17365D"/>
            <w:tcMar>
              <w:top w:w="80" w:type="dxa"/>
              <w:start w:w="100" w:type="dxa"/>
              <w:bottom w:w="80" w:type="dxa"/>
              <w:end w:w="100" w:type="dxa"/>
            </w:tcMar>
            <w:vAlign w:val="center"/>
          </w:tcPr>
          <w:p>
            <w:r>
              <w:rPr>
                <w:rFonts w:ascii="Aptos" w:hAnsi="Aptos"/>
                <w:b/>
                <w:color w:val="FFFFFF"/>
                <w:sz w:val="16"/>
              </w:rPr>
              <w:t>τ</w:t>
            </w:r>
          </w:p>
        </w:tc>
      </w:tr>
      <w:tr>
        <w:tc>
          <w:tcPr>
            <w:tcW w:type="dxa" w:w="1337"/>
            <w:tcMar>
              <w:top w:w="80" w:type="dxa"/>
              <w:start w:w="100" w:type="dxa"/>
              <w:bottom w:w="80" w:type="dxa"/>
              <w:end w:w="100" w:type="dxa"/>
            </w:tcMar>
            <w:vAlign w:val="center"/>
          </w:tcPr>
          <w:p>
            <w:r>
              <w:rPr>
                <w:rFonts w:ascii="Aptos" w:hAnsi="Aptos"/>
                <w:sz w:val="16"/>
              </w:rPr>
              <w:t>0.010</w:t>
            </w:r>
          </w:p>
        </w:tc>
        <w:tc>
          <w:tcPr>
            <w:tcW w:type="dxa" w:w="1337"/>
            <w:tcMar>
              <w:top w:w="80" w:type="dxa"/>
              <w:start w:w="100" w:type="dxa"/>
              <w:bottom w:w="80" w:type="dxa"/>
              <w:end w:w="100" w:type="dxa"/>
            </w:tcMar>
            <w:vAlign w:val="center"/>
          </w:tcPr>
          <w:p>
            <w:r>
              <w:rPr>
                <w:rFonts w:ascii="Aptos" w:hAnsi="Aptos"/>
                <w:sz w:val="16"/>
              </w:rPr>
              <w:t>0.25</w:t>
            </w:r>
          </w:p>
        </w:tc>
        <w:tc>
          <w:tcPr>
            <w:tcW w:type="dxa" w:w="1337"/>
            <w:tcMar>
              <w:top w:w="80" w:type="dxa"/>
              <w:start w:w="100" w:type="dxa"/>
              <w:bottom w:w="80" w:type="dxa"/>
              <w:end w:w="100" w:type="dxa"/>
            </w:tcMar>
            <w:vAlign w:val="center"/>
          </w:tcPr>
          <w:p>
            <w:r>
              <w:rPr>
                <w:rFonts w:ascii="Aptos" w:hAnsi="Aptos"/>
                <w:sz w:val="16"/>
              </w:rPr>
              <w:t>0.000015</w:t>
            </w:r>
          </w:p>
        </w:tc>
        <w:tc>
          <w:tcPr>
            <w:tcW w:type="dxa" w:w="1337"/>
            <w:tcMar>
              <w:top w:w="80" w:type="dxa"/>
              <w:start w:w="100" w:type="dxa"/>
              <w:bottom w:w="80" w:type="dxa"/>
              <w:end w:w="100" w:type="dxa"/>
            </w:tcMar>
            <w:vAlign w:val="center"/>
          </w:tcPr>
          <w:p>
            <w:r>
              <w:rPr>
                <w:rFonts w:ascii="Aptos" w:hAnsi="Aptos"/>
                <w:sz w:val="16"/>
              </w:rPr>
              <w:t>0.00814</w:t>
            </w:r>
          </w:p>
        </w:tc>
        <w:tc>
          <w:tcPr>
            <w:tcW w:type="dxa" w:w="1337"/>
            <w:tcMar>
              <w:top w:w="80" w:type="dxa"/>
              <w:start w:w="100" w:type="dxa"/>
              <w:bottom w:w="80" w:type="dxa"/>
              <w:end w:w="100" w:type="dxa"/>
            </w:tcMar>
            <w:vAlign w:val="center"/>
          </w:tcPr>
          <w:p>
            <w:r>
              <w:rPr>
                <w:rFonts w:ascii="Aptos" w:hAnsi="Aptos"/>
                <w:sz w:val="16"/>
              </w:rPr>
              <w:t>0.2231</w:t>
            </w:r>
          </w:p>
        </w:tc>
        <w:tc>
          <w:tcPr>
            <w:tcW w:type="dxa" w:w="1337"/>
            <w:tcMar>
              <w:top w:w="80" w:type="dxa"/>
              <w:start w:w="100" w:type="dxa"/>
              <w:bottom w:w="80" w:type="dxa"/>
              <w:end w:w="100" w:type="dxa"/>
            </w:tcMar>
            <w:vAlign w:val="center"/>
          </w:tcPr>
          <w:p>
            <w:r>
              <w:rPr>
                <w:rFonts w:ascii="Aptos" w:hAnsi="Aptos"/>
                <w:sz w:val="16"/>
              </w:rPr>
              <w:t>0.873 / 0.487</w:t>
            </w:r>
          </w:p>
        </w:tc>
        <w:tc>
          <w:tcPr>
            <w:tcW w:type="dxa" w:w="1337"/>
            <w:tcMar>
              <w:top w:w="80" w:type="dxa"/>
              <w:start w:w="100" w:type="dxa"/>
              <w:bottom w:w="80" w:type="dxa"/>
              <w:end w:w="100" w:type="dxa"/>
            </w:tcMar>
            <w:vAlign w:val="center"/>
          </w:tcPr>
          <w:p>
            <w:r>
              <w:rPr>
                <w:rFonts w:ascii="Aptos" w:hAnsi="Aptos"/>
                <w:sz w:val="16"/>
              </w:rPr>
              <w:t>0.352</w:t>
            </w:r>
          </w:p>
        </w:tc>
      </w:tr>
      <w:tr>
        <w:tc>
          <w:tcPr>
            <w:tcW w:type="dxa" w:w="1337"/>
            <w:tcMar>
              <w:top w:w="80" w:type="dxa"/>
              <w:start w:w="100" w:type="dxa"/>
              <w:bottom w:w="80" w:type="dxa"/>
              <w:end w:w="100" w:type="dxa"/>
            </w:tcMar>
            <w:shd w:fill="EEF4F8"/>
            <w:vAlign w:val="center"/>
          </w:tcPr>
          <w:p>
            <w:r>
              <w:rPr>
                <w:rFonts w:ascii="Aptos" w:hAnsi="Aptos"/>
                <w:sz w:val="16"/>
              </w:rPr>
              <w:t>0.025</w:t>
            </w:r>
          </w:p>
        </w:tc>
        <w:tc>
          <w:tcPr>
            <w:tcW w:type="dxa" w:w="1337"/>
            <w:tcMar>
              <w:top w:w="80" w:type="dxa"/>
              <w:start w:w="100" w:type="dxa"/>
              <w:bottom w:w="80" w:type="dxa"/>
              <w:end w:w="100" w:type="dxa"/>
            </w:tcMar>
            <w:shd w:fill="EEF4F8"/>
            <w:vAlign w:val="center"/>
          </w:tcPr>
          <w:p>
            <w:r>
              <w:rPr>
                <w:rFonts w:ascii="Aptos" w:hAnsi="Aptos"/>
                <w:sz w:val="16"/>
              </w:rPr>
              <w:t>0.50</w:t>
            </w:r>
          </w:p>
        </w:tc>
        <w:tc>
          <w:tcPr>
            <w:tcW w:type="dxa" w:w="1337"/>
            <w:tcMar>
              <w:top w:w="80" w:type="dxa"/>
              <w:start w:w="100" w:type="dxa"/>
              <w:bottom w:w="80" w:type="dxa"/>
              <w:end w:w="100" w:type="dxa"/>
            </w:tcMar>
            <w:shd w:fill="EEF4F8"/>
            <w:vAlign w:val="center"/>
          </w:tcPr>
          <w:p>
            <w:r>
              <w:rPr>
                <w:rFonts w:ascii="Aptos" w:hAnsi="Aptos"/>
                <w:sz w:val="16"/>
              </w:rPr>
              <w:t>0.000499</w:t>
            </w:r>
          </w:p>
        </w:tc>
        <w:tc>
          <w:tcPr>
            <w:tcW w:type="dxa" w:w="1337"/>
            <w:tcMar>
              <w:top w:w="80" w:type="dxa"/>
              <w:start w:w="100" w:type="dxa"/>
              <w:bottom w:w="80" w:type="dxa"/>
              <w:end w:w="100" w:type="dxa"/>
            </w:tcMar>
            <w:shd w:fill="EEF4F8"/>
            <w:vAlign w:val="center"/>
          </w:tcPr>
          <w:p>
            <w:r>
              <w:rPr>
                <w:rFonts w:ascii="Aptos" w:hAnsi="Aptos"/>
                <w:sz w:val="16"/>
              </w:rPr>
              <w:t>0.02409</w:t>
            </w:r>
          </w:p>
        </w:tc>
        <w:tc>
          <w:tcPr>
            <w:tcW w:type="dxa" w:w="1337"/>
            <w:tcMar>
              <w:top w:w="80" w:type="dxa"/>
              <w:start w:w="100" w:type="dxa"/>
              <w:bottom w:w="80" w:type="dxa"/>
              <w:end w:w="100" w:type="dxa"/>
            </w:tcMar>
            <w:shd w:fill="EEF4F8"/>
            <w:vAlign w:val="center"/>
          </w:tcPr>
          <w:p>
            <w:r>
              <w:rPr>
                <w:rFonts w:ascii="Aptos" w:hAnsi="Aptos"/>
                <w:sz w:val="16"/>
              </w:rPr>
              <w:t>0.4752</w:t>
            </w:r>
          </w:p>
        </w:tc>
        <w:tc>
          <w:tcPr>
            <w:tcW w:type="dxa" w:w="1337"/>
            <w:tcMar>
              <w:top w:w="80" w:type="dxa"/>
              <w:start w:w="100" w:type="dxa"/>
              <w:bottom w:w="80" w:type="dxa"/>
              <w:end w:w="100" w:type="dxa"/>
            </w:tcMar>
            <w:shd w:fill="EEF4F8"/>
            <w:vAlign w:val="center"/>
          </w:tcPr>
          <w:p>
            <w:r>
              <w:rPr>
                <w:rFonts w:ascii="Aptos" w:hAnsi="Aptos"/>
                <w:sz w:val="16"/>
              </w:rPr>
              <w:t>0.873 / 0.293</w:t>
            </w:r>
          </w:p>
        </w:tc>
        <w:tc>
          <w:tcPr>
            <w:tcW w:type="dxa" w:w="1337"/>
            <w:tcMar>
              <w:top w:w="80" w:type="dxa"/>
              <w:start w:w="100" w:type="dxa"/>
              <w:bottom w:w="80" w:type="dxa"/>
              <w:end w:w="100" w:type="dxa"/>
            </w:tcMar>
            <w:shd w:fill="EEF4F8"/>
            <w:vAlign w:val="center"/>
          </w:tcPr>
          <w:p>
            <w:r>
              <w:rPr>
                <w:rFonts w:ascii="Aptos" w:hAnsi="Aptos"/>
                <w:sz w:val="16"/>
              </w:rPr>
              <w:t>1.243</w:t>
            </w:r>
          </w:p>
        </w:tc>
      </w:tr>
      <w:tr>
        <w:tc>
          <w:tcPr>
            <w:tcW w:type="dxa" w:w="1337"/>
            <w:tcMar>
              <w:top w:w="80" w:type="dxa"/>
              <w:start w:w="100" w:type="dxa"/>
              <w:bottom w:w="80" w:type="dxa"/>
              <w:end w:w="100" w:type="dxa"/>
            </w:tcMar>
            <w:vAlign w:val="center"/>
          </w:tcPr>
          <w:p>
            <w:r>
              <w:rPr>
                <w:rFonts w:ascii="Aptos" w:hAnsi="Aptos"/>
                <w:sz w:val="16"/>
              </w:rPr>
              <w:t>0.050</w:t>
            </w:r>
          </w:p>
        </w:tc>
        <w:tc>
          <w:tcPr>
            <w:tcW w:type="dxa" w:w="1337"/>
            <w:tcMar>
              <w:top w:w="80" w:type="dxa"/>
              <w:start w:w="100" w:type="dxa"/>
              <w:bottom w:w="80" w:type="dxa"/>
              <w:end w:w="100" w:type="dxa"/>
            </w:tcMar>
            <w:vAlign w:val="center"/>
          </w:tcPr>
          <w:p>
            <w:r>
              <w:rPr>
                <w:rFonts w:ascii="Aptos" w:hAnsi="Aptos"/>
                <w:sz w:val="16"/>
              </w:rPr>
              <w:t>1.00</w:t>
            </w:r>
          </w:p>
        </w:tc>
        <w:tc>
          <w:tcPr>
            <w:tcW w:type="dxa" w:w="1337"/>
            <w:tcMar>
              <w:top w:w="80" w:type="dxa"/>
              <w:start w:w="100" w:type="dxa"/>
              <w:bottom w:w="80" w:type="dxa"/>
              <w:end w:w="100" w:type="dxa"/>
            </w:tcMar>
            <w:vAlign w:val="center"/>
          </w:tcPr>
          <w:p>
            <w:r>
              <w:rPr>
                <w:rFonts w:ascii="Aptos" w:hAnsi="Aptos"/>
                <w:sz w:val="16"/>
              </w:rPr>
              <w:t>0.017783</w:t>
            </w:r>
          </w:p>
        </w:tc>
        <w:tc>
          <w:tcPr>
            <w:tcW w:type="dxa" w:w="1337"/>
            <w:tcMar>
              <w:top w:w="80" w:type="dxa"/>
              <w:start w:w="100" w:type="dxa"/>
              <w:bottom w:w="80" w:type="dxa"/>
              <w:end w:w="100" w:type="dxa"/>
            </w:tcMar>
            <w:vAlign w:val="center"/>
          </w:tcPr>
          <w:p>
            <w:r>
              <w:rPr>
                <w:rFonts w:ascii="Aptos" w:hAnsi="Aptos"/>
                <w:sz w:val="16"/>
              </w:rPr>
              <w:t>0.04704</w:t>
            </w:r>
          </w:p>
        </w:tc>
        <w:tc>
          <w:tcPr>
            <w:tcW w:type="dxa" w:w="1337"/>
            <w:tcMar>
              <w:top w:w="80" w:type="dxa"/>
              <w:start w:w="100" w:type="dxa"/>
              <w:bottom w:w="80" w:type="dxa"/>
              <w:end w:w="100" w:type="dxa"/>
            </w:tcMar>
            <w:vAlign w:val="center"/>
          </w:tcPr>
          <w:p>
            <w:r>
              <w:rPr>
                <w:rFonts w:ascii="Aptos" w:hAnsi="Aptos"/>
                <w:sz w:val="16"/>
              </w:rPr>
              <w:t>0.9332</w:t>
            </w:r>
          </w:p>
        </w:tc>
        <w:tc>
          <w:tcPr>
            <w:tcW w:type="dxa" w:w="1337"/>
            <w:tcMar>
              <w:top w:w="80" w:type="dxa"/>
              <w:start w:w="100" w:type="dxa"/>
              <w:bottom w:w="80" w:type="dxa"/>
              <w:end w:w="100" w:type="dxa"/>
            </w:tcMar>
            <w:vAlign w:val="center"/>
          </w:tcPr>
          <w:p>
            <w:r>
              <w:rPr>
                <w:rFonts w:ascii="Aptos" w:hAnsi="Aptos"/>
                <w:sz w:val="16"/>
              </w:rPr>
              <w:t>1.067 / 0.487</w:t>
            </w:r>
          </w:p>
        </w:tc>
        <w:tc>
          <w:tcPr>
            <w:tcW w:type="dxa" w:w="1337"/>
            <w:tcMar>
              <w:top w:w="80" w:type="dxa"/>
              <w:start w:w="100" w:type="dxa"/>
              <w:bottom w:w="80" w:type="dxa"/>
              <w:end w:w="100" w:type="dxa"/>
            </w:tcMar>
            <w:vAlign w:val="center"/>
          </w:tcPr>
          <w:p>
            <w:r>
              <w:rPr>
                <w:rFonts w:ascii="Aptos" w:hAnsi="Aptos"/>
                <w:sz w:val="16"/>
              </w:rPr>
              <w:t>3.404</w:t>
            </w:r>
          </w:p>
        </w:tc>
      </w:tr>
      <w:tr>
        <w:tc>
          <w:tcPr>
            <w:tcW w:type="dxa" w:w="1337"/>
            <w:tcMar>
              <w:top w:w="80" w:type="dxa"/>
              <w:start w:w="100" w:type="dxa"/>
              <w:bottom w:w="80" w:type="dxa"/>
              <w:end w:w="100" w:type="dxa"/>
            </w:tcMar>
            <w:shd w:fill="EEF4F8"/>
            <w:vAlign w:val="center"/>
          </w:tcPr>
          <w:p>
            <w:r>
              <w:rPr>
                <w:rFonts w:ascii="Aptos" w:hAnsi="Aptos"/>
                <w:sz w:val="16"/>
              </w:rPr>
              <w:t>0.100</w:t>
            </w:r>
          </w:p>
        </w:tc>
        <w:tc>
          <w:tcPr>
            <w:tcW w:type="dxa" w:w="1337"/>
            <w:tcMar>
              <w:top w:w="80" w:type="dxa"/>
              <w:start w:w="100" w:type="dxa"/>
              <w:bottom w:w="80" w:type="dxa"/>
              <w:end w:w="100" w:type="dxa"/>
            </w:tcMar>
            <w:shd w:fill="EEF4F8"/>
            <w:vAlign w:val="center"/>
          </w:tcPr>
          <w:p>
            <w:r>
              <w:rPr>
                <w:rFonts w:ascii="Aptos" w:hAnsi="Aptos"/>
                <w:sz w:val="16"/>
              </w:rPr>
              <w:t>1.50</w:t>
            </w:r>
          </w:p>
        </w:tc>
        <w:tc>
          <w:tcPr>
            <w:tcW w:type="dxa" w:w="1337"/>
            <w:tcMar>
              <w:top w:w="80" w:type="dxa"/>
              <w:start w:w="100" w:type="dxa"/>
              <w:bottom w:w="80" w:type="dxa"/>
              <w:end w:w="100" w:type="dxa"/>
            </w:tcMar>
            <w:shd w:fill="EEF4F8"/>
            <w:vAlign w:val="center"/>
          </w:tcPr>
          <w:p>
            <w:r>
              <w:rPr>
                <w:rFonts w:ascii="Aptos" w:hAnsi="Aptos"/>
                <w:sz w:val="16"/>
              </w:rPr>
              <w:t>0.120244</w:t>
            </w:r>
          </w:p>
        </w:tc>
        <w:tc>
          <w:tcPr>
            <w:tcW w:type="dxa" w:w="1337"/>
            <w:tcMar>
              <w:top w:w="80" w:type="dxa"/>
              <w:start w:w="100" w:type="dxa"/>
              <w:bottom w:w="80" w:type="dxa"/>
              <w:end w:w="100" w:type="dxa"/>
            </w:tcMar>
            <w:shd w:fill="EEF4F8"/>
            <w:vAlign w:val="center"/>
          </w:tcPr>
          <w:p>
            <w:r>
              <w:rPr>
                <w:rFonts w:ascii="Aptos" w:hAnsi="Aptos"/>
                <w:sz w:val="16"/>
              </w:rPr>
              <w:t>0.09708</w:t>
            </w:r>
          </w:p>
        </w:tc>
        <w:tc>
          <w:tcPr>
            <w:tcW w:type="dxa" w:w="1337"/>
            <w:tcMar>
              <w:top w:w="80" w:type="dxa"/>
              <w:start w:w="100" w:type="dxa"/>
              <w:bottom w:w="80" w:type="dxa"/>
              <w:end w:w="100" w:type="dxa"/>
            </w:tcMar>
            <w:shd w:fill="EEF4F8"/>
            <w:vAlign w:val="center"/>
          </w:tcPr>
          <w:p>
            <w:r>
              <w:rPr>
                <w:rFonts w:ascii="Aptos" w:hAnsi="Aptos"/>
                <w:sz w:val="16"/>
              </w:rPr>
              <w:t>1.4527</w:t>
            </w:r>
          </w:p>
        </w:tc>
        <w:tc>
          <w:tcPr>
            <w:tcW w:type="dxa" w:w="1337"/>
            <w:tcMar>
              <w:top w:w="80" w:type="dxa"/>
              <w:start w:w="100" w:type="dxa"/>
              <w:bottom w:w="80" w:type="dxa"/>
              <w:end w:w="100" w:type="dxa"/>
            </w:tcMar>
            <w:shd w:fill="EEF4F8"/>
            <w:vAlign w:val="center"/>
          </w:tcPr>
          <w:p>
            <w:r>
              <w:rPr>
                <w:rFonts w:ascii="Aptos" w:hAnsi="Aptos"/>
                <w:sz w:val="16"/>
              </w:rPr>
              <w:t>1.260 / 0.680</w:t>
            </w:r>
          </w:p>
        </w:tc>
        <w:tc>
          <w:tcPr>
            <w:tcW w:type="dxa" w:w="1337"/>
            <w:tcMar>
              <w:top w:w="80" w:type="dxa"/>
              <w:start w:w="100" w:type="dxa"/>
              <w:bottom w:w="80" w:type="dxa"/>
              <w:end w:w="100" w:type="dxa"/>
            </w:tcMar>
            <w:shd w:fill="EEF4F8"/>
            <w:vAlign w:val="center"/>
          </w:tcPr>
          <w:p>
            <w:r>
              <w:rPr>
                <w:rFonts w:ascii="Aptos" w:hAnsi="Aptos"/>
                <w:sz w:val="16"/>
              </w:rPr>
              <w:t>12.000</w:t>
            </w:r>
          </w:p>
        </w:tc>
      </w:tr>
      <w:tr>
        <w:tc>
          <w:tcPr>
            <w:tcW w:type="dxa" w:w="1337"/>
            <w:tcMar>
              <w:top w:w="80" w:type="dxa"/>
              <w:start w:w="100" w:type="dxa"/>
              <w:bottom w:w="80" w:type="dxa"/>
              <w:end w:w="100" w:type="dxa"/>
            </w:tcMar>
            <w:vAlign w:val="center"/>
          </w:tcPr>
          <w:p>
            <w:r>
              <w:rPr>
                <w:rFonts w:ascii="Aptos" w:hAnsi="Aptos"/>
                <w:sz w:val="16"/>
              </w:rPr>
              <w:t>0.200</w:t>
            </w:r>
          </w:p>
        </w:tc>
        <w:tc>
          <w:tcPr>
            <w:tcW w:type="dxa" w:w="1337"/>
            <w:tcMar>
              <w:top w:w="80" w:type="dxa"/>
              <w:start w:w="100" w:type="dxa"/>
              <w:bottom w:w="80" w:type="dxa"/>
              <w:end w:w="100" w:type="dxa"/>
            </w:tcMar>
            <w:vAlign w:val="center"/>
          </w:tcPr>
          <w:p>
            <w:r>
              <w:rPr>
                <w:rFonts w:ascii="Aptos" w:hAnsi="Aptos"/>
                <w:sz w:val="16"/>
              </w:rPr>
              <w:t>3.00</w:t>
            </w:r>
          </w:p>
        </w:tc>
        <w:tc>
          <w:tcPr>
            <w:tcW w:type="dxa" w:w="1337"/>
            <w:tcMar>
              <w:top w:w="80" w:type="dxa"/>
              <w:start w:w="100" w:type="dxa"/>
              <w:bottom w:w="80" w:type="dxa"/>
              <w:end w:w="100" w:type="dxa"/>
            </w:tcMar>
            <w:vAlign w:val="center"/>
          </w:tcPr>
          <w:p>
            <w:r>
              <w:rPr>
                <w:rFonts w:ascii="Aptos" w:hAnsi="Aptos"/>
                <w:sz w:val="16"/>
              </w:rPr>
              <w:t>0.384154</w:t>
            </w:r>
          </w:p>
        </w:tc>
        <w:tc>
          <w:tcPr>
            <w:tcW w:type="dxa" w:w="1337"/>
            <w:tcMar>
              <w:top w:w="80" w:type="dxa"/>
              <w:start w:w="100" w:type="dxa"/>
              <w:bottom w:w="80" w:type="dxa"/>
              <w:end w:w="100" w:type="dxa"/>
            </w:tcMar>
            <w:vAlign w:val="center"/>
          </w:tcPr>
          <w:p>
            <w:r>
              <w:rPr>
                <w:rFonts w:ascii="Aptos" w:hAnsi="Aptos"/>
                <w:sz w:val="16"/>
              </w:rPr>
              <w:t>0.05405</w:t>
            </w:r>
          </w:p>
        </w:tc>
        <w:tc>
          <w:tcPr>
            <w:tcW w:type="dxa" w:w="1337"/>
            <w:tcMar>
              <w:top w:w="80" w:type="dxa"/>
              <w:start w:w="100" w:type="dxa"/>
              <w:bottom w:w="80" w:type="dxa"/>
              <w:end w:w="100" w:type="dxa"/>
            </w:tcMar>
            <w:vAlign w:val="center"/>
          </w:tcPr>
          <w:p>
            <w:r>
              <w:rPr>
                <w:rFonts w:ascii="Aptos" w:hAnsi="Aptos"/>
                <w:sz w:val="16"/>
              </w:rPr>
              <w:t>2.9665</w:t>
            </w:r>
          </w:p>
        </w:tc>
        <w:tc>
          <w:tcPr>
            <w:tcW w:type="dxa" w:w="1337"/>
            <w:tcMar>
              <w:top w:w="80" w:type="dxa"/>
              <w:start w:w="100" w:type="dxa"/>
              <w:bottom w:w="80" w:type="dxa"/>
              <w:end w:w="100" w:type="dxa"/>
            </w:tcMar>
            <w:vAlign w:val="center"/>
          </w:tcPr>
          <w:p>
            <w:r>
              <w:rPr>
                <w:rFonts w:ascii="Aptos" w:hAnsi="Aptos"/>
                <w:sz w:val="16"/>
              </w:rPr>
              <w:t>2.033 / 1.260</w:t>
            </w:r>
          </w:p>
        </w:tc>
        <w:tc>
          <w:tcPr>
            <w:tcW w:type="dxa" w:w="1337"/>
            <w:tcMar>
              <w:top w:w="80" w:type="dxa"/>
              <w:start w:w="100" w:type="dxa"/>
              <w:bottom w:w="80" w:type="dxa"/>
              <w:end w:w="100" w:type="dxa"/>
            </w:tcMar>
            <w:vAlign w:val="center"/>
          </w:tcPr>
          <w:p>
            <w:r>
              <w:rPr>
                <w:rFonts w:ascii="Aptos" w:hAnsi="Aptos"/>
                <w:sz w:val="16"/>
              </w:rPr>
              <w:t>12.000</w:t>
            </w:r>
          </w:p>
        </w:tc>
      </w:tr>
    </w:tbl>
    <w:p>
      <w:pPr>
        <w:spacing w:after="20"/>
      </w:pPr>
    </w:p>
    <w:p>
      <w:pPr>
        <w:keepNext w:val="0"/>
        <w:spacing w:after="120" w:line="259" w:lineRule="auto"/>
      </w:pPr>
      <w:r>
        <w:rPr>
          <w:rFonts w:ascii="Aptos" w:hAnsi="Aptos"/>
          <w:sz w:val="20"/>
        </w:rPr>
        <w:t>The fifth row carries more than three times the information of the fourth while also having less target disturbance. This directly kills monotonic disturbance-as-price within the scanned model. It succeeds through stronger energetic alignment and pays almost twice the switching work.</w:t>
      </w:r>
    </w:p>
    <w:p>
      <w:pPr>
        <w:pStyle w:val="Heading1"/>
        <w:keepNext/>
      </w:pPr>
      <w:r>
        <w:t>5. The nonmonotone disturbance result</w:t>
      </w:r>
    </w:p>
    <w:p>
      <w:pPr>
        <w:keepNext w:val="0"/>
        <w:spacing w:after="120" w:line="259" w:lineRule="auto"/>
      </w:pPr>
      <w:r>
        <w:rPr>
          <w:rFonts w:ascii="Aptos" w:hAnsi="Aptos"/>
          <w:sz w:val="20"/>
        </w:rPr>
        <w:t>The maximum-information scanned point occurs at the upper coupling and exposure boundaries: g=3.0, h=2.033, τ=12, with I=0.59210 bits, D=0.03856, and W=4.83147. Its low disturbance is not weak measurement. The interaction energy makes target–apparatus disagreement costly, so the target becomes dynamically pinned while correlation propagates to Memory.</w:t>
      </w:r>
    </w:p>
    <w:tbl>
      <w:tblPr>
        <w:tblW w:type="auto" w:w="0"/>
        <w:tblLayout w:type="fixed"/>
        <w:tblLook w:firstColumn="1" w:firstRow="1" w:lastColumn="0" w:lastRow="0" w:noHBand="0" w:noVBand="1" w:val="04A0"/>
      </w:tblPr>
      <w:tblGrid>
        <w:gridCol w:w="9360"/>
      </w:tblGrid>
      <w:tr>
        <w:tc>
          <w:tcPr>
            <w:tcW w:type="dxa" w:w="9288"/>
            <w:shd w:fill="EEF4F8"/>
            <w:tcMar>
              <w:top w:w="120" w:type="dxa"/>
              <w:start w:w="150" w:type="dxa"/>
              <w:bottom w:w="120" w:type="dxa"/>
              <w:end w:w="150" w:type="dxa"/>
            </w:tcMar>
            <w:vAlign w:val="center"/>
          </w:tcPr>
          <w:p>
            <w:pPr>
              <w:spacing w:after="0"/>
            </w:pPr>
            <w:r>
              <w:rPr>
                <w:rFonts w:ascii="Aptos" w:hAnsi="Aptos"/>
                <w:b/>
                <w:color w:val="17365D"/>
                <w:sz w:val="18"/>
              </w:rPr>
              <w:t xml:space="preserve">COUNTEREXAMPLE  </w:t>
            </w:r>
            <w:r>
              <w:rPr>
                <w:rFonts w:ascii="Aptos" w:hAnsi="Aptos"/>
                <w:sz w:val="18"/>
              </w:rPr>
              <w:t>In this model, increasing observational information need not increase target disturbance. Hence no universal inequality of the form ‘more information implies more flips’ can be inferred from the EIM triad or from this thermal realization.</w:t>
            </w:r>
          </w:p>
        </w:tc>
      </w:tr>
    </w:tbl>
    <w:p>
      <w:pPr>
        <w:spacing w:after="20"/>
      </w:pPr>
    </w:p>
    <w:p>
      <w:pPr>
        <w:keepNext w:val="0"/>
        <w:spacing w:after="120" w:line="259" w:lineRule="auto"/>
      </w:pPr>
      <w:r>
        <w:rPr>
          <w:rFonts w:ascii="Aptos" w:hAnsi="Aptos"/>
          <w:sz w:val="20"/>
        </w:rPr>
        <w:t>The grid maximum lying on the coupling and time boundaries also means the global optimum has not been located. Boundary extension may raise information further. That limitation does not weaken the counterexample: two already-computed feasible points are sufficient to refute a necessary monotone disturbance payment in this model.</w:t>
      </w:r>
    </w:p>
    <w:p>
      <w:pPr>
        <w:pStyle w:val="Heading1"/>
        <w:keepNext/>
      </w:pPr>
      <w:r>
        <w:t>6. What remains of the tradeoff</w:t>
      </w:r>
    </w:p>
    <w:p>
      <w:pPr>
        <w:keepNext w:val="0"/>
        <w:spacing w:after="120" w:line="259" w:lineRule="auto"/>
      </w:pPr>
      <w:r>
        <w:rPr>
          <w:rFonts w:ascii="Aptos" w:hAnsi="Aptos"/>
          <w:sz w:val="20"/>
        </w:rPr>
        <w:t>The scan retains a model-specific information–work frontier. Under the declared sudden switch-off protocol, stronger correlations store more interaction energy and therefore increase W. The constrained optima rise from approximately 1.5×10⁻⁵ bits below W=0.25 to 0.384 bits below W=3.00. This is evidence for a resource tradeoff inside the protocol class, but it is not a universal work-per-bit law.</w:t>
      </w:r>
    </w:p>
    <w:p>
      <w:pPr>
        <w:pStyle w:val="ListBullet"/>
        <w:spacing w:after="60"/>
      </w:pPr>
      <w:r>
        <w:rPr>
          <w:rFonts w:ascii="Aptos" w:hAnsi="Aptos"/>
          <w:sz w:val="20"/>
        </w:rPr>
        <w:t>Changing the switching schedule can change or recover protocol work.</w:t>
      </w:r>
    </w:p>
    <w:p>
      <w:pPr>
        <w:pStyle w:val="ListBullet"/>
        <w:spacing w:after="60"/>
      </w:pPr>
      <w:r>
        <w:rPr>
          <w:rFonts w:ascii="Aptos" w:hAnsi="Aptos"/>
          <w:sz w:val="20"/>
        </w:rPr>
        <w:t>Changing the bath, state space, rate law, or admissible controls changes the frontier.</w:t>
      </w:r>
    </w:p>
    <w:p>
      <w:pPr>
        <w:pStyle w:val="ListBullet"/>
        <w:spacing w:after="60"/>
      </w:pPr>
      <w:r>
        <w:rPr>
          <w:rFonts w:ascii="Aptos" w:hAnsi="Aptos"/>
          <w:sz w:val="20"/>
        </w:rPr>
        <w:t>Allowing feedback or quasistatic driving can invalidate the present cost comparison.</w:t>
      </w:r>
    </w:p>
    <w:p>
      <w:pPr>
        <w:pStyle w:val="ListBullet"/>
        <w:spacing w:after="60"/>
      </w:pPr>
      <w:r>
        <w:rPr>
          <w:rFonts w:ascii="Aptos" w:hAnsi="Aptos"/>
          <w:sz w:val="20"/>
        </w:rPr>
        <w:t>No positive minimum work follows merely from noninjective public projection.</w:t>
      </w:r>
    </w:p>
    <w:p>
      <w:pPr>
        <w:pStyle w:val="Heading1"/>
        <w:keepNext/>
      </w:pPr>
      <w:r>
        <w:t>7. Claim ledger, v1.7</w:t>
      </w:r>
    </w:p>
    <w:tbl>
      <w:tblPr>
        <w:tblStyle w:val="TableGrid"/>
        <w:tblW w:type="auto" w:w="0"/>
        <w:tblLook w:firstColumn="1" w:firstRow="1" w:lastColumn="0" w:lastRow="0" w:noHBand="0" w:noVBand="1" w:val="04A0"/>
      </w:tblPr>
      <w:tblGrid>
        <w:gridCol w:w="3120"/>
        <w:gridCol w:w="3120"/>
        <w:gridCol w:w="3120"/>
      </w:tblGrid>
      <w:tr>
        <w:trPr>
          <w:tblHeader w:val="true"/>
        </w:trPr>
        <w:tc>
          <w:tcPr>
            <w:tcW w:type="dxa" w:w="3120"/>
            <w:shd w:fill="17365D"/>
            <w:tcMar>
              <w:top w:w="80" w:type="dxa"/>
              <w:start w:w="100" w:type="dxa"/>
              <w:bottom w:w="80" w:type="dxa"/>
              <w:end w:w="100" w:type="dxa"/>
            </w:tcMar>
            <w:vAlign w:val="center"/>
          </w:tcPr>
          <w:p>
            <w:r>
              <w:rPr>
                <w:rFonts w:ascii="Aptos" w:hAnsi="Aptos"/>
                <w:b/>
                <w:color w:val="FFFFFF"/>
                <w:sz w:val="17"/>
              </w:rPr>
              <w:t>ID / Grade</w:t>
            </w:r>
          </w:p>
        </w:tc>
        <w:tc>
          <w:tcPr>
            <w:tcW w:type="dxa" w:w="3120"/>
            <w:shd w:fill="17365D"/>
            <w:tcMar>
              <w:top w:w="80" w:type="dxa"/>
              <w:start w:w="100" w:type="dxa"/>
              <w:bottom w:w="80" w:type="dxa"/>
              <w:end w:w="100" w:type="dxa"/>
            </w:tcMar>
            <w:vAlign w:val="center"/>
          </w:tcPr>
          <w:p>
            <w:r>
              <w:rPr>
                <w:rFonts w:ascii="Aptos" w:hAnsi="Aptos"/>
                <w:b/>
                <w:color w:val="FFFFFF"/>
                <w:sz w:val="17"/>
              </w:rPr>
              <w:t>Earned statement</w:t>
            </w:r>
          </w:p>
        </w:tc>
        <w:tc>
          <w:tcPr>
            <w:tcW w:type="dxa" w:w="3120"/>
            <w:shd w:fill="17365D"/>
            <w:tcMar>
              <w:top w:w="80" w:type="dxa"/>
              <w:start w:w="100" w:type="dxa"/>
              <w:bottom w:w="80" w:type="dxa"/>
              <w:end w:w="100" w:type="dxa"/>
            </w:tcMar>
            <w:vAlign w:val="center"/>
          </w:tcPr>
          <w:p>
            <w:r>
              <w:rPr>
                <w:rFonts w:ascii="Aptos" w:hAnsi="Aptos"/>
                <w:b/>
                <w:color w:val="FFFFFF"/>
                <w:sz w:val="17"/>
              </w:rPr>
              <w:t>Boundary / kill condition</w:t>
            </w:r>
          </w:p>
        </w:tc>
      </w:tr>
      <w:tr>
        <w:tc>
          <w:tcPr>
            <w:tcW w:type="dxa" w:w="3120"/>
            <w:tcMar>
              <w:top w:w="100" w:type="dxa"/>
              <w:start w:w="110" w:type="dxa"/>
              <w:bottom w:w="100" w:type="dxa"/>
              <w:end w:w="110" w:type="dxa"/>
            </w:tcMar>
            <w:vAlign w:val="center"/>
          </w:tcPr>
          <w:p>
            <w:r>
              <w:rPr>
                <w:rFonts w:ascii="Aptos" w:hAnsi="Aptos"/>
                <w:sz w:val="16"/>
              </w:rPr>
              <w:t>PAR-1 / Computed</w:t>
            </w:r>
          </w:p>
        </w:tc>
        <w:tc>
          <w:tcPr>
            <w:tcW w:type="dxa" w:w="3120"/>
            <w:tcMar>
              <w:top w:w="100" w:type="dxa"/>
              <w:start w:w="110" w:type="dxa"/>
              <w:bottom w:w="100" w:type="dxa"/>
              <w:end w:w="110" w:type="dxa"/>
            </w:tcMar>
            <w:vAlign w:val="center"/>
          </w:tcPr>
          <w:p>
            <w:r>
              <w:rPr>
                <w:rFonts w:ascii="Aptos" w:hAnsi="Aptos"/>
                <w:sz w:val="16"/>
              </w:rPr>
              <w:t>20,480 declared parameter points were evaluated by exact eight-state exponentiation.</w:t>
            </w:r>
          </w:p>
        </w:tc>
        <w:tc>
          <w:tcPr>
            <w:tcW w:type="dxa" w:w="3120"/>
            <w:tcMar>
              <w:top w:w="100" w:type="dxa"/>
              <w:start w:w="110" w:type="dxa"/>
              <w:bottom w:w="100" w:type="dxa"/>
              <w:end w:w="110" w:type="dxa"/>
            </w:tcMar>
            <w:vAlign w:val="center"/>
          </w:tcPr>
          <w:p>
            <w:r>
              <w:rPr>
                <w:rFonts w:ascii="Aptos" w:hAnsi="Aptos"/>
                <w:sz w:val="16"/>
              </w:rPr>
              <w:t>Finite grid; not continuous global optimization.</w:t>
            </w:r>
          </w:p>
        </w:tc>
      </w:tr>
      <w:tr>
        <w:tc>
          <w:tcPr>
            <w:tcW w:type="dxa" w:w="3120"/>
            <w:tcMar>
              <w:top w:w="100" w:type="dxa"/>
              <w:start w:w="110" w:type="dxa"/>
              <w:bottom w:w="100" w:type="dxa"/>
              <w:end w:w="110" w:type="dxa"/>
            </w:tcMar>
            <w:shd w:fill="EEF4F8"/>
            <w:vAlign w:val="center"/>
          </w:tcPr>
          <w:p>
            <w:r>
              <w:rPr>
                <w:rFonts w:ascii="Aptos" w:hAnsi="Aptos"/>
                <w:sz w:val="16"/>
              </w:rPr>
              <w:t>PAR-2 / Exact</w:t>
            </w:r>
          </w:p>
        </w:tc>
        <w:tc>
          <w:tcPr>
            <w:tcW w:type="dxa" w:w="3120"/>
            <w:tcMar>
              <w:top w:w="100" w:type="dxa"/>
              <w:start w:w="110" w:type="dxa"/>
              <w:bottom w:w="100" w:type="dxa"/>
              <w:end w:w="110" w:type="dxa"/>
            </w:tcMar>
            <w:shd w:fill="EEF4F8"/>
            <w:vAlign w:val="center"/>
          </w:tcPr>
          <w:p>
            <w:r>
              <w:rPr>
                <w:rFonts w:ascii="Aptos" w:hAnsi="Aptos"/>
                <w:sz w:val="16"/>
              </w:rPr>
              <w:t>For the free Memory law, every u&gt;0 point is dominated by its u=0 counterpart when D and incurred W are unchanged.</w:t>
            </w:r>
          </w:p>
        </w:tc>
        <w:tc>
          <w:tcPr>
            <w:tcW w:type="dxa" w:w="3120"/>
            <w:tcMar>
              <w:top w:w="100" w:type="dxa"/>
              <w:start w:w="110" w:type="dxa"/>
              <w:bottom w:w="100" w:type="dxa"/>
              <w:end w:w="110" w:type="dxa"/>
            </w:tcMar>
            <w:shd w:fill="EEF4F8"/>
            <w:vAlign w:val="center"/>
          </w:tcPr>
          <w:p>
            <w:r>
              <w:rPr>
                <w:rFonts w:ascii="Aptos" w:hAnsi="Aptos"/>
                <w:sz w:val="16"/>
              </w:rPr>
              <w:t>Fails if post-exposure dynamics rewrites, protects, or powers Memory.</w:t>
            </w:r>
          </w:p>
        </w:tc>
      </w:tr>
      <w:tr>
        <w:tc>
          <w:tcPr>
            <w:tcW w:type="dxa" w:w="3120"/>
            <w:tcMar>
              <w:top w:w="100" w:type="dxa"/>
              <w:start w:w="110" w:type="dxa"/>
              <w:bottom w:w="100" w:type="dxa"/>
              <w:end w:w="110" w:type="dxa"/>
            </w:tcMar>
            <w:vAlign w:val="center"/>
          </w:tcPr>
          <w:p>
            <w:r>
              <w:rPr>
                <w:rFonts w:ascii="Aptos" w:hAnsi="Aptos"/>
                <w:sz w:val="16"/>
              </w:rPr>
              <w:t>PAR-3 / Computed counterexample</w:t>
            </w:r>
          </w:p>
        </w:tc>
        <w:tc>
          <w:tcPr>
            <w:tcW w:type="dxa" w:w="3120"/>
            <w:tcMar>
              <w:top w:w="100" w:type="dxa"/>
              <w:start w:w="110" w:type="dxa"/>
              <w:bottom w:w="100" w:type="dxa"/>
              <w:end w:w="110" w:type="dxa"/>
            </w:tcMar>
            <w:vAlign w:val="center"/>
          </w:tcPr>
          <w:p>
            <w:r>
              <w:rPr>
                <w:rFonts w:ascii="Aptos" w:hAnsi="Aptos"/>
                <w:sz w:val="16"/>
              </w:rPr>
              <w:t>More Memory information can coexist with less target disturbance through energetic pinning.</w:t>
            </w:r>
          </w:p>
        </w:tc>
        <w:tc>
          <w:tcPr>
            <w:tcW w:type="dxa" w:w="3120"/>
            <w:tcMar>
              <w:top w:w="100" w:type="dxa"/>
              <w:start w:w="110" w:type="dxa"/>
              <w:bottom w:w="100" w:type="dxa"/>
              <w:end w:w="110" w:type="dxa"/>
            </w:tcMar>
            <w:vAlign w:val="center"/>
          </w:tcPr>
          <w:p>
            <w:r>
              <w:rPr>
                <w:rFonts w:ascii="Aptos" w:hAnsi="Aptos"/>
                <w:sz w:val="16"/>
              </w:rPr>
              <w:t>Model-specific; refutes necessity here, not every information–disturbance theorem.</w:t>
            </w:r>
          </w:p>
        </w:tc>
      </w:tr>
      <w:tr>
        <w:tc>
          <w:tcPr>
            <w:tcW w:type="dxa" w:w="3120"/>
            <w:tcMar>
              <w:top w:w="100" w:type="dxa"/>
              <w:start w:w="110" w:type="dxa"/>
              <w:bottom w:w="100" w:type="dxa"/>
              <w:end w:w="110" w:type="dxa"/>
            </w:tcMar>
            <w:shd w:fill="EEF4F8"/>
            <w:vAlign w:val="center"/>
          </w:tcPr>
          <w:p>
            <w:r>
              <w:rPr>
                <w:rFonts w:ascii="Aptos" w:hAnsi="Aptos"/>
                <w:sz w:val="16"/>
              </w:rPr>
              <w:t>PAR-4 / Computed</w:t>
            </w:r>
          </w:p>
        </w:tc>
        <w:tc>
          <w:tcPr>
            <w:tcW w:type="dxa" w:w="3120"/>
            <w:tcMar>
              <w:top w:w="100" w:type="dxa"/>
              <w:start w:w="110" w:type="dxa"/>
              <w:bottom w:w="100" w:type="dxa"/>
              <w:end w:w="110" w:type="dxa"/>
            </w:tcMar>
            <w:shd w:fill="EEF4F8"/>
            <w:vAlign w:val="center"/>
          </w:tcPr>
          <w:p>
            <w:r>
              <w:rPr>
                <w:rFonts w:ascii="Aptos" w:hAnsi="Aptos"/>
                <w:sz w:val="16"/>
              </w:rPr>
              <w:t>A nontrivial information–work Pareto frontier remains under the sudden-switch protocol.</w:t>
            </w:r>
          </w:p>
        </w:tc>
        <w:tc>
          <w:tcPr>
            <w:tcW w:type="dxa" w:w="3120"/>
            <w:tcMar>
              <w:top w:w="100" w:type="dxa"/>
              <w:start w:w="110" w:type="dxa"/>
              <w:bottom w:w="100" w:type="dxa"/>
              <w:end w:w="110" w:type="dxa"/>
            </w:tcMar>
            <w:shd w:fill="EEF4F8"/>
            <w:vAlign w:val="center"/>
          </w:tcPr>
          <w:p>
            <w:r>
              <w:rPr>
                <w:rFonts w:ascii="Aptos" w:hAnsi="Aptos"/>
                <w:sz w:val="16"/>
              </w:rPr>
              <w:t>Killed as universal by protocol dependence.</w:t>
            </w:r>
          </w:p>
        </w:tc>
      </w:tr>
      <w:tr>
        <w:tc>
          <w:tcPr>
            <w:tcW w:type="dxa" w:w="3120"/>
            <w:tcMar>
              <w:top w:w="100" w:type="dxa"/>
              <w:start w:w="110" w:type="dxa"/>
              <w:bottom w:w="100" w:type="dxa"/>
              <w:end w:w="110" w:type="dxa"/>
            </w:tcMar>
            <w:vAlign w:val="center"/>
          </w:tcPr>
          <w:p>
            <w:r>
              <w:rPr>
                <w:rFonts w:ascii="Aptos" w:hAnsi="Aptos"/>
                <w:sz w:val="16"/>
              </w:rPr>
              <w:t>PAR-5 / Retracted candidate</w:t>
            </w:r>
          </w:p>
        </w:tc>
        <w:tc>
          <w:tcPr>
            <w:tcW w:type="dxa" w:w="3120"/>
            <w:tcMar>
              <w:top w:w="100" w:type="dxa"/>
              <w:start w:w="110" w:type="dxa"/>
              <w:bottom w:w="100" w:type="dxa"/>
              <w:end w:w="110" w:type="dxa"/>
            </w:tcMar>
            <w:vAlign w:val="center"/>
          </w:tcPr>
          <w:p>
            <w:r>
              <w:rPr>
                <w:rFonts w:ascii="Aptos" w:hAnsi="Aptos"/>
                <w:sz w:val="16"/>
              </w:rPr>
              <w:t>Target disturbance is the necessary payment for increased observational reach.</w:t>
            </w:r>
          </w:p>
        </w:tc>
        <w:tc>
          <w:tcPr>
            <w:tcW w:type="dxa" w:w="3120"/>
            <w:tcMar>
              <w:top w:w="100" w:type="dxa"/>
              <w:start w:w="110" w:type="dxa"/>
              <w:bottom w:w="100" w:type="dxa"/>
              <w:end w:w="110" w:type="dxa"/>
            </w:tcMar>
            <w:vAlign w:val="center"/>
          </w:tcPr>
          <w:p>
            <w:r>
              <w:rPr>
                <w:rFonts w:ascii="Aptos" w:hAnsi="Aptos"/>
                <w:sz w:val="16"/>
              </w:rPr>
              <w:t>False in the scanned model.</w:t>
            </w:r>
          </w:p>
        </w:tc>
      </w:tr>
      <w:tr>
        <w:tc>
          <w:tcPr>
            <w:tcW w:type="dxa" w:w="3120"/>
            <w:tcMar>
              <w:top w:w="100" w:type="dxa"/>
              <w:start w:w="110" w:type="dxa"/>
              <w:bottom w:w="100" w:type="dxa"/>
              <w:end w:w="110" w:type="dxa"/>
            </w:tcMar>
            <w:shd w:fill="EEF4F8"/>
            <w:vAlign w:val="center"/>
          </w:tcPr>
          <w:p>
            <w:r>
              <w:rPr>
                <w:rFonts w:ascii="Aptos" w:hAnsi="Aptos"/>
                <w:sz w:val="16"/>
              </w:rPr>
              <w:t>PAR-6 / Open</w:t>
            </w:r>
          </w:p>
        </w:tc>
        <w:tc>
          <w:tcPr>
            <w:tcW w:type="dxa" w:w="3120"/>
            <w:tcMar>
              <w:top w:w="100" w:type="dxa"/>
              <w:start w:w="110" w:type="dxa"/>
              <w:bottom w:w="100" w:type="dxa"/>
              <w:end w:w="110" w:type="dxa"/>
            </w:tcMar>
            <w:shd w:fill="EEF4F8"/>
            <w:vAlign w:val="center"/>
          </w:tcPr>
          <w:p>
            <w:r>
              <w:rPr>
                <w:rFonts w:ascii="Aptos" w:hAnsi="Aptos"/>
                <w:sz w:val="16"/>
              </w:rPr>
              <w:t>EIM derives a protocol-independent focal or energetic lower bound.</w:t>
            </w:r>
          </w:p>
        </w:tc>
        <w:tc>
          <w:tcPr>
            <w:tcW w:type="dxa" w:w="3120"/>
            <w:tcMar>
              <w:top w:w="100" w:type="dxa"/>
              <w:start w:w="110" w:type="dxa"/>
              <w:bottom w:w="100" w:type="dxa"/>
              <w:end w:w="110" w:type="dxa"/>
            </w:tcMar>
            <w:shd w:fill="EEF4F8"/>
            <w:vAlign w:val="center"/>
          </w:tcPr>
          <w:p>
            <w:r>
              <w:rPr>
                <w:rFonts w:ascii="Aptos" w:hAnsi="Aptos"/>
                <w:sz w:val="16"/>
              </w:rPr>
              <w:t>Requires a specified operational task and an optimization theorem over admissible implementations.</w:t>
            </w:r>
          </w:p>
        </w:tc>
      </w:tr>
    </w:tbl>
    <w:p>
      <w:pPr>
        <w:spacing w:after="20"/>
      </w:pPr>
    </w:p>
    <w:p>
      <w:pPr>
        <w:pStyle w:val="Heading1"/>
        <w:keepNext/>
      </w:pPr>
      <w:r>
        <w:t>8. Dissertation-ready replacement paragraph</w:t>
      </w:r>
    </w:p>
    <w:tbl>
      <w:tblPr>
        <w:tblW w:type="auto" w:w="0"/>
        <w:tblLayout w:type="fixed"/>
        <w:tblLook w:firstColumn="1" w:firstRow="1" w:lastColumn="0" w:lastRow="0" w:noHBand="0" w:noVBand="1" w:val="04A0"/>
      </w:tblPr>
      <w:tblGrid>
        <w:gridCol w:w="9360"/>
      </w:tblGrid>
      <w:tr>
        <w:tc>
          <w:tcPr>
            <w:tcW w:type="dxa" w:w="9288"/>
            <w:shd w:fill="D9EAF7"/>
            <w:tcMar>
              <w:top w:w="120" w:type="dxa"/>
              <w:start w:w="150" w:type="dxa"/>
              <w:bottom w:w="120" w:type="dxa"/>
              <w:end w:w="150" w:type="dxa"/>
            </w:tcMar>
            <w:vAlign w:val="center"/>
          </w:tcPr>
          <w:p>
            <w:pPr>
              <w:spacing w:after="0"/>
            </w:pPr>
            <w:r>
              <w:rPr>
                <w:rFonts w:ascii="Aptos" w:hAnsi="Aptos"/>
                <w:b/>
                <w:color w:val="17365D"/>
                <w:sz w:val="18"/>
              </w:rPr>
              <w:t xml:space="preserve">SAFE PROPOSITION  </w:t>
            </w:r>
            <w:r>
              <w:rPr>
                <w:rFonts w:ascii="Aptos" w:hAnsi="Aptos"/>
                <w:sz w:val="18"/>
              </w:rPr>
              <w:t>Within a declared binary target–apparatus–Memory realization satisfying local detailed balance, exact finite optimization separates two candidate costs of observation. Target disturbance is not a necessary monotone payment: stronger interaction can improve the retained record while suppressing target flips through energetic pinning. Under the specified sudden-switch protocol, however, improved records occupy a nontrivial information–work Pareto frontier. The result establishes a protocol-relative resource tradeoff and rejects a universal information–disturbance identification; it does not derive a protocol-independent energetic bound from EIM primitives.</w:t>
            </w:r>
          </w:p>
        </w:tc>
      </w:tr>
    </w:tbl>
    <w:p>
      <w:pPr>
        <w:spacing w:after="20"/>
      </w:pPr>
    </w:p>
    <w:p>
      <w:pPr>
        <w:pStyle w:val="Heading1"/>
        <w:keepNext/>
      </w:pPr>
      <w:r>
        <w:t>9. Next decisive computation</w:t>
      </w:r>
    </w:p>
    <w:p>
      <w:pPr>
        <w:keepNext w:val="0"/>
        <w:spacing w:after="120" w:line="259" w:lineRule="auto"/>
      </w:pPr>
      <w:r>
        <w:rPr>
          <w:rFonts w:ascii="Aptos" w:hAnsi="Aptos"/>
          <w:sz w:val="20"/>
        </w:rPr>
        <w:t>The strongest next test is protocol optimization, not a denser grid of the same sudden switch. Replace instantaneous switch-on/off by controlled schedules g(t),h(t), include the work integral, and optimize retained information under a fixed duration and disturbance cap:</w:t>
      </w:r>
    </w:p>
    <w:p>
      <w:pPr>
        <w:keepNext/>
        <w:spacing w:after="140" w:line="259" w:lineRule="auto"/>
        <w:jc w:val="center"/>
      </w:pPr>
      <w:r>
        <w:rPr>
          <w:rFonts w:ascii="Aptos" w:hAnsi="Aptos"/>
          <w:i/>
          <w:color w:val="17365D"/>
          <w:sz w:val="21"/>
        </w:rPr>
        <w:t>minimize  W[g(t),h(t)]   subject to   I(S₀;M₍τ+u₎)≥I*,   Dτ≤Dmax.</w:t>
      </w:r>
    </w:p>
    <w:p>
      <w:pPr>
        <w:keepNext w:val="0"/>
        <w:spacing w:after="120" w:line="259" w:lineRule="auto"/>
      </w:pPr>
      <w:r>
        <w:rPr>
          <w:rFonts w:ascii="Aptos" w:hAnsi="Aptos"/>
          <w:sz w:val="20"/>
        </w:rPr>
        <w:t>If slow or staged protocols drive the work toward zero at fixed information and duration, the present frontier is a switching artifact. If a positive infimum survives across the declared admissible schedules, EIM gains its first genuine resource lower bound within this imported microphysics. Feedback and externally powered Memory protection must be either excluded explicitly or charged to the work ledger.</w:t>
      </w:r>
    </w:p>
    <w:p>
      <w:pPr>
        <w:pStyle w:val="Heading1"/>
        <w:keepNext/>
      </w:pPr>
      <w:r>
        <w:t>10. Frontier verdict</w:t>
      </w:r>
    </w:p>
    <w:p>
      <w:pPr>
        <w:keepNext w:val="0"/>
        <w:spacing w:after="120" w:line="259" w:lineRule="auto"/>
      </w:pPr>
      <w:r>
        <w:rPr>
          <w:rFonts w:ascii="Aptos" w:hAnsi="Aptos"/>
          <w:sz w:val="20"/>
        </w:rPr>
        <w:t>The existential-gamble claim has been narrowed. Increased observational reach does not necessarily consume target integrity in the closed thermal model; pinning can improve both information and disturbance. It does consume more work under the current switching convention. The dissertation may therefore claim a computed, protocol-relative information–resource frontier—but not a universal equivalence among observation, disturbance, and energy. The next advance must determine whether the work frontier survives optimization over physical control schedules.</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55555"/>
        <w:sz w:val="16"/>
      </w:rPr>
      <w:t>Submission-oriented research increment  •  3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i w:val="0"/>
        <w:color w:val="555555"/>
        <w:sz w:val="16"/>
      </w:rPr>
      <w:t>EIM DISSERTATION FRONTIER  |  v1.7</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EIM Dissertation Frontier — Pareto Optimization Reveals a Work Frontier</dc:title>
  <dc:subject>Version 1.7 standalone dissertation increment</dc:subject>
  <dc:creator>Tom Connelly</dc:creator>
  <cp:keywords>EIM, target apparatus Memory, stochastic thermodynamics, information, disturbance, work, lifetime</cp:keywords>
  <dc:description>Finite-grid results; protocol-relative scope stated explicitly.</dc:description>
  <cp:lastModifiedBy/>
  <cp:revision>1</cp:revision>
  <dcterms:created xsi:type="dcterms:W3CDTF">2013-12-23T23:15:00Z</dcterms:created>
  <dcterms:modified xsi:type="dcterms:W3CDTF">2013-12-23T23:15:00Z</dcterms:modified>
  <cp:category/>
</cp:coreProperties>
</file>