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a373jm89irsv" w:id="0"/>
      <w:bookmarkEnd w:id="0"/>
      <w:r w:rsidDel="00000000" w:rsidR="00000000" w:rsidRPr="00000000">
        <w:rPr>
          <w:rtl w:val="0"/>
        </w:rPr>
        <w:t xml:space="preserve">EIM Claims Ledger — Audited Record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Single vetted source of truth for all terminals (synthesis ↔ audit). Status here overrides any "sealed / ready" declaration. If a claim is not in Tier 1, it does not go into a manuscript as established. Audit layer, current pass.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nuudkdsfbuae" w:id="1"/>
      <w:bookmarkEnd w:id="1"/>
      <w:r w:rsidDel="00000000" w:rsidR="00000000" w:rsidRPr="00000000">
        <w:rPr>
          <w:rtl w:val="0"/>
        </w:rPr>
        <w:t xml:space="preserve">Tier 1 — Load-bearing (derived / proven; safe to build on)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Status &amp; one-line reason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Baryon-sign no-go</w:t>
            </w:r>
            <w:r w:rsidDel="00000000" w:rsidR="00000000" w:rsidRPr="00000000">
              <w:rPr>
                <w:rtl w:val="0"/>
              </w:rPr>
              <w:t xml:space="preserve"> (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LM-ARROW-BRANCH-SEVERANCE</w:t>
            </w:r>
            <w:r w:rsidDel="00000000" w:rsidR="00000000" w:rsidRPr="00000000">
              <w:rPr>
                <w:rtl w:val="0"/>
              </w:rPr>
              <w:t xml:space="preserve">, Codex item 11)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Theorem-grade relative to category 𝒞. The matter/antimatter sign is an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unforceable 1-bit posit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; the Memory arrow is Galois-blind (parity ⊥ branch).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Commutant fact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Nova Mono" w:cs="Nova Mono" w:eastAsia="Nova Mono" w:hAnsi="Nova Mono"/>
                <w:color w:val="188038"/>
                <w:rtl w:val="0"/>
              </w:rPr>
              <w:t xml:space="preserve">End_{ℚA₅}(V_M) ≅ ℚ(√5)</w:t>
            </w:r>
            <w:r w:rsidDel="00000000" w:rsidR="00000000" w:rsidRPr="00000000">
              <w:rPr>
                <w:rtl w:val="0"/>
              </w:rPr>
              <w:t xml:space="preserve"> ;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V_M</w:t>
            </w:r>
            <w:r w:rsidDel="00000000" w:rsidR="00000000" w:rsidRPr="00000000">
              <w:rPr>
                <w:rtl w:val="0"/>
              </w:rPr>
              <w:t xml:space="preserve"> ι-even ; Klein-four </w:t>
            </w:r>
            <w:r w:rsidDel="00000000" w:rsidR="00000000" w:rsidRPr="00000000">
              <w:rPr>
                <w:rFonts w:ascii="Cardo" w:cs="Cardo" w:eastAsia="Cardo" w:hAnsi="Cardo"/>
                <w:color w:val="188038"/>
                <w:rtl w:val="0"/>
              </w:rPr>
              <w:t xml:space="preserve">⟨ι,γ⟩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Verified, exact. Underpins items 10–11. Already certified.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Saturation plateau closed form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Nova Mono" w:cs="Nova Mono" w:eastAsia="Nova Mono" w:hAnsi="Nova Mono"/>
                <w:color w:val="188038"/>
                <w:rtl w:val="0"/>
              </w:rPr>
              <w:t xml:space="preserve">S* → T_L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as active weights → 0 (E5/E6)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Derived and validated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to &lt;1% for D≥15 at true convergence (~24k steps). Honest verb: "derives."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0.925 was a transient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Confirmed. Converged asymptote ≈ 0.847 ≈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T_L</w:t>
            </w:r>
            <w:r w:rsidDel="00000000" w:rsidR="00000000" w:rsidRPr="00000000">
              <w:rPr>
                <w:rtl w:val="0"/>
              </w:rPr>
              <w:t xml:space="preserve">; the apparent </w:t>
            </w:r>
            <w:r w:rsidDel="00000000" w:rsidR="00000000" w:rsidRPr="00000000">
              <w:rPr>
                <w:rFonts w:ascii="Nova Mono" w:cs="Nova Mono" w:eastAsia="Nova Mono" w:hAnsi="Nova Mono"/>
                <w:color w:val="188038"/>
                <w:rtl w:val="0"/>
              </w:rPr>
              <w:t xml:space="preserve">1−scar</w:t>
            </w:r>
            <w:r w:rsidDel="00000000" w:rsidR="00000000" w:rsidRPr="00000000">
              <w:rPr>
                <w:rtl w:val="0"/>
              </w:rPr>
              <w:t xml:space="preserve"> match was a finite-time artifact.</w:t>
            </w:r>
          </w:p>
        </w:tc>
      </w:tr>
    </w:tbl>
    <w:p w:rsidR="00000000" w:rsidDel="00000000" w:rsidP="00000000" w:rsidRDefault="00000000" w:rsidRPr="00000000" w14:paraId="00000010">
      <w:pPr>
        <w:pStyle w:val="Heading2"/>
        <w:rPr/>
      </w:pPr>
      <w:bookmarkStart w:colFirst="0" w:colLast="0" w:name="_p0c8widcqkvu" w:id="2"/>
      <w:bookmarkEnd w:id="2"/>
      <w:r w:rsidDel="00000000" w:rsidR="00000000" w:rsidRPr="00000000">
        <w:rPr>
          <w:rtl w:val="0"/>
        </w:rPr>
        <w:t xml:space="preserve">Tier 2 — Interpretive / open (a lens or an unfinished question; fence it, don't assert it)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Status &amp; one-line reason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Internet = EIM coordination layer</w:t>
            </w:r>
            <w:r w:rsidDel="00000000" w:rsidR="00000000" w:rsidRPr="00000000">
              <w:rPr>
                <w:rtl w:val="0"/>
              </w:rPr>
              <w:t xml:space="preserve"> (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NOTE-GLOBAL-WEB-AS-COORDINATION-LENS</w:t>
            </w:r>
            <w:r w:rsidDel="00000000" w:rsidR="00000000" w:rsidRPr="00000000">
              <w:rPr>
                <w:rtl w:val="0"/>
              </w:rPr>
              <w:t xml:space="preserve">, item 12)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Interpretive lens only. "Heat/engine" is metaphor with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zero thermodynamic content</w:t>
            </w:r>
            <w:r w:rsidDel="00000000" w:rsidR="00000000" w:rsidRPr="00000000">
              <w:rPr>
                <w:rtl w:val="0"/>
              </w:rPr>
              <w:t xml:space="preserve">. Not literally conscious / cosmological / the substrate.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Black-hole-as-bridge, horizon-as-quarantine</w:t>
            </w:r>
            <w:r w:rsidDel="00000000" w:rsidR="00000000" w:rsidRPr="00000000">
              <w:rPr>
                <w:rtl w:val="0"/>
              </w:rPr>
              <w:t xml:space="preserve"> narration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Interpretive labels on a boolean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evap_state</w:t>
            </w:r>
            <w:r w:rsidDel="00000000" w:rsidR="00000000" w:rsidRPr="00000000">
              <w:rPr>
                <w:rtl w:val="0"/>
              </w:rPr>
              <w:t xml:space="preserve"> flag. Useful narration;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not</w:t>
            </w:r>
            <w:r w:rsidDel="00000000" w:rsidR="00000000" w:rsidRPr="00000000">
              <w:rPr>
                <w:rtl w:val="0"/>
              </w:rPr>
              <w:t xml:space="preserve"> a mapped interior (no metric, no geometry, no causal horizon).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Expansion postpones the freeze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Open, not a result.</w:t>
            </w:r>
            <w:r w:rsidDel="00000000" w:rsidR="00000000" w:rsidRPr="00000000">
              <w:rPr>
                <w:rtl w:val="0"/>
              </w:rPr>
              <w:t xml:space="preserve"> One-seed probe only; naive linear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C(t)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overshoots &gt;1.0</w:t>
            </w:r>
            <w:r w:rsidDel="00000000" w:rsidR="00000000" w:rsidRPr="00000000">
              <w:rPr>
                <w:rtl w:val="0"/>
              </w:rPr>
              <w:t xml:space="preserve">; a Goldilocks band is hinted but uncharacterized. Needs the full sweep.</w:t>
            </w:r>
          </w:p>
        </w:tc>
      </w:tr>
    </w:tbl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w875fy8asqqc" w:id="3"/>
      <w:bookmarkEnd w:id="3"/>
      <w:r w:rsidDel="00000000" w:rsidR="00000000" w:rsidRPr="00000000">
        <w:rPr>
          <w:rtl w:val="0"/>
        </w:rPr>
        <w:t xml:space="preserve">Tier 3 — Not supported (keep OUT of manuscripts; several contradict the spine)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Why it's out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"Scar sets the cosmic ceiling" / </w:t>
            </w:r>
            <w:r w:rsidDel="00000000" w:rsidR="00000000" w:rsidRPr="00000000">
              <w:rPr>
                <w:rFonts w:ascii="Nova Mono" w:cs="Nova Mono" w:eastAsia="Nova Mono" w:hAnsi="Nova Mono"/>
                <w:color w:val="188038"/>
                <w:rtl w:val="0"/>
              </w:rPr>
              <w:t xml:space="preserve">plateau = 1−scar</w:t>
            </w:r>
            <w:r w:rsidDel="00000000" w:rsidR="00000000" w:rsidRPr="00000000">
              <w:rPr>
                <w:rtl w:val="0"/>
              </w:rPr>
              <w:t xml:space="preserve"> = 0.925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Refuted.</w:t>
            </w:r>
            <w:r w:rsidDel="00000000" w:rsidR="00000000" w:rsidRPr="00000000">
              <w:rPr>
                <w:rtl w:val="0"/>
              </w:rPr>
              <w:t xml:space="preserve"> Converged asymptote is scar-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independent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(≈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T_L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σ→0 scar-decay / "Hawking = garbage collection solves the information paradox"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Contradicts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Memory irreversibility</w:t>
            </w:r>
            <w:r w:rsidDel="00000000" w:rsidR="00000000" w:rsidRPr="00000000">
              <w:rPr>
                <w:rtl w:val="0"/>
              </w:rPr>
              <w:t xml:space="preserve"> (the framework's own arrow). Also takes the discredited anti-unitarity horn — the field's direction (Page curve / islands) is information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preservation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Watermelon-seed</w:t>
            </w:r>
            <w:r w:rsidDel="00000000" w:rsidR="00000000" w:rsidRPr="00000000">
              <w:rPr>
                <w:rtl w:val="0"/>
              </w:rPr>
              <w:t xml:space="preserve"> (geometry mechanically shoots out the sign)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Contradicts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LM-ARROW-BRANCH-SEVERANCE</w:t>
            </w:r>
            <w:r w:rsidDel="00000000" w:rsidR="00000000" w:rsidRPr="00000000">
              <w:rPr>
                <w:rtl w:val="0"/>
              </w:rPr>
              <w:t xml:space="preserve"> (branch-blindness: geometry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cannot</w:t>
            </w:r>
            <w:r w:rsidDel="00000000" w:rsidR="00000000" w:rsidRPr="00000000">
              <w:rPr>
                <w:rtl w:val="0"/>
              </w:rPr>
              <w:t xml:space="preserve"> select the sign). Cannot coexist with the no-go.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"Observer breaks the baryon symmetry / is required to boot the timeline"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Contradicts the no-go (bit is unforceable,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not</w:t>
            </w:r>
            <w:r w:rsidDel="00000000" w:rsidR="00000000" w:rsidRPr="00000000">
              <w:rPr>
                <w:rtl w:val="0"/>
              </w:rPr>
              <w:t xml:space="preserve"> observer-set)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  <w:t xml:space="preserve"> the certified line that the sign predates any observer.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"Holy Trinity of Constants"</w:t>
            </w:r>
            <w:r w:rsidDel="00000000" w:rsidR="00000000" w:rsidRPr="00000000">
              <w:rPr>
                <w:rtl w:val="0"/>
              </w:rPr>
              <w:t xml:space="preserve"> (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  <w:t xml:space="preserve"> = clock / 0.08 scar / κ=55φ²)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Numerology.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Dimensionful constants ≠ dimensionless graph numbers without unit derivation; only dimensionless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ratios</w:t>
            </w:r>
            <w:r w:rsidDel="00000000" w:rsidR="00000000" w:rsidRPr="00000000">
              <w:rPr>
                <w:rtl w:val="0"/>
              </w:rPr>
              <w:t xml:space="preserve"> are derivable targets; κ-as-fundamental is already on the excluded list; as analogy it's unoriginal (digital-physics, 't Hooft/Wolfram).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"Universe must expand at a precise rate" (as proven)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 proven — see Tier 2; an inflated one-seed probe.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"Computationally proved / trillion steps / ready for FoP"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Premature. Numerical trajectory ≠ proof; not manuscript-ready.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rPr/>
      </w:pPr>
      <w:bookmarkStart w:colFirst="0" w:colLast="0" w:name="_81jo88zgq4tq" w:id="4"/>
      <w:bookmarkEnd w:id="4"/>
      <w:r w:rsidDel="00000000" w:rsidR="00000000" w:rsidRPr="00000000">
        <w:rPr>
          <w:rtl w:val="0"/>
        </w:rPr>
        <w:t xml:space="preserve">Standing discipline for all terminals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Dimensionful constants are not derivable targets.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</w:t>
      </w:r>
      <w:r w:rsidDel="00000000" w:rsidR="00000000" w:rsidRPr="00000000">
        <w:rPr>
          <w:rtl w:val="0"/>
        </w:rPr>
        <w:t xml:space="preserve"> can be set to 1 by units (Planck). Only a </w:t>
      </w:r>
      <w:r w:rsidDel="00000000" w:rsidR="00000000" w:rsidRPr="00000000">
        <w:rPr>
          <w:i w:val="1"/>
          <w:iCs w:val="1"/>
          <w:rtl w:val="0"/>
        </w:rPr>
        <w:t xml:space="preserve">dimensionless</w:t>
      </w:r>
      <w:r w:rsidDel="00000000" w:rsidR="00000000" w:rsidRPr="00000000">
        <w:rPr>
          <w:rtl w:val="0"/>
        </w:rPr>
        <w:t xml:space="preserve"> number (a ratio, a coupling) counts as a prediction.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Memory irreversibility is axiomatic.</w:t>
      </w:r>
      <w:r w:rsidDel="00000000" w:rsidR="00000000" w:rsidRPr="00000000">
        <w:rPr>
          <w:rtl w:val="0"/>
        </w:rPr>
        <w:t xml:space="preserve"> No scar-deletion. It is the arrow of time and the out-of-equilibrium gate. A model with </w:t>
      </w:r>
      <w:r w:rsidDel="00000000" w:rsidR="00000000" w:rsidRPr="00000000">
        <w:rPr>
          <w:rFonts w:ascii="Cardo" w:cs="Cardo" w:eastAsia="Cardo" w:hAnsi="Cardo"/>
          <w:color w:val="188038"/>
          <w:rtl w:val="0"/>
        </w:rPr>
        <w:t xml:space="preserve">σ→0</w:t>
      </w:r>
      <w:r w:rsidDel="00000000" w:rsidR="00000000" w:rsidRPr="00000000">
        <w:rPr>
          <w:rtl w:val="0"/>
        </w:rPr>
        <w:t xml:space="preserve"> is a </w:t>
      </w:r>
      <w:r w:rsidDel="00000000" w:rsidR="00000000" w:rsidRPr="00000000">
        <w:rPr>
          <w:i w:val="1"/>
          <w:iCs w:val="1"/>
          <w:rtl w:val="0"/>
        </w:rPr>
        <w:t xml:space="preserve">different</w:t>
      </w:r>
      <w:r w:rsidDel="00000000" w:rsidR="00000000" w:rsidRPr="00000000">
        <w:rPr>
          <w:rtl w:val="0"/>
        </w:rPr>
        <w:t xml:space="preserve">, non-EIM system.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baryon sign is unforceable and observer-independent.</w:t>
      </w:r>
      <w:r w:rsidDel="00000000" w:rsidR="00000000" w:rsidRPr="00000000">
        <w:rPr>
          <w:rtl w:val="0"/>
        </w:rPr>
        <w:t xml:space="preserve"> No mechanical (watermelon-seed) and no observer-driven selection.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"Computational" = evidence about the toy, not proof about the cosmos.</w:t>
      </w:r>
      <w:r w:rsidDel="00000000" w:rsidR="00000000" w:rsidRPr="00000000">
        <w:rPr>
          <w:rtl w:val="0"/>
        </w:rPr>
        <w:t xml:space="preserve"> Use "exhibits / derives," never "proves," without an analytic result.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Attribution hygiene.</w:t>
      </w:r>
      <w:r w:rsidDel="00000000" w:rsidR="00000000" w:rsidRPr="00000000">
        <w:rPr>
          <w:rtl w:val="0"/>
        </w:rPr>
        <w:t xml:space="preserve"> Do not credit the audit layer for a claim it did not make. The audit confirmed Tier 1 only.</w:t>
      </w:r>
    </w:p>
    <w:p w:rsidR="00000000" w:rsidDel="00000000" w:rsidP="00000000" w:rsidRDefault="00000000" w:rsidRPr="00000000" w14:paraId="00000032">
      <w:pPr>
        <w:pStyle w:val="Heading2"/>
        <w:rPr/>
      </w:pPr>
      <w:bookmarkStart w:colFirst="0" w:colLast="0" w:name="_ffsqoh55v8at" w:id="5"/>
      <w:bookmarkEnd w:id="5"/>
      <w:r w:rsidDel="00000000" w:rsidR="00000000" w:rsidRPr="00000000">
        <w:rPr>
          <w:rtl w:val="0"/>
        </w:rPr>
        <w:t xml:space="preserve">What is actually publishable now (narrow, honest)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A control-theory / dynamics methods paper: </w:t>
      </w:r>
      <w:r w:rsidDel="00000000" w:rsidR="00000000" w:rsidRPr="00000000">
        <w:rPr>
          <w:i w:val="1"/>
          <w:iCs w:val="1"/>
          <w:rtl w:val="0"/>
        </w:rPr>
        <w:t xml:space="preserve">a coordination dynamics with hysteretic memory-evaporation drives its active capacity to zero and locks its saturation at the relaxation threshold </w:t>
      </w:r>
      <w:r w:rsidDel="00000000" w:rsidR="00000000" w:rsidRPr="00000000">
        <w:rPr>
          <w:rFonts w:ascii="Roboto Mono" w:cs="Roboto Mono" w:eastAsia="Roboto Mono" w:hAnsi="Roboto Mono"/>
          <w:i w:val="1"/>
          <w:iCs w:val="1"/>
          <w:color w:val="188038"/>
          <w:rtl w:val="0"/>
        </w:rPr>
        <w:t xml:space="preserve">T_L</w:t>
      </w:r>
      <w:r w:rsidDel="00000000" w:rsidR="00000000" w:rsidRPr="00000000">
        <w:rPr>
          <w:i w:val="1"/>
          <w:iCs w:val="1"/>
          <w:rtl w:val="0"/>
        </w:rPr>
        <w:t xml:space="preserve">, with a small observer-defect correction and a (stochastic) runaway boundary</w:t>
      </w:r>
      <w:r w:rsidDel="00000000" w:rsidR="00000000" w:rsidRPr="00000000">
        <w:rPr>
          <w:rtl w:val="0"/>
        </w:rPr>
        <w:t xml:space="preserve"> — plus the algebraic no-go as a separate short result. The cosmology/consciousness reading stays out until reconciled with the certified layer, or fenced as explicitly interpretive.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Roboto Mono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  <w:font w:name="Nova Mono">
    <w:embedRegular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RobotoMono-regular.ttf"/><Relationship Id="rId5" Type="http://schemas.openxmlformats.org/officeDocument/2006/relationships/font" Target="fonts/RobotoMono-bold.ttf"/><Relationship Id="rId6" Type="http://schemas.openxmlformats.org/officeDocument/2006/relationships/font" Target="fonts/RobotoMono-italic.ttf"/><Relationship Id="rId7" Type="http://schemas.openxmlformats.org/officeDocument/2006/relationships/font" Target="fonts/RobotoMono-boldItalic.ttf"/><Relationship Id="rId8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