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sz w:val="40"/>
          <w:szCs w:val="40"/>
        </w:rPr>
        <w:t xml:space="preserve">EIM — Foundational Dialogue Consolidation</w:t>
      </w:r>
    </w:p>
    <w:p>
      <w:pPr>
        <w:spacing w:after="120"/>
      </w:pPr>
      <w:r>
        <w:rPr>
          <w:color w:val="666666"/>
          <w:sz w:val="26"/>
          <w:szCs w:val="26"/>
        </w:rPr>
        <w:t xml:space="preserve">Observer Grounding and the Smoothness Hinge</w:t>
      </w:r>
    </w:p>
    <w:p>
      <w:pPr>
        <w:spacing w:after="20"/>
      </w:pPr>
      <w:r>
        <w:rPr>
          <w:color w:val="666666"/>
          <w:sz w:val="18"/>
          <w:szCs w:val="18"/>
        </w:rPr>
        <w:t xml:space="preserve">Session note · 2 June 2026 · Claim-types tagged inline</w:t>
      </w:r>
    </w:p>
    <w:p>
      <w:pPr>
        <w:spacing w:after="60"/>
      </w:pPr>
      <w:r>
        <w:rPr>
          <w:i/>
          <w:iCs/>
          <w:color w:val="666666"/>
          <w:sz w:val="18"/>
          <w:szCs w:val="18"/>
        </w:rPr>
        <w:t xml:space="preserve">Not yet versioned into Codex — attach pending canonical version confirmation. No axiom discharged; no proposition promoted.</w:t>
      </w:r>
    </w:p>
    <w:p>
      <w:pPr>
        <w:pBdr>
          <w:bottom w:val="single" w:color="2E75B6" w:sz="6" w:space="1"/>
        </w:pBdr>
        <w:spacing w:after="180" w:before="60"/>
      </w:pPr>
      <w:r>
        <w:t xml:space="preserve"/>
      </w:r>
    </w:p>
    <w:p>
      <w:pPr>
        <w:pStyle w:val="Heading1"/>
      </w:pPr>
      <w:r>
        <w:t xml:space="preserve">0 — Scope</w:t>
      </w:r>
    </w:p>
    <w:p>
      <w:pPr>
        <w:spacing w:after="140" w:line="276"/>
        <w:jc w:val="both"/>
      </w:pPr>
      <w:r>
        <w:t xml:space="preserve">This note consolidates a single dialogue on the epistemic foundations of EIM’s observer construction and on the status of the claim that smooth spacetime is the only valid context for two-observer disagreement. It records what was conceded, what survives, the recurring failure mode the exchange exposed, and the one falsifiable target the exchange produced. It introduces no new physics result. It is written to be audited against, not relied upon.</w:t>
      </w:r>
    </w:p>
    <w:p>
      <w:pPr>
        <w:pStyle w:val="Heading2"/>
      </w:pPr>
      <w:r>
        <w:t xml:space="preserve">0.1 — Working definitions</w:t>
      </w:r>
    </w:p>
    <w:p>
      <w:pPr>
        <w:spacing w:after="140" w:line="276"/>
        <w:jc w:val="both"/>
      </w:pPr>
      <w:r>
        <w:rPr>
          <w:b/>
          <w:bCs/>
        </w:rPr>
        <w:t xml:space="preserve">R (representational grounding): </w:t>
      </w:r>
      <w:r>
        <w:t xml:space="preserve">a belief’s accuracy plus internal justification (coherence, explanatory fit, predictive coverage). An internal property of the belief-system-plus-model.</w:t>
      </w:r>
    </w:p>
    <w:p>
      <w:pPr>
        <w:spacing w:after="140" w:line="276"/>
        <w:jc w:val="both"/>
      </w:pPr>
      <w:r>
        <w:rPr>
          <w:b/>
          <w:bCs/>
        </w:rPr>
        <w:t xml:space="preserve">S (standing grounding): </w:t>
      </w:r>
      <w:r>
        <w:t xml:space="preserve">a belief’s load-bearing status — what rests on it such that its failure costs the believer something un-declinable. A dispositional/relational property. “Skin in the game” is the informal name.</w:t>
      </w:r>
    </w:p>
    <w:p>
      <w:pPr>
        <w:spacing w:after="140" w:line="276"/>
        <w:jc w:val="both"/>
      </w:pPr>
      <w:r>
        <w:rPr>
          <w:b/>
          <w:bCs/>
        </w:rPr>
        <w:t xml:space="preserve">Thin axis: </w:t>
      </w:r>
      <w:r>
        <w:t xml:space="preserve">the minimal, theory-neutral relational structure any framework needs for its questions to be intelligible (Layer 1). Shared with every rival theory; discriminates none.</w:t>
      </w:r>
    </w:p>
    <w:p>
      <w:pPr>
        <w:spacing w:after="140" w:line="276"/>
        <w:jc w:val="both"/>
      </w:pPr>
      <w:r>
        <w:rPr>
          <w:b/>
          <w:bCs/>
        </w:rPr>
        <w:t xml:space="preserve">Thick axis: </w:t>
      </w:r>
      <w:r>
        <w:t xml:space="preserve">EIM’s specific relational content (Γ_dodec and downstream; Layer 2). A theoretical posit, adjudicated empirically.</w:t>
      </w:r>
    </w:p>
    <w:p>
      <w:pPr>
        <w:pStyle w:val="Heading1"/>
      </w:pPr>
      <w:r>
        <w:t xml:space="preserve">1 — Conceded (corrections, not retreats)</w:t>
      </w:r>
    </w:p>
    <w:p>
      <w:pPr>
        <w:spacing w:after="100" w:line="270"/>
        <w:ind w:left="460" w:hanging="460"/>
      </w:pPr>
      <w:r>
        <w:rPr>
          <w:b/>
          <w:bCs/>
        </w:rPr>
        <w:t xml:space="preserve">C1  </w:t>
      </w:r>
      <w:r>
        <w:t xml:space="preserve">Component originality is not the publication bar; contribution is — synthesis, formalization, unification, or a derived consequence. “Nothing is original to EIM” is true and harmless at the part level, and dangerous only if it is used to dismiss the contribution requirement. [conceded]</w:t>
      </w:r>
    </w:p>
    <w:p>
      <w:pPr>
        <w:spacing w:after="100" w:line="270"/>
        <w:ind w:left="460" w:hanging="460"/>
      </w:pPr>
      <w:r>
        <w:rPr>
          <w:b/>
          <w:bCs/>
        </w:rPr>
        <w:t xml:space="preserve">C2  </w:t>
      </w:r>
      <w:r>
        <w:t xml:space="preserve">Finite propagation entails causal order, not smoothness. Causal order is a partial order — pure combinatorics — and is discretely realizable (causal-set programme: order plus number recovers geometry). [conceded]</w:t>
      </w:r>
    </w:p>
    <w:p>
      <w:pPr>
        <w:spacing w:after="100" w:line="270"/>
        <w:ind w:left="460" w:hanging="460"/>
      </w:pPr>
      <w:r>
        <w:rPr>
          <w:b/>
          <w:bCs/>
        </w:rPr>
        <w:t xml:space="preserve">C3  </w:t>
      </w:r>
      <w:r>
        <w:t xml:space="preserve">The measurement framing is entanglement / Bell-type, not decoherence. Decoherence was a misfire. [conceded]</w:t>
      </w:r>
    </w:p>
    <w:p>
      <w:pPr>
        <w:spacing w:after="100" w:line="270"/>
        <w:ind w:left="460" w:hanging="460"/>
      </w:pPr>
      <w:r>
        <w:rPr>
          <w:b/>
          <w:bCs/>
        </w:rPr>
        <w:t xml:space="preserve">C4  </w:t>
      </w:r>
      <w:r>
        <w:t xml:space="preserve">“Smooth spacetime is the only valid context” overstated a narrower claim about two-observer correlation. [conceded]</w:t>
      </w:r>
    </w:p>
    <w:p>
      <w:pPr>
        <w:pStyle w:val="Heading1"/>
      </w:pPr>
      <w:r>
        <w:t xml:space="preserve">2 — Surviving spine (defensible; all Layer 1)</w:t>
      </w:r>
    </w:p>
    <w:p>
      <w:pPr>
        <w:spacing w:after="100" w:line="270"/>
        <w:ind w:left="460" w:hanging="460"/>
      </w:pPr>
      <w:r>
        <w:rPr>
          <w:b/>
          <w:bCs/>
        </w:rPr>
        <w:t xml:space="preserve">S1  </w:t>
      </w:r>
      <w:r>
        <w:t xml:space="preserve">Grounding is standing (S), not representation (R). [thesis; defensible but explication-dependent — the result reverses if grounding is read as R]</w:t>
      </w:r>
    </w:p>
    <w:p>
      <w:pPr>
        <w:spacing w:after="100" w:line="270"/>
        <w:ind w:left="460" w:hanging="460"/>
      </w:pPr>
      <w:r>
        <w:rPr>
          <w:b/>
          <w:bCs/>
        </w:rPr>
        <w:t xml:space="preserve">S2  </w:t>
      </w:r>
      <w:r>
        <w:t xml:space="preserve">Standing is displacement under un-externalizable constraint. The unconstrained / immortal observer has unbounded R and ≈ 0 S; embodiment is eccentricity — to be somewhere is to be off-centre, weighted by a stake. [argument, conditional on the S-explication and a no-self-binding stipulation; the latter is the hinge premise and should be stated as an axiom]</w:t>
      </w:r>
    </w:p>
    <w:p>
      <w:pPr>
        <w:spacing w:after="100" w:line="270"/>
        <w:ind w:left="460" w:hanging="460"/>
      </w:pPr>
      <w:r>
        <w:rPr>
          <w:b/>
          <w:bCs/>
        </w:rPr>
        <w:t xml:space="preserve">S3  </w:t>
      </w:r>
      <w:r>
        <w:t xml:space="preserve">Bisection result: the symmetric observer-point is the stakeless one (invariance ⇒ non-exposure ⇒ R-saturated, S-null). It is the immortal’s address with a coordinate. Grounding therefore lives in E — execution is the move off the bisection. [result, internal to the S-framework]</w:t>
      </w:r>
    </w:p>
    <w:p>
      <w:pPr>
        <w:spacing w:after="100" w:line="270"/>
        <w:ind w:left="460" w:hanging="460"/>
      </w:pPr>
      <w:r>
        <w:rPr>
          <w:b/>
          <w:bCs/>
        </w:rPr>
        <w:t xml:space="preserve">S4  </w:t>
      </w:r>
      <w:r>
        <w:t xml:space="preserve">Relation-priority is admissible, with genuine pedigree (background-independence in GR). But only the thin axis is transcendentally prior; the thick axis (Γ_dodec) is empirical. Relation-priority, taken seriously, increases the obligation to the poles, since the poles are the relation’s only observable signature. [granted, with scope]</w:t>
      </w:r>
    </w:p>
    <w:p>
      <w:pPr>
        <w:spacing w:after="100" w:line="270"/>
        <w:ind w:left="460" w:hanging="460"/>
      </w:pPr>
      <w:r>
        <w:rPr>
          <w:b/>
          <w:bCs/>
        </w:rPr>
        <w:t xml:space="preserve">S5  </w:t>
      </w:r>
      <w:r>
        <w:t xml:space="preserve">The two-layer architecture (transcendental / physics) is a load-bearing distinction and is retained. [retained]</w:t>
      </w:r>
    </w:p>
    <w:p>
      <w:pPr>
        <w:pBdr>
          <w:left w:val="single" w:color="2E75B6" w:sz="18" w:space="12"/>
        </w:pBdr>
        <w:shd w:fill="EAF1FB" w:val="clear"/>
        <w:spacing w:after="160" w:before="80" w:line="276"/>
        <w:ind w:left="200" w:right="200"/>
      </w:pPr>
      <w:r>
        <w:rPr>
          <w:b/>
          <w:bCs/>
        </w:rPr>
        <w:t xml:space="preserve">Scope flag. </w:t>
      </w:r>
      <w:r>
        <w:t xml:space="preserve">S1–S5 are coherent and defensible precisely as Layer-1 scaffolding. None is yet connected to a falsifiable physics claim. Their defensibility is purchased by empirical inertness; it does not transfer to Layer 2.</w:t>
      </w:r>
    </w:p>
    <w:p>
      <w:pPr>
        <w:pStyle w:val="Heading1"/>
      </w:pPr>
      <w:r>
        <w:t xml:space="preserve">3 — Diagnostic (recurring failure mode; methodological, highest priority)</w:t>
      </w:r>
    </w:p>
    <w:p>
      <w:pPr>
        <w:spacing w:after="140" w:line="276"/>
        <w:jc w:val="both"/>
      </w:pPr>
      <w:r>
        <w:t xml:space="preserve">At every pressure point the argument ascended to a register in which the claim becomes true by construction:</w:t>
      </w:r>
    </w:p>
    <w:p>
      <w:pPr>
        <w:spacing w:after="100" w:line="270"/>
        <w:ind w:left="460" w:hanging="460"/>
      </w:pPr>
      <w:r>
        <w:rPr>
          <w:b/>
          <w:bCs/>
        </w:rPr>
        <w:t xml:space="preserve">D1  </w:t>
      </w:r>
      <w:r>
        <w:t xml:space="preserve">originality → “the synthesis is the novelty”;</w:t>
      </w:r>
    </w:p>
    <w:p>
      <w:pPr>
        <w:spacing w:after="100" w:line="270"/>
        <w:ind w:left="460" w:hanging="460"/>
      </w:pPr>
      <w:r>
        <w:rPr>
          <w:b/>
          <w:bCs/>
        </w:rPr>
        <w:t xml:space="preserve">D2  </w:t>
      </w:r>
      <w:r>
        <w:t xml:space="preserve">agreement → the transcendental frame (“all we know is what we agree on”);</w:t>
      </w:r>
    </w:p>
    <w:p>
      <w:pPr>
        <w:spacing w:after="100" w:line="270"/>
        <w:ind w:left="460" w:hanging="460"/>
      </w:pPr>
      <w:r>
        <w:rPr>
          <w:b/>
          <w:bCs/>
        </w:rPr>
        <w:t xml:space="preserve">D3  </w:t>
      </w:r>
      <w:r>
        <w:t xml:space="preserve">the bisection → the point immune because nothing is staked there;</w:t>
      </w:r>
    </w:p>
    <w:p>
      <w:pPr>
        <w:spacing w:after="100" w:line="270"/>
        <w:ind w:left="460" w:hanging="460"/>
      </w:pPr>
      <w:r>
        <w:rPr>
          <w:b/>
          <w:bCs/>
        </w:rPr>
        <w:t xml:space="preserve">D4  </w:t>
      </w:r>
      <w:r>
        <w:t xml:space="preserve">smoothness → “the only valid context”;</w:t>
      </w:r>
    </w:p>
    <w:p>
      <w:pPr>
        <w:spacing w:after="100" w:line="270"/>
        <w:ind w:left="460" w:hanging="460"/>
      </w:pPr>
      <w:r>
        <w:rPr>
          <w:b/>
          <w:bCs/>
        </w:rPr>
        <w:t xml:space="preserve">D5  </w:t>
      </w:r>
      <w:r>
        <w:t xml:space="preserve">exactness → “observer-consistency requires exact equivalence.”</w:t>
      </w:r>
    </w:p>
    <w:p>
      <w:pPr>
        <w:spacing w:after="140" w:line="276"/>
        <w:jc w:val="both"/>
      </w:pPr>
      <w:r>
        <w:t xml:space="preserve">The shared move: when a claim is exposed, climb to a level where exposure is impossible. This is the structural attractor of any totalizing framework, not a personal error — but it is the failure mode that keeps every strong EIM claim from planting a pole. A claim that survives only by ascent is Layer 1 by default and must be tagged as such.</w:t>
      </w:r>
    </w:p>
    <w:p>
      <w:pPr>
        <w:pBdr>
          <w:left w:val="single" w:color="2E75B6" w:sz="18" w:space="12"/>
        </w:pBdr>
        <w:shd w:fill="EAF1FB" w:val="clear"/>
        <w:spacing w:after="160" w:before="80" w:line="276"/>
        <w:ind w:left="200" w:right="200"/>
      </w:pPr>
      <w:r>
        <w:rPr>
          <w:b/>
          <w:bCs/>
        </w:rPr>
        <w:t xml:space="preserve">Guardrail (audit rule). </w:t>
      </w:r>
      <w:r>
        <w:t xml:space="preserve">Any clause containing “only,” “uniquely,” “exact,” or “necessary” is ascent-suspect until a falsifiable consequence is exhibited. This rule is the natural target of the adversarial-audit (Grok) role.</w:t>
      </w:r>
    </w:p>
    <w:p>
      <w:pPr>
        <w:pStyle w:val="Heading1"/>
      </w:pPr>
      <w:r>
        <w:t xml:space="preserve">4 — Open target (the one live, falsifiable question)</w:t>
      </w:r>
    </w:p>
    <w:p>
      <w:pPr>
        <w:spacing w:after="140" w:line="276"/>
        <w:jc w:val="both"/>
      </w:pPr>
      <w:r>
        <w:t xml:space="preserve">The smoothness claim, fully narrowed:</w:t>
      </w:r>
    </w:p>
    <w:p>
      <w:pPr>
        <w:spacing w:after="100" w:line="270"/>
        <w:ind w:left="460" w:hanging="460"/>
      </w:pPr>
      <w:r>
        <w:rPr>
          <w:b/>
          <w:bCs/>
        </w:rPr>
        <w:t xml:space="preserve">•  </w:t>
      </w:r>
      <w:r>
        <w:t xml:space="preserve">No-signaling is free on a causal set (it is the causal order). Not a discriminator.</w:t>
      </w:r>
    </w:p>
    <w:p>
      <w:pPr>
        <w:spacing w:after="100" w:line="270"/>
        <w:ind w:left="460" w:hanging="460"/>
      </w:pPr>
      <w:r>
        <w:rPr>
          <w:b/>
          <w:bCs/>
        </w:rPr>
        <w:t xml:space="preserve">•  </w:t>
      </w:r>
      <w:r>
        <w:t xml:space="preserve">Bell-correlation magnitude (Tsirelson, 2√2) is fixed by Hilbert-space geometry, substrate-independent. Not a discriminator. Note also the two-continua hazard: amplitude continuum (Hilbert space) ≠ spacetime continuum (manifold); do not let one pay the other’s bill.</w:t>
      </w:r>
    </w:p>
    <w:p>
      <w:pPr>
        <w:spacing w:after="100" w:line="270"/>
        <w:ind w:left="460" w:hanging="460"/>
      </w:pPr>
      <w:r>
        <w:rPr>
          <w:b/>
          <w:bCs/>
        </w:rPr>
        <w:t xml:space="preserve">•  </w:t>
      </w:r>
      <w:r>
        <w:t xml:space="preserve">The entire weight falls on frame-covariance of spacelike correlations: which observer measured “first” is frame-dependent, the correlation is not. This is the deep constraint (the same one that makes relativistic collapse hard).</w:t>
      </w:r>
    </w:p>
    <w:p>
      <w:pPr>
        <w:spacing w:after="100" w:line="270"/>
        <w:ind w:left="460" w:hanging="460"/>
      </w:pPr>
      <w:r>
        <w:rPr>
          <w:b/>
          <w:bCs/>
        </w:rPr>
        <w:t xml:space="preserve">•  </w:t>
      </w:r>
      <w:r>
        <w:t xml:space="preserve">Causal sets achieve Lorentz invariance statistically (Poisson sprinkling; no extractable preferred frame) and host quantum fields/correlations (Sorkin–Johnston). So “can a random discrete order host it” is not trivially “no.”</w:t>
      </w:r>
    </w:p>
    <w:p>
      <w:pPr>
        <w:spacing w:after="100" w:line="270"/>
        <w:ind w:left="460" w:hanging="460"/>
      </w:pPr>
      <w:r>
        <w:rPr>
          <w:b/>
          <w:bCs/>
        </w:rPr>
        <w:t xml:space="preserve">•  </w:t>
      </w:r>
      <w:r>
        <w:t xml:space="preserve">The exclusion clauses “exact equivalence” and “no continuum-as-approximation” bake in the continuum if read metaphysically. But observers access only finite-precision, effective-level structure; by EIM’s own observer-centrism the criterion must be operational — and on the operational reading, discreteness plausibly survives.</w:t>
      </w:r>
    </w:p>
    <w:p>
      <w:pPr>
        <w:pBdr>
          <w:left w:val="single" w:color="2E75B6" w:sz="18" w:space="12"/>
        </w:pBdr>
        <w:shd w:fill="EAF1FB" w:val="clear"/>
        <w:spacing w:after="160" w:before="80" w:line="276"/>
        <w:ind w:left="200" w:right="200"/>
      </w:pPr>
      <w:r>
        <w:rPr>
          <w:b/>
          <w:bCs/>
        </w:rPr>
        <w:t xml:space="preserve">OPEN-TARGET (conjecture; NOT load-bearing for any audit verdict). </w:t>
      </w:r>
      <w:r>
        <w:t xml:space="preserve">Does EIM predict an observer-accessible fingerprint — a Lorentz-violation signature, a modified dispersion relation, or a residual frame-dependence at some scale — distinguishing fundamental smoothness from emergent smoothness, where the continuum predicts none? </w:t>
      </w:r>
      <w:r>
        <w:rPr>
          <w:b/>
          <w:bCs/>
        </w:rPr>
        <w:t xml:space="preserve">If yes and specified: </w:t>
      </w:r>
      <w:r>
        <w:t xml:space="preserve">EIM steps off the bisection and the smoothness claim becomes falsifiable. </w:t>
      </w:r>
      <w:r>
        <w:rPr>
          <w:b/>
          <w:bCs/>
        </w:rPr>
        <w:t xml:space="preserve">If no: </w:t>
      </w:r>
      <w:r>
        <w:t xml:space="preserve">“smooth is the only valid context” is operationally unconfirmable by any observer of EIM’s own kind ⇒ Layer 1.</w:t>
      </w:r>
    </w:p>
    <w:p>
      <w:pPr>
        <w:pStyle w:val="Heading1"/>
      </w:pPr>
      <w:r>
        <w:t xml:space="preserve">5 — Current verdict</w:t>
      </w:r>
    </w:p>
    <w:p>
      <w:pPr>
        <w:spacing w:after="100" w:line="270"/>
        <w:ind w:left="460" w:hanging="460"/>
      </w:pPr>
      <w:r>
        <w:rPr>
          <w:b/>
          <w:bCs/>
        </w:rPr>
        <w:t xml:space="preserve">V1  </w:t>
      </w:r>
      <w:r>
        <w:t xml:space="preserve">Metaphysics: a coherent Layer-1 position, plus an unestablished Layer-1 → Layer-2 bridge. Every crossing attempt collapsed into definition (see §3).</w:t>
      </w:r>
    </w:p>
    <w:p>
      <w:pPr>
        <w:spacing w:after="100" w:line="270"/>
        <w:ind w:left="460" w:hanging="460"/>
      </w:pPr>
      <w:r>
        <w:rPr>
          <w:b/>
          <w:bCs/>
        </w:rPr>
        <w:t xml:space="preserve">V2  </w:t>
      </w:r>
      <w:r>
        <w:t xml:space="preserve">Physics: no stake planted. Current evidence (gamma-ray-burst photon timing; Lorentz-violation bounds) leaves fundamental-smooth and Lorentz-invariant-discrete observationally degenerate. EIM cannot presently forbid discreteness — undetermined, not refuted.</w:t>
      </w:r>
    </w:p>
    <w:p>
      <w:pPr>
        <w:spacing w:after="100" w:line="270"/>
        <w:ind w:left="460" w:hanging="460"/>
      </w:pPr>
      <w:r>
        <w:rPr>
          <w:b/>
          <w:bCs/>
        </w:rPr>
        <w:t xml:space="preserve">V3  </w:t>
      </w:r>
      <w:r>
        <w:t xml:space="preserve">Net status: not a result, a target.</w:t>
      </w:r>
    </w:p>
    <w:p>
      <w:pPr>
        <w:pStyle w:val="Heading1"/>
      </w:pPr>
      <w:r>
        <w:t xml:space="preserve">6 — Publishability</w:t>
      </w:r>
    </w:p>
    <w:p>
      <w:pPr>
        <w:spacing w:after="100" w:line="270"/>
        <w:ind w:left="460" w:hanging="460"/>
      </w:pPr>
      <w:r>
        <w:rPr>
          <w:b/>
          <w:bCs/>
        </w:rPr>
        <w:t xml:space="preserve">P1  </w:t>
      </w:r>
      <w:r>
        <w:t xml:space="preserve">The observer-grounding material (S/R, displacement, the bisection result) is a candidate philosophy-of-physics contribution if, and only if, stated with scope discipline: remove every “only” and “uniquely”; frame it as a sufficient account, not the necessary one; position it against the relational/emergent-spacetime and discrete-spacetime literatures.</w:t>
      </w:r>
    </w:p>
    <w:p>
      <w:pPr>
        <w:spacing w:after="100" w:line="270"/>
        <w:ind w:left="460" w:hanging="460"/>
      </w:pPr>
      <w:r>
        <w:rPr>
          <w:b/>
          <w:bCs/>
        </w:rPr>
        <w:t xml:space="preserve">P2  </w:t>
      </w:r>
      <w:r>
        <w:t xml:space="preserve">The physics claim is not publishable until OPEN-TARGET is specified, and may prove observationally empty even then.</w:t>
      </w:r>
    </w:p>
    <w:p>
      <w:pPr>
        <w:pStyle w:val="Heading1"/>
      </w:pPr>
      <w:r>
        <w:t xml:space="preserve">Changelog</w:t>
      </w:r>
    </w:p>
    <w:p>
      <w:pPr>
        <w:spacing w:after="100" w:line="270"/>
        <w:ind w:left="460" w:hanging="460"/>
      </w:pPr>
      <w:r>
        <w:rPr>
          <w:b/>
          <w:bCs/>
        </w:rPr>
        <w:t xml:space="preserve">—  </w:t>
      </w:r>
      <w:r>
        <w:t xml:space="preserve">New session note. Consolidates the observer-grounding / smoothness dialogue.</w:t>
      </w:r>
    </w:p>
    <w:p>
      <w:pPr>
        <w:spacing w:after="100" w:line="270"/>
        <w:ind w:left="460" w:hanging="460"/>
      </w:pPr>
      <w:r>
        <w:rPr>
          <w:b/>
          <w:bCs/>
        </w:rPr>
        <w:t xml:space="preserve">—  </w:t>
      </w:r>
      <w:r>
        <w:t xml:space="preserve">Net Codex impact: none. No axiom discharged; no proposition promoted.</w:t>
      </w:r>
    </w:p>
    <w:p>
      <w:pPr>
        <w:spacing w:after="100" w:line="270"/>
        <w:ind w:left="460" w:hanging="460"/>
      </w:pPr>
      <w:r>
        <w:rPr>
          <w:b/>
          <w:bCs/>
        </w:rPr>
        <w:t xml:space="preserve">—  </w:t>
      </w:r>
      <w:r>
        <w:t xml:space="preserve">OPEN-TARGET filed as conjecture with guardrail (not load-bearing for any verdict).</w:t>
      </w:r>
    </w:p>
    <w:p>
      <w:pPr>
        <w:spacing w:after="100" w:line="270"/>
        <w:ind w:left="460" w:hanging="460"/>
      </w:pPr>
      <w:r>
        <w:rPr>
          <w:b/>
          <w:bCs/>
        </w:rPr>
        <w:t xml:space="preserve">—  </w:t>
      </w:r>
      <w:r>
        <w:t xml:space="preserve">Pending actions: (a) decide attachment point in the nine-part architecture once canonical version is confirmed; (b) route OPEN-TARGET to adversarial audit for fingerprint specification or refutation; (c) promote the §3 guardrail to a standing audit rule if endorsed.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60"/>
      <w:outlineLvl w:val="0"/>
    </w:pPr>
    <w:rPr>
      <w:rFonts w:ascii="Arial" w:cs="Arial" w:eastAsia="Arial" w:hAnsi="Arial"/>
      <w:b/>
      <w:bCs/>
      <w:color w:val="1F4E79"/>
      <w:sz w:val="30"/>
      <w:szCs w:val="30"/>
    </w:rPr>
  </w:style>
  <w:style w:type="paragraph" w:styleId="Heading2">
    <w:name w:val="Heading 2"/>
    <w:basedOn w:val="Normal"/>
    <w:next w:val="Normal"/>
    <w:qFormat/>
    <w:pPr>
      <w:spacing w:after="100" w:before="16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2026-06-02T18:04:03.712Z</dcterms:created>
  <dcterms:modified xsi:type="dcterms:W3CDTF">2026-06-02T18:04:03.712Z</dcterms:modified>
</cp:coreProperties>
</file>

<file path=docProps/custom.xml><?xml version="1.0" encoding="utf-8"?>
<Properties xmlns="http://schemas.openxmlformats.org/officeDocument/2006/custom-properties" xmlns:vt="http://schemas.openxmlformats.org/officeDocument/2006/docPropsVTypes"/>
</file>