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sz w:val="44"/>
        </w:rPr>
        <w:t>EIM Projection Calculus and</w:t>
        <w:br/>
        <w:t>Dictionary Discipline</w:t>
      </w:r>
    </w:p>
    <w:p>
      <w:pPr>
        <w:jc w:val="center"/>
      </w:pPr>
      <w:r>
        <w:rPr>
          <w:i/>
          <w:sz w:val="30"/>
        </w:rPr>
        <w:t>From Modal Closure to Observable Physics</w:t>
      </w:r>
    </w:p>
    <w:p/>
    <w:p/>
    <w:p>
      <w:pPr>
        <w:jc w:val="center"/>
      </w:pPr>
      <w:r>
        <w:rPr>
          <w:sz w:val="26"/>
        </w:rPr>
        <w:t>Thomas P. Connelly Jr.</w:t>
      </w:r>
    </w:p>
    <w:p>
      <w:pPr>
        <w:jc w:val="center"/>
      </w:pPr>
      <w:r>
        <w:rPr>
          <w:sz w:val="22"/>
        </w:rPr>
        <w:t>ORCID 0009-0006-8267-1378</w:t>
      </w:r>
    </w:p>
    <w:p>
      <w:pPr>
        <w:jc w:val="center"/>
      </w:pPr>
      <w:r>
        <w:rPr>
          <w:sz w:val="22"/>
        </w:rPr>
        <w:t>GCAS College Dublin</w:t>
      </w:r>
    </w:p>
    <w:p/>
    <w:p/>
    <w:p>
      <w:pPr>
        <w:jc w:val="center"/>
      </w:pPr>
      <w:r>
        <w:rPr>
          <w:sz w:val="20"/>
        </w:rPr>
        <w:t>Document ID: PROJ-CALC-v1.2</w:t>
      </w:r>
    </w:p>
    <w:p>
      <w:pPr>
        <w:jc w:val="center"/>
      </w:pPr>
      <w:r>
        <w:rPr>
          <w:sz w:val="20"/>
        </w:rPr>
        <w:t>May 2026</w:t>
      </w:r>
    </w:p>
    <w:p/>
    <w:p/>
    <w:p>
      <w:pPr>
        <w:jc w:val="center"/>
      </w:pPr>
      <w:r>
        <w:rPr>
          <w:i/>
          <w:sz w:val="20"/>
        </w:rPr>
        <w:t>v1.1 changes from v1.0:</w:t>
        <w:br/>
        <w:t xml:space="preserve">  •  Π-006 (Π-Weinberg, sin²θ_W) added as worked example §9.6.</w:t>
        <w:br/>
        <w:t xml:space="preserve">  •  Registry summary (§7) updated; §12.4 amended to record filing.</w:t>
        <w:br/>
        <w:t xml:space="preserve">  •  §14 added: companion note placing Π-006 in disciplinary context.</w:t>
      </w:r>
    </w:p>
    <w:p>
      <w:pPr>
        <w:jc w:val="center"/>
      </w:pPr>
      <w:r>
        <w:rPr>
          <w:i/>
          <w:sz w:val="20"/>
        </w:rPr>
        <w:t>v1.2 changes from v1.1:</w:t>
        <w:br/>
        <w:t xml:space="preserve">  •  Π-007 (Π-Neutrino-Mass, m₁ = mₑ /(β₁⁶ φ¹⁰)) added as worked example §9.7, filed at C (Candidate).</w:t>
        <w:br/>
        <w:t xml:space="preserve">  •  §9.8 added: “Derivation target for Π-007” — companion subsection itemizing the four open derivation tasks gating the C → B-Conditional upgrade.</w:t>
        <w:br/>
        <w:t xml:space="preserve">  •  Registry summary (Table 7.2) extended; §12.4 amended to record filing and to retire the Π-006 audit-trail commitment.</w:t>
        <w:br/>
        <w:t xml:space="preserve">  •  Abstract and §1 updated to reflect seven filed cards.</w:t>
      </w:r>
    </w:p>
    <w:p>
      <w:r>
        <w:br w:type="page"/>
      </w:r>
    </w:p>
    <w:p>
      <w:pPr>
        <w:pStyle w:val="Heading1"/>
      </w:pPr>
      <w:r>
        <w:t>Abstract</w:t>
      </w:r>
    </w:p>
    <w:p>
      <w:pPr>
        <w:jc w:val="both"/>
      </w:pPr>
      <w:r>
        <w:t>The Execution–Interaction–Memory (EIM) framework supplies a generative basis for distinction-formation, coordination, and closure within a four-dimensional modal state space, with a realized backbone on the dodecahedral graph Γ (V = 20, β₁ = 11, Aut(Γ) ≅ A₅ × ℤ₂). Its projection into observable physics, however, has so far been governed by case-by-case dictionaries rather than by an explicit calculus. This document supplies that calculus. Every projection from an EIM source structure to an observable target is required to specify, in a uniform six-slot template: (i) the source structure, (ii) the projection regime, (iii) the preserved invariants, (iv) the structures coarse-grained or discarded, (v) the target observable together with an operational measurement, and (vi) an explicit failure condition stated in advance. Three strength levels are defined — identity (A), derived (B), and candidate (C) — together with an audit class W for withdrawn projections. Seven worked cards are filed by v1.2: Π-Number (counting), Π-Shell (epistemic coordinates), Π-GR (post-percolation spacetime bookkeeping), Π-BH-Entropy (horizon area law), Π-BBH-γ_c (a binary-black-hole observable currently filed as W), Π-Weinberg (the prediction sin²θ_W(μ*) = 1/4 at the EIM matching scale μ* ≈ 3.68 TeV, with vector-like SU(2)L triplet remnant), and Π-Neutrino-Mass (the closed-form claim m₁ = mₑ /(β₁⁶ φ¹⁰) ≈ 2.345 meV for the lightest neutrino mass eigenvalue, filed at Candidate pending derivation of the exponent structure and the electron-mass anchor). An anti-reinterpretation rule fixes referee discipline: once a projection’s observable and failure condition have been declared, satisfaction of the failure condition retires the projection, and any successor with a substituted observable receives a new projection ID. The calculus is intended to govern subsequent EIM-to-physics dictionaries; its purpose is not to settle physics, but to render EIM’s empirical content auditable.</w:t>
      </w:r>
    </w:p>
    <w:p>
      <w:r>
        <w:rPr>
          <w:b/>
        </w:rPr>
        <w:t xml:space="preserve">Keywords. </w:t>
      </w:r>
      <w:r>
        <w:t>Execution–Interaction–Memory; projection calculus; dictionary discipline; modal physics; coordination dynamics; dodecahedral realization; horizon entropy; Weinberg angle; falsifiability; methodological discipline.</w:t>
      </w:r>
    </w:p>
    <w:p>
      <w:r>
        <w:br w:type="page"/>
      </w:r>
    </w:p>
    <w:p>
      <w:pPr>
        <w:pStyle w:val="Heading1"/>
      </w:pPr>
      <w:r>
        <w:t>1.  Introduction: The Projection Bottleneck</w:t>
      </w:r>
    </w:p>
    <w:p>
      <w:pPr>
        <w:jc w:val="both"/>
      </w:pPr>
      <w:r>
        <w:t>The Execution–Interaction–Memory (EIM) framework is a generative formalism for the formation, persistence, and coordination of distinctions. In its current presentation it consists of:</w:t>
      </w:r>
    </w:p>
    <w:p>
      <w:pPr>
        <w:pStyle w:val="ListBullet"/>
      </w:pPr>
      <w:r>
        <w:t>a generative core: three irreducible primitives Execution (E), Interaction (I), and Memory (M);</w:t>
      </w:r>
    </w:p>
    <w:p>
      <w:pPr>
        <w:pStyle w:val="ListBullet"/>
      </w:pPr>
      <w:r>
        <w:t>a state-space architecture on the 4-tuple (E_bare, I_base, M_inertial, C) ∈ {0,1}⁴, with antipodal extremes ν₁ = (1,0,0,0) and the top quark mode (0,1,1,1);</w:t>
      </w:r>
    </w:p>
    <w:p>
      <w:pPr>
        <w:pStyle w:val="ListBullet"/>
      </w:pPr>
      <w:r>
        <w:t>closure structures: the 3–4–5 ladder, the S² closure, and the cubic-graph realization on the dodecahedron Γ, with β₁(Γ) = 11 and Aut(Γ) ≅ A₅ × ℤ₂ verified exhaustively across the 510,489 connected cubic graphs at V = 20;</w:t>
      </w:r>
    </w:p>
    <w:p>
      <w:pPr>
        <w:pStyle w:val="ListBullet"/>
      </w:pPr>
      <w:r>
        <w:t>coordination dynamics governed by a scalar order parameter σ, with subcritical (σ &lt; 1), threshold (σ = 1), and post-percolation (σ &gt; 1) phases;</w:t>
      </w:r>
    </w:p>
    <w:p>
      <w:pPr>
        <w:pStyle w:val="ListBullet"/>
      </w:pPr>
      <w:r>
        <w:t>memory bounds κ = 55 φ² and γ_c = (3 − √5)/22, satisfying κ·γ_c = 5 as an exact algebraic identity.</w:t>
      </w:r>
    </w:p>
    <w:p>
      <w:pPr>
        <w:jc w:val="both"/>
      </w:pPr>
      <w:r>
        <w:t>The framework’s open joint is not its internal closure but its externalization: the rule by which EIM structures determine observable physics. Existing dictionary entries — “Memory ↔ mass”, “coordination horizon ↔ event horizon”, “γ_c ↔ a binary-black-hole observable” — have been formulated case-by-case. Two failure modes are immediate:</w:t>
      </w:r>
    </w:p>
    <w:p>
      <w:pPr>
        <w:pStyle w:val="ListBullet"/>
      </w:pPr>
      <w:r>
        <w:t>structural overclaim, in which a metaphor is treated as a derivation without explicit specification of what is preserved and what is coarse-grained;</w:t>
      </w:r>
    </w:p>
    <w:p>
      <w:pPr>
        <w:pStyle w:val="ListBullet"/>
      </w:pPr>
      <w:r>
        <w:t>post-hoc reinterpretation, in which the observable attached to a projection is silently substituted after empirical comparison disfavours the original observable.</w:t>
      </w:r>
    </w:p>
    <w:p>
      <w:pPr>
        <w:jc w:val="both"/>
      </w:pPr>
      <w:r>
        <w:t>This document fixes both failure modes. It demands that every projection be expressed in a uniform six-slot template (§3), classified by a regime (§4) and a preservation profile (§5), and assigned a strength level (§6). Each entry is filed in a registry (§7) using the test-card template (§8), audited under an anti-reinterpretation rule (§10), and bound by composition and audit constraints (§11). Seven worked cards are supplied in §9, including Π-005 (filed as Withdrawn), Π-006 (filed at Candidate), and Π-007 (filed at Candidate with explicit derivation tasks held open in §9.8) — together demonstrating the calculus working against the present author’s own claims. Section 14 is a companion note placing Π-006 in disciplinary context.</w:t>
      </w:r>
    </w:p>
    <w:p>
      <w:pPr>
        <w:jc w:val="both"/>
      </w:pPr>
      <w:r>
        <w:t>What this document is not. It is not a derivation of physics from EIM; it is the disciplinary apparatus that any such derivation must pass through. Its content is methodological. Its standard of success is operational: a referee, given any EIM-to-physics claim, must be able to locate a registry entry that specifies what would refute the claim and where its observable boundary lies.</w:t>
      </w:r>
    </w:p>
    <w:p>
      <w:pPr>
        <w:pStyle w:val="Heading1"/>
      </w:pPr>
      <w:r>
        <w:t>2.  Definitions</w:t>
      </w:r>
    </w:p>
    <w:p>
      <w:r>
        <w:rPr>
          <w:b/>
        </w:rPr>
        <w:t xml:space="preserve">Definition 2.1 (EIM source structure). </w:t>
      </w:r>
      <w:r>
        <w:t>A finite subset of EIM ingredients — generators, relations, invariants, or closure objects — drawn from the framework document and treated as the input of a projection. Examples: the successor relation on retained distinctions; the cycle space H₁(Γ); the boundary Memory functional on a coordination horizon; the dodecahedral invariant γ_c; the matching-scale identity μ* tied to H₁(Γ) cohomology.</w:t>
      </w:r>
    </w:p>
    <w:p>
      <w:r>
        <w:rPr>
          <w:b/>
        </w:rPr>
        <w:t xml:space="preserve">Definition 2.2 (Projection regime). </w:t>
      </w:r>
      <w:r>
        <w:t>A specification of the dynamical or coordination phase under which the projection is performed. Regimes are enumerated in §4.</w:t>
      </w:r>
    </w:p>
    <w:p>
      <w:r>
        <w:rPr>
          <w:b/>
        </w:rPr>
        <w:t xml:space="preserve">Definition 2.3 (Projection rule). </w:t>
      </w:r>
      <w:r>
        <w:t>A function Π : S → O — homomorphism, limit, coarse-graining, or explicit construction — sending an EIM source object S to a target O in a known mathematical or physical theory.</w:t>
      </w:r>
    </w:p>
    <w:p>
      <w:r>
        <w:rPr>
          <w:b/>
        </w:rPr>
        <w:t xml:space="preserve">Definition 2.4 (Preserved invariants). </w:t>
      </w:r>
      <w:r>
        <w:t>The list of structural features that Π preserves, drawn from §5.</w:t>
      </w:r>
    </w:p>
    <w:p>
      <w:r>
        <w:rPr>
          <w:b/>
        </w:rPr>
        <w:t xml:space="preserve">Definition 2.5 (Discarded structure). </w:t>
      </w:r>
      <w:r>
        <w:t>The list of features that Π either coarse-grains or quotients away.</w:t>
      </w:r>
    </w:p>
    <w:p>
      <w:r>
        <w:rPr>
          <w:b/>
        </w:rPr>
        <w:t xml:space="preserve">Definition 2.6 (Target observable). </w:t>
      </w:r>
      <w:r>
        <w:t>A quantity defined within the codomain theory and accessible, in principle, to operational measurement.</w:t>
      </w:r>
    </w:p>
    <w:p>
      <w:r>
        <w:rPr>
          <w:b/>
        </w:rPr>
        <w:t xml:space="preserve">Definition 2.7 (Operational measurement). </w:t>
      </w:r>
      <w:r>
        <w:t>The procedure or protocol that yields a number for the observable.</w:t>
      </w:r>
    </w:p>
    <w:p>
      <w:r>
        <w:rPr>
          <w:b/>
        </w:rPr>
        <w:t xml:space="preserve">Definition 2.8 (Failure condition). </w:t>
      </w:r>
      <w:r>
        <w:t>A statement, given in advance of empirical comparison, of the outcome that would require Π to be marked failed. Failure conditions must be specific (numerical window, structural feature) rather than generic.</w:t>
      </w:r>
    </w:p>
    <w:p>
      <w:r>
        <w:rPr>
          <w:b/>
        </w:rPr>
        <w:t xml:space="preserve">Definition 2.9 (Projection card). </w:t>
      </w:r>
      <w:r>
        <w:t>A single registry entry instantiating the template of §3 and §8 with all fourteen slots populated.</w:t>
      </w:r>
    </w:p>
    <w:p>
      <w:r>
        <w:rPr>
          <w:b/>
        </w:rPr>
        <w:t xml:space="preserve">Definition 2.10 (Status label). </w:t>
      </w:r>
      <w:r>
        <w:t>An element of {A, B, C, W} together with optional qualifiers (“Conditional”, “Provisional”). Defined in §6.</w:t>
      </w:r>
    </w:p>
    <w:p>
      <w:pPr>
        <w:pStyle w:val="Heading1"/>
      </w:pPr>
      <w:r>
        <w:t>3.  The Projection Template</w:t>
      </w:r>
    </w:p>
    <w:p>
      <w:pPr>
        <w:jc w:val="both"/>
      </w:pPr>
      <w:r>
        <w:t>A projection is a sextuple</w:t>
      </w:r>
    </w:p>
    <w:p>
      <w:pPr>
        <w:jc w:val="center"/>
      </w:pPr>
      <m:oMathPara>
        <m:oMath>
          <m:r>
            <m:t>&amp;#928; : (S, R) &amp;#8594; (P, D) &amp;#8594; (O, M, F)</m:t>
          </m:r>
        </m:oMath>
      </m:oMathPara>
    </w:p>
    <w:p>
      <w:pPr>
        <w:jc w:val="both"/>
      </w:pPr>
      <w:r>
        <w:t>where S is the EIM source structure, R the regime, P the preserved invariants, D the discarded or coarse-grained structures, O the target observable, M the operational measurement, and F the failure condition. Every published EIM-to-physics claim must be filed as such a sextuple, with no slot omitted.</w:t>
      </w:r>
    </w:p>
    <w:p>
      <w:pPr>
        <w:jc w:val="both"/>
      </w:pPr>
      <w:r>
        <w:t>A projection card is required to be self-contained: a referee should be able to read the card alone and determine, for any candidate empirical outcome, whether the projection has succeeded, failed, or is silent.</w:t>
      </w:r>
    </w:p>
    <w:p>
      <w:pPr>
        <w:jc w:val="both"/>
      </w:pPr>
      <w:r>
        <w:t>The six slots are not interchangeable. In particular:</w:t>
      </w:r>
    </w:p>
    <w:p>
      <w:pPr>
        <w:pStyle w:val="ListBullet"/>
      </w:pPr>
      <w:r>
        <w:t>S without R is ambiguous: an EIM structure may project differently across regimes.</w:t>
      </w:r>
    </w:p>
    <w:p>
      <w:pPr>
        <w:pStyle w:val="ListBullet"/>
      </w:pPr>
      <w:r>
        <w:t>(P, D) must be consistent: a feature listed as preserved cannot also be discarded, and the union (P ∪ D) should account for the structural content of S relevant to O.</w:t>
      </w:r>
    </w:p>
    <w:p>
      <w:pPr>
        <w:pStyle w:val="ListBullet"/>
      </w:pPr>
      <w:r>
        <w:t>O without M is empty: an observable that cannot in principle be measured fails Definition 2.6.</w:t>
      </w:r>
    </w:p>
    <w:p>
      <w:pPr>
        <w:pStyle w:val="ListBullet"/>
      </w:pPr>
      <w:r>
        <w:t>F is the load-bearing slot for falsifiability. Cards with vacuous F are filed at status C until F is sharpened.</w:t>
      </w:r>
    </w:p>
    <w:p>
      <w:pPr>
        <w:pStyle w:val="Heading1"/>
      </w:pPr>
      <w:r>
        <w:t>4.  Projection Regimes</w:t>
      </w:r>
    </w:p>
    <w:p>
      <w:pPr>
        <w:jc w:val="both"/>
      </w:pPr>
      <w:r>
        <w:t>Projection regimes parameterize the dynamical phase. EIM phases are indexed by the coordination scalar σ and the saturation parameter Σ relative to the capacity bound κ.</w:t>
      </w:r>
    </w:p>
    <w:tbl>
      <w:tblPr>
        <w:tblW w:type="auto" w:w="0"/>
        <w:jc w:val="center"/>
        <w:tblLook w:firstColumn="1" w:firstRow="1" w:lastColumn="0" w:lastRow="0" w:noHBand="0" w:noVBand="1" w:val="04A0"/>
        <w:tblBorders>
          <w:top w:val="single" w:sz="4" w:color="888888"/>
          <w:left w:val="single" w:sz="4" w:color="888888"/>
          <w:bottom w:val="single" w:sz="4" w:color="888888"/>
          <w:right w:val="single" w:sz="4" w:color="888888"/>
          <w:insideH w:val="single" w:sz="4" w:color="888888"/>
          <w:insideV w:val="single" w:sz="4" w:color="888888"/>
        </w:tblBorders>
      </w:tblPr>
      <w:tblGrid>
        <w:gridCol w:w="2340"/>
        <w:gridCol w:w="2340"/>
        <w:gridCol w:w="2340"/>
        <w:gridCol w:w="2340"/>
      </w:tblGrid>
      <w:tr>
        <w:tc>
          <w:tcPr>
            <w:tcW w:type="dxa" w:w="864"/>
            <w:shd w:val="clear" w:color="auto" w:fill="D5E8F0"/>
          </w:tcPr>
          <w:p>
            <w:r/>
            <w:r>
              <w:rPr>
                <w:b/>
              </w:rPr>
              <w:t>ID</w:t>
            </w:r>
          </w:p>
        </w:tc>
        <w:tc>
          <w:tcPr>
            <w:tcW w:type="dxa" w:w="2304"/>
            <w:shd w:val="clear" w:color="auto" w:fill="D5E8F0"/>
          </w:tcPr>
          <w:p>
            <w:r/>
            <w:r>
              <w:rPr>
                <w:b/>
              </w:rPr>
              <w:t>Regime</w:t>
            </w:r>
          </w:p>
        </w:tc>
        <w:tc>
          <w:tcPr>
            <w:tcW w:type="dxa" w:w="3600"/>
            <w:shd w:val="clear" w:color="auto" w:fill="D5E8F0"/>
          </w:tcPr>
          <w:p>
            <w:r/>
            <w:r>
              <w:rPr>
                <w:b/>
              </w:rPr>
              <w:t>Defining condition</w:t>
            </w:r>
          </w:p>
        </w:tc>
        <w:tc>
          <w:tcPr>
            <w:tcW w:type="dxa" w:w="3600"/>
            <w:shd w:val="clear" w:color="auto" w:fill="D5E8F0"/>
          </w:tcPr>
          <w:p>
            <w:r/>
            <w:r>
              <w:rPr>
                <w:b/>
              </w:rPr>
              <w:t>Projection target type</w:t>
            </w:r>
          </w:p>
        </w:tc>
      </w:tr>
      <w:tr>
        <w:tc>
          <w:tcPr>
            <w:tcW w:type="dxa" w:w="864"/>
          </w:tcPr>
          <w:p>
            <w:r>
              <w:t>R0</w:t>
            </w:r>
          </w:p>
        </w:tc>
        <w:tc>
          <w:tcPr>
            <w:tcW w:type="dxa" w:w="2304"/>
          </w:tcPr>
          <w:p>
            <w:r>
              <w:t>Null / pre-distinction</w:t>
            </w:r>
          </w:p>
        </w:tc>
        <w:tc>
          <w:tcPr>
            <w:tcW w:type="dxa" w:w="3600"/>
          </w:tcPr>
          <w:p>
            <w:r>
              <w:t>No operational variables; distinctions not yet executed.</w:t>
            </w:r>
          </w:p>
        </w:tc>
        <w:tc>
          <w:tcPr>
            <w:tcW w:type="dxa" w:w="3600"/>
          </w:tcPr>
          <w:p>
            <w:r>
              <w:t>Trivial or undefined.</w:t>
            </w:r>
          </w:p>
        </w:tc>
      </w:tr>
      <w:tr>
        <w:tc>
          <w:tcPr>
            <w:tcW w:type="dxa" w:w="864"/>
          </w:tcPr>
          <w:p>
            <w:r>
              <w:t>R1</w:t>
            </w:r>
          </w:p>
        </w:tc>
        <w:tc>
          <w:tcPr>
            <w:tcW w:type="dxa" w:w="2304"/>
          </w:tcPr>
          <w:p>
            <w:r>
              <w:t>Subcritical (σ &lt; 1)</w:t>
            </w:r>
          </w:p>
        </w:tc>
        <w:tc>
          <w:tcPr>
            <w:tcW w:type="dxa" w:w="3600"/>
          </w:tcPr>
          <w:p>
            <w:r>
              <w:t>Distinctions unresolved; alternatives co-exist.</w:t>
            </w:r>
          </w:p>
        </w:tc>
        <w:tc>
          <w:tcPr>
            <w:tcW w:type="dxa" w:w="3600"/>
          </w:tcPr>
          <w:p>
            <w:r>
              <w:t>Quantum-like superposed alternatives; selection rules pending.</w:t>
            </w:r>
          </w:p>
        </w:tc>
      </w:tr>
      <w:tr>
        <w:tc>
          <w:tcPr>
            <w:tcW w:type="dxa" w:w="864"/>
          </w:tcPr>
          <w:p>
            <w:r>
              <w:t>R2</w:t>
            </w:r>
          </w:p>
        </w:tc>
        <w:tc>
          <w:tcPr>
            <w:tcW w:type="dxa" w:w="2304"/>
          </w:tcPr>
          <w:p>
            <w:r>
              <w:t>Threshold (σ = 1)</w:t>
            </w:r>
          </w:p>
        </w:tc>
        <w:tc>
          <w:tcPr>
            <w:tcW w:type="dxa" w:w="3600"/>
          </w:tcPr>
          <w:p>
            <w:r>
              <w:t>Percolation / decoherence; selection events occur.</w:t>
            </w:r>
          </w:p>
        </w:tc>
        <w:tc>
          <w:tcPr>
            <w:tcW w:type="dxa" w:w="3600"/>
          </w:tcPr>
          <w:p>
            <w:r>
              <w:t>Measurement events; branching; classical record formation; matching-scale boundary conditions.</w:t>
            </w:r>
          </w:p>
        </w:tc>
      </w:tr>
      <w:tr>
        <w:tc>
          <w:tcPr>
            <w:tcW w:type="dxa" w:w="864"/>
          </w:tcPr>
          <w:p>
            <w:r>
              <w:t>R3</w:t>
            </w:r>
          </w:p>
        </w:tc>
        <w:tc>
          <w:tcPr>
            <w:tcW w:type="dxa" w:w="2304"/>
          </w:tcPr>
          <w:p>
            <w:r>
              <w:t>Post-percolation (σ &gt; 1)</w:t>
            </w:r>
          </w:p>
        </w:tc>
        <w:tc>
          <w:tcPr>
            <w:tcW w:type="dxa" w:w="3600"/>
          </w:tcPr>
          <w:p>
            <w:r>
              <w:t>Coordination smooth; bookkeeping admits manifold structure.</w:t>
            </w:r>
          </w:p>
        </w:tc>
        <w:tc>
          <w:tcPr>
            <w:tcW w:type="dxa" w:w="3600"/>
          </w:tcPr>
          <w:p>
            <w:r>
              <w:t>GR-like (3+1) bookkeeping; classical fields; metric geometry.</w:t>
            </w:r>
          </w:p>
        </w:tc>
      </w:tr>
      <w:tr>
        <w:tc>
          <w:tcPr>
            <w:tcW w:type="dxa" w:w="864"/>
          </w:tcPr>
          <w:p>
            <w:r>
              <w:t>R4</w:t>
            </w:r>
          </w:p>
        </w:tc>
        <w:tc>
          <w:tcPr>
            <w:tcW w:type="dxa" w:w="2304"/>
          </w:tcPr>
          <w:p>
            <w:r>
              <w:t>High saturation (Σ → κ)</w:t>
            </w:r>
          </w:p>
        </w:tc>
        <w:tc>
          <w:tcPr>
            <w:tcW w:type="dxa" w:w="3600"/>
          </w:tcPr>
          <w:p>
            <w:r>
              <w:t>Memory at capacity; coordination horizon present.</w:t>
            </w:r>
          </w:p>
        </w:tc>
        <w:tc>
          <w:tcPr>
            <w:tcW w:type="dxa" w:w="3600"/>
          </w:tcPr>
          <w:p>
            <w:r>
              <w:t>Horizon thermodynamics; area-law entropy; ringdown bookkeeping.</w:t>
            </w:r>
          </w:p>
        </w:tc>
      </w:tr>
      <w:tr>
        <w:tc>
          <w:tcPr>
            <w:tcW w:type="dxa" w:w="864"/>
          </w:tcPr>
          <w:p>
            <w:r>
              <w:t>R5</w:t>
            </w:r>
          </w:p>
        </w:tc>
        <w:tc>
          <w:tcPr>
            <w:tcW w:type="dxa" w:w="2304"/>
          </w:tcPr>
          <w:p>
            <w:r>
              <w:t>Boundary failure</w:t>
            </w:r>
          </w:p>
        </w:tc>
        <w:tc>
          <w:tcPr>
            <w:tcW w:type="dxa" w:w="3600"/>
          </w:tcPr>
          <w:p>
            <w:r>
              <w:t>Projection breakdown; effective description fails.</w:t>
            </w:r>
          </w:p>
        </w:tc>
        <w:tc>
          <w:tcPr>
            <w:tcW w:type="dxa" w:w="3600"/>
          </w:tcPr>
          <w:p>
            <w:r>
              <w:t>Singularity-like artifacts; divergent observables; signaling-of-breakdown.</w:t>
            </w:r>
          </w:p>
        </w:tc>
      </w:tr>
    </w:tbl>
    <w:p/>
    <w:p>
      <w:pPr>
        <w:jc w:val="both"/>
      </w:pPr>
      <w:r>
        <w:t>Regimes are listed as a coarse partition; in practice, a projection card may declare a primary regime together with limit transitions to adjacent regimes (e.g., R3 → R4 for a horizon-formation projection; R2 with matching to R1 for a matching-scale boundary condition). Cross-regime projections are permitted only with explicit matching arguments.</w:t>
      </w:r>
    </w:p>
    <w:p>
      <w:pPr>
        <w:pStyle w:val="Heading1"/>
      </w:pPr>
      <w:r>
        <w:t>5.  Preservation Classes</w:t>
      </w:r>
    </w:p>
    <w:p>
      <w:pPr>
        <w:jc w:val="both"/>
      </w:pPr>
      <w:r>
        <w:t>A projection rule Π preserves zero or more of the following structural features. Every card must list, from this catalogue, the subset that survives Π and the subset that is coarse-grained or quotiented.</w:t>
      </w:r>
    </w:p>
    <w:p>
      <w:r>
        <w:rPr>
          <w:b/>
        </w:rPr>
        <w:t xml:space="preserve">Order.  </w:t>
      </w:r>
      <w:r>
        <w:t>Total or partial ordering on S carries to a corresponding ordering on O.</w:t>
      </w:r>
    </w:p>
    <w:p>
      <w:r>
        <w:rPr>
          <w:b/>
        </w:rPr>
        <w:t xml:space="preserve">Monotonicity.  </w:t>
      </w:r>
      <w:r>
        <w:t>A monotone source functional projects to a monotone target functional. (Memory monotonicity in EIM is the load-bearing example.)</w:t>
      </w:r>
    </w:p>
    <w:p>
      <w:r>
        <w:rPr>
          <w:b/>
        </w:rPr>
        <w:t xml:space="preserve">Boundary.  </w:t>
      </w:r>
      <w:r>
        <w:t>S distinguishes interior from exterior; O inherits a boundary structure (closed surface, horizon, support boundary).</w:t>
      </w:r>
    </w:p>
    <w:p>
      <w:r>
        <w:rPr>
          <w:b/>
        </w:rPr>
        <w:t xml:space="preserve">Cycle structure.  </w:t>
      </w:r>
      <w:r>
        <w:t>The first homology H₁ of a source graph or complex carries to a topological feature of the target (e.g., β₁(Γ) = 11 surviving as a spectrum-of-modes count or remnant-multiplet counting).</w:t>
      </w:r>
    </w:p>
    <w:p>
      <w:r>
        <w:rPr>
          <w:b/>
        </w:rPr>
        <w:t xml:space="preserve">Symmetry.  </w:t>
      </w:r>
      <w:r>
        <w:t>A group action on S projects to a corresponding action on O, possibly via quotient or restriction (e.g., A₅ × ℤ₂ surviving as a residual discrete symmetry on the SM coupling space).</w:t>
      </w:r>
    </w:p>
    <w:p>
      <w:r>
        <w:rPr>
          <w:b/>
        </w:rPr>
        <w:t xml:space="preserve">Scale relation.  </w:t>
      </w:r>
      <w:r>
        <w:t>A dimensional or scaling relation among source quantities projects to a scaling relation among observables (e.g., area-volume scaling in horizon thermodynamics; matching-scale relations in EW physics).</w:t>
      </w:r>
    </w:p>
    <w:p>
      <w:r>
        <w:rPr>
          <w:b/>
        </w:rPr>
        <w:t xml:space="preserve">Conservation.  </w:t>
      </w:r>
      <w:r>
        <w:t>A conserved quantity in S projects to a conserved or monotone-bounded quantity in O.</w:t>
      </w:r>
    </w:p>
    <w:p>
      <w:r>
        <w:rPr>
          <w:b/>
        </w:rPr>
        <w:t xml:space="preserve">Coarse-grained density.  </w:t>
      </w:r>
      <w:r>
        <w:t>A density on coarse-grained S projects to a density observable in O.</w:t>
      </w:r>
    </w:p>
    <w:p>
      <w:pPr>
        <w:jc w:val="both"/>
      </w:pPr>
      <w:r>
        <w:rPr>
          <w:i/>
        </w:rPr>
        <w:t>Discipline. A projection that does not list at least one preservation class is not a projection in the sense of this document; it is a metaphor. A projection that lists eight classes preserved is suspect until it specifies what is discarded.</w:t>
      </w:r>
    </w:p>
    <w:p>
      <w:pPr>
        <w:pStyle w:val="Heading1"/>
      </w:pPr>
      <w:r>
        <w:t>6.  Projection-Strength Levels</w:t>
      </w:r>
    </w:p>
    <w:p>
      <w:pPr>
        <w:jc w:val="both"/>
      </w:pPr>
      <w:r>
        <w:t>Status labels classify the epistemic strength of the projection rule. Four levels are recognized.</w:t>
      </w:r>
    </w:p>
    <w:p>
      <w:r>
        <w:rPr>
          <w:b/>
        </w:rPr>
        <w:t xml:space="preserve">Level A — Identity.  </w:t>
      </w:r>
      <w:r>
        <w:t>Π is a structural isomorphism, or strict homomorphism preserving the relevant invariants, between S and O. The target reads off S through a fixed dictionary with no further dynamical assumption. Genuine Level-A projections in physical contexts are rare; most identity claims, on inspection, condition on a dictionary that itself requires justification (and so are properly Level B-Conditional).</w:t>
      </w:r>
    </w:p>
    <w:p>
      <w:r>
        <w:rPr>
          <w:b/>
        </w:rPr>
        <w:t xml:space="preserve">Level B — Derived.  </w:t>
      </w:r>
      <w:r>
        <w:t>Π is obtained by an explicit coarse-graining, limit, or quotient with stated hypotheses. The target O follows from S given those hypotheses. The card must list its hypotheses; refutation of a hypothesis demotes the projection rather than the framework.</w:t>
      </w:r>
    </w:p>
    <w:p>
      <w:r>
        <w:rPr>
          <w:b/>
        </w:rPr>
        <w:t xml:space="preserve">Level C — Candidate.  </w:t>
      </w:r>
      <w:r>
        <w:t>Π is motivated structurally or analogically, but the derivation is incomplete or the operational closure is absent. Candidate cards are permitted in the registry; they are not permitted as load-bearing claims in published empirical assertions.</w:t>
      </w:r>
    </w:p>
    <w:p>
      <w:r>
        <w:rPr>
          <w:b/>
        </w:rPr>
        <w:t xml:space="preserve">Level W — Withdrawn.  </w:t>
      </w:r>
      <w:r>
        <w:t>Π’s declared failure condition F has been satisfied, or its observable has been renegotiated. The card is retained in the registry for audit. It is superseded, not erased.</w:t>
      </w:r>
    </w:p>
    <w:p>
      <w:pPr>
        <w:jc w:val="both"/>
      </w:pPr>
      <w:r>
        <w:t>Two qualifiers are admitted on Level A and Level B:</w:t>
      </w:r>
    </w:p>
    <w:p>
      <w:r>
        <w:rPr>
          <w:b/>
        </w:rPr>
        <w:t xml:space="preserve">Conditional.  </w:t>
      </w:r>
      <w:r>
        <w:t>The projection holds given an external dictionary not derived inside EIM (e.g., the assignment of Planck length to a coordination scale; the calibration of the electroweak vacuum scale to v ≈ 246 GeV). Conditional cards must point to the external dictionary by reference.</w:t>
      </w:r>
    </w:p>
    <w:p>
      <w:r>
        <w:rPr>
          <w:b/>
        </w:rPr>
        <w:t xml:space="preserve">Provisional.  </w:t>
      </w:r>
      <w:r>
        <w:t>The derivation is sketched but not yet referee-grade; the card commits to an upgrade path to Level B or A by a stated milestone.</w:t>
      </w:r>
    </w:p>
    <w:p>
      <w:pPr>
        <w:pStyle w:val="Heading1"/>
      </w:pPr>
      <w:r>
        <w:t>7.  The Projection Registry</w:t>
      </w:r>
    </w:p>
    <w:p>
      <w:pPr>
        <w:jc w:val="both"/>
      </w:pPr>
      <w:r>
        <w:t>The registry is the canonical, append-only ledger of EIM-to-physics projection cards. Its columns are listed in Table 7.1; the six filed entries are summarized in Table 7.2 and detailed in §9.</w:t>
      </w:r>
    </w:p>
    <w:p>
      <w:r>
        <w:rPr>
          <w:i/>
        </w:rPr>
        <w:t>Table 7.1.  Registry column specification.</w:t>
      </w:r>
    </w:p>
    <w:tbl>
      <w:tblPr>
        <w:tblW w:type="auto" w:w="0"/>
        <w:jc w:val="center"/>
        <w:tblLook w:firstColumn="1" w:firstRow="1" w:lastColumn="0" w:lastRow="0" w:noHBand="0" w:noVBand="1" w:val="04A0"/>
        <w:tblBorders>
          <w:top w:val="single" w:sz="4" w:color="888888"/>
          <w:left w:val="single" w:sz="4" w:color="888888"/>
          <w:bottom w:val="single" w:sz="4" w:color="888888"/>
          <w:right w:val="single" w:sz="4" w:color="888888"/>
          <w:insideH w:val="single" w:sz="4" w:color="888888"/>
          <w:insideV w:val="single" w:sz="4" w:color="888888"/>
        </w:tblBorders>
      </w:tblPr>
      <w:tblGrid>
        <w:gridCol w:w="4680"/>
        <w:gridCol w:w="4680"/>
      </w:tblGrid>
      <w:tr>
        <w:tc>
          <w:tcPr>
            <w:tcW w:type="dxa" w:w="2016"/>
            <w:shd w:val="clear" w:color="auto" w:fill="D5E8F0"/>
          </w:tcPr>
          <w:p>
            <w:r/>
            <w:r>
              <w:rPr>
                <w:b/>
              </w:rPr>
              <w:t>Column</w:t>
            </w:r>
          </w:p>
        </w:tc>
        <w:tc>
          <w:tcPr>
            <w:tcW w:type="dxa" w:w="8064"/>
            <w:shd w:val="clear" w:color="auto" w:fill="D5E8F0"/>
          </w:tcPr>
          <w:p>
            <w:r/>
            <w:r>
              <w:rPr>
                <w:b/>
              </w:rPr>
              <w:t>Content</w:t>
            </w:r>
          </w:p>
        </w:tc>
      </w:tr>
      <w:tr>
        <w:tc>
          <w:tcPr>
            <w:tcW w:type="dxa" w:w="2016"/>
          </w:tcPr>
          <w:p>
            <w:r>
              <w:t>ID</w:t>
            </w:r>
          </w:p>
        </w:tc>
        <w:tc>
          <w:tcPr>
            <w:tcW w:type="dxa" w:w="8064"/>
          </w:tcPr>
          <w:p>
            <w:r>
              <w:t>Projection identifier (Π-NNN-name).</w:t>
            </w:r>
          </w:p>
        </w:tc>
      </w:tr>
      <w:tr>
        <w:tc>
          <w:tcPr>
            <w:tcW w:type="dxa" w:w="2016"/>
          </w:tcPr>
          <w:p>
            <w:r>
              <w:t>Source</w:t>
            </w:r>
          </w:p>
        </w:tc>
        <w:tc>
          <w:tcPr>
            <w:tcW w:type="dxa" w:w="8064"/>
          </w:tcPr>
          <w:p>
            <w:r>
              <w:t>EIM source structure (Def. 2.1).</w:t>
            </w:r>
          </w:p>
        </w:tc>
      </w:tr>
      <w:tr>
        <w:tc>
          <w:tcPr>
            <w:tcW w:type="dxa" w:w="2016"/>
          </w:tcPr>
          <w:p>
            <w:r>
              <w:t>Regime</w:t>
            </w:r>
          </w:p>
        </w:tc>
        <w:tc>
          <w:tcPr>
            <w:tcW w:type="dxa" w:w="8064"/>
          </w:tcPr>
          <w:p>
            <w:r>
              <w:t>From R0–R5 (§4).</w:t>
            </w:r>
          </w:p>
        </w:tc>
      </w:tr>
      <w:tr>
        <w:tc>
          <w:tcPr>
            <w:tcW w:type="dxa" w:w="2016"/>
          </w:tcPr>
          <w:p>
            <w:r>
              <w:t>Rule</w:t>
            </w:r>
          </w:p>
        </w:tc>
        <w:tc>
          <w:tcPr>
            <w:tcW w:type="dxa" w:w="8064"/>
          </w:tcPr>
          <w:p>
            <w:r>
              <w:t>Brief textual statement of Π.</w:t>
            </w:r>
          </w:p>
        </w:tc>
      </w:tr>
      <w:tr>
        <w:tc>
          <w:tcPr>
            <w:tcW w:type="dxa" w:w="2016"/>
          </w:tcPr>
          <w:p>
            <w:r>
              <w:t>Preserved</w:t>
            </w:r>
          </w:p>
        </w:tc>
        <w:tc>
          <w:tcPr>
            <w:tcW w:type="dxa" w:w="8064"/>
          </w:tcPr>
          <w:p>
            <w:r>
              <w:t>Subset of §5.</w:t>
            </w:r>
          </w:p>
        </w:tc>
      </w:tr>
      <w:tr>
        <w:tc>
          <w:tcPr>
            <w:tcW w:type="dxa" w:w="2016"/>
          </w:tcPr>
          <w:p>
            <w:r>
              <w:t>Discarded</w:t>
            </w:r>
          </w:p>
        </w:tc>
        <w:tc>
          <w:tcPr>
            <w:tcW w:type="dxa" w:w="8064"/>
          </w:tcPr>
          <w:p>
            <w:r>
              <w:t>Subset of §5 or “see notes.”</w:t>
            </w:r>
          </w:p>
        </w:tc>
      </w:tr>
      <w:tr>
        <w:tc>
          <w:tcPr>
            <w:tcW w:type="dxa" w:w="2016"/>
          </w:tcPr>
          <w:p>
            <w:r>
              <w:t>Observable</w:t>
            </w:r>
          </w:p>
        </w:tc>
        <w:tc>
          <w:tcPr>
            <w:tcW w:type="dxa" w:w="8064"/>
          </w:tcPr>
          <w:p>
            <w:r>
              <w:t>Target observable (Def. 2.6).</w:t>
            </w:r>
          </w:p>
        </w:tc>
      </w:tr>
      <w:tr>
        <w:tc>
          <w:tcPr>
            <w:tcW w:type="dxa" w:w="2016"/>
          </w:tcPr>
          <w:p>
            <w:r>
              <w:t>Measurement</w:t>
            </w:r>
          </w:p>
        </w:tc>
        <w:tc>
          <w:tcPr>
            <w:tcW w:type="dxa" w:w="8064"/>
          </w:tcPr>
          <w:p>
            <w:r>
              <w:t>Operational protocol (Def. 2.7).</w:t>
            </w:r>
          </w:p>
        </w:tc>
      </w:tr>
      <w:tr>
        <w:tc>
          <w:tcPr>
            <w:tcW w:type="dxa" w:w="2016"/>
          </w:tcPr>
          <w:p>
            <w:r>
              <w:t>Status</w:t>
            </w:r>
          </w:p>
        </w:tc>
        <w:tc>
          <w:tcPr>
            <w:tcW w:type="dxa" w:w="8064"/>
          </w:tcPr>
          <w:p>
            <w:r>
              <w:t>{A, B, C, W} with optional qualifier.</w:t>
            </w:r>
          </w:p>
        </w:tc>
      </w:tr>
      <w:tr>
        <w:tc>
          <w:tcPr>
            <w:tcW w:type="dxa" w:w="2016"/>
          </w:tcPr>
          <w:p>
            <w:r>
              <w:t>Failure cond.</w:t>
            </w:r>
          </w:p>
        </w:tc>
        <w:tc>
          <w:tcPr>
            <w:tcW w:type="dxa" w:w="8064"/>
          </w:tcPr>
          <w:p>
            <w:r>
              <w:t>Stated in advance (Def. 2.8).</w:t>
            </w:r>
          </w:p>
        </w:tc>
      </w:tr>
    </w:tbl>
    <w:p/>
    <w:p>
      <w:r>
        <w:rPr>
          <w:i/>
        </w:rPr>
        <w:t>Table 7.2.  Filed projections (summary, v1.2).</w:t>
      </w:r>
    </w:p>
    <w:tbl>
      <w:tblPr>
        <w:tblW w:type="auto" w:w="0"/>
        <w:jc w:val="center"/>
        <w:tblLook w:firstColumn="1" w:firstRow="1" w:lastColumn="0" w:lastRow="0" w:noHBand="0" w:noVBand="1" w:val="04A0"/>
        <w:tblBorders>
          <w:top w:val="single" w:sz="4" w:color="888888"/>
          <w:left w:val="single" w:sz="4" w:color="888888"/>
          <w:bottom w:val="single" w:sz="4" w:color="888888"/>
          <w:right w:val="single" w:sz="4" w:color="888888"/>
          <w:insideH w:val="single" w:sz="4" w:color="888888"/>
          <w:insideV w:val="single" w:sz="4" w:color="888888"/>
        </w:tblBorders>
      </w:tblPr>
      <w:tblGrid>
        <w:gridCol w:w="1872"/>
        <w:gridCol w:w="1872"/>
        <w:gridCol w:w="1872"/>
        <w:gridCol w:w="1872"/>
        <w:gridCol w:w="1872"/>
      </w:tblGrid>
      <w:tr>
        <w:tc>
          <w:tcPr>
            <w:tcW w:type="dxa" w:w="1152"/>
            <w:shd w:val="clear" w:color="auto" w:fill="D5E8F0"/>
          </w:tcPr>
          <w:p>
            <w:r/>
            <w:r>
              <w:rPr>
                <w:b/>
              </w:rPr>
              <w:t>ID</w:t>
            </w:r>
          </w:p>
        </w:tc>
        <w:tc>
          <w:tcPr>
            <w:tcW w:type="dxa" w:w="1728"/>
            <w:shd w:val="clear" w:color="auto" w:fill="D5E8F0"/>
          </w:tcPr>
          <w:p>
            <w:r/>
            <w:r>
              <w:rPr>
                <w:b/>
              </w:rPr>
              <w:t>Name</w:t>
            </w:r>
          </w:p>
        </w:tc>
        <w:tc>
          <w:tcPr>
            <w:tcW w:type="dxa" w:w="2016"/>
            <w:shd w:val="clear" w:color="auto" w:fill="D5E8F0"/>
          </w:tcPr>
          <w:p>
            <w:r/>
            <w:r>
              <w:rPr>
                <w:b/>
              </w:rPr>
              <w:t>Regime</w:t>
            </w:r>
          </w:p>
        </w:tc>
        <w:tc>
          <w:tcPr>
            <w:tcW w:type="dxa" w:w="1440"/>
            <w:shd w:val="clear" w:color="auto" w:fill="D5E8F0"/>
          </w:tcPr>
          <w:p>
            <w:r/>
            <w:r>
              <w:rPr>
                <w:b/>
              </w:rPr>
              <w:t>Status</w:t>
            </w:r>
          </w:p>
        </w:tc>
        <w:tc>
          <w:tcPr>
            <w:tcW w:type="dxa" w:w="3744"/>
            <w:shd w:val="clear" w:color="auto" w:fill="D5E8F0"/>
          </w:tcPr>
          <w:p>
            <w:r/>
            <w:r>
              <w:rPr>
                <w:b/>
              </w:rPr>
              <w:t>One-line summary</w:t>
            </w:r>
          </w:p>
        </w:tc>
      </w:tr>
      <w:tr>
        <w:tc>
          <w:tcPr>
            <w:tcW w:type="dxa" w:w="1152"/>
          </w:tcPr>
          <w:p>
            <w:r>
              <w:t>Π-001</w:t>
            </w:r>
          </w:p>
        </w:tc>
        <w:tc>
          <w:tcPr>
            <w:tcW w:type="dxa" w:w="1728"/>
          </w:tcPr>
          <w:p>
            <w:r>
              <w:t>Π-Number</w:t>
            </w:r>
          </w:p>
        </w:tc>
        <w:tc>
          <w:tcPr>
            <w:tcW w:type="dxa" w:w="2016"/>
          </w:tcPr>
          <w:p>
            <w:r>
              <w:t>R0–R1</w:t>
            </w:r>
          </w:p>
        </w:tc>
        <w:tc>
          <w:tcPr>
            <w:tcW w:type="dxa" w:w="1440"/>
          </w:tcPr>
          <w:p>
            <w:r>
              <w:t>B</w:t>
            </w:r>
          </w:p>
        </w:tc>
        <w:tc>
          <w:tcPr>
            <w:tcW w:type="dxa" w:w="3744"/>
          </w:tcPr>
          <w:p>
            <w:r>
              <w:t>Counting; persistence requirement.</w:t>
            </w:r>
          </w:p>
        </w:tc>
      </w:tr>
      <w:tr>
        <w:tc>
          <w:tcPr>
            <w:tcW w:type="dxa" w:w="1152"/>
          </w:tcPr>
          <w:p>
            <w:r>
              <w:t>Π-002</w:t>
            </w:r>
          </w:p>
        </w:tc>
        <w:tc>
          <w:tcPr>
            <w:tcW w:type="dxa" w:w="1728"/>
          </w:tcPr>
          <w:p>
            <w:r>
              <w:t>Π-Shell</w:t>
            </w:r>
          </w:p>
        </w:tc>
        <w:tc>
          <w:tcPr>
            <w:tcW w:type="dxa" w:w="2016"/>
          </w:tcPr>
          <w:p>
            <w:r>
              <w:t>R1</w:t>
            </w:r>
          </w:p>
        </w:tc>
        <w:tc>
          <w:tcPr>
            <w:tcW w:type="dxa" w:w="1440"/>
          </w:tcPr>
          <w:p>
            <w:r>
              <w:t>C</w:t>
            </w:r>
          </w:p>
        </w:tc>
        <w:tc>
          <w:tcPr>
            <w:tcW w:type="dxa" w:w="3744"/>
          </w:tcPr>
          <w:p>
            <w:r>
              <w:t>Epistemic shell coordinates.</w:t>
            </w:r>
          </w:p>
        </w:tc>
      </w:tr>
      <w:tr>
        <w:tc>
          <w:tcPr>
            <w:tcW w:type="dxa" w:w="1152"/>
          </w:tcPr>
          <w:p>
            <w:r>
              <w:t>Π-003</w:t>
            </w:r>
          </w:p>
        </w:tc>
        <w:tc>
          <w:tcPr>
            <w:tcW w:type="dxa" w:w="1728"/>
          </w:tcPr>
          <w:p>
            <w:r>
              <w:t>Π-GR</w:t>
            </w:r>
          </w:p>
        </w:tc>
        <w:tc>
          <w:tcPr>
            <w:tcW w:type="dxa" w:w="2016"/>
          </w:tcPr>
          <w:p>
            <w:r>
              <w:t>R3</w:t>
            </w:r>
          </w:p>
        </w:tc>
        <w:tc>
          <w:tcPr>
            <w:tcW w:type="dxa" w:w="1440"/>
          </w:tcPr>
          <w:p>
            <w:r>
              <w:t>B-Conditional</w:t>
            </w:r>
          </w:p>
        </w:tc>
        <w:tc>
          <w:tcPr>
            <w:tcW w:type="dxa" w:w="3744"/>
          </w:tcPr>
          <w:p>
            <w:r>
              <w:t>Smooth coordination → (3+1) Lorentzian bookkeeping.</w:t>
            </w:r>
          </w:p>
        </w:tc>
      </w:tr>
      <w:tr>
        <w:tc>
          <w:tcPr>
            <w:tcW w:type="dxa" w:w="1152"/>
          </w:tcPr>
          <w:p>
            <w:r>
              <w:t>Π-004</w:t>
            </w:r>
          </w:p>
        </w:tc>
        <w:tc>
          <w:tcPr>
            <w:tcW w:type="dxa" w:w="1728"/>
          </w:tcPr>
          <w:p>
            <w:r>
              <w:t>Π-BH-Entropy</w:t>
            </w:r>
          </w:p>
        </w:tc>
        <w:tc>
          <w:tcPr>
            <w:tcW w:type="dxa" w:w="2016"/>
          </w:tcPr>
          <w:p>
            <w:r>
              <w:t>R4</w:t>
            </w:r>
          </w:p>
        </w:tc>
        <w:tc>
          <w:tcPr>
            <w:tcW w:type="dxa" w:w="1440"/>
          </w:tcPr>
          <w:p>
            <w:r>
              <w:t>B-Conditional</w:t>
            </w:r>
          </w:p>
        </w:tc>
        <w:tc>
          <w:tcPr>
            <w:tcW w:type="dxa" w:w="3744"/>
          </w:tcPr>
          <w:p>
            <w:r>
              <w:t>Boundary Memory → horizon area-law entropy.</w:t>
            </w:r>
          </w:p>
        </w:tc>
      </w:tr>
      <w:tr>
        <w:tc>
          <w:tcPr>
            <w:tcW w:type="dxa" w:w="1152"/>
          </w:tcPr>
          <w:p>
            <w:r>
              <w:t>Π-005</w:t>
            </w:r>
          </w:p>
        </w:tc>
        <w:tc>
          <w:tcPr>
            <w:tcW w:type="dxa" w:w="1728"/>
          </w:tcPr>
          <w:p>
            <w:r>
              <w:t>Π-BBH-γ_c</w:t>
            </w:r>
          </w:p>
        </w:tc>
        <w:tc>
          <w:tcPr>
            <w:tcW w:type="dxa" w:w="2016"/>
          </w:tcPr>
          <w:p>
            <w:r>
              <w:t>R3 → R4</w:t>
            </w:r>
          </w:p>
        </w:tc>
        <w:tc>
          <w:tcPr>
            <w:tcW w:type="dxa" w:w="1440"/>
          </w:tcPr>
          <w:p>
            <w:r>
              <w:t>W → C</w:t>
            </w:r>
          </w:p>
        </w:tc>
        <w:tc>
          <w:tcPr>
            <w:tcW w:type="dxa" w:w="3744"/>
          </w:tcPr>
          <w:p>
            <w:r>
              <w:t>γ_c → BBH waveform observable; observable not closed.</w:t>
            </w:r>
          </w:p>
        </w:tc>
      </w:tr>
      <w:tr>
        <w:tc>
          <w:tcPr>
            <w:tcW w:type="dxa" w:w="1152"/>
          </w:tcPr>
          <w:p>
            <w:r>
              <w:t>Π-006</w:t>
            </w:r>
          </w:p>
        </w:tc>
        <w:tc>
          <w:tcPr>
            <w:tcW w:type="dxa" w:w="1728"/>
          </w:tcPr>
          <w:p>
            <w:r>
              <w:t>Π-Weinberg</w:t>
            </w:r>
          </w:p>
        </w:tc>
        <w:tc>
          <w:tcPr>
            <w:tcW w:type="dxa" w:w="2016"/>
          </w:tcPr>
          <w:p>
            <w:r>
              <w:t>R2 (matching to R1)</w:t>
            </w:r>
          </w:p>
        </w:tc>
        <w:tc>
          <w:tcPr>
            <w:tcW w:type="dxa" w:w="1440"/>
          </w:tcPr>
          <w:p>
            <w:r>
              <w:t>C</w:t>
            </w:r>
          </w:p>
        </w:tc>
        <w:tc>
          <w:tcPr>
            <w:tcW w:type="dxa" w:w="3744"/>
          </w:tcPr>
          <w:p>
            <w:r>
              <w:t>Matching-scale prediction sin²θ_W(μ*) = 1/4 at μ* ≈ 3.68 TeV.</w:t>
            </w:r>
          </w:p>
        </w:tc>
      </w:tr>
      <w:tr>
        <w:tc>
          <w:tcPr>
            <w:tcW w:type="dxa" w:w="1152"/>
          </w:tcPr>
          <w:p>
            <w:r>
              <w:t>Π-007</w:t>
            </w:r>
          </w:p>
        </w:tc>
        <w:tc>
          <w:tcPr>
            <w:tcW w:type="dxa" w:w="1728"/>
          </w:tcPr>
          <w:p>
            <w:r>
              <w:t>Π-Neutrino-Mass</w:t>
            </w:r>
          </w:p>
        </w:tc>
        <w:tc>
          <w:tcPr>
            <w:tcW w:type="dxa" w:w="2016"/>
          </w:tcPr>
          <w:p>
            <w:r>
              <w:t>R2 → R1 (R3 cosmological)</w:t>
            </w:r>
          </w:p>
        </w:tc>
        <w:tc>
          <w:tcPr>
            <w:tcW w:type="dxa" w:w="1440"/>
          </w:tcPr>
          <w:p>
            <w:r>
              <w:t>C</w:t>
            </w:r>
          </w:p>
        </w:tc>
        <w:tc>
          <w:tcPr>
            <w:tcW w:type="dxa" w:w="3744"/>
          </w:tcPr>
          <w:p>
            <w:r>
              <w:t>Closed-form lightest neutrino mass m₁ = mₑ /(β₁⁶ φ¹⁰) ≈ 2.345 meV.</w:t>
            </w:r>
          </w:p>
        </w:tc>
      </w:tr>
    </w:tbl>
    <w:p>
      <w:pPr>
        <w:pStyle w:val="Heading1"/>
      </w:pPr>
      <w:r>
        <w:t>8.  Test-Card Template</w:t>
      </w:r>
    </w:p>
    <w:p>
      <w:pPr>
        <w:jc w:val="both"/>
      </w:pPr>
      <w:r>
        <w:t>Every registry entry conforms to the following template. A blank template suitable for copy-paste is reproduced in Appendix A.</w:t>
      </w:r>
    </w:p>
    <w:p>
      <w:r>
        <w:rPr>
          <w:b/>
        </w:rPr>
        <w:t xml:space="preserve">Projection ID:  </w:t>
      </w:r>
      <w:r>
        <w:t>____</w:t>
      </w:r>
    </w:p>
    <w:p>
      <w:r>
        <w:rPr>
          <w:b/>
        </w:rPr>
        <w:t xml:space="preserve">Name:  </w:t>
      </w:r>
      <w:r>
        <w:t>____</w:t>
      </w:r>
    </w:p>
    <w:p>
      <w:r>
        <w:rPr>
          <w:b/>
        </w:rPr>
        <w:t xml:space="preserve">EIM source structure:  </w:t>
      </w:r>
      <w:r>
        <w:t>____</w:t>
      </w:r>
    </w:p>
    <w:p>
      <w:r>
        <w:rPr>
          <w:b/>
        </w:rPr>
        <w:t xml:space="preserve">Projection regime:  </w:t>
      </w:r>
      <w:r>
        <w:t>____</w:t>
      </w:r>
    </w:p>
    <w:p>
      <w:r>
        <w:rPr>
          <w:b/>
        </w:rPr>
        <w:t xml:space="preserve">Target physical or mathematical domain:  </w:t>
      </w:r>
      <w:r>
        <w:t>____</w:t>
      </w:r>
    </w:p>
    <w:p>
      <w:r>
        <w:rPr>
          <w:b/>
        </w:rPr>
        <w:t xml:space="preserve">Projection rule:  </w:t>
      </w:r>
      <w:r>
        <w:t>____</w:t>
      </w:r>
    </w:p>
    <w:p>
      <w:r>
        <w:rPr>
          <w:b/>
        </w:rPr>
        <w:t xml:space="preserve">Preserved invariants:  </w:t>
      </w:r>
      <w:r>
        <w:t>____</w:t>
      </w:r>
    </w:p>
    <w:p>
      <w:r>
        <w:rPr>
          <w:b/>
        </w:rPr>
        <w:t xml:space="preserve">Discarded / coarse-grained structure:  </w:t>
      </w:r>
      <w:r>
        <w:t>____</w:t>
      </w:r>
    </w:p>
    <w:p>
      <w:r>
        <w:rPr>
          <w:b/>
        </w:rPr>
        <w:t xml:space="preserve">Observable output:  </w:t>
      </w:r>
      <w:r>
        <w:t>____</w:t>
      </w:r>
    </w:p>
    <w:p>
      <w:r>
        <w:rPr>
          <w:b/>
        </w:rPr>
        <w:t xml:space="preserve">Operational measurement:  </w:t>
      </w:r>
      <w:r>
        <w:t>____</w:t>
      </w:r>
    </w:p>
    <w:p>
      <w:r>
        <w:rPr>
          <w:b/>
        </w:rPr>
        <w:t xml:space="preserve">Known standard comparison:  </w:t>
      </w:r>
      <w:r>
        <w:t>____</w:t>
      </w:r>
    </w:p>
    <w:p>
      <w:r>
        <w:rPr>
          <w:b/>
        </w:rPr>
        <w:t xml:space="preserve">Status label:  </w:t>
      </w:r>
      <w:r>
        <w:t>____</w:t>
      </w:r>
    </w:p>
    <w:p>
      <w:r>
        <w:rPr>
          <w:b/>
        </w:rPr>
        <w:t xml:space="preserve">Failure condition:  </w:t>
      </w:r>
      <w:r>
        <w:t>____</w:t>
      </w:r>
    </w:p>
    <w:p>
      <w:r>
        <w:rPr>
          <w:b/>
        </w:rPr>
        <w:t xml:space="preserve">Notes / audit trail:  </w:t>
      </w:r>
      <w:r>
        <w:t>____</w:t>
      </w:r>
    </w:p>
    <w:p>
      <w:pPr>
        <w:jc w:val="both"/>
      </w:pPr>
      <w:r>
        <w:rPr>
          <w:i/>
        </w:rPr>
        <w:t>All fourteen fields must be populated. A field marked “n/a” must be accompanied by a justification in Notes.</w:t>
      </w:r>
    </w:p>
    <w:p>
      <w:pPr>
        <w:pStyle w:val="Heading1"/>
      </w:pPr>
      <w:r>
        <w:t>9.  Worked Examples</w:t>
      </w:r>
    </w:p>
    <w:p>
      <w:pPr>
        <w:jc w:val="both"/>
      </w:pPr>
      <w:r>
        <w:t>Seven projection cards are filed by v1.2. They are intended both as load-bearing entries in the registry and as exemplars of the discipline. Cards Π-005, Π-006, and Π-007 are the most instructive: Π-005 is filed Withdrawn; Π-006 is filed at Candidate with explicit upgrade and refutation paths; Π-007 is filed at Candidate with its derivation targets explicitly itemized in §9.8.</w:t>
      </w:r>
    </w:p>
    <w:p>
      <w:pPr>
        <w:pStyle w:val="Heading2"/>
      </w:pPr>
      <w:r>
        <w:t>9.1   Π-001  ·  Π-Number</w:t>
      </w:r>
    </w:p>
    <w:p>
      <w:r>
        <w:rPr>
          <w:b/>
        </w:rPr>
        <w:t xml:space="preserve">Projection ID:  </w:t>
      </w:r>
      <w:r>
        <w:t>Π-001</w:t>
      </w:r>
    </w:p>
    <w:p>
      <w:r>
        <w:rPr>
          <w:b/>
        </w:rPr>
        <w:t xml:space="preserve">Name:  </w:t>
      </w:r>
      <w:r>
        <w:t>Π-Number</w:t>
      </w:r>
    </w:p>
    <w:p>
      <w:r>
        <w:rPr>
          <w:b/>
        </w:rPr>
        <w:t xml:space="preserve">EIM source structure:  </w:t>
      </w:r>
      <w:r>
        <w:t>The successor relation on retained distinctions: the operation of generating a new Execution while the immediately preceding distinction is held by Memory.</w:t>
      </w:r>
    </w:p>
    <w:p>
      <w:r>
        <w:rPr>
          <w:b/>
        </w:rPr>
        <w:t xml:space="preserve">Projection regime:  </w:t>
      </w:r>
      <w:r>
        <w:t>R0 → R1. Regime-light: requires only that Memory be operative.</w:t>
      </w:r>
    </w:p>
    <w:p>
      <w:r>
        <w:rPr>
          <w:b/>
        </w:rPr>
        <w:t xml:space="preserve">Target physical or mathematical domain:  </w:t>
      </w:r>
      <w:r>
        <w:t>The natural numbers ℕ as a totally ordered set with successor function s(n) = n + 1.</w:t>
      </w:r>
    </w:p>
    <w:p>
      <w:r>
        <w:rPr>
          <w:b/>
        </w:rPr>
        <w:t xml:space="preserve">Projection rule:  </w:t>
      </w:r>
      <w:r>
        <w:t>Map the retained-then-extended distinction sequence (d₀, …, dₙ) to the ordinal index n ∈ ℕ. The successor s(n) = n + 1 is identified with the EIM operation “execute the next distinction while the preceding distinction persists in Memory.”</w:t>
      </w:r>
    </w:p>
    <w:p>
      <w:r>
        <w:rPr>
          <w:b/>
        </w:rPr>
        <w:t xml:space="preserve">Preserved invariants:  </w:t>
      </w:r>
      <w:r>
        <w:t>Order; monotonicity; the successor structure as a discrete scale relation; coarse-grained density.</w:t>
      </w:r>
    </w:p>
    <w:p>
      <w:r>
        <w:rPr>
          <w:b/>
        </w:rPr>
        <w:t xml:space="preserve">Discarded / coarse-grained structure:  </w:t>
      </w:r>
      <w:r>
        <w:t>Temporal duration; modal content of each distinction; identity of distinctions beyond ordinal index.</w:t>
      </w:r>
    </w:p>
    <w:p>
      <w:r>
        <w:rPr>
          <w:b/>
        </w:rPr>
        <w:t xml:space="preserve">Observable output:  </w:t>
      </w:r>
      <w:r>
        <w:t>Cardinality of any sequence of retained distinctions.</w:t>
      </w:r>
    </w:p>
    <w:p>
      <w:r>
        <w:rPr>
          <w:b/>
        </w:rPr>
        <w:t xml:space="preserve">Operational measurement:  </w:t>
      </w:r>
      <w:r>
        <w:t>Any counting protocol.</w:t>
      </w:r>
    </w:p>
    <w:p>
      <w:r>
        <w:rPr>
          <w:b/>
        </w:rPr>
        <w:t xml:space="preserve">Known standard comparison:  </w:t>
      </w:r>
      <w:r>
        <w:t>Peano axioms for ℕ; categorical characterization of ℕ.</w:t>
      </w:r>
    </w:p>
    <w:p>
      <w:r>
        <w:rPr>
          <w:b/>
        </w:rPr>
        <w:t xml:space="preserve">Status label:  </w:t>
      </w:r>
      <w:r>
        <w:t>B (Derived). Strong form: counting is impossible without Memory, because n + 1 requires n to remain available while the next distinction is executed.</w:t>
      </w:r>
    </w:p>
    <w:p>
      <w:r>
        <w:rPr>
          <w:b/>
        </w:rPr>
        <w:t xml:space="preserve">Failure condition:  </w:t>
      </w:r>
      <w:r>
        <w:t>Identification of a counting system whose generation of n + 1 does not require persistence of n. (External-memory counterexamples are not counterexamples to Memory as a primitive.)</w:t>
      </w:r>
    </w:p>
    <w:p>
      <w:r>
        <w:rPr>
          <w:b/>
        </w:rPr>
        <w:t xml:space="preserve">Notes / audit trail:  </w:t>
      </w:r>
      <w:r>
        <w:t>Π-001 supplies the cleanest case of the calculus: small source, tight dictionary, operationally well-defined failure condition. Anchor for the Infinity-as-Projected-Closure paper.</w:t>
      </w:r>
    </w:p>
    <w:p/>
    <w:p>
      <w:pPr>
        <w:pStyle w:val="Heading2"/>
      </w:pPr>
      <w:r>
        <w:t>9.2   Π-002  ·  Π-Shell</w:t>
      </w:r>
    </w:p>
    <w:p>
      <w:r>
        <w:rPr>
          <w:b/>
        </w:rPr>
        <w:t xml:space="preserve">Projection ID:  </w:t>
      </w:r>
      <w:r>
        <w:t>Π-002</w:t>
      </w:r>
    </w:p>
    <w:p>
      <w:r>
        <w:rPr>
          <w:b/>
        </w:rPr>
        <w:t xml:space="preserve">Name:  </w:t>
      </w:r>
      <w:r>
        <w:t>Π-Shell</w:t>
      </w:r>
    </w:p>
    <w:p>
      <w:r>
        <w:rPr>
          <w:b/>
        </w:rPr>
        <w:t xml:space="preserve">EIM source structure:  </w:t>
      </w:r>
      <w:r>
        <w:t>The E/I/M feature triple parameterizing a search shell around a query token.</w:t>
      </w:r>
    </w:p>
    <w:p>
      <w:r>
        <w:rPr>
          <w:b/>
        </w:rPr>
        <w:t xml:space="preserve">Projection regime:  </w:t>
      </w:r>
      <w:r>
        <w:t>R1.</w:t>
      </w:r>
    </w:p>
    <w:p>
      <w:r>
        <w:rPr>
          <w:b/>
        </w:rPr>
        <w:t xml:space="preserve">Target physical or mathematical domain:  </w:t>
      </w:r>
      <w:r>
        <w:t>Information-retrieval and approximate-nearest-neighbor search.</w:t>
      </w:r>
    </w:p>
    <w:p>
      <w:r>
        <w:rPr>
          <w:b/>
        </w:rPr>
        <w:t xml:space="preserve">Projection rule:  </w:t>
      </w:r>
      <w:r>
        <w:t>Map the query Q to a shell boundary condition; map the retrieved answer to a localized compression centre; map the shell radius to a retrieval cost.</w:t>
      </w:r>
    </w:p>
    <w:p>
      <w:r>
        <w:rPr>
          <w:b/>
        </w:rPr>
        <w:t xml:space="preserve">Preserved invariants:  </w:t>
      </w:r>
      <w:r>
        <w:t>Boundary; monotonicity (smaller shell radius ↔ better localization); coarse-grained density of candidate answers.</w:t>
      </w:r>
    </w:p>
    <w:p>
      <w:r>
        <w:rPr>
          <w:b/>
        </w:rPr>
        <w:t xml:space="preserve">Discarded / coarse-grained structure:  </w:t>
      </w:r>
      <w:r>
        <w:t>Full semantics of the query; explicit graph of the corpus; dynamical content of retrieval.</w:t>
      </w:r>
    </w:p>
    <w:p>
      <w:r>
        <w:rPr>
          <w:b/>
        </w:rPr>
        <w:t xml:space="preserve">Observable output:  </w:t>
      </w:r>
      <w:r>
        <w:t>Retrieval cost as a function of localization radius.</w:t>
      </w:r>
    </w:p>
    <w:p>
      <w:r>
        <w:rPr>
          <w:b/>
        </w:rPr>
        <w:t xml:space="preserve">Operational measurement:  </w:t>
      </w:r>
      <w:r>
        <w:t>IR benchmarks (recall@k, MRR, latency).</w:t>
      </w:r>
    </w:p>
    <w:p>
      <w:r>
        <w:rPr>
          <w:b/>
        </w:rPr>
        <w:t xml:space="preserve">Known standard comparison:  </w:t>
      </w:r>
      <w:r>
        <w:t>LSH, HNSW, product quantization.</w:t>
      </w:r>
    </w:p>
    <w:p>
      <w:r>
        <w:rPr>
          <w:b/>
        </w:rPr>
        <w:t xml:space="preserve">Status label:  </w:t>
      </w:r>
      <w:r>
        <w:t>C (Candidate). The operational closure is not yet derived in a form that distinguishes Π-Shell from existing approximate-search methods.</w:t>
      </w:r>
    </w:p>
    <w:p>
      <w:r>
        <w:rPr>
          <w:b/>
        </w:rPr>
        <w:t xml:space="preserve">Failure condition:  </w:t>
      </w:r>
      <w:r>
        <w:t>Tasks in which retrieval cost is uncorrelated with the EIM-defined shell coordinate, controlling for dataset size and embedding dimension.</w:t>
      </w:r>
    </w:p>
    <w:p>
      <w:r>
        <w:rPr>
          <w:b/>
        </w:rPr>
        <w:t xml:space="preserve">Notes / audit trail:  </w:t>
      </w:r>
      <w:r>
        <w:t>Demonstrates that candidate-status entries are first-class citizens of the registry. Not load-bearing.</w:t>
      </w:r>
    </w:p>
    <w:p/>
    <w:p>
      <w:pPr>
        <w:pStyle w:val="Heading2"/>
      </w:pPr>
      <w:r>
        <w:t>9.3   Π-003  ·  Π-GR</w:t>
      </w:r>
    </w:p>
    <w:p>
      <w:r>
        <w:rPr>
          <w:b/>
        </w:rPr>
        <w:t xml:space="preserve">Projection ID:  </w:t>
      </w:r>
      <w:r>
        <w:t>Π-003</w:t>
      </w:r>
    </w:p>
    <w:p>
      <w:r>
        <w:rPr>
          <w:b/>
        </w:rPr>
        <w:t xml:space="preserve">Name:  </w:t>
      </w:r>
      <w:r>
        <w:t>Π-GR</w:t>
      </w:r>
    </w:p>
    <w:p>
      <w:r>
        <w:rPr>
          <w:b/>
        </w:rPr>
        <w:t xml:space="preserve">EIM source structure:  </w:t>
      </w:r>
      <w:r>
        <w:t>Triadic coordination together with the return / update completion structure in the post-percolation regime; specifically the cycle structure of return / update bookkeeping under coordination flow with the σ &gt; 1 phase rendering bookkeeping smooth.</w:t>
      </w:r>
    </w:p>
    <w:p>
      <w:r>
        <w:rPr>
          <w:b/>
        </w:rPr>
        <w:t xml:space="preserve">Projection regime:  </w:t>
      </w:r>
      <w:r>
        <w:t>R3.</w:t>
      </w:r>
    </w:p>
    <w:p>
      <w:r>
        <w:rPr>
          <w:b/>
        </w:rPr>
        <w:t xml:space="preserve">Target physical or mathematical domain:  </w:t>
      </w:r>
      <w:r>
        <w:t>(3+1)-dimensional Lorentzian differential geometry; the Einstein field equations G_μν = 8π T_μν.</w:t>
      </w:r>
    </w:p>
    <w:p>
      <w:r>
        <w:rPr>
          <w:b/>
        </w:rPr>
        <w:t xml:space="preserve">Projection rule:  </w:t>
      </w:r>
      <w:r>
        <w:t>Spatial section ↔ coarse-grained coordination graph at fixed memory depth; time direction ↔ return/update cycle ordering; signature ↔ asymmetry between executions (+1) and pending returns (−3). The Einstein equations follow in the smooth limit as the consistency condition for return/update bookkeeping under coordination conservation.</w:t>
      </w:r>
    </w:p>
    <w:p>
      <w:r>
        <w:rPr>
          <w:b/>
        </w:rPr>
        <w:t xml:space="preserve">Preserved invariants:  </w:t>
      </w:r>
      <w:r>
        <w:t>Signature; smoothness in the σ &gt; 1 limit; symmetry under return-update reparametrization; conservation of coordination throughput.</w:t>
      </w:r>
    </w:p>
    <w:p>
      <w:r>
        <w:rPr>
          <w:b/>
        </w:rPr>
        <w:t xml:space="preserve">Discarded / coarse-grained structure:  </w:t>
      </w:r>
      <w:r>
        <w:t>Discrete graph structure; finite Memory capacity; sub-percolation distinguishability; modal content of individual distinctions.</w:t>
      </w:r>
    </w:p>
    <w:p>
      <w:r>
        <w:rPr>
          <w:b/>
        </w:rPr>
        <w:t xml:space="preserve">Observable output:  </w:t>
      </w:r>
      <w:r>
        <w:t>g_μν on a smooth Lorentzian manifold; G_μν.</w:t>
      </w:r>
    </w:p>
    <w:p>
      <w:r>
        <w:rPr>
          <w:b/>
        </w:rPr>
        <w:t xml:space="preserve">Operational measurement:  </w:t>
      </w:r>
      <w:r>
        <w:t>Classical GR experiments: perihelion advance, redshift, lensing, Shapiro delay, GW timing of inspirals at low post-Newtonian order.</w:t>
      </w:r>
    </w:p>
    <w:p>
      <w:r>
        <w:rPr>
          <w:b/>
        </w:rPr>
        <w:t xml:space="preserve">Known standard comparison:  </w:t>
      </w:r>
      <w:r>
        <w:t>Standard Einstein gravity. Jacobson 1995 thermodynamic derivation is the closest in spirit.</w:t>
      </w:r>
    </w:p>
    <w:p>
      <w:r>
        <w:rPr>
          <w:b/>
        </w:rPr>
        <w:t xml:space="preserve">Status label:  </w:t>
      </w:r>
      <w:r>
        <w:t>B-Conditional. Derived in the post-percolation limit conditional on (i) the smoothness-of-coordination hypothesis and (ii) the +1/−3 signature-assignment dictionary. Not Level A.</w:t>
      </w:r>
    </w:p>
    <w:p>
      <w:r>
        <w:rPr>
          <w:b/>
        </w:rPr>
        <w:t xml:space="preserve">Failure condition:  </w:t>
      </w:r>
      <w:r>
        <w:t>A regime that is post-percolation in the EIM sense but in which the bookkeeping fails to admit a Lorentzian metric, or in which Einstein dynamics fails empirically while EIM predicts the regime to be post-percolation. Second mode: a derivation of Einstein gravity (by another route) that contradicts the +1/−3 signature dictionary.</w:t>
      </w:r>
    </w:p>
    <w:p>
      <w:r>
        <w:rPr>
          <w:b/>
        </w:rPr>
        <w:t xml:space="preserve">Notes / audit trail:  </w:t>
      </w:r>
      <w:r>
        <w:t>Appendix L of the dissertation treats the Einstein equations as a modal-level identity once the dictionary is fixed. This card flags the dictionary itself — not the equations — as the load-bearing assumption. Promotion to Level A would require derivation of +1/−3 from EIM primitives without external input.</w:t>
      </w:r>
    </w:p>
    <w:p/>
    <w:p>
      <w:pPr>
        <w:pStyle w:val="Heading2"/>
      </w:pPr>
      <w:r>
        <w:t>9.4   Π-004  ·  Π-BH-Entropy</w:t>
      </w:r>
    </w:p>
    <w:p>
      <w:r>
        <w:rPr>
          <w:b/>
        </w:rPr>
        <w:t xml:space="preserve">Projection ID:  </w:t>
      </w:r>
      <w:r>
        <w:t>Π-004</w:t>
      </w:r>
    </w:p>
    <w:p>
      <w:r>
        <w:rPr>
          <w:b/>
        </w:rPr>
        <w:t xml:space="preserve">Name:  </w:t>
      </w:r>
      <w:r>
        <w:t>Π-BH-Entropy</w:t>
      </w:r>
    </w:p>
    <w:p>
      <w:r>
        <w:rPr>
          <w:b/>
        </w:rPr>
        <w:t xml:space="preserve">EIM source structure:  </w:t>
      </w:r>
      <w:r>
        <w:t>Boundary Memory functional M(∂Σ) on a coordination horizon Σ in the saturation regime Σ → κ. Memory monotonicity: M(∂Σ) is non-decreasing under coordination flow.</w:t>
      </w:r>
    </w:p>
    <w:p>
      <w:r>
        <w:rPr>
          <w:b/>
        </w:rPr>
        <w:t xml:space="preserve">Projection regime:  </w:t>
      </w:r>
      <w:r>
        <w:t>R4.</w:t>
      </w:r>
    </w:p>
    <w:p>
      <w:r>
        <w:rPr>
          <w:b/>
        </w:rPr>
        <w:t xml:space="preserve">Target physical or mathematical domain:  </w:t>
      </w:r>
      <w:r>
        <w:t>Black-hole thermodynamics; horizon entropy; Bekenstein–Hawking area law.</w:t>
      </w:r>
    </w:p>
    <w:p/>
    <w:p>
      <w:r>
        <w:rPr>
          <w:b/>
        </w:rPr>
        <w:t>Projection rule.</w:t>
      </w:r>
    </w:p>
    <w:p>
      <w:r>
        <w:t>Identify the boundary Memory with horizon entropy via</w:t>
      </w:r>
    </w:p>
    <w:p>
      <w:pPr>
        <w:jc w:val="center"/>
      </w:pPr>
      <m:oMathPara>
        <m:oMath>
          <m:r>
            <m:t xml:space="preserve">M(&amp;#8706;&amp;#931;) = </m:t>
          </m:r>
          <m:f>
            <m:num>
              <m:r>
                <m:t>Area(&amp;#8706;&amp;#931;)</m:t>
              </m:r>
            </m:num>
            <m:den>
              <m:r>
                <m:t>4 &amp;#160;</m:t>
              </m:r>
              <m:sSubSup>
                <m:e>
                  <m:r>
                    <m:t>&amp;#8467;</m:t>
                  </m:r>
                </m:e>
                <m:sub>
                  <m:r>
                    <m:t>P</m:t>
                  </m:r>
                </m:sub>
                <m:sup>
                  <m:r>
                    <m:t>2</m:t>
                  </m:r>
                </m:sup>
              </m:sSubSup>
            </m:den>
          </m:f>
        </m:oMath>
      </m:oMathPara>
    </w:p>
    <w:p>
      <w:pPr>
        <w:jc w:val="both"/>
      </w:pPr>
      <w:r>
        <w:t>where ℓ_P denotes the Planck length under the EIM length-scale dictionary, and the prefactor 1/(4ℓ_P²) is fixed by external calibration. Memory monotonicity supplies the EIM analogue of the second law of horizon thermodynamics.</w:t>
      </w:r>
    </w:p>
    <w:p>
      <w:r>
        <w:rPr>
          <w:b/>
        </w:rPr>
        <w:t xml:space="preserve">Preserved invariants:  </w:t>
      </w:r>
      <w:r>
        <w:t>Monotonicity; boundary; coarse-grained density of memory-bearing modes; conservation in the second-law sense.</w:t>
      </w:r>
    </w:p>
    <w:p>
      <w:r>
        <w:rPr>
          <w:b/>
        </w:rPr>
        <w:t xml:space="preserve">Discarded / coarse-grained structure:  </w:t>
      </w:r>
      <w:r>
        <w:t>Micro-state labelling beyond cardinality; specific dodecahedral realization; modal content of interior distinctions.</w:t>
      </w:r>
    </w:p>
    <w:p>
      <w:r>
        <w:rPr>
          <w:b/>
        </w:rPr>
        <w:t xml:space="preserve">Observable output:  </w:t>
      </w:r>
      <w:r>
        <w:t>Horizon entropy; area-law thermodynamic relations.</w:t>
      </w:r>
    </w:p>
    <w:p>
      <w:r>
        <w:rPr>
          <w:b/>
        </w:rPr>
        <w:t xml:space="preserve">Operational measurement:  </w:t>
      </w:r>
      <w:r>
        <w:t>Indirect: Hawking-temperature/area thermodynamic relations; horizon-area dynamics in numerical relativity; entropy bounds in AdS/CFT cross-checks.</w:t>
      </w:r>
    </w:p>
    <w:p>
      <w:r>
        <w:rPr>
          <w:b/>
        </w:rPr>
        <w:t xml:space="preserve">Known standard comparison:  </w:t>
      </w:r>
      <w:r>
        <w:t>Bekenstein–Hawking S = A/(4ℓ_P²); Jacobson 1995.</w:t>
      </w:r>
    </w:p>
    <w:p>
      <w:r>
        <w:rPr>
          <w:b/>
        </w:rPr>
        <w:t xml:space="preserve">Status label:  </w:t>
      </w:r>
      <w:r>
        <w:t>B-Conditional / Candidate-Identity. EIM-internal monotonicity is structurally proved. The conversion factor 1/(4ℓ_P²) is fixed by external dictionary; an EIM-internal derivation of the prefactor (via, e.g., the κ–φ structure) is open.</w:t>
      </w:r>
    </w:p>
    <w:p>
      <w:r>
        <w:rPr>
          <w:b/>
        </w:rPr>
        <w:t xml:space="preserve">Failure condition:  </w:t>
      </w:r>
      <w:r>
        <w:t>A regime where boundary Memory is well-defined and monotone but horizon area is not (or vice versa); a system in which the M-A proportionality fails at leading order; a derivation of horizon entropy that contradicts Memory monotonicity.</w:t>
      </w:r>
    </w:p>
    <w:p>
      <w:r>
        <w:rPr>
          <w:b/>
        </w:rPr>
        <w:t xml:space="preserve">Notes / audit trail:  </w:t>
      </w:r>
      <w:r>
        <w:t>Π-004 is central to the black-hole dissertation. Upgrade path: an EIM-internal derivation of 1/(4ℓ_P²) promotes to Level A. Until then, the Conditional qualifier must be retained in publication.</w:t>
      </w:r>
    </w:p>
    <w:p/>
    <w:p>
      <w:pPr>
        <w:pStyle w:val="Heading2"/>
      </w:pPr>
      <w:r>
        <w:t>9.5   Π-005  ·  Π-BBH-γ_c   (Withdrawn)</w:t>
      </w:r>
    </w:p>
    <w:p>
      <w:r>
        <w:rPr>
          <w:b/>
        </w:rPr>
        <w:t xml:space="preserve">Projection ID:  </w:t>
      </w:r>
      <w:r>
        <w:t>Π-005</w:t>
      </w:r>
    </w:p>
    <w:p>
      <w:r>
        <w:rPr>
          <w:b/>
        </w:rPr>
        <w:t xml:space="preserve">Name:  </w:t>
      </w:r>
      <w:r>
        <w:t>Π-BBH-γ_c</w:t>
      </w:r>
    </w:p>
    <w:p>
      <w:r>
        <w:rPr>
          <w:b/>
        </w:rPr>
        <w:t xml:space="preserve">EIM source structure:  </w:t>
      </w:r>
      <w:r>
        <w:t>The dodecahedral invariant γ_c = (3 − √5) / 22, structurally fixed at the realization level by the geometry of Γ. The identity κ · γ_c = 5 (with κ = 55φ²) fixes γ_c in algebraic terms.</w:t>
      </w:r>
    </w:p>
    <w:p>
      <w:r>
        <w:rPr>
          <w:b/>
        </w:rPr>
        <w:t xml:space="preserve">Projection regime:  </w:t>
      </w:r>
      <w:r>
        <w:t>R3 → R4 (post-percolation merging into a coordination horizon).</w:t>
      </w:r>
    </w:p>
    <w:p>
      <w:r>
        <w:rPr>
          <w:b/>
        </w:rPr>
        <w:t xml:space="preserve">Target physical or mathematical domain:  </w:t>
      </w:r>
      <w:r>
        <w:t>Binary-black-hole gravitational-wave signals; ringdown / merger waveform observables.</w:t>
      </w:r>
    </w:p>
    <w:p>
      <w:r>
        <w:rPr>
          <w:b/>
        </w:rPr>
        <w:t xml:space="preserve">Projection rule (as previously formulated):  </w:t>
      </w:r>
      <w:r>
        <w:t>γ_c projects to a fractional shift in a binary-black-hole waveform observable, via a then-unspecified mapping from the dodecahedral realization through R3 → R4 dynamics.</w:t>
      </w:r>
    </w:p>
    <w:p>
      <w:r>
        <w:rPr>
          <w:b/>
        </w:rPr>
        <w:t xml:space="preserve">Preserved invariants (as claimed):  </w:t>
      </w:r>
      <w:r>
        <w:t>Scale relation only — claimed without an explicit matching argument.</w:t>
      </w:r>
    </w:p>
    <w:p>
      <w:r>
        <w:rPr>
          <w:b/>
        </w:rPr>
        <w:t xml:space="preserve">Discarded / coarse-grained structure:  </w:t>
      </w:r>
      <w:r>
        <w:t>Realization-level discrete structure; spin/mass dependence of binary coalescence; ringdown-spectroscopy fine structure.</w:t>
      </w:r>
    </w:p>
    <w:p>
      <w:r>
        <w:rPr>
          <w:b/>
        </w:rPr>
        <w:t xml:space="preserve">Observable output (as previously declared):  </w:t>
      </w:r>
      <w:r>
        <w:t>A dimensionless ringdown / merger waveform parameter.</w:t>
      </w:r>
    </w:p>
    <w:p>
      <w:r>
        <w:rPr>
          <w:b/>
        </w:rPr>
        <w:t xml:space="preserve">Operational measurement (as previously declared):  </w:t>
      </w:r>
      <w:r>
        <w:t>NRSur7dq4-class surrogate analysis; SXS waveform comparison; LIGO/Virgo/KAGRA event catalogues.</w:t>
      </w:r>
    </w:p>
    <w:p>
      <w:r>
        <w:rPr>
          <w:b/>
        </w:rPr>
        <w:t xml:space="preserve">Known standard comparison:  </w:t>
      </w:r>
      <w:r>
        <w:t>Numerical-relativity surrogate waveforms; ringdown spectroscopy of Kerr quasi-normal modes.</w:t>
      </w:r>
    </w:p>
    <w:p>
      <w:r>
        <w:rPr>
          <w:b/>
        </w:rPr>
        <w:t xml:space="preserve">Status label:  </w:t>
      </w:r>
      <w:r>
        <w:t>W (Withdrawn) → C (Candidate). The earlier kill-condition formulation is hereby withdrawn on the grounds that the operational dictionary from γ_c to a specific waveform observable was not closed. Current candidate status awaits: (i) a regime-explicit projection rule from γ_c through R3 → R4; (ii) a specific observable nominated in advance with quantitative tolerance; (iii) a stated failure window linked to a named experimental campaign.</w:t>
      </w:r>
    </w:p>
    <w:p>
      <w:r>
        <w:rPr>
          <w:b/>
        </w:rPr>
        <w:t xml:space="preserve">Failure condition (current):  </w:t>
      </w:r>
      <w:r>
        <w:t>Until reformulated, no live failure condition. In registry for audit only. Reinstatement requires a new projection ID, provisionally Π-005-v2.</w:t>
      </w:r>
    </w:p>
    <w:p>
      <w:r>
        <w:rPr>
          <w:b/>
        </w:rPr>
        <w:t xml:space="preserve">Notes / audit trail:  </w:t>
      </w:r>
      <w:r>
        <w:t>Principal demonstration of the calculus. The earlier formulation was structurally sound on the EIM side (γ_c is genuinely fixed by Γ; κ · γ_c = 5 is exact) but failed on the projection side: the observable was nominated without a regime-explicit rule. Under AR-1, the appropriate response is withdrawal followed by re-filing under a new ID. The dissertation’s NR preprint (Pass 3 of the closure series) must not advance Π-005’s observable claim until Π-005-v2 is filed.</w:t>
      </w:r>
    </w:p>
    <w:p/>
    <w:p>
      <w:pPr>
        <w:pStyle w:val="Heading2"/>
      </w:pPr>
      <w:r>
        <w:t>9.6   Π-006  ·  Π-Weinberg</w:t>
      </w:r>
    </w:p>
    <w:p>
      <w:r>
        <w:rPr>
          <w:b/>
        </w:rPr>
        <w:t xml:space="preserve">Projection ID:  </w:t>
      </w:r>
      <w:r>
        <w:t>Π-006</w:t>
      </w:r>
    </w:p>
    <w:p>
      <w:r>
        <w:rPr>
          <w:b/>
        </w:rPr>
        <w:t xml:space="preserve">Name:  </w:t>
      </w:r>
      <w:r>
        <w:t>Π-Weinberg  (alternative: Π-sin²θ_W)</w:t>
      </w:r>
    </w:p>
    <w:p>
      <w:r>
        <w:rPr>
          <w:b/>
        </w:rPr>
        <w:t xml:space="preserve">EIM source structure:  </w:t>
      </w:r>
      <w:r>
        <w:t>Two coupled ingredients drawn from the framework document: (i) the matching scale μ* derived from the EIM scale relation linking the dodecahedral capacity κ = 55φ² to the electroweak vacuum scale v ≈ 246 GeV through the closure factor [F-MATCH, framework v1.6 §X]; numerically μ* ≈ 3.68 TeV; (ii) the geometric value sin²θ_W(μ*) = 1/4 fixed at the matching scale by the residual A₅ × ℤ₂ action on the H₁(Γ) cohomology remnant. Companion source claim: the cohomology remnant content corresponds to vector-like SU(2)L triplets at mass ≈ μ*.</w:t>
      </w:r>
    </w:p>
    <w:p>
      <w:r>
        <w:rPr>
          <w:b/>
        </w:rPr>
        <w:t xml:space="preserve">Projection regime:  </w:t>
      </w:r>
      <w:r>
        <w:t>R2 (matching threshold) with explicit matching to R1 (the subcritical EW sector below μ*). The matching event is the realization of the closure boundary condition; below μ*, ordinary SM RG flow obtains.</w:t>
      </w:r>
    </w:p>
    <w:p>
      <w:r>
        <w:rPr>
          <w:b/>
        </w:rPr>
        <w:t xml:space="preserve">Target physical or mathematical domain:  </w:t>
      </w:r>
      <w:r>
        <w:t>The Standard Model electroweak sector at and below μ*; specifically the Weinberg angle θ_W defined via sin²θ_W = g′²/(g² + g′²) in MS-bar scheme. Companion target: vector-like SU(2)L triplet mass spectrum.</w:t>
      </w:r>
    </w:p>
    <w:p>
      <w:r>
        <w:rPr>
          <w:b/>
        </w:rPr>
        <w:t xml:space="preserve">Projection rule:  </w:t>
      </w:r>
      <w:r>
        <w:t>Map the EIM closure threshold at μ* to the SM matching scale; impose sin²θ_W(μ*) = 1/4 in MS-bar as the boundary condition for SM RG flow between μ* and M_Z; identify the H₁(Γ) cohomology remnant content with vector-like SU(2)L triplets at mass M_T ≈ μ*. The remnant states are load-bearing: their contribution to RG running between M_Z and μ* is what permits sin²θ_W(M_Z) ≈ 0.231 (PDG) to flow to 1/4 at μ* without contradicting the global EW fit.</w:t>
      </w:r>
    </w:p>
    <w:p>
      <w:r>
        <w:rPr>
          <w:b/>
        </w:rPr>
        <w:t xml:space="preserve">Preserved invariants:  </w:t>
      </w:r>
      <w:r>
        <w:t>Scale relation (μ* survives as a physical mass scale); symmetry (residual A₅ × ℤ₂ realized as the discrete coupling-ratio constraint tan²θ_W(μ*) = 1/3, equivalently sin²θ_W(μ*) = 1/4).</w:t>
      </w:r>
    </w:p>
    <w:p>
      <w:r>
        <w:rPr>
          <w:b/>
        </w:rPr>
        <w:t xml:space="preserve">Discarded / coarse-grained structure:  </w:t>
      </w:r>
      <w:r>
        <w:t>Full dodecahedral micro-structure; modal content of individual distinctions below μ*; higher-order corrections from interior cycles of Γ; flavor and generation structure (treated separately under anticipated cards).</w:t>
      </w:r>
    </w:p>
    <w:p>
      <w:r>
        <w:rPr>
          <w:b/>
        </w:rPr>
        <w:t xml:space="preserve">Observable output:  </w:t>
      </w:r>
      <w:r>
        <w:t>The MS-bar Weinberg angle sin²θ_W(μ*) at μ* = 3.68 TeV, with predicted value 1/4 = 0.250. Companion observable: the mass M_T ≈ μ* of one or more vector-like SU(2)L triplet states accessible to direct collider searches.</w:t>
      </w:r>
    </w:p>
    <w:p>
      <w:r>
        <w:rPr>
          <w:b/>
        </w:rPr>
        <w:t xml:space="preserve">Operational measurement:  </w:t>
      </w:r>
      <w:r>
        <w:t>Three independent handles: (M-1) global electroweak fit at the Z pole (LEP/SLD/Tevatron/LHC) supplying sin²θ_W(M_Z), combined with explicit RG running including the predicted SU(2)L triplet contribution to extrapolate to μ*; (M-2) direct measurement of the running Weinberg angle at TeV invariant mass via Drell-Yan forward-backward asymmetry A_FB at ATLAS/CMS, with HL-LHC and future-collider precision; (M-3) direct collider searches for vector-like leptons / SU(2)L triplets in the mass window ~ μ*, principally HL-LHC 2029–2035 and subsequently FCC-ee, CLIC, ILC.</w:t>
      </w:r>
    </w:p>
    <w:p>
      <w:r>
        <w:rPr>
          <w:b/>
        </w:rPr>
        <w:t xml:space="preserve">Known standard comparison:  </w:t>
      </w:r>
      <w:r>
        <w:t>PDG global fit sin²θ_W(M_Z)_MS-bar = 0.23122(4); pure-SM RG running to 3.68 TeV yields approximately 0.234 (one-loop, no BSM); SU(5) GUT prediction sin²θ_W = 3/8 at unification; SO(10) variants. The Π-006 claim 0.250 at μ* is distinct from each.</w:t>
      </w:r>
    </w:p>
    <w:p>
      <w:r>
        <w:rPr>
          <w:b/>
        </w:rPr>
        <w:t xml:space="preserve">Status label:  </w:t>
      </w:r>
      <w:r>
        <w:t>C (Candidate). The card is filed at C — not B-Conditional — because the load-bearing piece of the projection rule (the explicit RG calculation including the SU(2)L triplet contribution showing that sin²θ_W flows from PDG-consistent values at M_Z to 1/4 at μ* = 3.68 TeV) is not yet supplied in referee-grade form. Without that calculation, the card faces immediate empirical pressure: pure-SM running already disagrees with 1/4 by ≈ 0.016 at μ*. Upgrade to B-Conditional requires the explicit triplet-modified RG calculation and a demonstration of consistency with the M_Z fit. Upgrade to A-Conditional requires derivation of μ* from EIM primitives without external calibration of v.</w:t>
      </w:r>
    </w:p>
    <w:p>
      <w:r>
        <w:rPr>
          <w:b/>
        </w:rPr>
        <w:t xml:space="preserve">Failure condition:  </w:t>
      </w:r>
      <w:r>
        <w:t>Three independent failure modes, any one of which retires Π-006 to W: (F-1) HL-LHC and Run-3+HL-LHC combined searches rule out vector-like SU(2)L triplets in the mass window [2.5, 5.0] TeV at 95% CL by end of 2035; (F-2) direct measurement of sin²θ_W at TeV scale (Drell-Yan A_FB at high invariant mass, future colliders) shows the running Weinberg angle extrapolated to 3.68 TeV outside the window [0.245, 0.255] at 3σ, consistent with the M_Z fit; (F-3) the explicit triplet-modified RG calculation, when supplied, shows that no parameter choice consistent with the M_Z global fit delivers sin²θ_W(μ*) = 1/4 within ±0.005.</w:t>
      </w:r>
    </w:p>
    <w:p>
      <w:r>
        <w:rPr>
          <w:b/>
        </w:rPr>
        <w:t xml:space="preserve">Notes / audit trail:  </w:t>
      </w:r>
      <w:r>
        <w:t>FIRST CARD FROM THE §12.4 ANTICIPATED LIST. Filed under PROJ-CALC v1.1, May 2026. AUDIT-TRAIL COMMITMENT: the author commits to filing Π-007 (neutrino mass, m_ν = m_e / (β₁⁶ φ¹⁰)) within 90 days of this card’s filing date. Failure to file Π-007 within 90 days is itself recorded as a registry event under AR-2. REFEREE INVITATION (under AR-3): any electroweak phenomenologist who supplies a sharpened failure window — in particular, a tightening of the F-2 box [0.245, 0.255] at 3σ to a narrower box at the same or higher confidence — will be acknowledged in the audit trail of this card; supply of the explicit RG calculation gating the C → B-Conditional upgrade will be acknowledged as the author of that upgrade. OPEN CONCERNS (filed in advance for transparency): (a) scheme dependence — sin²θ_W differs across MS-bar, on-shell, and effective leptonic schemes by ~10⁻³; the card commits to MS-bar and any successor card with a different scheme requires a new ID. (b) F-MATCH derivation — the formula delivering μ* = 3.68 TeV from κ and v is currently in the framework document; an EIM-internal derivation independent of v calibration is the upgrade path to A-Conditional. (c) The pure-SM extrapolation tension noted under Status is real, not a calculational artifact: it is what the load-bearing triplet contribution must explain.</w:t>
      </w:r>
    </w:p>
    <w:p/>
    <w:p>
      <w:pPr>
        <w:pStyle w:val="Heading2"/>
      </w:pPr>
      <w:r>
        <w:t>9.7   Π-007  ·  Π-Neutrino-Mass</w:t>
      </w:r>
    </w:p>
    <w:p>
      <w:r>
        <w:rPr>
          <w:b/>
        </w:rPr>
        <w:t xml:space="preserve">Projection ID:  </w:t>
      </w:r>
      <w:r>
        <w:t>Π-007</w:t>
      </w:r>
    </w:p>
    <w:p>
      <w:r>
        <w:rPr>
          <w:b/>
        </w:rPr>
        <w:t xml:space="preserve">Name:  </w:t>
      </w:r>
      <w:r>
        <w:t>Π-Neutrino-Mass  (alternative: Π-m_ν)</w:t>
      </w:r>
    </w:p>
    <w:p>
      <w:r>
        <w:rPr>
          <w:b/>
        </w:rPr>
        <w:t xml:space="preserve">EIM source structure:  </w:t>
      </w:r>
      <w:r>
        <w:t>Three coupled ingredients drawn from the framework document: (i) the first Betti number β₁ = 11 of the dodecahedral backbone Γ, structurally fixed at the realization level and verified exhaustively across the 510,489 connected cubic graphs at V = 20; (ii) the algebraic invariant φ = (1+√5)/2 entering the EIM capacity bound κ = 55 φ² and the closure identity κ · γ_c = 5; (iii) the electron mass mₑ as a load-bearing anchor scale in the lepton sector, supplied — at present — by external dictionary rather than by EIM-internal derivation. The closed-form claim is m₁ = mₑ /(β₁⁶ φ¹⁰) for the lightest neutrino mass eigenvalue.</w:t>
      </w:r>
    </w:p>
    <w:p>
      <w:r>
        <w:rPr>
          <w:b/>
        </w:rPr>
        <w:t xml:space="preserve">Projection regime:  </w:t>
      </w:r>
      <w:r>
        <w:t>R2 → R1, with possible R3 cosmological projection. R2 is the matching / closure threshold at which the absolute mass scale m₁ is fixed; R1 is the subcritical sector in which neutrino oscillations occur and the higher mass eigenvalues m₂, m₃ are obtained from m₁ together with the measured oscillation splittings under the assumption of normal ordering; R3 carries the cosmological projection of the mass sum Σmν into large-scale structure observables. Cross-regime composition is therefore explicit on the card and is permitted only with the matching arguments noted below.</w:t>
      </w:r>
    </w:p>
    <w:p>
      <w:r>
        <w:rPr>
          <w:b/>
        </w:rPr>
        <w:t xml:space="preserve">Target physical or mathematical domain:  </w:t>
      </w:r>
      <w:r>
        <w:t>Neutrino mass physics: the absolute mass scale (lightest eigenvalue m₁), normal mass ordering, the cosmological mass sum Σmν, the β-decay effective electron-neutrino mass m_β, and — if neutrinos are Majorana — the neutrinoless-double-beta effective mass m_ββ.</w:t>
      </w:r>
    </w:p>
    <w:p>
      <w:r>
        <w:rPr>
          <w:b/>
        </w:rPr>
        <w:t xml:space="preserve">Projection rule:  </w:t>
      </w:r>
      <w:r>
        <w:t>At the R2 closure threshold, identify the lightest neutrino mass eigenvalue with the closed form m₁ = mₑ /(β₁⁶ φ¹⁰). With β₁ = 11, β₁⁶ = 1,771,561; with φ = (1+√5)/2, φ¹⁰ = F₁₀ φ + F₉ = 55 φ + 34 ≈ 122.99187 (Fibonacci recursion identity); the product is β₁⁶ φ¹⁰ ≈ 2.17888 × 10⁸. With mₑ = 0.5109989 MeV (PDG), this gives m₁ ≈ 2.345 meV. The full normal-ordered spectrum follows as a derived consequence — not as an independent EIM prediction — by combining m₁ with the measured oscillation splittings: m₂ = √(m₁² + Δm²₂₁), m₃ = √(m₁² + Δm²₃₁). Using PDG central values Δm²₂₁ ≈ 7.42 × 10⁻⁵ eV² and Δm²₃₁ ≈ 2.51 × 10⁻³ eV², one obtains m₂ ≈ 8.93 meV, m₃ ≈ 50.2 meV, and Σmν ≈ 61–62 meV. The β-decay effective mass implied by these values together with the PDG mixing-matrix elements is m_β ≈ 9.1 meV. The R3 cosmological projection treats Σmν as a coarse-grained density observable in large-scale structure; the matching argument is that the absolute scale fixed at R2 propagates to R1 through ordinary oscillation kinematics and to R3 through ordinary cosmological perturbation theory, with no further EIM input.</w:t>
      </w:r>
    </w:p>
    <w:p>
      <w:r>
        <w:rPr>
          <w:b/>
        </w:rPr>
        <w:t xml:space="preserve">Preserved invariants:  </w:t>
      </w:r>
      <w:r>
        <w:t>Scale relation (β₁⁶ φ¹⁰ as a dimensionless ratio mₑ /m₁); cycle structure (β₁ enters as the H₁(Γ) rank, surviving the projection as an exponent in the mass-ratio formula); symmetry / closure (φ enters via the κ–φ closure structure linked to the A₅ × ℤ₂ action on Γ); coarse-grained density (the cosmological mass sum Σmν as an averaged density observable under the R3 projection).</w:t>
      </w:r>
    </w:p>
    <w:p>
      <w:r>
        <w:rPr>
          <w:b/>
        </w:rPr>
        <w:t xml:space="preserve">Discarded / coarse-grained structure:  </w:t>
      </w:r>
      <w:r>
        <w:t>The full dodecahedral microstructure of Γ beyond β₁; the PMNS flavor mixing matrix elements and their hierarchy; the leptonic CP-violating phase δ_CP and the Majorana phases (if applicable); the Dirac/Majorana distinction of the mass mechanism; the oscillation splittings Δm²₂₁ and Δm²₃₁, which the card does not predict but consumes from external data; the choice of cosmological model class (ΛCDM vs. extended) under which Σmν is interpreted.</w:t>
      </w:r>
    </w:p>
    <w:p>
      <w:r>
        <w:rPr>
          <w:b/>
        </w:rPr>
        <w:t xml:space="preserve">Observable output:  </w:t>
      </w:r>
      <w:r>
        <w:t>Primary observable: the lightest neutrino mass eigenvalue m₁ ≈ 2.345 meV. Derived (not independently predicted) observables under normal ordering with measured Δm² inputs: m₂ ≈ 8.93 meV, m₃ ≈ 50.2 meV, Σmν ≈ 61–62 meV, m_β ≈ 9.1 meV. If neutrinos are Majorana, the corresponding m_ββ depends on Majorana phases that are not predicted by Π-007 and so enters as a band, not a point value.</w:t>
      </w:r>
    </w:p>
    <w:p>
      <w:r>
        <w:rPr>
          <w:b/>
        </w:rPr>
        <w:t xml:space="preserve">Operational measurement:  </w:t>
      </w:r>
      <w:r>
        <w:t>Three independent handles. (M-1) Cosmological mass sum Σmν via CMB temperature and polarization (Planck) combined with BAO and large-scale-structure data (BOSS, eBOSS, DESI, future Euclid / LSST / CMB-S4); the constraint on Σmν is currently O(10⁻¹) eV and is tightening. (M-2) β-decay endpoint spectroscopy of the effective electron-neutrino mass m_β: the KATRIN final dataset (current limit m_β ≲ 0.45 eV, ultimate sensitivity ~ 0.2 eV) is far from the 9 meV implied by Π-007; Project 8 with atomic tritium aims at sub-50 meV sensitivity over the 2030s. (M-3) Neutrinoless-double-beta searches measuring m_ββ if neutrinos are Majorana: KamLAND-Zen, LEGEND-1000, nEXO, CUPID; sensitivity targets in the inverted-ordering region (~ 10–50 meV) extend partially into the normal-ordering band over a 10–20 year horizon.</w:t>
      </w:r>
    </w:p>
    <w:p>
      <w:r>
        <w:rPr>
          <w:b/>
        </w:rPr>
        <w:t xml:space="preserve">Known standard comparison:  </w:t>
      </w:r>
      <w:r>
        <w:t>Standard neutrino oscillation phenomenology supplies the splittings Δm²₂₁ = 7.42(21) × 10⁻⁵ eV² and |Δm²₃₁| = 2.514(28) × 10⁻³ eV² (NuFIT 5.x / PDG 2024) but does not fix the absolute mass scale or the ordering. Under normal ordering, the oscillation-implied lower bound on Σmν is ≈ 0.058 eV; the Π-007 value Σmν ≈ 0.0615 eV sits ≈ 3 meV above this floor. Cosmological upper bounds on Σmν have tightened markedly: Planck 2018 + BAO yields Σmν &lt; 0.12 eV (95%); recent DESI BAO 2024 + Planck combinations report Σmν &lt; 0.072 eV (95%) under ΛCDM, with several analyses indicating tension with the normal-ordering oscillation floor. The Π-007 prediction therefore lives in a window that is currently being closed from above; this is the load-bearing tension and the principal near-term refutation channel. Comparison with seesaw and U(1)_{B−L} model predictions: Π-007 gives a single closed-form value rather than a range; this is unusual and constitutes the card’s distinguishing empirical fingerprint.</w:t>
      </w:r>
    </w:p>
    <w:p>
      <w:r>
        <w:rPr>
          <w:b/>
        </w:rPr>
        <w:t xml:space="preserve">Status label:  </w:t>
      </w:r>
      <w:r>
        <w:t>C (Candidate). The card is filed at C — not B-Conditional — because the projection rule m₁ = mₑ /(β₁⁶ φ¹⁰) is currently a closed-form numerical coincidence at the requisite precision rather than a derived consequence of an explicit EIM construction. Three pieces are open: (a) why β₁ enters as a sixth power; (b) why φ enters as a tenth power; (c) why mₑ is the correct anchor mass for the lepton sector. Upgrade to B-Conditional requires a referee-grade derivation supplying these three pieces from EIM primitives; until that derivation is supplied, the card explicitly refuses any load-bearing publication use. Upgrade to A-Conditional would additionally require derivation of mₑ from EIM primitives without external lepton-mass calibration.</w:t>
      </w:r>
    </w:p>
    <w:p>
      <w:r>
        <w:rPr>
          <w:b/>
        </w:rPr>
        <w:t xml:space="preserve">Failure condition:  </w:t>
      </w:r>
      <w:r>
        <w:t>Four independent failure modes, any one of which retires Π-007 to W. (F-1) A robust, model-controlled cosmological analysis excludes Σmν ≈ 0.0615 eV at ≥ 3σ under normal ordering within the declared cosmological model class (ΛCDM and its standard extensions); the load is on the analysis: a result that excludes the value only by allowing exotic late-time physics is not, on its own, a refutation. (F-2) Neutrino-oscillation experiments establish inverted ordering at high confidence (e.g., JUNO, ORCA, DUNE); Π-007 in its current form requires normal ordering for the m₂, m₃, Σmν derivation chain to hold. (F-3) Future direct absolute-mass measurements (KATRIN successors, Project 8, calorimetric tritium, atomic-physics determinations) exclude the m_β value implied by m₁ ≈ 2.345 meV combined with measured oscillation parameters and PDG mixing — currently m_β ≈ 9.1 meV — at high confidence. (F-4) The card cannot be promoted beyond C if no derivation is supplied for the exponent structure β₁⁶ φ¹⁰ and the electron-mass anchor; failure here is structural, not empirical: persistence at C indefinitely is itself an audit-trail signal that the projection is phenomenological numerology absent a derivation.</w:t>
      </w:r>
    </w:p>
    <w:p>
      <w:r>
        <w:rPr>
          <w:b/>
        </w:rPr>
        <w:t xml:space="preserve">Notes / audit trail:  </w:t>
      </w:r>
      <w:r>
        <w:t>Filed under PROJ-CALC v1.2, May 2026. This card satisfies the audit-trail commitment recorded on Π-006 (§9.6) to file Π-007 within 90 days; that commitment is hereby retired and recorded as compliant under AR-2. The card is not load-bearing publication evidence: until the exponent structure β₁⁶ φ¹⁰ is derived or the projection is explicitly relabelled phenomenological with the relabelling visible in print, no published EIM-to-physics paper may advance Π-007 as a derived result. Open concerns filed in advance for transparency: (a) coincidence vs. derivation — at the present level of evidence, m₁ = mₑ /(β₁⁶ φ¹⁰) is a numerical fit at three significant figures to a scale that is not yet directly measured; the card therefore lives or dies on the derivation tasks of §9.8, not on the numerics. (b) Anchor-scale ambiguity — the choice of mₑ rather than another lepton-sector mass is unjustified inside Π-007; alternative anchors (e.g., m_μ, the QCD scale, the EW vacuum scale v) would yield distinct closed forms, and the absence of an a priori reason to prefer mₑ is part of the F-4 derivation gap. (c) Ordering dependence — the m₂, m₃, Σmν, m_β chain is contingent on normal ordering; should oscillation experiments establish inverted ordering, only the m₁ point claim survives, and even that becomes structurally awkward (since under inverted ordering m₁ is no longer the lightest of the three mass eigenvalues in the standard labelling convention). (d) Cosmological model-class scope — F-1 restricts the refutation to model-controlled analyses inside ΛCDM and its standard extensions; refutation by an analysis that requires non-standard dark-energy or neutrino-self-interaction physics to push Σmν below 0.06 eV is not, by itself, a refutation of Π-007. REFEREE INVITATION (under AR-3): a derivation of any one of the three pieces (β₁ exponent, φ exponent, mₑ anchor) from EIM primitives will be acknowledged in the audit trail of Π-007 and, if all three close, will be acknowledged as the contribution to the upgrade Π-007: C → B-Conditional.</w:t>
      </w:r>
    </w:p>
    <w:p/>
    <w:p>
      <w:pPr>
        <w:pStyle w:val="Heading2"/>
      </w:pPr>
      <w:r>
        <w:t>9.8   Derivation target for Π-007</w:t>
      </w:r>
    </w:p>
    <w:p>
      <w:pPr>
        <w:jc w:val="both"/>
      </w:pPr>
      <w:r>
        <w:t>The closed form m₁ = mₑ /(β₁⁶ φ¹⁰) is filed at C, not at any higher status. The disciplinary point of the card is that the next mathematical task on Π-007 is not refinement of the numerics — those agree with the cosmological-floor band to three significant figures and the agreement is therefore not, by itself, evidence — but supply of a derivation. Four sub-tasks are open. Each is required for the C → B-Conditional upgrade; meeting fewer than all four leaves the card phenomenological.</w:t>
      </w:r>
    </w:p>
    <w:p>
      <w:pPr>
        <w:pStyle w:val="ListNumber"/>
      </w:pPr>
      <w:r>
        <w:rPr>
          <w:b/>
        </w:rPr>
        <w:t xml:space="preserve">Task D-1 (β₁ exponent).  </w:t>
      </w:r>
      <w:r>
        <w:t>Derive why the first Betti number β₁ = 11 of Γ enters the lepton-sector mass-ratio formula at the sixth power. Candidate strategies to be ruled in or out: (a) a six-fold tensor product or sixfold symmetric power on the H₁(Γ) cohomology remnant (the same structure load-bearing in Π-006’s SU(2)L triplet content); (b) a six-cycle counting argument on the dodecahedral graph itself, e.g., a structural identification of six independent cycle classes contributing one factor of β₁ each; (c) a (3+3)-decomposition tied to the three-generation flavor structure crossed with a three-fold internal index; (d) a six-loop or six-leg counting argument from the projection of Γ-cohomology to the lepton-sector mass operator. The acceptance criterion is that the derivation must select β₁ to the sixth power without free parameters and without retro-fitting to the observed numerical value.</w:t>
      </w:r>
    </w:p>
    <w:p>
      <w:pPr>
        <w:pStyle w:val="ListNumber"/>
      </w:pPr>
      <w:r>
        <w:rPr>
          <w:b/>
        </w:rPr>
        <w:t xml:space="preserve">Task D-2 (φ exponent).  </w:t>
      </w:r>
      <w:r>
        <w:t>Derive why φ enters the formula at the tenth power. The Fibonacci recursion identity φ¹⁰ = F₁₀ φ + F₉ = 55 φ + 34 places φ¹⁰ in the same algebraic family as κ = 55 φ², κ · γ_c = 5, and the appearance of F₁₀ = 55 in the κ structure; this is suggestive but not a derivation. Candidate strategies: (a) a Memory-capacity argument tying the lepton-sector hierarchy to powers of the closure invariant; (b) an iterated coordination-flow argument where ten projection steps from the closure scale yield φ¹⁰ as the cumulative attenuation; (c) an A₅-action argument using that φ is the algebraic invariant of the icosahedral group; (d) joint analysis with D-1 yielding (β₁⁶ φ¹⁰) as a single combined invariant rather than as a product of two independently-justified factors. The acceptance criterion is parallel to D-1: φ¹⁰ must be selected without free parameters and without retro-fit.</w:t>
      </w:r>
    </w:p>
    <w:p>
      <w:pPr>
        <w:pStyle w:val="ListNumber"/>
      </w:pPr>
      <w:r>
        <w:rPr>
          <w:b/>
        </w:rPr>
        <w:t xml:space="preserve">Task D-3 (mₑ anchor).  </w:t>
      </w:r>
      <w:r>
        <w:t>Justify why the electron mass mₑ — and not some other mass scale (m_μ, m_τ, the Higgs vev v, the EIM matching scale μ* of Π-006, the QCD scale, the Planck scale) — is the correct anchor for the absolute neutrino mass scale. The minimal acceptance criterion is that an a priori EIM argument selects mₑ for this role; an a posteriori observation that mₑ “works numerically” while other anchors do not is the failure mode this task exists to forestall. Candidate strategies: (a) a same-generation argument tying ν₁ to the first-generation charged lepton via the antipodal state-space relation already noted in the framework (ν₁ = (1,0,0,0) vs. the top-quark mode (0,1,1,1)); (b) a Yukawa-slope argument extending the 3/4 lepton-vs-quark slope ratio (BCST Appendix J) to the neutrino sector; (c) a closure argument selecting the lightest charged-lepton mass as the unique scale at which the lepton sector closes against the EIM coordination dynamics; (d) joint resolution with D-1 / D-2 in which the combined object β₁⁶ φ¹⁰ mₑ⁻¹ has an EIM-internal interpretation independent of which anchor is plugged in.</w:t>
      </w:r>
    </w:p>
    <w:p>
      <w:pPr>
        <w:pStyle w:val="ListNumber"/>
      </w:pPr>
      <w:r>
        <w:rPr>
          <w:b/>
        </w:rPr>
        <w:t xml:space="preserve">Task D-4 (mass-mechanism specification).  </w:t>
      </w:r>
      <w:r>
        <w:t>Specify whether m₁ in Π-007 is to be interpreted as a Dirac mass, a Majorana mass, or an effective mass eigenvalue of an unspecified mechanism. The card as currently filed is silent on this, and the silence is honest only as long as the derivation tasks remain open: once D-1 / D-2 / D-3 are resolved, the underlying construction will, in general, fix the mechanism, and the card must declare it. The choice has empirical consequences: the Dirac case predicts m_ββ ≈ 0 to leading order; the Majorana case predicts a band in m_ββ controlled by Majorana phases not predicted by Π-007; the effective-eigenvalue case requires a specification of the mechanism whose effective theory the closed form approximates. Successor cards differing in mechanism receive new IDs under AR-1.</w:t>
      </w:r>
    </w:p>
    <w:p>
      <w:pPr>
        <w:jc w:val="both"/>
      </w:pPr>
      <w:r>
        <w:t>The disciplinary commitment is explicit: until D-1 through D-4 are resolved (or one of F-1 through F-3 has retired the card), Π-007 is filed at C and is not load-bearing in any published EIM-to-physics paper. Should any of D-1, D-2, D-3 be supplied independently, the card’s audit trail records the partial progress and the upgrade target sharpens; full upgrade requires all four. In the interim, citations to the closed form m₁ = mₑ /(β₁⁶ φ¹⁰) in publication must be qualified as “heuristic” and accompanied by a forward reference to §9.7 / §9.8 of this document under the audit obligation of §11.3.</w:t>
      </w:r>
    </w:p>
    <w:p/>
    <w:p>
      <w:pPr>
        <w:pStyle w:val="Heading1"/>
      </w:pPr>
      <w:r>
        <w:t>10.  Anti-Reinterpretation Rule</w:t>
      </w:r>
    </w:p>
    <w:p>
      <w:pPr>
        <w:jc w:val="both"/>
      </w:pPr>
      <w:r>
        <w:t>The most common failure mode in non-mainstream physics is the silent reinterpretation of an observable after a prediction fails. The following rules are imposed to render reinterpretation impossible without audit-visibility.</w:t>
      </w:r>
    </w:p>
    <w:p>
      <w:r>
        <w:rPr>
          <w:b/>
        </w:rPr>
        <w:t>Rule AR-1 (Substitution requires new ID).</w:t>
      </w:r>
    </w:p>
    <w:p>
      <w:pPr>
        <w:jc w:val="both"/>
      </w:pPr>
      <w:r>
        <w:t>For any projection Π with declared observable O and failure condition F: (i) F must be stated before empirical comparison; (ii) if F is met, Π is marked W (Withdrawn); (iii) any successor projection with a substituted observable O′ or substituted failure condition F′ must be filed under a new ID; (iv) the original card is retained in the registry, not erased.</w:t>
      </w:r>
    </w:p>
    <w:p>
      <w:r>
        <w:rPr>
          <w:b/>
        </w:rPr>
        <w:t>Rule AR-2 (Append-only registry).</w:t>
      </w:r>
    </w:p>
    <w:p>
      <w:pPr>
        <w:jc w:val="both"/>
      </w:pPr>
      <w:r>
        <w:t>The projection registry is append-only. Modifications to status (A → B, C → A, B → W, etc.) are recorded as audit-trail entries on the card, not as overwrites. Deletions are not permitted. The audit traceability of the registry is the falsifier of the framework as a whole: a framework whose registry contains no W entries after non-trivial empirical engagement is, on its face, suspect.</w:t>
      </w:r>
    </w:p>
    <w:p>
      <w:r>
        <w:rPr>
          <w:b/>
        </w:rPr>
        <w:t>Rule AR-3 (Specificity of F).</w:t>
      </w:r>
    </w:p>
    <w:p>
      <w:pPr>
        <w:jc w:val="both"/>
      </w:pPr>
      <w:r>
        <w:t>Failure conditions of the form “if it disagrees with experiment” are non-compliant. F must specify either (i) a numerical tolerance window on the observable, (ii) a structural feature whose presence or absence can be directly checked, or (iii) a competing prediction whose confirmation refutes Π. Cards with non-specific F are filed at status C until F is sharpened.</w:t>
      </w:r>
    </w:p>
    <w:p>
      <w:r>
        <w:rPr>
          <w:b/>
        </w:rPr>
        <w:t>Rule AR-4 (No retroactive regime change).</w:t>
      </w:r>
    </w:p>
    <w:p>
      <w:pPr>
        <w:jc w:val="both"/>
      </w:pPr>
      <w:r>
        <w:t>The regime declaration R is a load-bearing slot. Changing R after empirical comparison constitutes substitution and triggers AR-1.</w:t>
      </w:r>
    </w:p>
    <w:p>
      <w:pPr>
        <w:pStyle w:val="Heading1"/>
      </w:pPr>
      <w:r>
        <w:t>11.  Composition and Audit Rules</w:t>
      </w:r>
    </w:p>
    <w:p>
      <w:pPr>
        <w:pStyle w:val="Heading2"/>
      </w:pPr>
      <w:r>
        <w:t>11.1  Composition</w:t>
      </w:r>
    </w:p>
    <w:p>
      <w:pPr>
        <w:jc w:val="both"/>
      </w:pPr>
      <w:r>
        <w:t>Two projections Π₁ : S → O₁ and Π₂ : O₁ → O₂ compose to Π₂ ∘ Π₁ : S → O₂ only if:</w:t>
      </w:r>
    </w:p>
    <w:p>
      <w:pPr>
        <w:pStyle w:val="ListBullet"/>
      </w:pPr>
      <w:r>
        <w:t>the regimes R₁ and R₂ are compatible — either identical, or related by an explicit limit / matching argument supplied in the composed card;</w:t>
      </w:r>
    </w:p>
    <w:p>
      <w:pPr>
        <w:pStyle w:val="ListBullet"/>
      </w:pPr>
      <w:r>
        <w:t>the preserved invariants of Π₁ include those required as input by Π₂;</w:t>
      </w:r>
    </w:p>
    <w:p>
      <w:pPr>
        <w:pStyle w:val="ListBullet"/>
      </w:pPr>
      <w:r>
        <w:t>the failure condition F of the composed projection is not weaker than the conjunction of F₁ and F₂.</w:t>
      </w:r>
    </w:p>
    <w:p>
      <w:pPr>
        <w:jc w:val="both"/>
      </w:pPr>
      <w:r>
        <w:t>Composed projections receive their own registry ID and are subject to the full template.</w:t>
      </w:r>
    </w:p>
    <w:p>
      <w:pPr>
        <w:pStyle w:val="Heading2"/>
      </w:pPr>
      <w:r>
        <w:t>11.2  Many-to-one</w:t>
      </w:r>
    </w:p>
    <w:p>
      <w:pPr>
        <w:jc w:val="both"/>
      </w:pPr>
      <w:r>
        <w:t>Projection is generally many-to-one. The framework’s empirical content lies not in unique inverses but in concentrations of projection convergence — observables that constrain S at a higher order than any single Π would suggest.</w:t>
      </w:r>
    </w:p>
    <w:p>
      <w:pPr>
        <w:jc w:val="both"/>
      </w:pPr>
      <w:r>
        <w:rPr>
          <w:i/>
        </w:rPr>
        <w:t>Corollary. Confirming an observable does not confirm S. Confirming the joint failure condition of multiple Π that share S contributes evidential weight; this is the natural unit of EIM empirical engagement.</w:t>
      </w:r>
    </w:p>
    <w:p>
      <w:pPr>
        <w:pStyle w:val="Heading2"/>
      </w:pPr>
      <w:r>
        <w:t>11.3  Audit obligation</w:t>
      </w:r>
    </w:p>
    <w:p>
      <w:pPr>
        <w:jc w:val="both"/>
      </w:pPr>
      <w:r>
        <w:t>Every published EIM-to-physics claim must point to a registry entry. Claims that do not point to a registry entry are heuristic until filed; their citation in published material is permitted only with the qualifier “heuristic” and a forward reference to a planned filing.</w:t>
      </w:r>
    </w:p>
    <w:p>
      <w:pPr>
        <w:jc w:val="both"/>
      </w:pPr>
      <w:r>
        <w:t>Self-audit. A periodic audit is required at publication-relevant milestones: (i) every card has all fourteen template fields populated; (ii) no card has drifted from its declared regime without an AR-1 / AR-4 trigger; (iii) all W entries have audit-trail notes; (iv) audit-trail commitments (such as the 90-day commitment on Π-006 → Π-007) are tracked for compliance.</w:t>
      </w:r>
    </w:p>
    <w:p>
      <w:pPr>
        <w:pStyle w:val="Heading1"/>
      </w:pPr>
      <w:r>
        <w:t>12.  Integration into the EIM Corpus</w:t>
      </w:r>
    </w:p>
    <w:p>
      <w:pPr>
        <w:jc w:val="both"/>
      </w:pPr>
      <w:r>
        <w:t>This document is intended as a central architecture component. Its intended placement is as follows.</w:t>
      </w:r>
    </w:p>
    <w:p>
      <w:pPr>
        <w:pStyle w:val="Heading2"/>
      </w:pPr>
      <w:r>
        <w:t>12.1  Framework Document v1.6+</w:t>
      </w:r>
    </w:p>
    <w:p>
      <w:pPr>
        <w:jc w:val="both"/>
      </w:pPr>
      <w:r>
        <w:t>The projection registry (§7) and the test-card template (§8) become the canonical home of all EIM-to-physics dictionary entries. Existing dictionary text is to be re-filed as cards and cross-referenced.</w:t>
      </w:r>
    </w:p>
    <w:p>
      <w:pPr>
        <w:pStyle w:val="Heading2"/>
      </w:pPr>
      <w:r>
        <w:t>12.2  Infinity as Projected Closure</w:t>
      </w:r>
    </w:p>
    <w:p>
      <w:pPr>
        <w:jc w:val="both"/>
      </w:pPr>
      <w:r>
        <w:t>Card Π-001 (Π-Number) and the 3–4–5 ladder material are the load-bearing entries. The paper should point explicitly to Π-001.</w:t>
      </w:r>
    </w:p>
    <w:p>
      <w:pPr>
        <w:pStyle w:val="Heading2"/>
      </w:pPr>
      <w:r>
        <w:t>12.3  The Black Hole as Dynamical Bridge</w:t>
      </w:r>
    </w:p>
    <w:p>
      <w:pPr>
        <w:jc w:val="both"/>
      </w:pPr>
      <w:r>
        <w:t>Cards Π-003 and Π-004 are load-bearing for the dissertation’s central derivations. Card Π-005 is the principal disciplinary entry: the NR preprint must not advance Π-005 in its withdrawn formulation, and any subsequent BBH-γ_c claim must be filed as Π-005-v2 with a regime-explicit rule and stated failure window.</w:t>
      </w:r>
    </w:p>
    <w:p>
      <w:pPr>
        <w:pStyle w:val="Heading2"/>
      </w:pPr>
      <w:r>
        <w:t>12.4  Anticipated and filed cards</w:t>
      </w:r>
    </w:p>
    <w:p>
      <w:pPr>
        <w:jc w:val="both"/>
      </w:pPr>
      <w:r>
        <w:t>The registry is open. Filed under v1.1: Π-006 (Π-Weinberg, sin²θ_W). Filed under v1.2: Π-007 (Π-Neutrino-Mass, m₁ = mₑ /(β₁⁶ φ¹⁰)) at status C, satisfying the 90-day audit-trail commitment recorded on Π-006. Anticipated near-term filings (each requiring its own registry entry before being advanced as load-bearing in publication):</w:t>
      </w:r>
    </w:p>
    <w:p>
      <w:pPr>
        <w:pStyle w:val="ListBullet"/>
      </w:pPr>
      <w:r>
        <w:t>Π-008: vector-like SU(2)L triplet mass spectrum at μ* (companion to Π-006; may be filed jointly or as a successor).</w:t>
      </w:r>
    </w:p>
    <w:p>
      <w:pPr>
        <w:pStyle w:val="ListBullet"/>
      </w:pPr>
      <w:r>
        <w:t>Π-009: MOND projection a₀ = c H₀ / (π√3).</w:t>
      </w:r>
    </w:p>
    <w:p>
      <w:pPr>
        <w:pStyle w:val="ListBullet"/>
      </w:pPr>
      <w:r>
        <w:t>Π-010: top-quark mass mode (0,1,1,1) and ν₁ antipodal mode (1,0,0,0) as projections of the EIM 4D state-space extremes.</w:t>
      </w:r>
    </w:p>
    <w:p>
      <w:pPr>
        <w:pStyle w:val="Heading1"/>
      </w:pPr>
      <w:r>
        <w:t>13.  Conclusion and Open Joints</w:t>
      </w:r>
    </w:p>
    <w:p>
      <w:pPr>
        <w:jc w:val="both"/>
      </w:pPr>
      <w:r>
        <w:t>The projection calculus described here is methodological infrastructure. It does not derive new physics; it constrains how EIM-to-physics dictionary claims are made, audited, and withdrawn. Its primary value is referee discipline: any claim filed under this calculus is, by construction, falsifiable on its own terms and auditable across versions of the corpus.</w:t>
      </w:r>
    </w:p>
    <w:p>
      <w:pPr>
        <w:jc w:val="both"/>
      </w:pPr>
      <w:r>
        <w:t>Open joints flagged for subsequent work:</w:t>
      </w:r>
    </w:p>
    <w:p>
      <w:pPr>
        <w:pStyle w:val="ListBullet"/>
      </w:pPr>
      <w:r>
        <w:t>Regime R5 is currently a residual category. A more refined typology — distinguishing genuine singularities from effective-description failures from coordination collapses — is needed before R5 can be load-bearing.</w:t>
      </w:r>
    </w:p>
    <w:p>
      <w:pPr>
        <w:pStyle w:val="ListBullet"/>
      </w:pPr>
      <w:r>
        <w:t>Promotion of Π-003 to Level A would require derivation of the +1/−3 signature dictionary from EIM primitives without external input.</w:t>
      </w:r>
    </w:p>
    <w:p>
      <w:pPr>
        <w:pStyle w:val="ListBullet"/>
      </w:pPr>
      <w:r>
        <w:t>Promotion of Π-004 to Level A would require an EIM-internal derivation of the prefactor 1/(4ℓ_P²) in the area law, presumably via the κ–φ–γ_c structure.</w:t>
      </w:r>
    </w:p>
    <w:p>
      <w:pPr>
        <w:pStyle w:val="ListBullet"/>
      </w:pPr>
      <w:r>
        <w:t>Π-005-v2 must be filed before any publication advances γ_c as a BBH waveform observable.</w:t>
      </w:r>
    </w:p>
    <w:p>
      <w:pPr>
        <w:pStyle w:val="ListBullet"/>
      </w:pPr>
      <w:r>
        <w:t>Π-006 upgrade C → B-Conditional requires the explicit RG calculation including the SU(2)L triplet contribution and demonstrated consistency with the M_Z global EW fit. Π-007 (neutrino mass) is filed at C in v1.2 (§9.7); upgrade C → B-Conditional requires resolution of the four derivation tasks D-1 through D-4 itemized in §9.8 (β₁ exponent, φ exponent, mₑ anchor, and mass-mechanism specification). The 90-day audit-trail commitment recorded on Π-006 is hereby retired as compliant under AR-2.</w:t>
      </w:r>
    </w:p>
    <w:p>
      <w:pPr>
        <w:pStyle w:val="ListBullet"/>
      </w:pPr>
      <w:r>
        <w:t>Composition of projections is defined in §11.1 but not yet exercised; a worked composition would test the calculus’s closure properties.</w:t>
      </w:r>
    </w:p>
    <w:p>
      <w:pPr>
        <w:jc w:val="both"/>
      </w:pPr>
      <w:r>
        <w:t>The discipline imposed here is severe. It is severe by design: a framework that engages physics across multiple regimes without an explicit projection calculus will, in time, slide into either metaphysics or numerology. The registry, with its W entries and its audit-trail commitments visible, is the framework’s ongoing demonstration that it is not.</w:t>
      </w:r>
    </w:p>
    <w:p>
      <w:r>
        <w:br w:type="page"/>
      </w:r>
    </w:p>
    <w:p>
      <w:pPr>
        <w:pStyle w:val="Heading1"/>
      </w:pPr>
      <w:r>
        <w:t>14.  Companion Note: Projection Calculus in Action — sin²θ_W as a Testable EIM Output</w:t>
      </w:r>
    </w:p>
    <w:p>
      <w:pPr>
        <w:pStyle w:val="Heading2"/>
      </w:pPr>
      <w:r>
        <w:t>14.1  Purpose</w:t>
      </w:r>
    </w:p>
    <w:p>
      <w:pPr>
        <w:jc w:val="both"/>
      </w:pPr>
      <w:r>
        <w:t>The projection calculus of §§3–11 is methodological infrastructure. Its content is empty until cards are filed. Π-006 is the first card filed under PROJ-CALC v1.1 from the §12.4 anticipated list, and the first that places EIM in direct contact with a precision-measured Standard-Model observable on a known experimental timeline. This section exhibits the calculus operating against an active claim: the prediction sin²θ_W(μ*) = 1/4 at the EIM-derived matching scale μ* ≈ 3.68 TeV, with vector-like SU(2)L triplets as the closure-level remnant.</w:t>
      </w:r>
    </w:p>
    <w:p>
      <w:pPr>
        <w:jc w:val="both"/>
      </w:pPr>
      <w:r>
        <w:t>The note has two intended functions. First, it documents how the four anti-reinterpretation rules (§10) constrain the trajectory of this claim through publication, refutation, or upgrade. Second, it issues an explicit invitation to electroweak phenomenology: the failure conditions are stated in advance, and any sharpened window proposed under AR-3 will be accepted into the registry and acknowledged as a contribution to the upgrade path.</w:t>
      </w:r>
    </w:p>
    <w:p>
      <w:pPr>
        <w:pStyle w:val="Heading2"/>
      </w:pPr>
      <w:r>
        <w:t>14.2  The card in summary</w:t>
      </w:r>
    </w:p>
    <w:p>
      <w:pPr>
        <w:jc w:val="both"/>
      </w:pPr>
      <w:r>
        <w:t>Π-006 (Π-Weinberg) predicts sin²θ_W(μ*) = 1/4 in MS-bar at the EIM-derived matching scale μ* ≈ 3.68 TeV, together with the existence of one or more vector-like SU(2)L triplet states at mass M_T ≈ μ*. The card is filed at Candidate (C) status because the load-bearing piece — the explicit RG calculation including the triplet contribution, consistent with the M_Z global EW fit — is not yet supplied in referee-grade form. The full template for Π-006 is in §9.6; what follows is only the empirical and disciplinary commentary.</w:t>
      </w:r>
    </w:p>
    <w:p>
      <w:pPr>
        <w:jc w:val="both"/>
      </w:pPr>
      <w:r>
        <w:t>Two facts about the prediction are worth repeating in plain language. First: pure-SM RG running from sin²θ_W(M_Z) ≈ 0.231 to μ* ≈ 3.68 TeV yields approximately 0.234 — about 0.016 below 1/4. The Π-006 claim therefore is not “the SM running already lands at 1/4 at this scale.” It is: “the closure boundary condition at μ* is 1/4, and the BSM remnant content (the SU(2)L triplet, possibly other H₁(Γ) cohomology states) is what makes the running compatible with the M_Z fit.” The triplet is therefore not optional. It is the load-bearing dynamical ingredient of the projection.</w:t>
      </w:r>
    </w:p>
    <w:p>
      <w:pPr>
        <w:jc w:val="both"/>
      </w:pPr>
      <w:r>
        <w:t>Second: the failure conditions F-1, F-2, F-3 (§9.6) are independent and overlapping. F-1 fails Π-006 if no triplet appears at HL-LHC. F-2 fails Π-006 if the running Weinberg angle measured at TeV scales lies outside [0.245, 0.255] at 3σ. F-3 fails Π-006 if the explicit triplet-modified RG calculation (when supplied) cannot be reconciled with the M_Z fit. Any one is sufficient.</w:t>
      </w:r>
    </w:p>
    <w:p>
      <w:pPr>
        <w:pStyle w:val="Heading2"/>
      </w:pPr>
      <w:r>
        <w:t>14.3  AR-1 through AR-4 in action</w:t>
      </w:r>
    </w:p>
    <w:p>
      <w:pPr>
        <w:jc w:val="both"/>
      </w:pPr>
      <w:r>
        <w:t>Each anti-reinterpretation rule constrains a specific class of post-hoc moves the author might be tempted to make on this card. Documenting the constraints in advance is the disciplinary point.</w:t>
      </w:r>
    </w:p>
    <w:p>
      <w:r>
        <w:rPr>
          <w:b/>
        </w:rPr>
        <w:t>AR-1 (Substitution requires new ID).</w:t>
      </w:r>
    </w:p>
    <w:p>
      <w:pPr>
        <w:jc w:val="both"/>
      </w:pPr>
      <w:r>
        <w:t>The Π-006 observable is sin²θ_W(μ*) in MS-bar at μ* = 3.68 TeV, together with the existence of vector-like SU(2)L triplets at M_T ≈ μ*. If at any point a successor projection is filed with a shifted scale (e.g., μ* = 3.0 TeV), a different mixing-angle scheme (e.g., on-shell), or a different remnant content (singlet rather than triplet), it must be filed as Π-006-v2, not as a revision of Π-006. The original card remains in the registry. The disciplinary content of this rule, in concrete terms, is that the author cannot — having seen the data — quietly relabel “3.68 TeV” as “3.0 TeV” and claim continuity with the prior prediction.</w:t>
      </w:r>
    </w:p>
    <w:p>
      <w:r>
        <w:rPr>
          <w:b/>
        </w:rPr>
        <w:t>AR-2 (Append-only).</w:t>
      </w:r>
    </w:p>
    <w:p>
      <w:pPr>
        <w:jc w:val="both"/>
      </w:pPr>
      <w:r>
        <w:t>The registry retains every status change as an audit-trail entry on the card. If Π-006 is upgraded from C to B-Conditional in (say) 2027 following the explicit triplet-modified RG calculation, then later downgraded to W in 2032 following a definitive HL-LHC null result on vector-like triplets, all three states are visible to any reader. The framework’s history is not pruned. A registry without W entries after non-trivial empirical engagement is, on its face, suspect; the framework’s honesty is its withdrawal record.</w:t>
      </w:r>
    </w:p>
    <w:p>
      <w:r>
        <w:rPr>
          <w:b/>
        </w:rPr>
        <w:t>AR-3 (Specificity of F).</w:t>
      </w:r>
    </w:p>
    <w:p>
      <w:pPr>
        <w:jc w:val="both"/>
      </w:pPr>
      <w:r>
        <w:t>The current failure conditions are specific in the sense AR-3 demands. F-1 names a mass window and a 95% CL with a date. F-2 names a numerical window on a defined observable at a defined confidence level. F-3 names a structural compatibility check on a to-be-supplied calculation. AR-3 is what permits the card to be filed at C rather than the lower status reserved for vague conjectures. AR-3 is also the basis for §14.5: the explicit invitation to external scrutiny.</w:t>
      </w:r>
    </w:p>
    <w:p>
      <w:r>
        <w:rPr>
          <w:b/>
        </w:rPr>
        <w:t>AR-4 (No retroactive regime change).</w:t>
      </w:r>
    </w:p>
    <w:p>
      <w:pPr>
        <w:jc w:val="both"/>
      </w:pPr>
      <w:r>
        <w:t>The card declares regime R2 (matching threshold) with explicit matching to R1. If after publication a referee or subsequent paper argues that the matching argument fails — e.g., that the matching should be at R3 because some smoothness condition holds, or at R4 because the closure is at saturation — the card cannot be quietly relabelled. Either the original card is retired and a successor filed with the new regime, or the referee’s argument is engaged on its merits with R2 retained. Regime is load-bearing.</w:t>
      </w:r>
    </w:p>
    <w:p>
      <w:pPr>
        <w:pStyle w:val="Heading2"/>
      </w:pPr>
      <w:r>
        <w:t>14.4  Expected experimental sensitivity</w:t>
      </w:r>
    </w:p>
    <w:p>
      <w:pPr>
        <w:jc w:val="both"/>
      </w:pPr>
      <w:r>
        <w:t>The three measurement handles of §9.6 deliver sensitivity on different timescales and to different aspects of the prediction.</w:t>
      </w:r>
    </w:p>
    <w:p>
      <w:pPr>
        <w:jc w:val="both"/>
      </w:pPr>
      <w:r>
        <w:t>Z-pole global fit + RG running (M-1). The Z-pole determination of sin²θ_W(M_Z) is already at the 4 × 10⁻⁵ level, exceeding any tolerance Π-006 needs. The bottleneck is not data but theory: the explicit RG calculation including the triplet contribution determines whether, for parameter choices consistent with the Z-pole fit, the running can be made to land at 1/4 at μ* = 3.68 TeV. This calculation is the gating prerequisite for the Π-006 → B-Conditional upgrade and should be doable in standard packages (e.g., MR, FlexibleSUSY, RGE++) within a single referee-grade paper. Sensitivity timescale: today.</w:t>
      </w:r>
    </w:p>
    <w:p>
      <w:pPr>
        <w:jc w:val="both"/>
      </w:pPr>
      <w:r>
        <w:t>Drell-Yan A_FB at TeV invariant mass (M-2). ATLAS and CMS have measured the running of sin²θ_W via Drell-Yan A_FB at invariant masses up to a few TeV. HL-LHC projections suggest a precision on sin²θ_W(Q ≈ 2-3 TeV) of order 10⁻³ over the 2029–2035 dataset. This is sufficient to test the F-2 box [0.245, 0.255] at 3σ provided extrapolation systematics are controlled. Sensitivity timescale: HL-LHC era.</w:t>
      </w:r>
    </w:p>
    <w:p>
      <w:pPr>
        <w:jc w:val="both"/>
      </w:pPr>
      <w:r>
        <w:t>Direct triplet search (M-3). Vector-like SU(2)L triplet states at M_T ≈ 3.68 TeV are within HL-LHC discovery reach for typical production cross-sections at 14 TeV centre-of-mass energy. Current ATLAS/CMS limits on vector-like leptons reach ~ 1 TeV; HL-LHC is expected to extend this to several TeV. The 2029–2035 window is the decisive one for F-1: either a triplet is discovered (in which case the card moves toward B-Conditional / A-Conditional pending the F-3 RG check), or a definitive non-discovery in [2.5, 5.0] TeV retires the card to W. Sensitivity timescale: HL-LHC era.</w:t>
      </w:r>
    </w:p>
    <w:p>
      <w:pPr>
        <w:jc w:val="both"/>
      </w:pPr>
      <w:r>
        <w:t>FCC-ee, CLIC, ILC. Future lepton colliders extend the precision reach on sin²θ_W and the direct-search reach on heavy leptons substantially beyond HL-LHC. Their main contribution to Π-006 is to either confirm or definitively retire the card on a longer timescale.</w:t>
      </w:r>
    </w:p>
    <w:p>
      <w:pPr>
        <w:pStyle w:val="Heading2"/>
      </w:pPr>
      <w:r>
        <w:t>14.5  Invitation to external scrutiny</w:t>
      </w:r>
    </w:p>
    <w:p>
      <w:pPr>
        <w:jc w:val="both"/>
      </w:pPr>
      <w:r>
        <w:t>The card is filed at C. Three concrete pathways for external contribution are open under AR-3 and the registry’s acknowledgement convention.</w:t>
      </w:r>
    </w:p>
    <w:p>
      <w:pPr>
        <w:pStyle w:val="ListBullet"/>
      </w:pPr>
      <w:r>
        <w:t>An electroweak phenomenologist who supplies the explicit RG calculation including the SU(2)L triplet contribution and demonstrates that sin²θ_W(μ*) = 1/4 at μ* = 3.68 TeV is consistent with the M_Z global fit will be acknowledged as the contributor to the upgrade Π-006: C → B-Conditional. The contribution is by name; the upgrade is by registry entry.</w:t>
      </w:r>
    </w:p>
    <w:p>
      <w:pPr>
        <w:pStyle w:val="ListBullet"/>
      </w:pPr>
      <w:r>
        <w:t>An author who proposes a sharper failure window — e.g., narrowing F-2 from [0.245, 0.255] at 3σ to a tighter box tied to a specific HL-LHC dataset, or refining F-1 to a specific kinematic regime — will be acknowledged in the audit trail of Π-006. AR-3 cooperation is welcomed even where overall agreement with the framework is not.</w:t>
      </w:r>
    </w:p>
    <w:p>
      <w:pPr>
        <w:pStyle w:val="ListBullet"/>
      </w:pPr>
      <w:r>
        <w:t>Negative results — a definitive HL-LHC non-discovery, a demonstrated incompatibility under F-3, an experimental Drell-Yan result inconsistent with F-2 — trigger AR-1. The author commits in advance to filing the corresponding W status promptly and publicly, rather than reformulating.</w:t>
      </w:r>
    </w:p>
    <w:p>
      <w:pPr>
        <w:jc w:val="both"/>
      </w:pPr>
      <w:r>
        <w:t>The calculus is intended to make the framework legible to external scrutiny on referee-grade terms. Π-006 is the first test of that intention.</w:t>
      </w:r>
    </w:p>
    <w:p>
      <w:r>
        <w:br w:type="page"/>
      </w:r>
    </w:p>
    <w:p>
      <w:pPr>
        <w:pStyle w:val="Heading1"/>
      </w:pPr>
      <w:r>
        <w:t>Appendix A.  Blank Test-Card Template</w:t>
      </w:r>
    </w:p>
    <w:p>
      <w:pPr>
        <w:jc w:val="both"/>
      </w:pPr>
      <w:r>
        <w:t>The following template is the canonical blank for new registry filings. All fourteen fields must be populated; n/a entries require a Notes justification.</w:t>
      </w:r>
    </w:p>
    <w:tbl>
      <w:tblPr>
        <w:tblW w:type="auto" w:w="0"/>
        <w:jc w:val="center"/>
        <w:tblLook w:firstColumn="1" w:firstRow="1" w:lastColumn="0" w:lastRow="0" w:noHBand="0" w:noVBand="1" w:val="04A0"/>
        <w:tblBorders>
          <w:top w:val="single" w:sz="4" w:color="888888"/>
          <w:left w:val="single" w:sz="4" w:color="888888"/>
          <w:bottom w:val="single" w:sz="4" w:color="888888"/>
          <w:right w:val="single" w:sz="4" w:color="888888"/>
          <w:insideH w:val="single" w:sz="4" w:color="888888"/>
          <w:insideV w:val="single" w:sz="4" w:color="888888"/>
        </w:tblBorders>
      </w:tblPr>
      <w:tblGrid>
        <w:gridCol w:w="4680"/>
        <w:gridCol w:w="4680"/>
      </w:tblGrid>
      <w:tr>
        <w:tc>
          <w:tcPr>
            <w:tcW w:type="dxa" w:w="3456"/>
            <w:shd w:val="clear" w:color="auto" w:fill="D5E8F0"/>
          </w:tcPr>
          <w:p>
            <w:r/>
            <w:r>
              <w:rPr>
                <w:b/>
              </w:rPr>
              <w:t>Field</w:t>
            </w:r>
          </w:p>
        </w:tc>
        <w:tc>
          <w:tcPr>
            <w:tcW w:type="dxa" w:w="6624"/>
            <w:shd w:val="clear" w:color="auto" w:fill="D5E8F0"/>
          </w:tcPr>
          <w:p>
            <w:r/>
            <w:r>
              <w:rPr>
                <w:b/>
              </w:rPr>
              <w:t>Content</w:t>
            </w:r>
          </w:p>
        </w:tc>
      </w:tr>
      <w:tr>
        <w:tc>
          <w:tcPr>
            <w:tcW w:type="dxa" w:w="3456"/>
          </w:tcPr>
          <w:p>
            <w:r>
              <w:t>Projection ID</w:t>
            </w:r>
          </w:p>
        </w:tc>
        <w:tc>
          <w:tcPr>
            <w:tcW w:type="dxa" w:w="6624"/>
          </w:tcPr>
          <w:p>
            <w:r/>
          </w:p>
        </w:tc>
      </w:tr>
      <w:tr>
        <w:tc>
          <w:tcPr>
            <w:tcW w:type="dxa" w:w="3456"/>
          </w:tcPr>
          <w:p>
            <w:r>
              <w:t>Name</w:t>
            </w:r>
          </w:p>
        </w:tc>
        <w:tc>
          <w:tcPr>
            <w:tcW w:type="dxa" w:w="6624"/>
          </w:tcPr>
          <w:p>
            <w:r/>
          </w:p>
        </w:tc>
      </w:tr>
      <w:tr>
        <w:tc>
          <w:tcPr>
            <w:tcW w:type="dxa" w:w="3456"/>
          </w:tcPr>
          <w:p>
            <w:r>
              <w:t>EIM source structure</w:t>
            </w:r>
          </w:p>
        </w:tc>
        <w:tc>
          <w:tcPr>
            <w:tcW w:type="dxa" w:w="6624"/>
          </w:tcPr>
          <w:p>
            <w:r/>
          </w:p>
        </w:tc>
      </w:tr>
      <w:tr>
        <w:tc>
          <w:tcPr>
            <w:tcW w:type="dxa" w:w="3456"/>
          </w:tcPr>
          <w:p>
            <w:r>
              <w:t>Projection regime</w:t>
            </w:r>
          </w:p>
        </w:tc>
        <w:tc>
          <w:tcPr>
            <w:tcW w:type="dxa" w:w="6624"/>
          </w:tcPr>
          <w:p>
            <w:r/>
          </w:p>
        </w:tc>
      </w:tr>
      <w:tr>
        <w:tc>
          <w:tcPr>
            <w:tcW w:type="dxa" w:w="3456"/>
          </w:tcPr>
          <w:p>
            <w:r>
              <w:t>Target physical or mathematical domain</w:t>
            </w:r>
          </w:p>
        </w:tc>
        <w:tc>
          <w:tcPr>
            <w:tcW w:type="dxa" w:w="6624"/>
          </w:tcPr>
          <w:p>
            <w:r/>
          </w:p>
        </w:tc>
      </w:tr>
      <w:tr>
        <w:tc>
          <w:tcPr>
            <w:tcW w:type="dxa" w:w="3456"/>
          </w:tcPr>
          <w:p>
            <w:r>
              <w:t>Projection rule</w:t>
            </w:r>
          </w:p>
        </w:tc>
        <w:tc>
          <w:tcPr>
            <w:tcW w:type="dxa" w:w="6624"/>
          </w:tcPr>
          <w:p>
            <w:r/>
          </w:p>
        </w:tc>
      </w:tr>
      <w:tr>
        <w:tc>
          <w:tcPr>
            <w:tcW w:type="dxa" w:w="3456"/>
          </w:tcPr>
          <w:p>
            <w:r>
              <w:t>Preserved invariants</w:t>
            </w:r>
          </w:p>
        </w:tc>
        <w:tc>
          <w:tcPr>
            <w:tcW w:type="dxa" w:w="6624"/>
          </w:tcPr>
          <w:p>
            <w:r/>
          </w:p>
        </w:tc>
      </w:tr>
      <w:tr>
        <w:tc>
          <w:tcPr>
            <w:tcW w:type="dxa" w:w="3456"/>
          </w:tcPr>
          <w:p>
            <w:r>
              <w:t>Discarded / coarse-grained structure</w:t>
            </w:r>
          </w:p>
        </w:tc>
        <w:tc>
          <w:tcPr>
            <w:tcW w:type="dxa" w:w="6624"/>
          </w:tcPr>
          <w:p>
            <w:r/>
          </w:p>
        </w:tc>
      </w:tr>
      <w:tr>
        <w:tc>
          <w:tcPr>
            <w:tcW w:type="dxa" w:w="3456"/>
          </w:tcPr>
          <w:p>
            <w:r>
              <w:t>Observable output</w:t>
            </w:r>
          </w:p>
        </w:tc>
        <w:tc>
          <w:tcPr>
            <w:tcW w:type="dxa" w:w="6624"/>
          </w:tcPr>
          <w:p>
            <w:r/>
          </w:p>
        </w:tc>
      </w:tr>
      <w:tr>
        <w:tc>
          <w:tcPr>
            <w:tcW w:type="dxa" w:w="3456"/>
          </w:tcPr>
          <w:p>
            <w:r>
              <w:t>Operational measurement</w:t>
            </w:r>
          </w:p>
        </w:tc>
        <w:tc>
          <w:tcPr>
            <w:tcW w:type="dxa" w:w="6624"/>
          </w:tcPr>
          <w:p>
            <w:r/>
          </w:p>
        </w:tc>
      </w:tr>
      <w:tr>
        <w:tc>
          <w:tcPr>
            <w:tcW w:type="dxa" w:w="3456"/>
          </w:tcPr>
          <w:p>
            <w:r>
              <w:t>Known standard comparison</w:t>
            </w:r>
          </w:p>
        </w:tc>
        <w:tc>
          <w:tcPr>
            <w:tcW w:type="dxa" w:w="6624"/>
          </w:tcPr>
          <w:p>
            <w:r/>
          </w:p>
        </w:tc>
      </w:tr>
      <w:tr>
        <w:tc>
          <w:tcPr>
            <w:tcW w:type="dxa" w:w="3456"/>
          </w:tcPr>
          <w:p>
            <w:r>
              <w:t>Status label</w:t>
            </w:r>
          </w:p>
        </w:tc>
        <w:tc>
          <w:tcPr>
            <w:tcW w:type="dxa" w:w="6624"/>
          </w:tcPr>
          <w:p>
            <w:r/>
          </w:p>
        </w:tc>
      </w:tr>
      <w:tr>
        <w:tc>
          <w:tcPr>
            <w:tcW w:type="dxa" w:w="3456"/>
          </w:tcPr>
          <w:p>
            <w:r>
              <w:t>Failure condition</w:t>
            </w:r>
          </w:p>
        </w:tc>
        <w:tc>
          <w:tcPr>
            <w:tcW w:type="dxa" w:w="6624"/>
          </w:tcPr>
          <w:p>
            <w:r/>
          </w:p>
        </w:tc>
      </w:tr>
      <w:tr>
        <w:tc>
          <w:tcPr>
            <w:tcW w:type="dxa" w:w="3456"/>
          </w:tcPr>
          <w:p>
            <w:r>
              <w:t>Notes / audit trail</w:t>
            </w:r>
          </w:p>
        </w:tc>
        <w:tc>
          <w:tcPr>
            <w:tcW w:type="dxa" w:w="6624"/>
          </w:tcPr>
          <w:p>
            <w:r/>
          </w:p>
        </w:tc>
      </w:tr>
    </w:tbl>
    <w:p>
      <w:r>
        <w:br w:type="page"/>
      </w:r>
    </w:p>
    <w:p>
      <w:pPr>
        <w:pStyle w:val="Heading1"/>
      </w:pPr>
      <w:r>
        <w:t>Appendix B.  Status-Label Glossary</w:t>
      </w:r>
    </w:p>
    <w:tbl>
      <w:tblPr>
        <w:tblW w:type="auto" w:w="0"/>
        <w:jc w:val="center"/>
        <w:tblLook w:firstColumn="1" w:firstRow="1" w:lastColumn="0" w:lastRow="0" w:noHBand="0" w:noVBand="1" w:val="04A0"/>
        <w:tblBorders>
          <w:top w:val="single" w:sz="4" w:color="888888"/>
          <w:left w:val="single" w:sz="4" w:color="888888"/>
          <w:bottom w:val="single" w:sz="4" w:color="888888"/>
          <w:right w:val="single" w:sz="4" w:color="888888"/>
          <w:insideH w:val="single" w:sz="4" w:color="888888"/>
          <w:insideV w:val="single" w:sz="4" w:color="888888"/>
        </w:tblBorders>
      </w:tblPr>
      <w:tblGrid>
        <w:gridCol w:w="4680"/>
        <w:gridCol w:w="4680"/>
      </w:tblGrid>
      <w:tr>
        <w:tc>
          <w:tcPr>
            <w:tcW w:type="dxa" w:w="2160"/>
            <w:shd w:val="clear" w:color="auto" w:fill="D5E8F0"/>
          </w:tcPr>
          <w:p>
            <w:r/>
            <w:r>
              <w:rPr>
                <w:b/>
              </w:rPr>
              <w:t>Label</w:t>
            </w:r>
          </w:p>
        </w:tc>
        <w:tc>
          <w:tcPr>
            <w:tcW w:type="dxa" w:w="7920"/>
            <w:shd w:val="clear" w:color="auto" w:fill="D5E8F0"/>
          </w:tcPr>
          <w:p>
            <w:r/>
            <w:r>
              <w:rPr>
                <w:b/>
              </w:rPr>
              <w:t>Meaning</w:t>
            </w:r>
          </w:p>
        </w:tc>
      </w:tr>
      <w:tr>
        <w:tc>
          <w:tcPr>
            <w:tcW w:type="dxa" w:w="2160"/>
          </w:tcPr>
          <w:p>
            <w:r>
              <w:t>A</w:t>
            </w:r>
          </w:p>
        </w:tc>
        <w:tc>
          <w:tcPr>
            <w:tcW w:type="dxa" w:w="7920"/>
          </w:tcPr>
          <w:p>
            <w:r>
              <w:t>Identity — structural isomorphism with no further dynamical assumption.</w:t>
            </w:r>
          </w:p>
        </w:tc>
      </w:tr>
      <w:tr>
        <w:tc>
          <w:tcPr>
            <w:tcW w:type="dxa" w:w="2160"/>
          </w:tcPr>
          <w:p>
            <w:r>
              <w:t>A-Conditional</w:t>
            </w:r>
          </w:p>
        </w:tc>
        <w:tc>
          <w:tcPr>
            <w:tcW w:type="dxa" w:w="7920"/>
          </w:tcPr>
          <w:p>
            <w:r>
              <w:t>Identity given an external dictionary that is itself non-EIM-internal.</w:t>
            </w:r>
          </w:p>
        </w:tc>
      </w:tr>
      <w:tr>
        <w:tc>
          <w:tcPr>
            <w:tcW w:type="dxa" w:w="2160"/>
          </w:tcPr>
          <w:p>
            <w:r>
              <w:t>B</w:t>
            </w:r>
          </w:p>
        </w:tc>
        <w:tc>
          <w:tcPr>
            <w:tcW w:type="dxa" w:w="7920"/>
          </w:tcPr>
          <w:p>
            <w:r>
              <w:t>Derived — from EIM by an explicit coarse-graining or limit, with stated hypotheses.</w:t>
            </w:r>
          </w:p>
        </w:tc>
      </w:tr>
      <w:tr>
        <w:tc>
          <w:tcPr>
            <w:tcW w:type="dxa" w:w="2160"/>
          </w:tcPr>
          <w:p>
            <w:r>
              <w:t>B-Conditional</w:t>
            </w:r>
          </w:p>
        </w:tc>
        <w:tc>
          <w:tcPr>
            <w:tcW w:type="dxa" w:w="7920"/>
          </w:tcPr>
          <w:p>
            <w:r>
              <w:t>Derived under an external dictionary or non-EIM-internal calibration.</w:t>
            </w:r>
          </w:p>
        </w:tc>
      </w:tr>
      <w:tr>
        <w:tc>
          <w:tcPr>
            <w:tcW w:type="dxa" w:w="2160"/>
          </w:tcPr>
          <w:p>
            <w:r>
              <w:t>B-Provisional</w:t>
            </w:r>
          </w:p>
        </w:tc>
        <w:tc>
          <w:tcPr>
            <w:tcW w:type="dxa" w:w="7920"/>
          </w:tcPr>
          <w:p>
            <w:r>
              <w:t>Sketched derivation; commits to upgrade by a stated milestone.</w:t>
            </w:r>
          </w:p>
        </w:tc>
      </w:tr>
      <w:tr>
        <w:tc>
          <w:tcPr>
            <w:tcW w:type="dxa" w:w="2160"/>
          </w:tcPr>
          <w:p>
            <w:r>
              <w:t>C</w:t>
            </w:r>
          </w:p>
        </w:tc>
        <w:tc>
          <w:tcPr>
            <w:tcW w:type="dxa" w:w="7920"/>
          </w:tcPr>
          <w:p>
            <w:r>
              <w:t>Candidate — motivated but not derived; not load-bearing in publication.</w:t>
            </w:r>
          </w:p>
        </w:tc>
      </w:tr>
      <w:tr>
        <w:tc>
          <w:tcPr>
            <w:tcW w:type="dxa" w:w="2160"/>
          </w:tcPr>
          <w:p>
            <w:r>
              <w:t>W</w:t>
            </w:r>
          </w:p>
        </w:tc>
        <w:tc>
          <w:tcPr>
            <w:tcW w:type="dxa" w:w="7920"/>
          </w:tcPr>
          <w:p>
            <w:r>
              <w:t>Withdrawn — failure condition met or observable renegotiated; card retained for audit.</w:t>
            </w:r>
          </w:p>
        </w:tc>
      </w:tr>
    </w:tbl>
    <w:p/>
    <w:p/>
    <w:p>
      <w:pPr>
        <w:jc w:val="center"/>
      </w:pPr>
      <w:r>
        <w:rPr>
          <w:i/>
          <w:sz w:val="20"/>
        </w:rPr>
        <w:t>— end of document, v1.2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000000"/>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