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7AA3" w14:textId="69A8BF88" w:rsidR="00CE3F6F" w:rsidRPr="00A501DF" w:rsidRDefault="00AF5609" w:rsidP="00CE3F6F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Rose</w:t>
      </w:r>
      <w:r w:rsidR="00CE3F6F" w:rsidRPr="00A501DF">
        <w:rPr>
          <w:rFonts w:ascii="Verdana" w:hAnsi="Verdana"/>
          <w:sz w:val="32"/>
          <w:szCs w:val="32"/>
        </w:rPr>
        <w:t xml:space="preserve"> Accessibility Statement</w:t>
      </w:r>
    </w:p>
    <w:p w14:paraId="5F0FEFFA" w14:textId="2DD38C6A" w:rsidR="00CE3F6F" w:rsidRPr="00A501DF" w:rsidRDefault="00AF5609" w:rsidP="00CE3F6F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7BE8DB5" wp14:editId="7B158BD6">
            <wp:extent cx="2918460" cy="2189007"/>
            <wp:effectExtent l="0" t="0" r="0" b="1905"/>
            <wp:docPr id="488625601" name="Picture 16" descr="A cream coloured static caravan with ramp and dec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25601" name="Picture 16" descr="A cream coloured static caravan with ramp and decking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367" cy="219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69787" w14:textId="56D54E25" w:rsidR="00CE3F6F" w:rsidRPr="00A501DF" w:rsidRDefault="00CE3F6F" w:rsidP="00CE3F6F">
      <w:pPr>
        <w:rPr>
          <w:rFonts w:ascii="Verdana" w:hAnsi="Verdana"/>
          <w:b/>
          <w:bCs/>
        </w:rPr>
      </w:pPr>
      <w:r w:rsidRPr="00A501DF">
        <w:rPr>
          <w:rFonts w:ascii="Verdana" w:hAnsi="Verdana"/>
          <w:b/>
          <w:bCs/>
        </w:rPr>
        <w:t>Parking and Access.</w:t>
      </w:r>
    </w:p>
    <w:p w14:paraId="394A0BDA" w14:textId="77777777" w:rsidR="00CE3F6F" w:rsidRPr="00A501DF" w:rsidRDefault="00CE3F6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On arrival you will find a dedicated parking space to the </w:t>
      </w:r>
      <w:proofErr w:type="gramStart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right hand</w:t>
      </w:r>
      <w:proofErr w:type="gramEnd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side, when viewed from the front, that is suitable for most WAV's. </w:t>
      </w:r>
    </w:p>
    <w:p w14:paraId="1B2C3BC1" w14:textId="1A834711" w:rsidR="00CE3F6F" w:rsidRPr="00A501DF" w:rsidRDefault="00CE3F6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Access is via a 1m wide ramp towards the rear at all </w:t>
      </w:r>
      <w:proofErr w:type="gramStart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caravan,  at</w:t>
      </w:r>
      <w:proofErr w:type="gramEnd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the top is the entrance to the caravan and the wrap around terrace. Entry to the accommodation is through a 1 and 1/2 width side door (1.4m/140cm wide), and we also provide a threshold ramp that is stored just inside the main entrance. </w:t>
      </w:r>
    </w:p>
    <w:p w14:paraId="14D3D340" w14:textId="33AFB0A2" w:rsidR="00CE3F6F" w:rsidRPr="00A501DF" w:rsidRDefault="00CE3F6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Level Access Throughout</w:t>
      </w:r>
    </w:p>
    <w:p w14:paraId="38F724CA" w14:textId="6394F243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There is smooth, level access throughout, with vinyl fitted to the lounge and kitchen area, a very low pile carpet to both bedrooms and a non-slip moulded floor in the wet room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1130FA56" w14:textId="77777777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702270F7" w14:textId="229ADA11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Internal Doors</w:t>
      </w:r>
    </w:p>
    <w:p w14:paraId="5C706D36" w14:textId="77777777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54966BC3" w14:textId="1F04926A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All internal doors are sliding doors, with a maximum opening width of 0.75m/75cm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5D15E111" w14:textId="77777777" w:rsidR="00CE3F6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D8DA122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DE0391D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F47D4D5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E2AACEF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6C27FB6C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7EC67C09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528A493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B645CE2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40F3422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08DFF54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6C76FC09" w14:textId="77777777" w:rsidR="001D2E88" w:rsidRDefault="001D2E88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08DF98C" w14:textId="77777777" w:rsidR="001D2E88" w:rsidRDefault="001D2E88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B3D6F55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6FC17FAF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48D5BAE" w14:textId="77777777" w:rsidR="007973F7" w:rsidRPr="00A501DF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59724FD1" w14:textId="44196C9E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lastRenderedPageBreak/>
        <w:t>Master Bedroom</w:t>
      </w:r>
    </w:p>
    <w:p w14:paraId="75861335" w14:textId="5C2CFB5C" w:rsidR="00CE3F6F" w:rsidRPr="00CE3F6F" w:rsidRDefault="00CE3F6F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The master bedrooms are larger than you would normally find in a static caravan with a single profiling bed (internal length 1.8m/180cm/6 foot), with easily removable bed sides and bumpers fitted. There is also standard double bed 1.98m/198cm/6 foot 6 inches long and 1.37m/137cm/4 foot 6 inches wide.</w:t>
      </w:r>
      <w:r w:rsidR="007973F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The flooring is low pile carpet.</w:t>
      </w:r>
    </w:p>
    <w:p w14:paraId="7B9B1FF5" w14:textId="63634F30" w:rsidR="00CE3F6F" w:rsidRPr="00CE3F6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There are 2 double wardrobes, and 2 USB charging points. </w:t>
      </w:r>
    </w:p>
    <w:p w14:paraId="0E701249" w14:textId="3B6550AF" w:rsidR="00CE3F6F" w:rsidRPr="00CE3F6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T</w:t>
      </w: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here is also a full room coverage overhead track hoist system </w:t>
      </w:r>
      <w:proofErr w:type="gramStart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with in</w:t>
      </w:r>
      <w:proofErr w:type="gramEnd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rail charging (no need to position boom or place controller into a holster). </w:t>
      </w:r>
    </w:p>
    <w:p w14:paraId="7868689B" w14:textId="31BB27FE" w:rsidR="00CE3F6F" w:rsidRPr="00CE3F6F" w:rsidRDefault="00CE3F6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This room is easily reconfigured to give best access to meet your specific requirements.</w:t>
      </w:r>
    </w:p>
    <w:p w14:paraId="47E7B567" w14:textId="77777777" w:rsidR="007973F7" w:rsidRDefault="00CE3F6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All Bed linen is provided, but not towels and tea towels</w:t>
      </w:r>
      <w:r w:rsidR="007973F7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362EE9C1" w14:textId="77777777" w:rsidR="007973F7" w:rsidRDefault="007973F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B9F1042" w14:textId="7ED94F1D" w:rsidR="00CE3F6F" w:rsidRPr="00CE3F6F" w:rsidRDefault="001D2E88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71BD1567" wp14:editId="05F96881">
            <wp:extent cx="3719979" cy="2790190"/>
            <wp:effectExtent l="0" t="0" r="0" b="0"/>
            <wp:docPr id="736443887" name="Picture 17" descr="Master bedroom with ceiling hoist, 6 foot single profiling bed and double b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3887" name="Picture 17" descr="Master bedroom with ceiling hoist, 6 foot single profiling bed and double bed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487" cy="279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921B6" w14:textId="4EF19AB3" w:rsidR="00CE3F6F" w:rsidRPr="00A501DF" w:rsidRDefault="00A501D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Second Bedroom</w:t>
      </w:r>
    </w:p>
    <w:p w14:paraId="2A6AD01C" w14:textId="6F9ACA83" w:rsidR="007973F7" w:rsidRPr="00CE3F6F" w:rsidRDefault="00A501DF" w:rsidP="007973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This contains 2 full size single beds, but there is </w:t>
      </w:r>
      <w:r w:rsidR="007973F7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insufficient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access for a wheelchair user into this room.</w:t>
      </w:r>
      <w:r w:rsidR="007973F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The flooring is low pile carpet.</w:t>
      </w:r>
    </w:p>
    <w:p w14:paraId="4E347ECF" w14:textId="5EBE8275" w:rsidR="00A501DF" w:rsidRDefault="00A501D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09E2281" w14:textId="77777777" w:rsidR="007973F7" w:rsidRDefault="007973F7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877D751" w14:textId="77777777" w:rsidR="001D2E88" w:rsidRDefault="001D2E88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2F85535" w14:textId="77777777" w:rsidR="007973F7" w:rsidRDefault="007973F7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1ABBD197" w14:textId="77777777" w:rsidR="007973F7" w:rsidRDefault="007973F7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DD9D0AB" w14:textId="77777777" w:rsidR="007973F7" w:rsidRPr="00CE3F6F" w:rsidRDefault="007973F7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4D79636" w14:textId="46DEA1B8" w:rsidR="00CE3F6F" w:rsidRPr="00A501DF" w:rsidRDefault="00346E17" w:rsidP="00CE3F6F">
      <w:pPr>
        <w:rPr>
          <w:rFonts w:ascii="Verdana" w:hAnsi="Verdana"/>
          <w:b/>
          <w:bCs/>
        </w:rPr>
      </w:pPr>
      <w:r w:rsidRPr="00A501DF">
        <w:rPr>
          <w:rFonts w:ascii="Verdana" w:hAnsi="Verdana"/>
          <w:b/>
          <w:bCs/>
        </w:rPr>
        <w:lastRenderedPageBreak/>
        <w:t>Wet Room</w:t>
      </w:r>
    </w:p>
    <w:p w14:paraId="1D24AF5D" w14:textId="484F20E6" w:rsidR="00346E17" w:rsidRPr="00346E17" w:rsidRDefault="00346E17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For bathing there is a large wet room 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–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approx. 2m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by </w:t>
      </w:r>
      <w:proofErr w:type="gramStart"/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2m</w:t>
      </w:r>
      <w:proofErr w:type="gram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</w:p>
    <w:p w14:paraId="71C8250F" w14:textId="27F5E5BB" w:rsidR="00346E17" w:rsidRP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Thermostatic controlled "super powerful" shower with </w:t>
      </w:r>
      <w:proofErr w:type="spell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extra long</w:t>
      </w:r>
      <w:proofErr w:type="spell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hose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</w:p>
    <w:p w14:paraId="67404CED" w14:textId="3DF40F04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Wheel in shower chair with lap belt.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Note </w:t>
      </w:r>
      <w:proofErr w:type="gramStart"/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that</w:t>
      </w:r>
      <w:proofErr w:type="gramEnd"/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</w:p>
    <w:p w14:paraId="651E63D4" w14:textId="26174C13" w:rsidR="00346E17" w:rsidRPr="00346E17" w:rsidRDefault="00346E17" w:rsidP="00A501DF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2C5947E9" wp14:editId="5DDE44A1">
            <wp:extent cx="2286000" cy="2463288"/>
            <wp:effectExtent l="0" t="0" r="0" b="0"/>
            <wp:docPr id="1238584224" name="Picture 5" descr="Specification of shower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584224" name="Picture 5" descr="Specification of shower chai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889" cy="248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625C4" w14:textId="753BC771" w:rsidR="00346E17" w:rsidRP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 xml:space="preserve">There are fixed </w:t>
      </w:r>
      <w:proofErr w:type="gram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hand rails</w:t>
      </w:r>
      <w:proofErr w:type="gram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in the shower area, and by the sink, with 1 fixed and one drop down rail by the toilet.</w:t>
      </w:r>
    </w:p>
    <w:p w14:paraId="1BB2774A" w14:textId="21015A7F" w:rsid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The toilet seat is of the raised variety and sits 0.5m/50cm/1 foot 8 inches from the floor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and as a result the commode chair </w:t>
      </w:r>
      <w:proofErr w:type="gramStart"/>
      <w:r w:rsidR="00A501DF"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cannot 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be</w:t>
      </w:r>
      <w:proofErr w:type="gramEnd"/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wheeled over it.</w:t>
      </w:r>
    </w:p>
    <w:p w14:paraId="4BDA0DF8" w14:textId="2EF34024" w:rsidR="007973F7" w:rsidRDefault="001D2E88" w:rsidP="007973F7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07F53ED6" wp14:editId="31F1027E">
            <wp:extent cx="2814112" cy="2110740"/>
            <wp:effectExtent l="0" t="0" r="5715" b="3810"/>
            <wp:docPr id="639246431" name="Picture 18" descr="A bathroom with a shower chair/commode, hand rails, toilet and sink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46431" name="Picture 18" descr="A bathroom with a shower chair/commode, hand rails, toilet and sink&#10;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549" cy="21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44F0613F" wp14:editId="2E69F537">
            <wp:extent cx="2886920" cy="2165350"/>
            <wp:effectExtent l="0" t="0" r="8890" b="6350"/>
            <wp:docPr id="1249404064" name="Picture 19" descr="A bathroom with a shower chair/commode and hand rails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04064" name="Picture 19" descr="A bathroom with a shower chair/commode and hand rails.&#10;&#10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503" cy="216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B1464" w14:textId="77777777" w:rsidR="007973F7" w:rsidRPr="00A501DF" w:rsidRDefault="007973F7" w:rsidP="007973F7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FFB0793" w14:textId="7C86AD97" w:rsidR="00A501DF" w:rsidRPr="00A501DF" w:rsidRDefault="00A501DF" w:rsidP="007973F7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ADF951E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077539D2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76128CBC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6CF3C5FD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096DC15C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4E788E64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27D5C3C0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3687C2A2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424F5452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48C3C6D4" w14:textId="114294B3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lastRenderedPageBreak/>
        <w:t>Kitchen</w:t>
      </w:r>
    </w:p>
    <w:p w14:paraId="7629A2D6" w14:textId="02161F36" w:rsidR="00346E17" w:rsidRPr="00346E17" w:rsidRDefault="00346E17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Please note that the kitchen can be accessed easily by a wheelchair, the units </w:t>
      </w:r>
      <w:r w:rsidR="001D2E88">
        <w:rPr>
          <w:rFonts w:ascii="Verdana" w:eastAsia="Times New Roman" w:hAnsi="Verdana" w:cs="Times New Roman"/>
          <w:kern w:val="0"/>
          <w:lang w:eastAsia="en-GB"/>
          <w14:ligatures w14:val="none"/>
        </w:rPr>
        <w:t>are low-level and can be accessed by wheelchair users.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The floor is l</w:t>
      </w:r>
      <w:r w:rsidR="001D2E88">
        <w:rPr>
          <w:rFonts w:ascii="Verdana" w:eastAsia="Times New Roman" w:hAnsi="Verdana" w:cs="Times New Roman"/>
          <w:kern w:val="0"/>
          <w:lang w:eastAsia="en-GB"/>
          <w14:ligatures w14:val="none"/>
        </w:rPr>
        <w:t>a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id with vinyl.</w:t>
      </w:r>
      <w:r w:rsidR="007973F7" w:rsidRPr="007973F7">
        <w:rPr>
          <w:rFonts w:ascii="Verdana" w:eastAsia="Times New Roman" w:hAnsi="Verdana" w:cs="Times New Roman"/>
          <w:noProof/>
          <w:kern w:val="0"/>
          <w:lang w:eastAsia="en-GB"/>
        </w:rPr>
        <w:t xml:space="preserve"> </w:t>
      </w:r>
    </w:p>
    <w:p w14:paraId="2CF000A9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Accessories provided include...</w:t>
      </w:r>
    </w:p>
    <w:p w14:paraId="65A0D02F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Microwave</w:t>
      </w:r>
    </w:p>
    <w:p w14:paraId="4ABF0595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Kettle</w:t>
      </w:r>
    </w:p>
    <w:p w14:paraId="1A45F763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Gas oven and hob</w:t>
      </w:r>
    </w:p>
    <w:p w14:paraId="72A9D288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Toaster</w:t>
      </w:r>
    </w:p>
    <w:p w14:paraId="58BAE50F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Slow cooker</w:t>
      </w:r>
    </w:p>
    <w:p w14:paraId="7FD86C46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Toastie maker</w:t>
      </w:r>
    </w:p>
    <w:p w14:paraId="2379ECB3" w14:textId="1F5E4DB9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Hand blender</w:t>
      </w:r>
    </w:p>
    <w:p w14:paraId="2A93FCCE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5C1AEEE" w14:textId="7865BA08" w:rsidR="00346E17" w:rsidRPr="00A501DF" w:rsidRDefault="001D2E88" w:rsidP="00A501DF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719EC568" wp14:editId="082862FC">
            <wp:extent cx="2948940" cy="2211868"/>
            <wp:effectExtent l="0" t="0" r="3810" b="0"/>
            <wp:docPr id="1497789792" name="Picture 20" descr="A kitchen with wood floors and cabine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89792" name="Picture 20" descr="A kitchen with wood floors and cabine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607" cy="221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49BD" w14:textId="77777777" w:rsidR="007973F7" w:rsidRDefault="007973F7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2A1F97D3" w14:textId="21408656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Lounge / Dining area</w:t>
      </w:r>
    </w:p>
    <w:p w14:paraId="4AF016A6" w14:textId="24FF88E6" w:rsidR="00346E17" w:rsidRPr="00346E17" w:rsidRDefault="00346E17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T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he dining room / living area is open plan with </w:t>
      </w:r>
      <w:r w:rsidR="007973F7">
        <w:rPr>
          <w:rFonts w:ascii="Verdana" w:eastAsia="Times New Roman" w:hAnsi="Verdana" w:cs="Times New Roman"/>
          <w:kern w:val="0"/>
          <w:lang w:eastAsia="en-GB"/>
          <w14:ligatures w14:val="none"/>
        </w:rPr>
        <w:t>low pile carpet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flooring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1467E990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proofErr w:type="gram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32 inch</w:t>
      </w:r>
      <w:proofErr w:type="gram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TV, DVD player, Bluetooth speaker and DAB radio. </w:t>
      </w:r>
    </w:p>
    <w:p w14:paraId="2254ADC3" w14:textId="2F20B260" w:rsidR="00346E17" w:rsidRP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2 seat sofa bed and a second 2 seat sofa. </w:t>
      </w:r>
    </w:p>
    <w:p w14:paraId="41CF1536" w14:textId="339B13A4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 xml:space="preserve">Dining table with 1 x </w:t>
      </w:r>
      <w:proofErr w:type="gram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2 seater</w:t>
      </w:r>
      <w:proofErr w:type="gram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bench seat, 2 dining chairs, 2 foo</w:t>
      </w:r>
      <w:r w:rsidR="00F61C1C">
        <w:rPr>
          <w:rFonts w:ascii="Verdana" w:eastAsia="Times New Roman" w:hAnsi="Verdana" w:cs="Times New Roman"/>
          <w:kern w:val="0"/>
          <w:lang w:eastAsia="en-GB"/>
          <w14:ligatures w14:val="none"/>
        </w:rPr>
        <w:t>t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stools and a wing back chair (0.5m/50cm/1 foot 8 inches from th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e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floor)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1CFBDD7C" w14:textId="77777777" w:rsidR="00A501DF" w:rsidRPr="00A501DF" w:rsidRDefault="00A501D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405D199" w14:textId="77777777" w:rsidR="00A501DF" w:rsidRDefault="00A501D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650F0B2B" w14:textId="77777777" w:rsidR="00F61C1C" w:rsidRDefault="00F61C1C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7C13CA47" w14:textId="77777777" w:rsidR="00F61C1C" w:rsidRDefault="00F61C1C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425281C" w14:textId="77777777" w:rsidR="00F61C1C" w:rsidRDefault="00F61C1C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E033C8D" w14:textId="77777777" w:rsidR="00F61C1C" w:rsidRDefault="00F61C1C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62F88A3" w14:textId="77777777" w:rsidR="00F61C1C" w:rsidRDefault="00F61C1C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9033319" w14:textId="77777777" w:rsidR="00F61C1C" w:rsidRDefault="00F61C1C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24AE56C" w14:textId="77777777" w:rsidR="00F61C1C" w:rsidRDefault="00F61C1C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FCF0D47" w14:textId="77777777" w:rsidR="00F61C1C" w:rsidRDefault="00F61C1C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6352FBF" w14:textId="77777777" w:rsidR="00F61C1C" w:rsidRPr="00A501DF" w:rsidRDefault="00F61C1C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593C8823" w14:textId="77777777" w:rsidR="00A501DF" w:rsidRPr="00A501DF" w:rsidRDefault="00A501D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612F99D8" w14:textId="77777777" w:rsidR="00A501DF" w:rsidRPr="00A501DF" w:rsidRDefault="00A501DF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5D134CA4" w14:textId="468115D6" w:rsidR="00A501DF" w:rsidRPr="00A501DF" w:rsidRDefault="00A501DF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lastRenderedPageBreak/>
        <w:t>Outside Storage box</w:t>
      </w:r>
    </w:p>
    <w:p w14:paraId="4F18D015" w14:textId="77777777" w:rsidR="00A501DF" w:rsidRPr="00A501DF" w:rsidRDefault="00A501DF" w:rsidP="00A501D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This houses the Oxford Midi 170 Hydraulic mobile hoist and beach wheelchair suitable for a child or small adult up to 65 Kg in weight.</w:t>
      </w:r>
    </w:p>
    <w:p w14:paraId="6B274806" w14:textId="49CE2582" w:rsidR="00A501DF" w:rsidRPr="00A501DF" w:rsidRDefault="00A501DF" w:rsidP="00A501D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We also have a size 1 and Size 2 Firefly /Goto seat for use in the beach wheelchair or around the </w:t>
      </w:r>
      <w:proofErr w:type="gramStart"/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caravan</w:t>
      </w:r>
      <w:proofErr w:type="gramEnd"/>
    </w:p>
    <w:p w14:paraId="5609FCDA" w14:textId="0481D68E" w:rsidR="00A501DF" w:rsidRDefault="00A501DF" w:rsidP="00A501D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Rotary Washing Line</w:t>
      </w:r>
    </w:p>
    <w:p w14:paraId="683D68B1" w14:textId="77777777" w:rsidR="00F61C1C" w:rsidRDefault="00F61C1C" w:rsidP="00A501D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165642DC" wp14:editId="2739577E">
            <wp:extent cx="2348865" cy="3131820"/>
            <wp:effectExtent l="0" t="0" r="0" b="0"/>
            <wp:docPr id="452899760" name="Picture 22" descr="A dog standing on a deck with a mobile ho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99760" name="Picture 22" descr="A dog standing on a deck with a mobile hois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Open Sans"/>
          <w:noProof/>
          <w:color w:val="1B1B1B"/>
          <w:shd w:val="clear" w:color="auto" w:fill="FFFFFF"/>
        </w:rPr>
        <w:drawing>
          <wp:inline distT="0" distB="0" distL="0" distR="0" wp14:anchorId="63B2EE23" wp14:editId="255E2189">
            <wp:extent cx="2308860" cy="3078564"/>
            <wp:effectExtent l="0" t="0" r="0" b="7620"/>
            <wp:docPr id="358375605" name="Picture 21" descr="A blue and white cart with white whee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75605" name="Picture 21" descr="A blue and white cart with white wheel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799" cy="309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2A29B" w14:textId="3D14F666" w:rsidR="00A501DF" w:rsidRPr="00A501DF" w:rsidRDefault="00A501DF" w:rsidP="00A501D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It can be, and has been, used for storing specialist breathing equipment and oxygen tanks, all sites are happy to receive on your behalf at reception ready for when you arrive. </w:t>
      </w:r>
    </w:p>
    <w:p w14:paraId="11940141" w14:textId="77777777" w:rsidR="00A501DF" w:rsidRDefault="00A501DF">
      <w:pPr>
        <w:rPr>
          <w:rFonts w:ascii="Verdana" w:hAnsi="Verdana"/>
          <w:b/>
          <w:bCs/>
        </w:rPr>
      </w:pPr>
    </w:p>
    <w:p w14:paraId="18AC8413" w14:textId="24E4A526" w:rsidR="00CE3F6F" w:rsidRDefault="00A501DF">
      <w:pPr>
        <w:rPr>
          <w:rFonts w:ascii="Verdana" w:hAnsi="Verdana"/>
          <w:b/>
          <w:bCs/>
        </w:rPr>
      </w:pPr>
      <w:r w:rsidRPr="00A501DF">
        <w:rPr>
          <w:rFonts w:ascii="Verdana" w:hAnsi="Verdana"/>
          <w:b/>
          <w:bCs/>
        </w:rPr>
        <w:t>Public Transport</w:t>
      </w:r>
    </w:p>
    <w:p w14:paraId="2B3A047E" w14:textId="77777777" w:rsidR="003955CB" w:rsidRPr="003955CB" w:rsidRDefault="003955CB" w:rsidP="003955CB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955CB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If arriving by public transport, </w:t>
      </w:r>
      <w:proofErr w:type="gramStart"/>
      <w:r w:rsidRPr="003955CB">
        <w:rPr>
          <w:rFonts w:ascii="Verdana" w:eastAsia="Times New Roman" w:hAnsi="Verdana" w:cs="Times New Roman"/>
          <w:kern w:val="0"/>
          <w:lang w:eastAsia="en-GB"/>
          <w14:ligatures w14:val="none"/>
        </w:rPr>
        <w:t>The</w:t>
      </w:r>
      <w:proofErr w:type="gramEnd"/>
      <w:r w:rsidRPr="003955CB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distance between Skegness Station and Chapel St Leonards is 2 miles. The number 1 bus run every 30 minutes with a stop just outside the site on South Road and takes around 30 minutes.</w:t>
      </w:r>
    </w:p>
    <w:p w14:paraId="7063DAEB" w14:textId="77777777" w:rsidR="00A501DF" w:rsidRDefault="00A501DF">
      <w:pPr>
        <w:rPr>
          <w:rFonts w:ascii="Verdana" w:hAnsi="Verdana" w:cs="Open Sans"/>
          <w:color w:val="1B1B1B"/>
          <w:shd w:val="clear" w:color="auto" w:fill="FFFFFF"/>
        </w:rPr>
      </w:pPr>
    </w:p>
    <w:p w14:paraId="3EBBEE80" w14:textId="7A3981F1" w:rsidR="00A501DF" w:rsidRDefault="00A501DF">
      <w:pPr>
        <w:rPr>
          <w:rFonts w:ascii="Verdana" w:hAnsi="Verdana" w:cs="Open Sans"/>
          <w:b/>
          <w:bCs/>
          <w:color w:val="1B1B1B"/>
          <w:shd w:val="clear" w:color="auto" w:fill="FFFFFF"/>
        </w:rPr>
      </w:pPr>
      <w:r w:rsidRPr="00A501DF">
        <w:rPr>
          <w:rFonts w:ascii="Verdana" w:hAnsi="Verdana" w:cs="Open Sans"/>
          <w:b/>
          <w:bCs/>
          <w:color w:val="1B1B1B"/>
          <w:shd w:val="clear" w:color="auto" w:fill="FFFFFF"/>
        </w:rPr>
        <w:t>Beach Access</w:t>
      </w:r>
    </w:p>
    <w:p w14:paraId="7D34510D" w14:textId="77777777" w:rsidR="003955CB" w:rsidRPr="003955CB" w:rsidRDefault="003955CB" w:rsidP="003955CB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955CB">
        <w:rPr>
          <w:rFonts w:ascii="Verdana" w:eastAsia="Times New Roman" w:hAnsi="Verdana" w:cs="Times New Roman"/>
          <w:kern w:val="0"/>
          <w:lang w:eastAsia="en-GB"/>
          <w14:ligatures w14:val="none"/>
        </w:rPr>
        <w:t>Chapel St Leonards probably provides the best access for the beach wheelchair, again no more than 10 minutes from our caravan and up a ramp to the long stretch of tarmac prom and easily accessed sand.</w:t>
      </w:r>
    </w:p>
    <w:p w14:paraId="1FEC01A2" w14:textId="77777777" w:rsidR="00F61C1C" w:rsidRDefault="00F61C1C">
      <w:pPr>
        <w:rPr>
          <w:rFonts w:ascii="Verdana" w:hAnsi="Verdana" w:cs="Open Sans"/>
          <w:b/>
          <w:bCs/>
          <w:color w:val="1B1B1B"/>
          <w:shd w:val="clear" w:color="auto" w:fill="FFFFFF"/>
        </w:rPr>
      </w:pPr>
    </w:p>
    <w:p w14:paraId="0EF7A3F5" w14:textId="7EABCD32" w:rsidR="00D94602" w:rsidRDefault="00D94602">
      <w:pPr>
        <w:rPr>
          <w:rFonts w:ascii="Verdana" w:hAnsi="Verdana" w:cs="Open Sans"/>
          <w:b/>
          <w:bCs/>
          <w:color w:val="1B1B1B"/>
          <w:shd w:val="clear" w:color="auto" w:fill="FFFFFF"/>
        </w:rPr>
      </w:pPr>
      <w:r w:rsidRPr="00D94602">
        <w:rPr>
          <w:rFonts w:ascii="Verdana" w:hAnsi="Verdana" w:cs="Open Sans"/>
          <w:b/>
          <w:bCs/>
          <w:color w:val="1B1B1B"/>
          <w:shd w:val="clear" w:color="auto" w:fill="FFFFFF"/>
        </w:rPr>
        <w:t>On Site Accessibility</w:t>
      </w:r>
    </w:p>
    <w:p w14:paraId="5EAB42F1" w14:textId="1AAEC16A" w:rsidR="00D94602" w:rsidRDefault="00F61C1C">
      <w:pPr>
        <w:rPr>
          <w:rFonts w:ascii="Verdana" w:hAnsi="Verdana" w:cs="Open Sans"/>
          <w:color w:val="1B1B1B"/>
          <w:shd w:val="clear" w:color="auto" w:fill="FFFFFF"/>
        </w:rPr>
      </w:pPr>
      <w:r>
        <w:rPr>
          <w:rFonts w:ascii="Verdana" w:hAnsi="Verdana" w:cs="Open Sans"/>
          <w:color w:val="1B1B1B"/>
          <w:shd w:val="clear" w:color="auto" w:fill="FFFFFF"/>
        </w:rPr>
        <w:t>Golden Palm Resort</w:t>
      </w:r>
      <w:r w:rsidR="00D94602" w:rsidRPr="00D94602">
        <w:rPr>
          <w:rFonts w:ascii="Verdana" w:hAnsi="Verdana" w:cs="Open Sans"/>
          <w:color w:val="1B1B1B"/>
          <w:shd w:val="clear" w:color="auto" w:fill="FFFFFF"/>
        </w:rPr>
        <w:t xml:space="preserve"> is a </w:t>
      </w:r>
      <w:proofErr w:type="gramStart"/>
      <w:r w:rsidR="00D94602" w:rsidRPr="00D94602">
        <w:rPr>
          <w:rFonts w:ascii="Verdana" w:hAnsi="Verdana" w:cs="Open Sans"/>
          <w:color w:val="1B1B1B"/>
          <w:shd w:val="clear" w:color="auto" w:fill="FFFFFF"/>
        </w:rPr>
        <w:t>fairly flat</w:t>
      </w:r>
      <w:proofErr w:type="gramEnd"/>
      <w:r w:rsidR="00D94602" w:rsidRPr="00D94602">
        <w:rPr>
          <w:rFonts w:ascii="Verdana" w:hAnsi="Verdana" w:cs="Open Sans"/>
          <w:color w:val="1B1B1B"/>
          <w:shd w:val="clear" w:color="auto" w:fill="FFFFFF"/>
        </w:rPr>
        <w:t xml:space="preserve"> site which generally caters well for wheelchair users. All shops, entertainment venue, pub and take away food outlets are fully accessible. The </w:t>
      </w:r>
      <w:r w:rsidR="0042656F">
        <w:rPr>
          <w:rFonts w:ascii="Verdana" w:hAnsi="Verdana" w:cs="Open Sans"/>
          <w:color w:val="1B1B1B"/>
          <w:shd w:val="clear" w:color="auto" w:fill="FFFFFF"/>
        </w:rPr>
        <w:t xml:space="preserve">indoor </w:t>
      </w:r>
      <w:r w:rsidR="00D94602" w:rsidRPr="00D94602">
        <w:rPr>
          <w:rFonts w:ascii="Verdana" w:hAnsi="Verdana" w:cs="Open Sans"/>
          <w:color w:val="1B1B1B"/>
          <w:shd w:val="clear" w:color="auto" w:fill="FFFFFF"/>
        </w:rPr>
        <w:t xml:space="preserve">swimming pool has </w:t>
      </w:r>
      <w:r>
        <w:rPr>
          <w:rFonts w:ascii="Verdana" w:hAnsi="Verdana" w:cs="Open Sans"/>
          <w:color w:val="1B1B1B"/>
          <w:shd w:val="clear" w:color="auto" w:fill="FFFFFF"/>
        </w:rPr>
        <w:t>chair</w:t>
      </w:r>
      <w:r w:rsidR="0042656F">
        <w:rPr>
          <w:rFonts w:ascii="Verdana" w:hAnsi="Verdana" w:cs="Open Sans"/>
          <w:color w:val="1B1B1B"/>
          <w:shd w:val="clear" w:color="auto" w:fill="FFFFFF"/>
        </w:rPr>
        <w:t xml:space="preserve"> hoist</w:t>
      </w:r>
      <w:r w:rsidR="00D94602" w:rsidRPr="00D94602">
        <w:rPr>
          <w:rFonts w:ascii="Verdana" w:hAnsi="Verdana" w:cs="Open Sans"/>
          <w:color w:val="1B1B1B"/>
          <w:shd w:val="clear" w:color="auto" w:fill="FFFFFF"/>
        </w:rPr>
        <w:t>, although the disabled changing facilities are quite limited.</w:t>
      </w:r>
    </w:p>
    <w:p w14:paraId="453D15FF" w14:textId="77777777" w:rsidR="00D94602" w:rsidRDefault="00D94602">
      <w:pPr>
        <w:rPr>
          <w:rFonts w:ascii="Verdana" w:hAnsi="Verdana" w:cs="Open Sans"/>
          <w:color w:val="1B1B1B"/>
          <w:shd w:val="clear" w:color="auto" w:fill="FFFFFF"/>
        </w:rPr>
      </w:pPr>
    </w:p>
    <w:p w14:paraId="33F7EAAC" w14:textId="3AA5E872" w:rsidR="00D94602" w:rsidRDefault="00D94602">
      <w:pPr>
        <w:rPr>
          <w:rFonts w:ascii="Verdana" w:hAnsi="Verdana" w:cs="Open Sans"/>
          <w:b/>
          <w:bCs/>
          <w:color w:val="1B1B1B"/>
          <w:shd w:val="clear" w:color="auto" w:fill="FFFFFF"/>
        </w:rPr>
      </w:pPr>
      <w:r w:rsidRPr="00D94602">
        <w:rPr>
          <w:rFonts w:ascii="Verdana" w:hAnsi="Verdana" w:cs="Open Sans"/>
          <w:b/>
          <w:bCs/>
          <w:color w:val="1B1B1B"/>
          <w:shd w:val="clear" w:color="auto" w:fill="FFFFFF"/>
        </w:rPr>
        <w:t>Accessible attractions</w:t>
      </w:r>
    </w:p>
    <w:p w14:paraId="707ED22F" w14:textId="7F351301" w:rsidR="00A501DF" w:rsidRDefault="00D94602">
      <w:pPr>
        <w:rPr>
          <w:rStyle w:val="Hyperlink"/>
        </w:rPr>
      </w:pPr>
      <w:r w:rsidRPr="00D94602">
        <w:rPr>
          <w:rFonts w:ascii="Verdana" w:hAnsi="Verdana" w:cs="Open Sans"/>
          <w:color w:val="1B1B1B"/>
          <w:shd w:val="clear" w:color="auto" w:fill="FFFFFF"/>
        </w:rPr>
        <w:t xml:space="preserve">A range of accessible attractions and places to visit </w:t>
      </w:r>
      <w:r w:rsidR="00E26284">
        <w:rPr>
          <w:rFonts w:ascii="Verdana" w:hAnsi="Verdana" w:cs="Open Sans"/>
          <w:color w:val="1B1B1B"/>
          <w:shd w:val="clear" w:color="auto" w:fill="FFFFFF"/>
        </w:rPr>
        <w:t>can be found here…</w:t>
      </w:r>
      <w:r w:rsidR="00E26284" w:rsidRPr="00E26284">
        <w:t xml:space="preserve"> </w:t>
      </w:r>
      <w:hyperlink r:id="rId13" w:history="1">
        <w:r w:rsidR="00E26284">
          <w:rPr>
            <w:rStyle w:val="Hyperlink"/>
          </w:rPr>
          <w:t xml:space="preserve">Wheelchair accessible things to do in Skegness near me | </w:t>
        </w:r>
        <w:proofErr w:type="spellStart"/>
        <w:r w:rsidR="00E26284">
          <w:rPr>
            <w:rStyle w:val="Hyperlink"/>
          </w:rPr>
          <w:t>VisitRevisit</w:t>
        </w:r>
        <w:proofErr w:type="spellEnd"/>
      </w:hyperlink>
    </w:p>
    <w:p w14:paraId="4936F258" w14:textId="693A1704" w:rsidR="00555010" w:rsidRDefault="00555010">
      <w:pPr>
        <w:rPr>
          <w:rStyle w:val="Hyperlink"/>
        </w:rPr>
      </w:pPr>
    </w:p>
    <w:p w14:paraId="1AC32C7A" w14:textId="1F18EA17" w:rsidR="00555010" w:rsidRDefault="005550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Changing Places Nearby</w:t>
      </w:r>
    </w:p>
    <w:p w14:paraId="610DA383" w14:textId="306B746C" w:rsidR="00555010" w:rsidRPr="00555010" w:rsidRDefault="00555010" w:rsidP="0055501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555010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 xml:space="preserve">Tower Gardens Community Centre </w:t>
      </w:r>
    </w:p>
    <w:p w14:paraId="6346B6D9" w14:textId="77777777" w:rsidR="00555010" w:rsidRPr="00555010" w:rsidRDefault="00555010" w:rsidP="0055501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555010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Tower Gardens Pavilion</w:t>
      </w:r>
    </w:p>
    <w:p w14:paraId="2AE19001" w14:textId="77777777" w:rsidR="00555010" w:rsidRPr="00555010" w:rsidRDefault="00555010" w:rsidP="0055501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555010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Skegness</w:t>
      </w:r>
    </w:p>
    <w:p w14:paraId="2A5E42CB" w14:textId="77777777" w:rsidR="00555010" w:rsidRPr="00555010" w:rsidRDefault="00555010" w:rsidP="0055501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555010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Lincolnshire</w:t>
      </w:r>
    </w:p>
    <w:p w14:paraId="7D3523B5" w14:textId="77777777" w:rsidR="00555010" w:rsidRPr="00555010" w:rsidRDefault="00555010" w:rsidP="0055501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555010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PE25 2AX</w:t>
      </w:r>
    </w:p>
    <w:p w14:paraId="7AA7DF45" w14:textId="77777777" w:rsidR="00555010" w:rsidRPr="00555010" w:rsidRDefault="00555010" w:rsidP="0055501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555010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United Kingdom</w:t>
      </w:r>
    </w:p>
    <w:p w14:paraId="3E048395" w14:textId="77777777" w:rsidR="00555010" w:rsidRPr="00555010" w:rsidRDefault="00555010">
      <w:pPr>
        <w:rPr>
          <w:rFonts w:ascii="Verdana" w:hAnsi="Verdana"/>
          <w:b/>
          <w:bCs/>
        </w:rPr>
      </w:pPr>
    </w:p>
    <w:sectPr w:rsidR="00555010" w:rsidRPr="00555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ECD"/>
    <w:multiLevelType w:val="multilevel"/>
    <w:tmpl w:val="E4A8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50C3A"/>
    <w:multiLevelType w:val="multilevel"/>
    <w:tmpl w:val="7940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F0B75"/>
    <w:multiLevelType w:val="multilevel"/>
    <w:tmpl w:val="727C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26330"/>
    <w:multiLevelType w:val="multilevel"/>
    <w:tmpl w:val="C56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268AB"/>
    <w:multiLevelType w:val="multilevel"/>
    <w:tmpl w:val="56A8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F689B"/>
    <w:multiLevelType w:val="multilevel"/>
    <w:tmpl w:val="B370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B28EB"/>
    <w:multiLevelType w:val="multilevel"/>
    <w:tmpl w:val="1466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43590"/>
    <w:multiLevelType w:val="multilevel"/>
    <w:tmpl w:val="24FC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E39CF"/>
    <w:multiLevelType w:val="multilevel"/>
    <w:tmpl w:val="DC24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D37B0"/>
    <w:multiLevelType w:val="multilevel"/>
    <w:tmpl w:val="21BC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C1507"/>
    <w:multiLevelType w:val="multilevel"/>
    <w:tmpl w:val="D5BC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5643"/>
    <w:multiLevelType w:val="multilevel"/>
    <w:tmpl w:val="3A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01949"/>
    <w:multiLevelType w:val="multilevel"/>
    <w:tmpl w:val="9674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BA41D3"/>
    <w:multiLevelType w:val="multilevel"/>
    <w:tmpl w:val="EF4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26883"/>
    <w:multiLevelType w:val="multilevel"/>
    <w:tmpl w:val="6538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C3E2A"/>
    <w:multiLevelType w:val="multilevel"/>
    <w:tmpl w:val="0842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02792B"/>
    <w:multiLevelType w:val="multilevel"/>
    <w:tmpl w:val="5EFC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C26AA0"/>
    <w:multiLevelType w:val="multilevel"/>
    <w:tmpl w:val="82B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331E4"/>
    <w:multiLevelType w:val="multilevel"/>
    <w:tmpl w:val="8E5A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080831"/>
    <w:multiLevelType w:val="multilevel"/>
    <w:tmpl w:val="C92A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8F7BC1"/>
    <w:multiLevelType w:val="multilevel"/>
    <w:tmpl w:val="C984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614AB4"/>
    <w:multiLevelType w:val="multilevel"/>
    <w:tmpl w:val="465A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4165376">
    <w:abstractNumId w:val="20"/>
  </w:num>
  <w:num w:numId="2" w16cid:durableId="393049383">
    <w:abstractNumId w:val="3"/>
  </w:num>
  <w:num w:numId="3" w16cid:durableId="18512050">
    <w:abstractNumId w:val="15"/>
  </w:num>
  <w:num w:numId="4" w16cid:durableId="1590383809">
    <w:abstractNumId w:val="16"/>
  </w:num>
  <w:num w:numId="5" w16cid:durableId="1459254454">
    <w:abstractNumId w:val="4"/>
  </w:num>
  <w:num w:numId="6" w16cid:durableId="427116411">
    <w:abstractNumId w:val="1"/>
  </w:num>
  <w:num w:numId="7" w16cid:durableId="1383938806">
    <w:abstractNumId w:val="8"/>
  </w:num>
  <w:num w:numId="8" w16cid:durableId="1503469388">
    <w:abstractNumId w:val="19"/>
  </w:num>
  <w:num w:numId="9" w16cid:durableId="1578975003">
    <w:abstractNumId w:val="0"/>
  </w:num>
  <w:num w:numId="10" w16cid:durableId="1885209906">
    <w:abstractNumId w:val="6"/>
  </w:num>
  <w:num w:numId="11" w16cid:durableId="999231896">
    <w:abstractNumId w:val="9"/>
  </w:num>
  <w:num w:numId="12" w16cid:durableId="285308821">
    <w:abstractNumId w:val="5"/>
  </w:num>
  <w:num w:numId="13" w16cid:durableId="339544630">
    <w:abstractNumId w:val="14"/>
  </w:num>
  <w:num w:numId="14" w16cid:durableId="1038624348">
    <w:abstractNumId w:val="17"/>
  </w:num>
  <w:num w:numId="15" w16cid:durableId="1258976455">
    <w:abstractNumId w:val="18"/>
  </w:num>
  <w:num w:numId="16" w16cid:durableId="472988458">
    <w:abstractNumId w:val="11"/>
  </w:num>
  <w:num w:numId="17" w16cid:durableId="436994319">
    <w:abstractNumId w:val="10"/>
  </w:num>
  <w:num w:numId="18" w16cid:durableId="368796569">
    <w:abstractNumId w:val="12"/>
  </w:num>
  <w:num w:numId="19" w16cid:durableId="1040475627">
    <w:abstractNumId w:val="13"/>
  </w:num>
  <w:num w:numId="20" w16cid:durableId="1240603561">
    <w:abstractNumId w:val="21"/>
  </w:num>
  <w:num w:numId="21" w16cid:durableId="126709644">
    <w:abstractNumId w:val="2"/>
  </w:num>
  <w:num w:numId="22" w16cid:durableId="1926645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6F"/>
    <w:rsid w:val="001D2E88"/>
    <w:rsid w:val="00346E17"/>
    <w:rsid w:val="003955CB"/>
    <w:rsid w:val="0042656F"/>
    <w:rsid w:val="004470D6"/>
    <w:rsid w:val="004720CD"/>
    <w:rsid w:val="00555010"/>
    <w:rsid w:val="007973F7"/>
    <w:rsid w:val="00A501DF"/>
    <w:rsid w:val="00AF5609"/>
    <w:rsid w:val="00CE3F6F"/>
    <w:rsid w:val="00D94602"/>
    <w:rsid w:val="00E26284"/>
    <w:rsid w:val="00F6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17F5"/>
  <w15:chartTrackingRefBased/>
  <w15:docId w15:val="{68847F83-0C63-4621-AD6D-649B263C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-draftstyledefault-unorderedlistitem">
    <w:name w:val="public-draftstyledefault-unorderedlistitem"/>
    <w:basedOn w:val="Normal"/>
    <w:rsid w:val="00CE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501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0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2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7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visitrevisit.co.uk/things-to-do/england/east-midlands/lincolnshire/skegness/wheelcha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steve@holisticthinkingholidays.co.uk</dc:creator>
  <cp:keywords/>
  <dc:description/>
  <cp:lastModifiedBy>steve@holisticthinkingholidays.co.uk</cp:lastModifiedBy>
  <cp:revision>5</cp:revision>
  <dcterms:created xsi:type="dcterms:W3CDTF">2023-09-17T21:57:00Z</dcterms:created>
  <dcterms:modified xsi:type="dcterms:W3CDTF">2023-09-17T23:22:00Z</dcterms:modified>
</cp:coreProperties>
</file>