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178" w:type="dxa"/>
        <w:jc w:val="center"/>
        <w:tblLook w:val="04A0" w:firstRow="1" w:lastRow="0" w:firstColumn="1" w:lastColumn="0" w:noHBand="0" w:noVBand="1"/>
      </w:tblPr>
      <w:tblGrid>
        <w:gridCol w:w="1870"/>
        <w:gridCol w:w="2246"/>
        <w:gridCol w:w="2542"/>
        <w:gridCol w:w="6520"/>
      </w:tblGrid>
      <w:tr w:rsidR="001633F1" w:rsidRPr="001633F1" w14:paraId="204C0092" w14:textId="05BC1A9A" w:rsidTr="00C425FA">
        <w:trPr>
          <w:jc w:val="center"/>
        </w:trPr>
        <w:tc>
          <w:tcPr>
            <w:tcW w:w="1870" w:type="dxa"/>
          </w:tcPr>
          <w:p w14:paraId="44C3FB2B" w14:textId="6443248C" w:rsidR="001C2D0A" w:rsidRPr="001633F1" w:rsidRDefault="001C2D0A" w:rsidP="009B4B0A">
            <w:pPr>
              <w:rPr>
                <w:rFonts w:ascii="Tw Cen MT" w:hAnsi="Tw Cen MT"/>
                <w:b/>
                <w:bCs/>
                <w:color w:val="156082" w:themeColor="accent1"/>
              </w:rPr>
            </w:pPr>
            <w:r w:rsidRPr="001633F1">
              <w:rPr>
                <w:rFonts w:ascii="Tw Cen MT" w:hAnsi="Tw Cen MT"/>
                <w:b/>
                <w:bCs/>
                <w:color w:val="156082" w:themeColor="accent1"/>
              </w:rPr>
              <w:t>Pillar</w:t>
            </w:r>
          </w:p>
        </w:tc>
        <w:tc>
          <w:tcPr>
            <w:tcW w:w="2246" w:type="dxa"/>
          </w:tcPr>
          <w:p w14:paraId="2D878C72" w14:textId="209B41B9" w:rsidR="001C2D0A" w:rsidRPr="001633F1" w:rsidRDefault="001C2D0A" w:rsidP="009B4B0A">
            <w:pPr>
              <w:rPr>
                <w:rFonts w:ascii="Tw Cen MT" w:hAnsi="Tw Cen MT"/>
                <w:b/>
                <w:bCs/>
                <w:color w:val="156082" w:themeColor="accent1"/>
              </w:rPr>
            </w:pPr>
            <w:r w:rsidRPr="001633F1">
              <w:rPr>
                <w:rFonts w:ascii="Tw Cen MT" w:hAnsi="Tw Cen MT"/>
                <w:b/>
                <w:bCs/>
                <w:color w:val="156082" w:themeColor="accent1"/>
              </w:rPr>
              <w:t>Focus</w:t>
            </w:r>
          </w:p>
        </w:tc>
        <w:tc>
          <w:tcPr>
            <w:tcW w:w="2542" w:type="dxa"/>
          </w:tcPr>
          <w:p w14:paraId="4423B380" w14:textId="7FD3110F" w:rsidR="001C2D0A" w:rsidRPr="001633F1" w:rsidRDefault="001C2D0A" w:rsidP="009B4B0A">
            <w:pPr>
              <w:rPr>
                <w:rFonts w:ascii="Tw Cen MT" w:hAnsi="Tw Cen MT"/>
                <w:b/>
                <w:bCs/>
                <w:color w:val="156082" w:themeColor="accent1"/>
              </w:rPr>
            </w:pPr>
            <w:r w:rsidRPr="001633F1">
              <w:rPr>
                <w:rFonts w:ascii="Tw Cen MT" w:hAnsi="Tw Cen MT"/>
                <w:b/>
                <w:bCs/>
                <w:color w:val="156082" w:themeColor="accent1"/>
              </w:rPr>
              <w:t>Practices</w:t>
            </w:r>
          </w:p>
        </w:tc>
        <w:tc>
          <w:tcPr>
            <w:tcW w:w="6520" w:type="dxa"/>
          </w:tcPr>
          <w:p w14:paraId="1C554796" w14:textId="677A3608" w:rsidR="001C2D0A" w:rsidRPr="001633F1" w:rsidRDefault="001C2D0A" w:rsidP="009B4B0A">
            <w:pPr>
              <w:rPr>
                <w:rFonts w:ascii="Tw Cen MT" w:hAnsi="Tw Cen MT"/>
                <w:b/>
                <w:bCs/>
                <w:color w:val="156082" w:themeColor="accent1"/>
              </w:rPr>
            </w:pPr>
            <w:r w:rsidRPr="001633F1">
              <w:rPr>
                <w:rFonts w:ascii="Tw Cen MT" w:hAnsi="Tw Cen MT"/>
                <w:b/>
                <w:bCs/>
                <w:color w:val="156082" w:themeColor="accent1"/>
              </w:rPr>
              <w:t xml:space="preserve">Example </w:t>
            </w:r>
          </w:p>
        </w:tc>
      </w:tr>
      <w:tr w:rsidR="001633F1" w:rsidRPr="001633F1" w14:paraId="2F5F13ED" w14:textId="0EA7FD78" w:rsidTr="00C425FA">
        <w:trPr>
          <w:jc w:val="center"/>
        </w:trPr>
        <w:tc>
          <w:tcPr>
            <w:tcW w:w="1870" w:type="dxa"/>
          </w:tcPr>
          <w:p w14:paraId="1B67B197" w14:textId="08B4CE88" w:rsidR="001C2D0A" w:rsidRPr="00453193" w:rsidRDefault="001C2D0A" w:rsidP="009B4B0A">
            <w:pPr>
              <w:rPr>
                <w:rFonts w:ascii="Tw Cen MT" w:hAnsi="Tw Cen MT"/>
                <w:b/>
                <w:bCs/>
                <w:color w:val="156082" w:themeColor="accent1"/>
              </w:rPr>
            </w:pPr>
            <w:r w:rsidRPr="00453193">
              <w:rPr>
                <w:rFonts w:ascii="Tw Cen MT" w:hAnsi="Tw Cen MT"/>
                <w:b/>
                <w:bCs/>
                <w:color w:val="156082" w:themeColor="accent1"/>
              </w:rPr>
              <w:t>Positive emotions</w:t>
            </w:r>
          </w:p>
        </w:tc>
        <w:tc>
          <w:tcPr>
            <w:tcW w:w="2246" w:type="dxa"/>
          </w:tcPr>
          <w:p w14:paraId="7414BD6D" w14:textId="46EFC316" w:rsidR="001C2D0A" w:rsidRPr="001633F1" w:rsidRDefault="001C2D0A" w:rsidP="009B4B0A">
            <w:pPr>
              <w:rPr>
                <w:rFonts w:ascii="Tw Cen MT" w:hAnsi="Tw Cen MT"/>
                <w:color w:val="156082" w:themeColor="accent1"/>
              </w:rPr>
            </w:pPr>
            <w:r w:rsidRPr="001633F1">
              <w:rPr>
                <w:rFonts w:ascii="Tw Cen MT" w:hAnsi="Tw Cen MT"/>
                <w:color w:val="156082" w:themeColor="accent1"/>
              </w:rPr>
              <w:t>Cultivating positive emotions e.g. joy, gratitude, optimism, pride, contentment.</w:t>
            </w:r>
          </w:p>
        </w:tc>
        <w:tc>
          <w:tcPr>
            <w:tcW w:w="2542" w:type="dxa"/>
          </w:tcPr>
          <w:p w14:paraId="651E6106" w14:textId="77777777" w:rsidR="001C2D0A" w:rsidRPr="001633F1" w:rsidRDefault="001C2D0A" w:rsidP="009B4B0A">
            <w:pPr>
              <w:rPr>
                <w:rFonts w:ascii="Tw Cen MT" w:hAnsi="Tw Cen MT"/>
                <w:b/>
                <w:bCs/>
                <w:color w:val="156082" w:themeColor="accent1"/>
              </w:rPr>
            </w:pPr>
            <w:r w:rsidRPr="001633F1">
              <w:rPr>
                <w:rFonts w:ascii="Tw Cen MT" w:hAnsi="Tw Cen MT"/>
                <w:b/>
                <w:bCs/>
                <w:color w:val="156082" w:themeColor="accent1"/>
              </w:rPr>
              <w:t>Dialling up positivity</w:t>
            </w:r>
          </w:p>
          <w:p w14:paraId="5CDA13BB" w14:textId="77777777" w:rsidR="001C2D0A" w:rsidRPr="001633F1" w:rsidRDefault="001C2D0A" w:rsidP="009B4B0A">
            <w:pPr>
              <w:rPr>
                <w:rFonts w:ascii="Tw Cen MT" w:hAnsi="Tw Cen MT"/>
                <w:color w:val="156082" w:themeColor="accent1"/>
              </w:rPr>
            </w:pPr>
            <w:r w:rsidRPr="001633F1">
              <w:rPr>
                <w:rFonts w:ascii="Tw Cen MT" w:hAnsi="Tw Cen MT"/>
                <w:color w:val="156082" w:themeColor="accent1"/>
              </w:rPr>
              <w:t>Dialling down negativity</w:t>
            </w:r>
          </w:p>
          <w:p w14:paraId="20E5B876" w14:textId="77777777" w:rsidR="001C2D0A" w:rsidRPr="001633F1" w:rsidRDefault="001C2D0A" w:rsidP="009B4B0A">
            <w:pPr>
              <w:rPr>
                <w:rFonts w:ascii="Tw Cen MT" w:hAnsi="Tw Cen MT"/>
                <w:color w:val="156082" w:themeColor="accent1"/>
              </w:rPr>
            </w:pPr>
            <w:r w:rsidRPr="001633F1">
              <w:rPr>
                <w:rFonts w:ascii="Tw Cen MT" w:hAnsi="Tw Cen MT"/>
                <w:color w:val="156082" w:themeColor="accent1"/>
              </w:rPr>
              <w:t>Practicing kindness</w:t>
            </w:r>
          </w:p>
          <w:p w14:paraId="6B877DB6" w14:textId="77777777" w:rsidR="001C2D0A" w:rsidRPr="001633F1" w:rsidRDefault="001C2D0A" w:rsidP="009B4B0A">
            <w:pPr>
              <w:rPr>
                <w:rFonts w:ascii="Tw Cen MT" w:hAnsi="Tw Cen MT"/>
                <w:color w:val="156082" w:themeColor="accent1"/>
              </w:rPr>
            </w:pPr>
            <w:r w:rsidRPr="001633F1">
              <w:rPr>
                <w:rFonts w:ascii="Tw Cen MT" w:hAnsi="Tw Cen MT"/>
                <w:color w:val="156082" w:themeColor="accent1"/>
              </w:rPr>
              <w:t>Cultivating gratitude</w:t>
            </w:r>
          </w:p>
          <w:p w14:paraId="52961410" w14:textId="77777777" w:rsidR="001C2D0A" w:rsidRPr="001633F1" w:rsidRDefault="001C2D0A" w:rsidP="009B4B0A">
            <w:pPr>
              <w:rPr>
                <w:rFonts w:ascii="Tw Cen MT" w:hAnsi="Tw Cen MT"/>
                <w:color w:val="156082" w:themeColor="accent1"/>
              </w:rPr>
            </w:pPr>
            <w:r w:rsidRPr="001633F1">
              <w:rPr>
                <w:rFonts w:ascii="Tw Cen MT" w:hAnsi="Tw Cen MT"/>
                <w:color w:val="156082" w:themeColor="accent1"/>
              </w:rPr>
              <w:t>Savouring the good</w:t>
            </w:r>
          </w:p>
          <w:p w14:paraId="17AED5BE" w14:textId="1DFA77CA" w:rsidR="001C2D0A" w:rsidRPr="001633F1" w:rsidRDefault="001C2D0A" w:rsidP="009B4B0A">
            <w:pPr>
              <w:rPr>
                <w:rFonts w:ascii="Tw Cen MT" w:hAnsi="Tw Cen MT"/>
                <w:color w:val="156082" w:themeColor="accent1"/>
              </w:rPr>
            </w:pPr>
            <w:r w:rsidRPr="001633F1">
              <w:rPr>
                <w:rFonts w:ascii="Tw Cen MT" w:hAnsi="Tw Cen MT"/>
                <w:color w:val="156082" w:themeColor="accent1"/>
              </w:rPr>
              <w:t>Getting comfortably uncomfortable</w:t>
            </w:r>
          </w:p>
        </w:tc>
        <w:tc>
          <w:tcPr>
            <w:tcW w:w="6520" w:type="dxa"/>
          </w:tcPr>
          <w:p w14:paraId="5DB38C01" w14:textId="0D4CAE56" w:rsidR="001C2D0A" w:rsidRPr="001633F1" w:rsidRDefault="001633F1" w:rsidP="009B4B0A">
            <w:pPr>
              <w:rPr>
                <w:rFonts w:ascii="Tw Cen MT" w:hAnsi="Tw Cen MT"/>
                <w:color w:val="156082" w:themeColor="accent1"/>
              </w:rPr>
            </w:pPr>
            <w:r w:rsidRPr="001633F1">
              <w:rPr>
                <w:rFonts w:ascii="Tw Cen MT" w:hAnsi="Tw Cen MT"/>
                <w:b/>
                <w:bCs/>
                <w:color w:val="156082" w:themeColor="accent1"/>
              </w:rPr>
              <w:t>Jolts of Joy</w:t>
            </w:r>
            <w:r w:rsidRPr="001633F1">
              <w:rPr>
                <w:rFonts w:ascii="Tw Cen MT" w:hAnsi="Tw Cen MT"/>
                <w:color w:val="156082" w:themeColor="accent1"/>
              </w:rPr>
              <w:t xml:space="preserve"> – Write down five jolts of joy (things that genuinely bring a smile to your face) that you can quickly reach for when you need to inject some heartfelt positivity. Examples include a favourite song, YouTube clip, poetry etc. When you feel negativity narrowing in reach for a jolt of joy and see how your brain responds. </w:t>
            </w:r>
          </w:p>
        </w:tc>
      </w:tr>
      <w:tr w:rsidR="001633F1" w:rsidRPr="001633F1" w14:paraId="3A129E78" w14:textId="4C0EF108" w:rsidTr="00C425FA">
        <w:trPr>
          <w:jc w:val="center"/>
        </w:trPr>
        <w:tc>
          <w:tcPr>
            <w:tcW w:w="1870" w:type="dxa"/>
          </w:tcPr>
          <w:p w14:paraId="45B316B0" w14:textId="1E51DD07" w:rsidR="001C2D0A" w:rsidRPr="00453193" w:rsidRDefault="001C2D0A" w:rsidP="009B4B0A">
            <w:pPr>
              <w:rPr>
                <w:rFonts w:ascii="Tw Cen MT" w:hAnsi="Tw Cen MT"/>
                <w:b/>
                <w:bCs/>
                <w:color w:val="156082" w:themeColor="accent1"/>
              </w:rPr>
            </w:pPr>
            <w:r w:rsidRPr="00453193">
              <w:rPr>
                <w:rFonts w:ascii="Tw Cen MT" w:hAnsi="Tw Cen MT"/>
                <w:b/>
                <w:bCs/>
                <w:color w:val="156082" w:themeColor="accent1"/>
              </w:rPr>
              <w:t>Engagement</w:t>
            </w:r>
          </w:p>
        </w:tc>
        <w:tc>
          <w:tcPr>
            <w:tcW w:w="2246" w:type="dxa"/>
          </w:tcPr>
          <w:p w14:paraId="027A262C" w14:textId="586C42FA" w:rsidR="001C2D0A" w:rsidRPr="001633F1" w:rsidRDefault="001C2D0A" w:rsidP="009B4B0A">
            <w:pPr>
              <w:rPr>
                <w:rFonts w:ascii="Tw Cen MT" w:hAnsi="Tw Cen MT"/>
                <w:color w:val="156082" w:themeColor="accent1"/>
              </w:rPr>
            </w:pPr>
            <w:r w:rsidRPr="001633F1">
              <w:rPr>
                <w:rFonts w:ascii="Tw Cen MT" w:hAnsi="Tw Cen MT"/>
                <w:color w:val="156082" w:themeColor="accent1"/>
              </w:rPr>
              <w:t>Fostering employee engagement and involvement.</w:t>
            </w:r>
          </w:p>
        </w:tc>
        <w:tc>
          <w:tcPr>
            <w:tcW w:w="2542" w:type="dxa"/>
          </w:tcPr>
          <w:p w14:paraId="51B4D2D5" w14:textId="77777777" w:rsidR="001C2D0A" w:rsidRPr="001633F1" w:rsidRDefault="001C2D0A" w:rsidP="009B4B0A">
            <w:pPr>
              <w:rPr>
                <w:rFonts w:ascii="Tw Cen MT" w:hAnsi="Tw Cen MT"/>
                <w:color w:val="156082" w:themeColor="accent1"/>
              </w:rPr>
            </w:pPr>
            <w:r w:rsidRPr="001633F1">
              <w:rPr>
                <w:rFonts w:ascii="Tw Cen MT" w:hAnsi="Tw Cen MT"/>
                <w:color w:val="156082" w:themeColor="accent1"/>
              </w:rPr>
              <w:t>Discovering strengths</w:t>
            </w:r>
          </w:p>
          <w:p w14:paraId="7996D599" w14:textId="59258313" w:rsidR="001C2D0A" w:rsidRPr="001633F1" w:rsidRDefault="001C2D0A" w:rsidP="009B4B0A">
            <w:pPr>
              <w:rPr>
                <w:rFonts w:ascii="Tw Cen MT" w:hAnsi="Tw Cen MT"/>
                <w:color w:val="156082" w:themeColor="accent1"/>
              </w:rPr>
            </w:pPr>
            <w:r w:rsidRPr="001633F1">
              <w:rPr>
                <w:rFonts w:ascii="Tw Cen MT" w:hAnsi="Tw Cen MT"/>
                <w:color w:val="156082" w:themeColor="accent1"/>
              </w:rPr>
              <w:t>Developing strengths</w:t>
            </w:r>
          </w:p>
          <w:p w14:paraId="5EA6838C" w14:textId="77777777" w:rsidR="001C2D0A" w:rsidRPr="00010151" w:rsidRDefault="001C2D0A" w:rsidP="009B4B0A">
            <w:pPr>
              <w:rPr>
                <w:rFonts w:ascii="Tw Cen MT" w:hAnsi="Tw Cen MT"/>
                <w:b/>
                <w:bCs/>
                <w:color w:val="156082" w:themeColor="accent1"/>
              </w:rPr>
            </w:pPr>
            <w:r w:rsidRPr="00010151">
              <w:rPr>
                <w:rFonts w:ascii="Tw Cen MT" w:hAnsi="Tw Cen MT"/>
                <w:b/>
                <w:bCs/>
                <w:color w:val="156082" w:themeColor="accent1"/>
              </w:rPr>
              <w:t>Creating moments of flow</w:t>
            </w:r>
          </w:p>
          <w:p w14:paraId="68C9B5F4" w14:textId="77777777" w:rsidR="001C2D0A" w:rsidRPr="001633F1" w:rsidRDefault="001C2D0A" w:rsidP="009B4B0A">
            <w:pPr>
              <w:rPr>
                <w:rFonts w:ascii="Tw Cen MT" w:hAnsi="Tw Cen MT"/>
                <w:color w:val="156082" w:themeColor="accent1"/>
              </w:rPr>
            </w:pPr>
            <w:r w:rsidRPr="001633F1">
              <w:rPr>
                <w:rFonts w:ascii="Tw Cen MT" w:hAnsi="Tw Cen MT"/>
                <w:color w:val="156082" w:themeColor="accent1"/>
              </w:rPr>
              <w:t>Being mindful</w:t>
            </w:r>
          </w:p>
          <w:p w14:paraId="6D8C46E2" w14:textId="2578DC4B" w:rsidR="001C2D0A" w:rsidRPr="001633F1" w:rsidRDefault="001C2D0A" w:rsidP="009B4B0A">
            <w:pPr>
              <w:rPr>
                <w:rFonts w:ascii="Tw Cen MT" w:hAnsi="Tw Cen MT"/>
                <w:color w:val="156082" w:themeColor="accent1"/>
              </w:rPr>
            </w:pPr>
            <w:r w:rsidRPr="001633F1">
              <w:rPr>
                <w:rFonts w:ascii="Tw Cen MT" w:hAnsi="Tw Cen MT"/>
                <w:color w:val="156082" w:themeColor="accent1"/>
              </w:rPr>
              <w:t>Staying playful</w:t>
            </w:r>
          </w:p>
        </w:tc>
        <w:tc>
          <w:tcPr>
            <w:tcW w:w="6520" w:type="dxa"/>
          </w:tcPr>
          <w:p w14:paraId="7441A49B" w14:textId="14A6E3FF" w:rsidR="001C2D0A" w:rsidRPr="001633F1" w:rsidRDefault="00010151" w:rsidP="009B4B0A">
            <w:pPr>
              <w:rPr>
                <w:rFonts w:ascii="Tw Cen MT" w:hAnsi="Tw Cen MT"/>
                <w:color w:val="156082" w:themeColor="accent1"/>
              </w:rPr>
            </w:pPr>
            <w:r w:rsidRPr="00010151">
              <w:rPr>
                <w:rFonts w:ascii="Tw Cen MT" w:hAnsi="Tw Cen MT"/>
                <w:b/>
                <w:bCs/>
                <w:color w:val="156082" w:themeColor="accent1"/>
              </w:rPr>
              <w:t>Best Possible Self</w:t>
            </w:r>
            <w:r>
              <w:rPr>
                <w:rFonts w:ascii="Tw Cen MT" w:hAnsi="Tw Cen MT"/>
                <w:color w:val="156082" w:themeColor="accent1"/>
              </w:rPr>
              <w:t xml:space="preserve"> – Spend 15/20 mins journalling in a stream of consciousness what might be possible in the next year if you operate at your best. Do not overthink it or edit </w:t>
            </w:r>
            <w:r w:rsidR="009D36FD">
              <w:rPr>
                <w:rFonts w:ascii="Tw Cen MT" w:hAnsi="Tw Cen MT"/>
                <w:color w:val="156082" w:themeColor="accent1"/>
              </w:rPr>
              <w:t>it</w:t>
            </w:r>
            <w:r>
              <w:rPr>
                <w:rFonts w:ascii="Tw Cen MT" w:hAnsi="Tw Cen MT"/>
                <w:color w:val="156082" w:themeColor="accent1"/>
              </w:rPr>
              <w:t xml:space="preserve">. Repeat the exercise for 3 days in a row before reviewing it for themes that generated the most energy/hope. Think about how to start making these a reality. </w:t>
            </w:r>
          </w:p>
        </w:tc>
      </w:tr>
      <w:tr w:rsidR="001633F1" w:rsidRPr="001633F1" w14:paraId="705AD2D5" w14:textId="1554D34F" w:rsidTr="00C425FA">
        <w:trPr>
          <w:jc w:val="center"/>
        </w:trPr>
        <w:tc>
          <w:tcPr>
            <w:tcW w:w="1870" w:type="dxa"/>
          </w:tcPr>
          <w:p w14:paraId="48CE0ED1" w14:textId="074FF814" w:rsidR="001C2D0A" w:rsidRPr="00453193" w:rsidRDefault="001C2D0A" w:rsidP="009B4B0A">
            <w:pPr>
              <w:rPr>
                <w:rFonts w:ascii="Tw Cen MT" w:hAnsi="Tw Cen MT"/>
                <w:b/>
                <w:bCs/>
                <w:color w:val="156082" w:themeColor="accent1"/>
              </w:rPr>
            </w:pPr>
            <w:r w:rsidRPr="00453193">
              <w:rPr>
                <w:rFonts w:ascii="Tw Cen MT" w:hAnsi="Tw Cen MT"/>
                <w:b/>
                <w:bCs/>
                <w:color w:val="156082" w:themeColor="accent1"/>
              </w:rPr>
              <w:t>Relationships</w:t>
            </w:r>
          </w:p>
        </w:tc>
        <w:tc>
          <w:tcPr>
            <w:tcW w:w="2246" w:type="dxa"/>
          </w:tcPr>
          <w:p w14:paraId="241B41D7" w14:textId="10CBC0C6" w:rsidR="001C2D0A" w:rsidRPr="001633F1" w:rsidRDefault="001C2D0A" w:rsidP="009B4B0A">
            <w:pPr>
              <w:rPr>
                <w:rFonts w:ascii="Tw Cen MT" w:hAnsi="Tw Cen MT"/>
                <w:color w:val="156082" w:themeColor="accent1"/>
              </w:rPr>
            </w:pPr>
            <w:r w:rsidRPr="001633F1">
              <w:rPr>
                <w:rFonts w:ascii="Tw Cen MT" w:hAnsi="Tw Cen MT"/>
                <w:color w:val="156082" w:themeColor="accent1"/>
              </w:rPr>
              <w:t>Enabling valued connections with peers, managers, and leaders.</w:t>
            </w:r>
          </w:p>
        </w:tc>
        <w:tc>
          <w:tcPr>
            <w:tcW w:w="2542" w:type="dxa"/>
          </w:tcPr>
          <w:p w14:paraId="3066BFC8" w14:textId="7C3B175A" w:rsidR="009918C2" w:rsidRPr="001633F1" w:rsidRDefault="009918C2" w:rsidP="009918C2">
            <w:pPr>
              <w:rPr>
                <w:rFonts w:ascii="Tw Cen MT" w:hAnsi="Tw Cen MT"/>
                <w:color w:val="156082" w:themeColor="accent1"/>
              </w:rPr>
            </w:pPr>
            <w:r w:rsidRPr="001633F1">
              <w:rPr>
                <w:rFonts w:ascii="Tw Cen MT" w:hAnsi="Tw Cen MT"/>
                <w:color w:val="156082" w:themeColor="accent1"/>
              </w:rPr>
              <w:t>Being compassionate</w:t>
            </w:r>
          </w:p>
          <w:p w14:paraId="70D82742" w14:textId="77777777" w:rsidR="009918C2" w:rsidRPr="001633F1" w:rsidRDefault="009918C2" w:rsidP="009918C2">
            <w:pPr>
              <w:rPr>
                <w:rFonts w:ascii="Tw Cen MT" w:hAnsi="Tw Cen MT"/>
                <w:color w:val="156082" w:themeColor="accent1"/>
              </w:rPr>
            </w:pPr>
            <w:r w:rsidRPr="001633F1">
              <w:rPr>
                <w:rFonts w:ascii="Tw Cen MT" w:hAnsi="Tw Cen MT"/>
                <w:color w:val="156082" w:themeColor="accent1"/>
              </w:rPr>
              <w:t>Investing in trust</w:t>
            </w:r>
          </w:p>
          <w:p w14:paraId="2F66F362" w14:textId="77777777" w:rsidR="009918C2" w:rsidRPr="001633F1" w:rsidRDefault="009918C2" w:rsidP="009918C2">
            <w:pPr>
              <w:rPr>
                <w:rFonts w:ascii="Tw Cen MT" w:hAnsi="Tw Cen MT"/>
                <w:color w:val="156082" w:themeColor="accent1"/>
              </w:rPr>
            </w:pPr>
            <w:r w:rsidRPr="001633F1">
              <w:rPr>
                <w:rFonts w:ascii="Tw Cen MT" w:hAnsi="Tw Cen MT"/>
                <w:color w:val="156082" w:themeColor="accent1"/>
              </w:rPr>
              <w:t>Giving effectively</w:t>
            </w:r>
          </w:p>
          <w:p w14:paraId="1B93B95D" w14:textId="77777777" w:rsidR="009918C2" w:rsidRPr="001633F1" w:rsidRDefault="009918C2" w:rsidP="009918C2">
            <w:pPr>
              <w:rPr>
                <w:rFonts w:ascii="Tw Cen MT" w:hAnsi="Tw Cen MT"/>
                <w:color w:val="156082" w:themeColor="accent1"/>
              </w:rPr>
            </w:pPr>
            <w:r w:rsidRPr="001633F1">
              <w:rPr>
                <w:rFonts w:ascii="Tw Cen MT" w:hAnsi="Tw Cen MT"/>
                <w:color w:val="156082" w:themeColor="accent1"/>
              </w:rPr>
              <w:t>Forgiving and letting go</w:t>
            </w:r>
          </w:p>
          <w:p w14:paraId="0D3AF88F" w14:textId="77777777" w:rsidR="009918C2" w:rsidRPr="009D36FD" w:rsidRDefault="009918C2" w:rsidP="009918C2">
            <w:pPr>
              <w:rPr>
                <w:rFonts w:ascii="Tw Cen MT" w:hAnsi="Tw Cen MT"/>
                <w:b/>
                <w:bCs/>
                <w:color w:val="156082" w:themeColor="accent1"/>
              </w:rPr>
            </w:pPr>
            <w:r w:rsidRPr="009D36FD">
              <w:rPr>
                <w:rFonts w:ascii="Tw Cen MT" w:hAnsi="Tw Cen MT"/>
                <w:b/>
                <w:bCs/>
                <w:color w:val="156082" w:themeColor="accent1"/>
              </w:rPr>
              <w:t>Sharing good times</w:t>
            </w:r>
          </w:p>
          <w:p w14:paraId="7756398E" w14:textId="2A5E3C46" w:rsidR="001C2D0A" w:rsidRPr="001633F1" w:rsidRDefault="009918C2" w:rsidP="009918C2">
            <w:pPr>
              <w:rPr>
                <w:rFonts w:ascii="Tw Cen MT" w:hAnsi="Tw Cen MT"/>
                <w:color w:val="156082" w:themeColor="accent1"/>
              </w:rPr>
            </w:pPr>
            <w:r w:rsidRPr="001633F1">
              <w:rPr>
                <w:rFonts w:ascii="Tw Cen MT" w:hAnsi="Tw Cen MT"/>
                <w:color w:val="156082" w:themeColor="accent1"/>
              </w:rPr>
              <w:t>Navigating incivility</w:t>
            </w:r>
          </w:p>
        </w:tc>
        <w:tc>
          <w:tcPr>
            <w:tcW w:w="6520" w:type="dxa"/>
          </w:tcPr>
          <w:p w14:paraId="723B410F" w14:textId="0CCE1F83" w:rsidR="001C2D0A" w:rsidRPr="001633F1" w:rsidRDefault="00453193" w:rsidP="009918C2">
            <w:pPr>
              <w:rPr>
                <w:rFonts w:ascii="Tw Cen MT" w:hAnsi="Tw Cen MT"/>
                <w:color w:val="156082" w:themeColor="accent1"/>
              </w:rPr>
            </w:pPr>
            <w:r w:rsidRPr="00453193">
              <w:rPr>
                <w:rFonts w:ascii="Tw Cen MT" w:hAnsi="Tw Cen MT"/>
                <w:b/>
                <w:bCs/>
                <w:color w:val="156082" w:themeColor="accent1"/>
              </w:rPr>
              <w:t>Ask Appreciative Questions</w:t>
            </w:r>
            <w:r>
              <w:rPr>
                <w:rFonts w:ascii="Tw Cen MT" w:hAnsi="Tw Cen MT"/>
                <w:color w:val="156082" w:themeColor="accent1"/>
              </w:rPr>
              <w:t xml:space="preserve"> – Intentionally look for the </w:t>
            </w:r>
            <w:r w:rsidRPr="00453193">
              <w:rPr>
                <w:rFonts w:ascii="Tw Cen MT" w:hAnsi="Tw Cen MT"/>
                <w:i/>
                <w:iCs/>
                <w:color w:val="156082" w:themeColor="accent1"/>
              </w:rPr>
              <w:t>true</w:t>
            </w:r>
            <w:r>
              <w:rPr>
                <w:rFonts w:ascii="Tw Cen MT" w:hAnsi="Tw Cen MT"/>
                <w:color w:val="156082" w:themeColor="accent1"/>
              </w:rPr>
              <w:t xml:space="preserve">, the </w:t>
            </w:r>
            <w:r w:rsidRPr="00453193">
              <w:rPr>
                <w:rFonts w:ascii="Tw Cen MT" w:hAnsi="Tw Cen MT"/>
                <w:i/>
                <w:iCs/>
                <w:color w:val="156082" w:themeColor="accent1"/>
              </w:rPr>
              <w:t>good</w:t>
            </w:r>
            <w:r>
              <w:rPr>
                <w:rFonts w:ascii="Tw Cen MT" w:hAnsi="Tw Cen MT"/>
                <w:color w:val="156082" w:themeColor="accent1"/>
              </w:rPr>
              <w:t xml:space="preserve"> and the </w:t>
            </w:r>
            <w:r w:rsidRPr="00453193">
              <w:rPr>
                <w:rFonts w:ascii="Tw Cen MT" w:hAnsi="Tw Cen MT"/>
                <w:i/>
                <w:iCs/>
                <w:color w:val="156082" w:themeColor="accent1"/>
              </w:rPr>
              <w:t>possible</w:t>
            </w:r>
            <w:r>
              <w:rPr>
                <w:rFonts w:ascii="Tw Cen MT" w:hAnsi="Tw Cen MT"/>
                <w:color w:val="156082" w:themeColor="accent1"/>
              </w:rPr>
              <w:t xml:space="preserve"> in others by flavouring your interactions with appreciative inquiry. </w:t>
            </w:r>
            <w:r w:rsidR="00580392">
              <w:rPr>
                <w:rFonts w:ascii="Tw Cen MT" w:hAnsi="Tw Cen MT"/>
                <w:color w:val="156082" w:themeColor="accent1"/>
              </w:rPr>
              <w:t>Ask questions like, “what is working well right now?” and “what’s been the highlight of your week so far?”. Savour the positive emotions you both feel and invest in the feelings of warmth and trust.</w:t>
            </w:r>
          </w:p>
        </w:tc>
      </w:tr>
      <w:tr w:rsidR="001633F1" w:rsidRPr="001633F1" w14:paraId="3198464F" w14:textId="663BC19A" w:rsidTr="00C425FA">
        <w:trPr>
          <w:jc w:val="center"/>
        </w:trPr>
        <w:tc>
          <w:tcPr>
            <w:tcW w:w="1870" w:type="dxa"/>
          </w:tcPr>
          <w:p w14:paraId="224B4DA8" w14:textId="671D9234" w:rsidR="001C2D0A" w:rsidRPr="00453193" w:rsidRDefault="001C2D0A" w:rsidP="009B4B0A">
            <w:pPr>
              <w:rPr>
                <w:rFonts w:ascii="Tw Cen MT" w:hAnsi="Tw Cen MT"/>
                <w:b/>
                <w:bCs/>
                <w:color w:val="156082" w:themeColor="accent1"/>
              </w:rPr>
            </w:pPr>
            <w:r w:rsidRPr="00453193">
              <w:rPr>
                <w:rFonts w:ascii="Tw Cen MT" w:hAnsi="Tw Cen MT"/>
                <w:b/>
                <w:bCs/>
                <w:color w:val="156082" w:themeColor="accent1"/>
              </w:rPr>
              <w:t xml:space="preserve">Meaning </w:t>
            </w:r>
          </w:p>
        </w:tc>
        <w:tc>
          <w:tcPr>
            <w:tcW w:w="2246" w:type="dxa"/>
          </w:tcPr>
          <w:p w14:paraId="3DEEF4A2" w14:textId="4116D6E1" w:rsidR="001C2D0A" w:rsidRPr="001633F1" w:rsidRDefault="001C2D0A" w:rsidP="009B4B0A">
            <w:pPr>
              <w:rPr>
                <w:rFonts w:ascii="Tw Cen MT" w:hAnsi="Tw Cen MT"/>
                <w:color w:val="156082" w:themeColor="accent1"/>
              </w:rPr>
            </w:pPr>
            <w:r w:rsidRPr="001633F1">
              <w:rPr>
                <w:rFonts w:ascii="Tw Cen MT" w:hAnsi="Tw Cen MT"/>
                <w:color w:val="156082" w:themeColor="accent1"/>
              </w:rPr>
              <w:t>Promoting a sense of direction and connection to</w:t>
            </w:r>
            <w:r w:rsidRPr="00BD139C">
              <w:rPr>
                <w:rFonts w:ascii="Tw Cen MT" w:hAnsi="Tw Cen MT"/>
                <w:color w:val="156082" w:themeColor="accent1"/>
              </w:rPr>
              <w:t xml:space="preserve"> purpose</w:t>
            </w:r>
            <w:r w:rsidRPr="001633F1">
              <w:rPr>
                <w:rFonts w:ascii="Tw Cen MT" w:hAnsi="Tw Cen MT"/>
                <w:color w:val="156082" w:themeColor="accent1"/>
              </w:rPr>
              <w:t xml:space="preserve"> and values. </w:t>
            </w:r>
          </w:p>
        </w:tc>
        <w:tc>
          <w:tcPr>
            <w:tcW w:w="2542" w:type="dxa"/>
          </w:tcPr>
          <w:p w14:paraId="5F3F7779" w14:textId="77777777" w:rsidR="009918C2" w:rsidRPr="001633F1" w:rsidRDefault="009918C2" w:rsidP="009918C2">
            <w:pPr>
              <w:rPr>
                <w:rFonts w:ascii="Tw Cen MT" w:hAnsi="Tw Cen MT"/>
                <w:color w:val="156082" w:themeColor="accent1"/>
              </w:rPr>
            </w:pPr>
            <w:r w:rsidRPr="001633F1">
              <w:rPr>
                <w:rFonts w:ascii="Tw Cen MT" w:hAnsi="Tw Cen MT"/>
                <w:color w:val="156082" w:themeColor="accent1"/>
              </w:rPr>
              <w:t>Investing in belonging</w:t>
            </w:r>
          </w:p>
          <w:p w14:paraId="20D74EDA" w14:textId="77777777" w:rsidR="009918C2" w:rsidRPr="00A3472F" w:rsidRDefault="009918C2" w:rsidP="009918C2">
            <w:pPr>
              <w:rPr>
                <w:rFonts w:ascii="Tw Cen MT" w:hAnsi="Tw Cen MT"/>
                <w:b/>
                <w:bCs/>
                <w:color w:val="156082" w:themeColor="accent1"/>
              </w:rPr>
            </w:pPr>
            <w:r w:rsidRPr="00A3472F">
              <w:rPr>
                <w:rFonts w:ascii="Tw Cen MT" w:hAnsi="Tw Cen MT"/>
                <w:b/>
                <w:bCs/>
                <w:color w:val="156082" w:themeColor="accent1"/>
              </w:rPr>
              <w:t>Creating purpose</w:t>
            </w:r>
          </w:p>
          <w:p w14:paraId="7EF8B844" w14:textId="77777777" w:rsidR="009918C2" w:rsidRPr="001633F1" w:rsidRDefault="009918C2" w:rsidP="009918C2">
            <w:pPr>
              <w:rPr>
                <w:rFonts w:ascii="Tw Cen MT" w:hAnsi="Tw Cen MT"/>
                <w:color w:val="156082" w:themeColor="accent1"/>
              </w:rPr>
            </w:pPr>
            <w:r w:rsidRPr="001633F1">
              <w:rPr>
                <w:rFonts w:ascii="Tw Cen MT" w:hAnsi="Tw Cen MT"/>
                <w:color w:val="156082" w:themeColor="accent1"/>
              </w:rPr>
              <w:t>Practice storytelling</w:t>
            </w:r>
          </w:p>
          <w:p w14:paraId="26C1F5F3" w14:textId="77777777" w:rsidR="009918C2" w:rsidRPr="001633F1" w:rsidRDefault="009918C2" w:rsidP="009918C2">
            <w:pPr>
              <w:rPr>
                <w:rFonts w:ascii="Tw Cen MT" w:hAnsi="Tw Cen MT"/>
                <w:color w:val="156082" w:themeColor="accent1"/>
              </w:rPr>
            </w:pPr>
            <w:r w:rsidRPr="001633F1">
              <w:rPr>
                <w:rFonts w:ascii="Tw Cen MT" w:hAnsi="Tw Cen MT"/>
                <w:color w:val="156082" w:themeColor="accent1"/>
              </w:rPr>
              <w:t xml:space="preserve">Allowing transcendence </w:t>
            </w:r>
          </w:p>
          <w:p w14:paraId="67572791" w14:textId="7A053EAB" w:rsidR="001C2D0A" w:rsidRPr="001633F1" w:rsidRDefault="009918C2" w:rsidP="009918C2">
            <w:pPr>
              <w:rPr>
                <w:rFonts w:ascii="Tw Cen MT" w:hAnsi="Tw Cen MT"/>
                <w:color w:val="156082" w:themeColor="accent1"/>
              </w:rPr>
            </w:pPr>
            <w:r w:rsidRPr="001633F1">
              <w:rPr>
                <w:rFonts w:ascii="Tw Cen MT" w:hAnsi="Tw Cen MT"/>
                <w:color w:val="156082" w:themeColor="accent1"/>
              </w:rPr>
              <w:t>Making passion harmonious</w:t>
            </w:r>
          </w:p>
        </w:tc>
        <w:tc>
          <w:tcPr>
            <w:tcW w:w="6520" w:type="dxa"/>
          </w:tcPr>
          <w:p w14:paraId="1D7F1307" w14:textId="0D75B5CA" w:rsidR="001C2D0A" w:rsidRPr="001633F1" w:rsidRDefault="00A3472F" w:rsidP="009B4B0A">
            <w:pPr>
              <w:rPr>
                <w:rFonts w:ascii="Tw Cen MT" w:hAnsi="Tw Cen MT"/>
                <w:color w:val="156082" w:themeColor="accent1"/>
              </w:rPr>
            </w:pPr>
            <w:r w:rsidRPr="003A1C77">
              <w:rPr>
                <w:rFonts w:ascii="Tw Cen MT" w:hAnsi="Tw Cen MT"/>
                <w:b/>
                <w:bCs/>
                <w:color w:val="156082" w:themeColor="accent1"/>
              </w:rPr>
              <w:t xml:space="preserve">Invest </w:t>
            </w:r>
            <w:proofErr w:type="gramStart"/>
            <w:r w:rsidRPr="003A1C77">
              <w:rPr>
                <w:rFonts w:ascii="Tw Cen MT" w:hAnsi="Tw Cen MT"/>
                <w:b/>
                <w:bCs/>
                <w:color w:val="156082" w:themeColor="accent1"/>
              </w:rPr>
              <w:t>in SPIRE</w:t>
            </w:r>
            <w:proofErr w:type="gramEnd"/>
            <w:r w:rsidRPr="003A1C77">
              <w:rPr>
                <w:rFonts w:ascii="Tw Cen MT" w:hAnsi="Tw Cen MT"/>
                <w:b/>
                <w:bCs/>
                <w:color w:val="156082" w:themeColor="accent1"/>
              </w:rPr>
              <w:t xml:space="preserve"> –</w:t>
            </w:r>
            <w:r>
              <w:rPr>
                <w:rFonts w:ascii="Tw Cen MT" w:hAnsi="Tw Cen MT"/>
                <w:color w:val="156082" w:themeColor="accent1"/>
              </w:rPr>
              <w:t xml:space="preserve"> Know your unique </w:t>
            </w:r>
            <w:r w:rsidRPr="00A3472F">
              <w:rPr>
                <w:rFonts w:ascii="Tw Cen MT" w:hAnsi="Tw Cen MT"/>
                <w:b/>
                <w:bCs/>
                <w:color w:val="156082" w:themeColor="accent1"/>
              </w:rPr>
              <w:t>S</w:t>
            </w:r>
            <w:r>
              <w:rPr>
                <w:rFonts w:ascii="Tw Cen MT" w:hAnsi="Tw Cen MT"/>
                <w:color w:val="156082" w:themeColor="accent1"/>
              </w:rPr>
              <w:t xml:space="preserve">trengths and talents and know them as you do your work. </w:t>
            </w:r>
            <w:r w:rsidRPr="00A3472F">
              <w:rPr>
                <w:rFonts w:ascii="Tw Cen MT" w:hAnsi="Tw Cen MT"/>
                <w:b/>
                <w:bCs/>
                <w:color w:val="156082" w:themeColor="accent1"/>
              </w:rPr>
              <w:t>P</w:t>
            </w:r>
            <w:r>
              <w:rPr>
                <w:rFonts w:ascii="Tw Cen MT" w:hAnsi="Tw Cen MT"/>
                <w:color w:val="156082" w:themeColor="accent1"/>
              </w:rPr>
              <w:t xml:space="preserve">ersonalise your work by aligning what you do to your values. </w:t>
            </w:r>
            <w:r w:rsidRPr="00A3472F">
              <w:rPr>
                <w:rFonts w:ascii="Tw Cen MT" w:hAnsi="Tw Cen MT"/>
                <w:b/>
                <w:bCs/>
                <w:color w:val="156082" w:themeColor="accent1"/>
              </w:rPr>
              <w:t>I</w:t>
            </w:r>
            <w:r>
              <w:rPr>
                <w:rFonts w:ascii="Tw Cen MT" w:hAnsi="Tw Cen MT"/>
                <w:color w:val="156082" w:themeColor="accent1"/>
              </w:rPr>
              <w:t xml:space="preserve">ntegrate your motivation for your job in ways that bring meaning to the rest of your life. Find ways to </w:t>
            </w:r>
            <w:r w:rsidRPr="00A3472F">
              <w:rPr>
                <w:rFonts w:ascii="Tw Cen MT" w:hAnsi="Tw Cen MT"/>
                <w:b/>
                <w:bCs/>
                <w:color w:val="156082" w:themeColor="accent1"/>
              </w:rPr>
              <w:t>R</w:t>
            </w:r>
            <w:r>
              <w:rPr>
                <w:rFonts w:ascii="Tw Cen MT" w:hAnsi="Tw Cen MT"/>
                <w:color w:val="156082" w:themeColor="accent1"/>
              </w:rPr>
              <w:t xml:space="preserve">esonate with your organisation’s core values and mission. Looks for ways to </w:t>
            </w:r>
            <w:r w:rsidRPr="00A3472F">
              <w:rPr>
                <w:rFonts w:ascii="Tw Cen MT" w:hAnsi="Tw Cen MT"/>
                <w:b/>
                <w:bCs/>
                <w:color w:val="156082" w:themeColor="accent1"/>
              </w:rPr>
              <w:t>E</w:t>
            </w:r>
            <w:r>
              <w:rPr>
                <w:rFonts w:ascii="Tw Cen MT" w:hAnsi="Tw Cen MT"/>
                <w:color w:val="156082" w:themeColor="accent1"/>
              </w:rPr>
              <w:t xml:space="preserve">xpand the benefits of your work to others. </w:t>
            </w:r>
          </w:p>
        </w:tc>
      </w:tr>
      <w:tr w:rsidR="001633F1" w:rsidRPr="001633F1" w14:paraId="7775529F" w14:textId="2F09C478" w:rsidTr="00C425FA">
        <w:trPr>
          <w:jc w:val="center"/>
        </w:trPr>
        <w:tc>
          <w:tcPr>
            <w:tcW w:w="1870" w:type="dxa"/>
          </w:tcPr>
          <w:p w14:paraId="1D82D3CA" w14:textId="0685785C" w:rsidR="001C2D0A" w:rsidRPr="00453193" w:rsidRDefault="001C2D0A" w:rsidP="009B4B0A">
            <w:pPr>
              <w:rPr>
                <w:rFonts w:ascii="Tw Cen MT" w:hAnsi="Tw Cen MT"/>
                <w:b/>
                <w:bCs/>
                <w:color w:val="156082" w:themeColor="accent1"/>
              </w:rPr>
            </w:pPr>
            <w:r w:rsidRPr="00453193">
              <w:rPr>
                <w:rFonts w:ascii="Tw Cen MT" w:hAnsi="Tw Cen MT"/>
                <w:b/>
                <w:bCs/>
                <w:color w:val="156082" w:themeColor="accent1"/>
              </w:rPr>
              <w:t>Accomplishment</w:t>
            </w:r>
          </w:p>
        </w:tc>
        <w:tc>
          <w:tcPr>
            <w:tcW w:w="2246" w:type="dxa"/>
          </w:tcPr>
          <w:p w14:paraId="3F03BCA2" w14:textId="2FFEC705" w:rsidR="001C2D0A" w:rsidRPr="001633F1" w:rsidRDefault="001C2D0A" w:rsidP="009B4B0A">
            <w:pPr>
              <w:rPr>
                <w:rFonts w:ascii="Tw Cen MT" w:hAnsi="Tw Cen MT"/>
                <w:color w:val="156082" w:themeColor="accent1"/>
              </w:rPr>
            </w:pPr>
            <w:r w:rsidRPr="001633F1">
              <w:rPr>
                <w:rFonts w:ascii="Tw Cen MT" w:hAnsi="Tw Cen MT"/>
                <w:color w:val="156082" w:themeColor="accent1"/>
              </w:rPr>
              <w:t>Fostering the belief and ability to do things that matter most.</w:t>
            </w:r>
          </w:p>
        </w:tc>
        <w:tc>
          <w:tcPr>
            <w:tcW w:w="2542" w:type="dxa"/>
          </w:tcPr>
          <w:p w14:paraId="1A24F423" w14:textId="77777777" w:rsidR="001C2D0A" w:rsidRPr="001633F1" w:rsidRDefault="001C2D0A" w:rsidP="009B4B0A">
            <w:pPr>
              <w:rPr>
                <w:rFonts w:ascii="Tw Cen MT" w:hAnsi="Tw Cen MT"/>
                <w:color w:val="156082" w:themeColor="accent1"/>
              </w:rPr>
            </w:pPr>
            <w:r w:rsidRPr="001633F1">
              <w:rPr>
                <w:rFonts w:ascii="Tw Cen MT" w:hAnsi="Tw Cen MT"/>
                <w:color w:val="156082" w:themeColor="accent1"/>
              </w:rPr>
              <w:t>Setting meaningful goals</w:t>
            </w:r>
          </w:p>
          <w:p w14:paraId="1D629993" w14:textId="77777777" w:rsidR="001C2D0A" w:rsidRPr="001633F1" w:rsidRDefault="001C2D0A" w:rsidP="009B4B0A">
            <w:pPr>
              <w:rPr>
                <w:rFonts w:ascii="Tw Cen MT" w:hAnsi="Tw Cen MT"/>
                <w:color w:val="156082" w:themeColor="accent1"/>
              </w:rPr>
            </w:pPr>
            <w:r w:rsidRPr="001633F1">
              <w:rPr>
                <w:rFonts w:ascii="Tw Cen MT" w:hAnsi="Tw Cen MT"/>
                <w:color w:val="156082" w:themeColor="accent1"/>
              </w:rPr>
              <w:t>Being hopeful</w:t>
            </w:r>
          </w:p>
          <w:p w14:paraId="034B71D3" w14:textId="77777777" w:rsidR="001C2D0A" w:rsidRPr="003A1C77" w:rsidRDefault="001C2D0A" w:rsidP="009B4B0A">
            <w:pPr>
              <w:rPr>
                <w:rFonts w:ascii="Tw Cen MT" w:hAnsi="Tw Cen MT"/>
                <w:b/>
                <w:bCs/>
                <w:color w:val="156082" w:themeColor="accent1"/>
              </w:rPr>
            </w:pPr>
            <w:r w:rsidRPr="003A1C77">
              <w:rPr>
                <w:rFonts w:ascii="Tw Cen MT" w:hAnsi="Tw Cen MT"/>
                <w:b/>
                <w:bCs/>
                <w:color w:val="156082" w:themeColor="accent1"/>
              </w:rPr>
              <w:t>Growth mindset</w:t>
            </w:r>
          </w:p>
          <w:p w14:paraId="2A4ED477" w14:textId="77777777" w:rsidR="001C2D0A" w:rsidRPr="001633F1" w:rsidRDefault="001C2D0A" w:rsidP="009B4B0A">
            <w:pPr>
              <w:rPr>
                <w:rFonts w:ascii="Tw Cen MT" w:hAnsi="Tw Cen MT"/>
                <w:color w:val="156082" w:themeColor="accent1"/>
              </w:rPr>
            </w:pPr>
            <w:r w:rsidRPr="001633F1">
              <w:rPr>
                <w:rFonts w:ascii="Tw Cen MT" w:hAnsi="Tw Cen MT"/>
                <w:color w:val="156082" w:themeColor="accent1"/>
              </w:rPr>
              <w:lastRenderedPageBreak/>
              <w:t>Developing grit</w:t>
            </w:r>
          </w:p>
          <w:p w14:paraId="0D685AF0" w14:textId="521FB817" w:rsidR="001C2D0A" w:rsidRPr="001633F1" w:rsidRDefault="001C2D0A" w:rsidP="009B4B0A">
            <w:pPr>
              <w:rPr>
                <w:rFonts w:ascii="Tw Cen MT" w:hAnsi="Tw Cen MT"/>
                <w:color w:val="156082" w:themeColor="accent1"/>
              </w:rPr>
            </w:pPr>
            <w:r w:rsidRPr="001633F1">
              <w:rPr>
                <w:rFonts w:ascii="Tw Cen MT" w:hAnsi="Tw Cen MT"/>
                <w:color w:val="156082" w:themeColor="accent1"/>
              </w:rPr>
              <w:t xml:space="preserve">Boosting resilience </w:t>
            </w:r>
          </w:p>
        </w:tc>
        <w:tc>
          <w:tcPr>
            <w:tcW w:w="6520" w:type="dxa"/>
          </w:tcPr>
          <w:p w14:paraId="24C2E9AA" w14:textId="03E4A7C3" w:rsidR="001C2D0A" w:rsidRPr="001633F1" w:rsidRDefault="003A1C77" w:rsidP="009B4B0A">
            <w:pPr>
              <w:rPr>
                <w:rFonts w:ascii="Tw Cen MT" w:hAnsi="Tw Cen MT"/>
                <w:color w:val="156082" w:themeColor="accent1"/>
              </w:rPr>
            </w:pPr>
            <w:r>
              <w:rPr>
                <w:rFonts w:ascii="Tw Cen MT" w:hAnsi="Tw Cen MT"/>
                <w:color w:val="156082" w:themeColor="accent1"/>
              </w:rPr>
              <w:lastRenderedPageBreak/>
              <w:t xml:space="preserve">Set Learning Goals – Set at least one learning goal weekly. Notice what happens as you practice, make mistakes, </w:t>
            </w:r>
            <w:proofErr w:type="gramStart"/>
            <w:r>
              <w:rPr>
                <w:rFonts w:ascii="Tw Cen MT" w:hAnsi="Tw Cen MT"/>
                <w:color w:val="156082" w:themeColor="accent1"/>
              </w:rPr>
              <w:t>make adjustments</w:t>
            </w:r>
            <w:proofErr w:type="gramEnd"/>
            <w:r>
              <w:rPr>
                <w:rFonts w:ascii="Tw Cen MT" w:hAnsi="Tw Cen MT"/>
                <w:color w:val="156082" w:themeColor="accent1"/>
              </w:rPr>
              <w:t xml:space="preserve"> and eventually start to do better in the competency you are building. Practice letting go of the outcome, embracing </w:t>
            </w:r>
            <w:r>
              <w:rPr>
                <w:rFonts w:ascii="Tw Cen MT" w:hAnsi="Tw Cen MT"/>
                <w:color w:val="156082" w:themeColor="accent1"/>
              </w:rPr>
              <w:lastRenderedPageBreak/>
              <w:t xml:space="preserve">your mistakes </w:t>
            </w:r>
            <w:r w:rsidR="00F32B03">
              <w:rPr>
                <w:rFonts w:ascii="Tw Cen MT" w:hAnsi="Tw Cen MT"/>
                <w:color w:val="156082" w:themeColor="accent1"/>
              </w:rPr>
              <w:t xml:space="preserve">and identifying the processes and mistakes you can build on to keep improving.  </w:t>
            </w:r>
          </w:p>
        </w:tc>
      </w:tr>
    </w:tbl>
    <w:p w14:paraId="14987BFA" w14:textId="5BF4F5F7" w:rsidR="00C26481" w:rsidRDefault="00C26481"/>
    <w:sectPr w:rsidR="00C26481" w:rsidSect="001C2D0A">
      <w:headerReference w:type="even" r:id="rId6"/>
      <w:headerReference w:type="default" r:id="rId7"/>
      <w:footerReference w:type="even" r:id="rId8"/>
      <w:footerReference w:type="default" r:id="rId9"/>
      <w:headerReference w:type="first" r:id="rId10"/>
      <w:footerReference w:type="first" r:id="rId11"/>
      <w:pgSz w:w="16817" w:h="11901"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1CFE2" w14:textId="77777777" w:rsidR="007D22C3" w:rsidRDefault="007D22C3" w:rsidP="00C425FA">
      <w:r>
        <w:separator/>
      </w:r>
    </w:p>
  </w:endnote>
  <w:endnote w:type="continuationSeparator" w:id="0">
    <w:p w14:paraId="4B6123F9" w14:textId="77777777" w:rsidR="007D22C3" w:rsidRDefault="007D22C3" w:rsidP="00C4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F429B" w14:textId="77777777" w:rsidR="00C425FA" w:rsidRDefault="00C42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D9EB5" w14:textId="2E0B0E52" w:rsidR="00C425FA" w:rsidRPr="00C425FA" w:rsidRDefault="00C425FA" w:rsidP="00C425FA">
    <w:pPr>
      <w:pStyle w:val="Footer"/>
      <w:tabs>
        <w:tab w:val="clear" w:pos="4513"/>
        <w:tab w:val="clear" w:pos="9026"/>
        <w:tab w:val="left" w:pos="4403"/>
      </w:tabs>
      <w:rPr>
        <w:b/>
        <w:bCs/>
        <w:color w:val="153D63" w:themeColor="text2" w:themeTint="E6"/>
        <w:sz w:val="16"/>
        <w:szCs w:val="16"/>
      </w:rPr>
    </w:pPr>
    <w:r w:rsidRPr="00C425FA">
      <w:rPr>
        <w:b/>
        <w:bCs/>
        <w:color w:val="153D63" w:themeColor="text2" w:themeTint="E6"/>
        <w:sz w:val="16"/>
        <w:szCs w:val="16"/>
      </w:rPr>
      <w:t>BSY/PERMA Summary and Tools.doc</w:t>
    </w:r>
    <w:r w:rsidRPr="00C425FA">
      <w:rPr>
        <w:b/>
        <w:bCs/>
        <w:color w:val="153D63" w:themeColor="text2" w:themeTint="E6"/>
        <w:sz w:val="16"/>
        <w:szCs w:val="16"/>
      </w:rPr>
      <w:tab/>
    </w:r>
    <w:r w:rsidRPr="00C425FA">
      <w:rPr>
        <w:b/>
        <w:bCs/>
        <w:color w:val="153D63" w:themeColor="text2" w:themeTint="E6"/>
        <w:sz w:val="16"/>
        <w:szCs w:val="16"/>
      </w:rPr>
      <w:tab/>
    </w:r>
    <w:r w:rsidRPr="00C425FA">
      <w:rPr>
        <w:b/>
        <w:bCs/>
        <w:color w:val="153D63" w:themeColor="text2" w:themeTint="E6"/>
        <w:sz w:val="16"/>
        <w:szCs w:val="16"/>
      </w:rPr>
      <w:tab/>
    </w:r>
    <w:r w:rsidRPr="00C425FA">
      <w:rPr>
        <w:b/>
        <w:bCs/>
        <w:color w:val="153D63" w:themeColor="text2" w:themeTint="E6"/>
        <w:sz w:val="16"/>
        <w:szCs w:val="16"/>
      </w:rPr>
      <w:tab/>
    </w:r>
    <w:r w:rsidRPr="00C425FA">
      <w:rPr>
        <w:b/>
        <w:bCs/>
        <w:color w:val="153D63" w:themeColor="text2" w:themeTint="E6"/>
        <w:sz w:val="16"/>
        <w:szCs w:val="16"/>
      </w:rPr>
      <w:tab/>
    </w:r>
    <w:r w:rsidRPr="00C425FA">
      <w:rPr>
        <w:b/>
        <w:bCs/>
        <w:color w:val="153D63" w:themeColor="text2" w:themeTint="E6"/>
        <w:sz w:val="16"/>
        <w:szCs w:val="16"/>
      </w:rPr>
      <w:tab/>
    </w:r>
    <w:r w:rsidRPr="00C425FA">
      <w:rPr>
        <w:b/>
        <w:bCs/>
        <w:color w:val="153D63" w:themeColor="text2" w:themeTint="E6"/>
        <w:sz w:val="16"/>
        <w:szCs w:val="16"/>
      </w:rPr>
      <w:tab/>
    </w:r>
    <w:r w:rsidRPr="00C425FA">
      <w:rPr>
        <w:b/>
        <w:bCs/>
        <w:color w:val="153D63" w:themeColor="text2" w:themeTint="E6"/>
        <w:sz w:val="16"/>
        <w:szCs w:val="16"/>
      </w:rPr>
      <w:tab/>
    </w:r>
    <w:r w:rsidRPr="00C425FA">
      <w:rPr>
        <w:b/>
        <w:bCs/>
        <w:color w:val="153D63" w:themeColor="text2" w:themeTint="E6"/>
        <w:sz w:val="16"/>
        <w:szCs w:val="16"/>
      </w:rPr>
      <w:tab/>
    </w:r>
    <w:r w:rsidRPr="00C425FA">
      <w:rPr>
        <w:b/>
        <w:bCs/>
        <w:color w:val="153D63" w:themeColor="text2" w:themeTint="E6"/>
        <w:sz w:val="16"/>
        <w:szCs w:val="16"/>
      </w:rPr>
      <w:tab/>
    </w:r>
    <w:r w:rsidRPr="00C425FA">
      <w:rPr>
        <w:b/>
        <w:bCs/>
        <w:color w:val="153D63" w:themeColor="text2" w:themeTint="E6"/>
        <w:sz w:val="16"/>
        <w:szCs w:val="16"/>
      </w:rPr>
      <w:tab/>
      <w:t>www.beingsuccessfullyyou.com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2EFB0" w14:textId="77777777" w:rsidR="00C425FA" w:rsidRDefault="00C42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6DB56" w14:textId="77777777" w:rsidR="007D22C3" w:rsidRDefault="007D22C3" w:rsidP="00C425FA">
      <w:r>
        <w:separator/>
      </w:r>
    </w:p>
  </w:footnote>
  <w:footnote w:type="continuationSeparator" w:id="0">
    <w:p w14:paraId="78B20A8F" w14:textId="77777777" w:rsidR="007D22C3" w:rsidRDefault="007D22C3" w:rsidP="00C42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9B0A2" w14:textId="77777777" w:rsidR="00C425FA" w:rsidRDefault="00C42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C5294" w14:textId="79311908" w:rsidR="00C425FA" w:rsidRDefault="00C425FA" w:rsidP="00C425FA">
    <w:pPr>
      <w:pStyle w:val="Header"/>
      <w:tabs>
        <w:tab w:val="left" w:pos="3523"/>
        <w:tab w:val="center" w:pos="6968"/>
        <w:tab w:val="left" w:pos="9663"/>
      </w:tabs>
    </w:pPr>
    <w:r>
      <w:tab/>
    </w:r>
    <w:r>
      <w:tab/>
    </w:r>
    <w:r>
      <w:tab/>
    </w:r>
    <w:r>
      <w:rPr>
        <w:noProof/>
      </w:rPr>
      <w:drawing>
        <wp:inline distT="0" distB="0" distL="0" distR="0" wp14:anchorId="6EC361D7" wp14:editId="5A158D2F">
          <wp:extent cx="1138244" cy="687690"/>
          <wp:effectExtent l="0" t="0" r="0" b="0"/>
          <wp:docPr id="1484777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777801" name="Picture 1484777801"/>
                  <pic:cNvPicPr/>
                </pic:nvPicPr>
                <pic:blipFill>
                  <a:blip r:embed="rId1"/>
                  <a:stretch>
                    <a:fillRect/>
                  </a:stretch>
                </pic:blipFill>
                <pic:spPr>
                  <a:xfrm>
                    <a:off x="0" y="0"/>
                    <a:ext cx="1275094" cy="770371"/>
                  </a:xfrm>
                  <a:prstGeom prst="rect">
                    <a:avLst/>
                  </a:prstGeom>
                </pic:spPr>
              </pic:pic>
            </a:graphicData>
          </a:graphic>
        </wp:inline>
      </w:drawing>
    </w:r>
    <w:r>
      <w:tab/>
    </w:r>
    <w:r>
      <w:tab/>
    </w:r>
  </w:p>
  <w:p w14:paraId="4ACAAB93" w14:textId="77777777" w:rsidR="00C425FA" w:rsidRDefault="00C425FA" w:rsidP="00C425FA">
    <w:pPr>
      <w:pStyle w:val="Header"/>
      <w:tabs>
        <w:tab w:val="center" w:pos="6968"/>
        <w:tab w:val="left" w:pos="966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0C51" w14:textId="77777777" w:rsidR="00C425FA" w:rsidRDefault="00C42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0A"/>
    <w:rsid w:val="00010151"/>
    <w:rsid w:val="000629A8"/>
    <w:rsid w:val="001633F1"/>
    <w:rsid w:val="001C2D0A"/>
    <w:rsid w:val="002B2024"/>
    <w:rsid w:val="00357D3E"/>
    <w:rsid w:val="003A1C77"/>
    <w:rsid w:val="00453193"/>
    <w:rsid w:val="00580392"/>
    <w:rsid w:val="005A692D"/>
    <w:rsid w:val="0067491F"/>
    <w:rsid w:val="00770A0E"/>
    <w:rsid w:val="00770C3C"/>
    <w:rsid w:val="007D22C3"/>
    <w:rsid w:val="0080357F"/>
    <w:rsid w:val="009918C2"/>
    <w:rsid w:val="009B4B0A"/>
    <w:rsid w:val="009D36FD"/>
    <w:rsid w:val="00A3472F"/>
    <w:rsid w:val="00A91EAD"/>
    <w:rsid w:val="00BD139C"/>
    <w:rsid w:val="00BE682C"/>
    <w:rsid w:val="00C26481"/>
    <w:rsid w:val="00C37F98"/>
    <w:rsid w:val="00C425FA"/>
    <w:rsid w:val="00C8198B"/>
    <w:rsid w:val="00DF3A1F"/>
    <w:rsid w:val="00F32B03"/>
    <w:rsid w:val="00F33BE5"/>
    <w:rsid w:val="00FD63BD"/>
    <w:rsid w:val="00FF5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B06E76"/>
  <w15:chartTrackingRefBased/>
  <w15:docId w15:val="{70D4B6C0-A56B-5D49-B0D1-FDFF4A67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B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B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B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B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B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B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B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B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B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B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B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B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B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B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B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B0A"/>
    <w:rPr>
      <w:rFonts w:eastAsiaTheme="majorEastAsia" w:cstheme="majorBidi"/>
      <w:color w:val="272727" w:themeColor="text1" w:themeTint="D8"/>
    </w:rPr>
  </w:style>
  <w:style w:type="paragraph" w:styleId="Title">
    <w:name w:val="Title"/>
    <w:basedOn w:val="Normal"/>
    <w:next w:val="Normal"/>
    <w:link w:val="TitleChar"/>
    <w:uiPriority w:val="10"/>
    <w:qFormat/>
    <w:rsid w:val="009B4B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B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B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B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B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4B0A"/>
    <w:rPr>
      <w:i/>
      <w:iCs/>
      <w:color w:val="404040" w:themeColor="text1" w:themeTint="BF"/>
    </w:rPr>
  </w:style>
  <w:style w:type="paragraph" w:styleId="ListParagraph">
    <w:name w:val="List Paragraph"/>
    <w:basedOn w:val="Normal"/>
    <w:uiPriority w:val="34"/>
    <w:qFormat/>
    <w:rsid w:val="009B4B0A"/>
    <w:pPr>
      <w:ind w:left="720"/>
      <w:contextualSpacing/>
    </w:pPr>
  </w:style>
  <w:style w:type="character" w:styleId="IntenseEmphasis">
    <w:name w:val="Intense Emphasis"/>
    <w:basedOn w:val="DefaultParagraphFont"/>
    <w:uiPriority w:val="21"/>
    <w:qFormat/>
    <w:rsid w:val="009B4B0A"/>
    <w:rPr>
      <w:i/>
      <w:iCs/>
      <w:color w:val="0F4761" w:themeColor="accent1" w:themeShade="BF"/>
    </w:rPr>
  </w:style>
  <w:style w:type="paragraph" w:styleId="IntenseQuote">
    <w:name w:val="Intense Quote"/>
    <w:basedOn w:val="Normal"/>
    <w:next w:val="Normal"/>
    <w:link w:val="IntenseQuoteChar"/>
    <w:uiPriority w:val="30"/>
    <w:qFormat/>
    <w:rsid w:val="009B4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B0A"/>
    <w:rPr>
      <w:i/>
      <w:iCs/>
      <w:color w:val="0F4761" w:themeColor="accent1" w:themeShade="BF"/>
    </w:rPr>
  </w:style>
  <w:style w:type="character" w:styleId="IntenseReference">
    <w:name w:val="Intense Reference"/>
    <w:basedOn w:val="DefaultParagraphFont"/>
    <w:uiPriority w:val="32"/>
    <w:qFormat/>
    <w:rsid w:val="009B4B0A"/>
    <w:rPr>
      <w:b/>
      <w:bCs/>
      <w:smallCaps/>
      <w:color w:val="0F4761" w:themeColor="accent1" w:themeShade="BF"/>
      <w:spacing w:val="5"/>
    </w:rPr>
  </w:style>
  <w:style w:type="table" w:styleId="TableGrid">
    <w:name w:val="Table Grid"/>
    <w:basedOn w:val="TableNormal"/>
    <w:uiPriority w:val="39"/>
    <w:rsid w:val="009B4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25FA"/>
    <w:pPr>
      <w:tabs>
        <w:tab w:val="center" w:pos="4513"/>
        <w:tab w:val="right" w:pos="9026"/>
      </w:tabs>
    </w:pPr>
  </w:style>
  <w:style w:type="character" w:customStyle="1" w:styleId="HeaderChar">
    <w:name w:val="Header Char"/>
    <w:basedOn w:val="DefaultParagraphFont"/>
    <w:link w:val="Header"/>
    <w:uiPriority w:val="99"/>
    <w:rsid w:val="00C425FA"/>
  </w:style>
  <w:style w:type="paragraph" w:styleId="Footer">
    <w:name w:val="footer"/>
    <w:basedOn w:val="Normal"/>
    <w:link w:val="FooterChar"/>
    <w:uiPriority w:val="99"/>
    <w:unhideWhenUsed/>
    <w:rsid w:val="00C425FA"/>
    <w:pPr>
      <w:tabs>
        <w:tab w:val="center" w:pos="4513"/>
        <w:tab w:val="right" w:pos="9026"/>
      </w:tabs>
    </w:pPr>
  </w:style>
  <w:style w:type="character" w:customStyle="1" w:styleId="FooterChar">
    <w:name w:val="Footer Char"/>
    <w:basedOn w:val="DefaultParagraphFont"/>
    <w:link w:val="Footer"/>
    <w:uiPriority w:val="99"/>
    <w:rsid w:val="00C4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29653">
      <w:bodyDiv w:val="1"/>
      <w:marLeft w:val="0"/>
      <w:marRight w:val="0"/>
      <w:marTop w:val="0"/>
      <w:marBottom w:val="0"/>
      <w:divBdr>
        <w:top w:val="none" w:sz="0" w:space="0" w:color="auto"/>
        <w:left w:val="none" w:sz="0" w:space="0" w:color="auto"/>
        <w:bottom w:val="none" w:sz="0" w:space="0" w:color="auto"/>
        <w:right w:val="none" w:sz="0" w:space="0" w:color="auto"/>
      </w:divBdr>
      <w:divsChild>
        <w:div w:id="1666088348">
          <w:marLeft w:val="0"/>
          <w:marRight w:val="0"/>
          <w:marTop w:val="0"/>
          <w:marBottom w:val="0"/>
          <w:divBdr>
            <w:top w:val="none" w:sz="0" w:space="0" w:color="auto"/>
            <w:left w:val="none" w:sz="0" w:space="0" w:color="auto"/>
            <w:bottom w:val="none" w:sz="0" w:space="0" w:color="auto"/>
            <w:right w:val="none" w:sz="0" w:space="0" w:color="auto"/>
          </w:divBdr>
          <w:divsChild>
            <w:div w:id="2028753278">
              <w:marLeft w:val="0"/>
              <w:marRight w:val="0"/>
              <w:marTop w:val="0"/>
              <w:marBottom w:val="0"/>
              <w:divBdr>
                <w:top w:val="none" w:sz="0" w:space="0" w:color="auto"/>
                <w:left w:val="none" w:sz="0" w:space="0" w:color="auto"/>
                <w:bottom w:val="none" w:sz="0" w:space="0" w:color="auto"/>
                <w:right w:val="none" w:sz="0" w:space="0" w:color="auto"/>
              </w:divBdr>
              <w:divsChild>
                <w:div w:id="456533591">
                  <w:marLeft w:val="0"/>
                  <w:marRight w:val="0"/>
                  <w:marTop w:val="0"/>
                  <w:marBottom w:val="0"/>
                  <w:divBdr>
                    <w:top w:val="none" w:sz="0" w:space="0" w:color="auto"/>
                    <w:left w:val="none" w:sz="0" w:space="0" w:color="auto"/>
                    <w:bottom w:val="none" w:sz="0" w:space="0" w:color="auto"/>
                    <w:right w:val="none" w:sz="0" w:space="0" w:color="auto"/>
                  </w:divBdr>
                  <w:divsChild>
                    <w:div w:id="10421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899640">
      <w:bodyDiv w:val="1"/>
      <w:marLeft w:val="0"/>
      <w:marRight w:val="0"/>
      <w:marTop w:val="0"/>
      <w:marBottom w:val="0"/>
      <w:divBdr>
        <w:top w:val="none" w:sz="0" w:space="0" w:color="auto"/>
        <w:left w:val="none" w:sz="0" w:space="0" w:color="auto"/>
        <w:bottom w:val="none" w:sz="0" w:space="0" w:color="auto"/>
        <w:right w:val="none" w:sz="0" w:space="0" w:color="auto"/>
      </w:divBdr>
    </w:div>
    <w:div w:id="1113785892">
      <w:bodyDiv w:val="1"/>
      <w:marLeft w:val="0"/>
      <w:marRight w:val="0"/>
      <w:marTop w:val="0"/>
      <w:marBottom w:val="0"/>
      <w:divBdr>
        <w:top w:val="none" w:sz="0" w:space="0" w:color="auto"/>
        <w:left w:val="none" w:sz="0" w:space="0" w:color="auto"/>
        <w:bottom w:val="none" w:sz="0" w:space="0" w:color="auto"/>
        <w:right w:val="none" w:sz="0" w:space="0" w:color="auto"/>
      </w:divBdr>
      <w:divsChild>
        <w:div w:id="526674800">
          <w:marLeft w:val="0"/>
          <w:marRight w:val="0"/>
          <w:marTop w:val="0"/>
          <w:marBottom w:val="0"/>
          <w:divBdr>
            <w:top w:val="none" w:sz="0" w:space="0" w:color="auto"/>
            <w:left w:val="none" w:sz="0" w:space="0" w:color="auto"/>
            <w:bottom w:val="none" w:sz="0" w:space="0" w:color="auto"/>
            <w:right w:val="none" w:sz="0" w:space="0" w:color="auto"/>
          </w:divBdr>
          <w:divsChild>
            <w:div w:id="633952810">
              <w:marLeft w:val="0"/>
              <w:marRight w:val="0"/>
              <w:marTop w:val="0"/>
              <w:marBottom w:val="0"/>
              <w:divBdr>
                <w:top w:val="none" w:sz="0" w:space="0" w:color="auto"/>
                <w:left w:val="none" w:sz="0" w:space="0" w:color="auto"/>
                <w:bottom w:val="none" w:sz="0" w:space="0" w:color="auto"/>
                <w:right w:val="none" w:sz="0" w:space="0" w:color="auto"/>
              </w:divBdr>
              <w:divsChild>
                <w:div w:id="882715161">
                  <w:marLeft w:val="0"/>
                  <w:marRight w:val="0"/>
                  <w:marTop w:val="0"/>
                  <w:marBottom w:val="0"/>
                  <w:divBdr>
                    <w:top w:val="none" w:sz="0" w:space="0" w:color="auto"/>
                    <w:left w:val="none" w:sz="0" w:space="0" w:color="auto"/>
                    <w:bottom w:val="none" w:sz="0" w:space="0" w:color="auto"/>
                    <w:right w:val="none" w:sz="0" w:space="0" w:color="auto"/>
                  </w:divBdr>
                  <w:divsChild>
                    <w:div w:id="2208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0677">
      <w:bodyDiv w:val="1"/>
      <w:marLeft w:val="0"/>
      <w:marRight w:val="0"/>
      <w:marTop w:val="0"/>
      <w:marBottom w:val="0"/>
      <w:divBdr>
        <w:top w:val="none" w:sz="0" w:space="0" w:color="auto"/>
        <w:left w:val="none" w:sz="0" w:space="0" w:color="auto"/>
        <w:bottom w:val="none" w:sz="0" w:space="0" w:color="auto"/>
        <w:right w:val="none" w:sz="0" w:space="0" w:color="auto"/>
      </w:divBdr>
    </w:div>
    <w:div w:id="1916813084">
      <w:bodyDiv w:val="1"/>
      <w:marLeft w:val="0"/>
      <w:marRight w:val="0"/>
      <w:marTop w:val="0"/>
      <w:marBottom w:val="0"/>
      <w:divBdr>
        <w:top w:val="none" w:sz="0" w:space="0" w:color="auto"/>
        <w:left w:val="none" w:sz="0" w:space="0" w:color="auto"/>
        <w:bottom w:val="none" w:sz="0" w:space="0" w:color="auto"/>
        <w:right w:val="none" w:sz="0" w:space="0" w:color="auto"/>
      </w:divBdr>
    </w:div>
    <w:div w:id="19425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Roper</dc:creator>
  <cp:keywords/>
  <dc:description/>
  <cp:lastModifiedBy>Helen Roper</cp:lastModifiedBy>
  <cp:revision>8</cp:revision>
  <cp:lastPrinted>2024-10-14T12:06:00Z</cp:lastPrinted>
  <dcterms:created xsi:type="dcterms:W3CDTF">2024-10-09T09:42:00Z</dcterms:created>
  <dcterms:modified xsi:type="dcterms:W3CDTF">2024-10-15T08:23:00Z</dcterms:modified>
</cp:coreProperties>
</file>