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D02D" w14:textId="3A589318" w:rsidR="00387672" w:rsidRDefault="00387672">
      <w:pPr>
        <w:pStyle w:val="Heading2"/>
        <w:rPr>
          <w:rFonts w:eastAsia="Times New Roman"/>
          <w:kern w:val="0"/>
          <w14:ligatures w14:val="none"/>
        </w:rPr>
      </w:pPr>
      <w:r>
        <w:rPr>
          <w:rFonts w:eastAsia="Times New Roman"/>
        </w:rPr>
        <w:t>Refund Policy</w:t>
      </w:r>
    </w:p>
    <w:p w14:paraId="01FA11A3" w14:textId="77777777" w:rsidR="00387672" w:rsidRDefault="00387672" w:rsidP="00387672">
      <w:pPr>
        <w:numPr>
          <w:ilvl w:val="0"/>
          <w:numId w:val="13"/>
        </w:numPr>
        <w:spacing w:line="276" w:lineRule="auto"/>
        <w:rPr>
          <w:rFonts w:eastAsia="Times New Roman"/>
        </w:rPr>
      </w:pPr>
      <w:r>
        <w:rPr>
          <w:rFonts w:eastAsia="Times New Roman"/>
          <w:b/>
          <w:bCs/>
        </w:rPr>
        <w:t>Cancellations 120 Days or More Prior to Check-In:</w:t>
      </w:r>
      <w:r>
        <w:rPr>
          <w:rFonts w:eastAsia="Times New Roman"/>
        </w:rPr>
        <w:t xml:space="preserve"> Cancellations made at least 120 days before the scheduled check-in date are eligible for a full refund of all amounts paid, </w:t>
      </w:r>
      <w:proofErr w:type="gramStart"/>
      <w:r>
        <w:rPr>
          <w:rFonts w:eastAsia="Times New Roman"/>
        </w:rPr>
        <w:t>less</w:t>
      </w:r>
      <w:proofErr w:type="gramEnd"/>
      <w:r>
        <w:rPr>
          <w:rFonts w:eastAsia="Times New Roman"/>
        </w:rPr>
        <w:t xml:space="preserve"> a non-refundable processing fee of 5% of the total booking cost. The refund will be issued to the original payment method.</w:t>
      </w:r>
    </w:p>
    <w:p w14:paraId="71835209" w14:textId="1986CCEE" w:rsidR="00387672" w:rsidRDefault="00387672" w:rsidP="00387672">
      <w:pPr>
        <w:numPr>
          <w:ilvl w:val="0"/>
          <w:numId w:val="13"/>
        </w:numPr>
        <w:spacing w:line="276" w:lineRule="auto"/>
        <w:rPr>
          <w:rFonts w:eastAsia="Times New Roman"/>
        </w:rPr>
      </w:pPr>
      <w:r>
        <w:rPr>
          <w:rFonts w:eastAsia="Times New Roman"/>
          <w:b/>
          <w:bCs/>
        </w:rPr>
        <w:t>Cancellations 60–119 Days Prior to Check-In:</w:t>
      </w:r>
      <w:r>
        <w:rPr>
          <w:rFonts w:eastAsia="Times New Roman"/>
        </w:rPr>
        <w:t xml:space="preserve"> For cancellations submitted between 60 and 119 days prior to check-in, guests shall receive a refund of 75% of the total booking cost. The remaining 25% is strictly non-refundable and will be retained as a cancellation fee.</w:t>
      </w:r>
    </w:p>
    <w:p w14:paraId="55EF0979" w14:textId="6EE5B9DC" w:rsidR="00387672" w:rsidRDefault="00387672" w:rsidP="00387672">
      <w:pPr>
        <w:numPr>
          <w:ilvl w:val="0"/>
          <w:numId w:val="13"/>
        </w:numPr>
        <w:spacing w:line="276" w:lineRule="auto"/>
        <w:rPr>
          <w:rFonts w:eastAsia="Times New Roman"/>
        </w:rPr>
      </w:pPr>
      <w:r>
        <w:rPr>
          <w:rFonts w:eastAsia="Times New Roman"/>
          <w:b/>
          <w:bCs/>
        </w:rPr>
        <w:t>Cancellations 10-59 Days Prior to Check-In:</w:t>
      </w:r>
      <w:r>
        <w:rPr>
          <w:rFonts w:eastAsia="Times New Roman"/>
        </w:rPr>
        <w:t xml:space="preserve"> Cancellations requested between 10 and 59 days before the scheduled check-in date will result in a refund of 60% of the total booking cost. The remaining 40% shall be forfeited as a cancellation penalty.</w:t>
      </w:r>
    </w:p>
    <w:p w14:paraId="4E4B4E95" w14:textId="77777777" w:rsidR="00387672" w:rsidRDefault="00387672" w:rsidP="00387672">
      <w:pPr>
        <w:numPr>
          <w:ilvl w:val="0"/>
          <w:numId w:val="13"/>
        </w:numPr>
        <w:spacing w:line="276" w:lineRule="auto"/>
        <w:rPr>
          <w:rFonts w:eastAsia="Times New Roman"/>
        </w:rPr>
      </w:pPr>
      <w:r>
        <w:rPr>
          <w:rFonts w:eastAsia="Times New Roman"/>
          <w:b/>
          <w:bCs/>
        </w:rPr>
        <w:t>Cancellations Fewer Than 10 Days Prior to Check-In:</w:t>
      </w:r>
      <w:r>
        <w:rPr>
          <w:rFonts w:eastAsia="Times New Roman"/>
        </w:rPr>
        <w:t xml:space="preserve"> For cancellations made less than 10 days before the scheduled check-in date, all payments received are entirely non-refundable.</w:t>
      </w:r>
    </w:p>
    <w:p w14:paraId="3A128BFC" w14:textId="77777777" w:rsidR="00387672" w:rsidRDefault="00387672">
      <w:pPr>
        <w:rPr>
          <w:rFonts w:eastAsiaTheme="minorEastAsia"/>
        </w:rPr>
      </w:pPr>
      <w:r>
        <w:t>All cancellation requests must be submitted in writing by the guest named on the reservation. Refunds, where applicable, will be processed within 14 business days of written confirmation of cancellation approval. This refund policy constitutes a binding agreement between the guest and the property owner/manager and applies to all reservations without exception. Guests are strongly advised to obtain comprehensive travel insurance to mitigate unforeseen circumstances that may lead to cancellation.</w:t>
      </w:r>
    </w:p>
    <w:sectPr w:rsidR="003876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92AD" w14:textId="77777777" w:rsidR="001D2777" w:rsidRDefault="001D2777" w:rsidP="00387672">
      <w:pPr>
        <w:spacing w:after="0" w:line="240" w:lineRule="auto"/>
      </w:pPr>
      <w:r>
        <w:separator/>
      </w:r>
    </w:p>
  </w:endnote>
  <w:endnote w:type="continuationSeparator" w:id="0">
    <w:p w14:paraId="662EB84C" w14:textId="77777777" w:rsidR="001D2777" w:rsidRDefault="001D2777" w:rsidP="0038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85CB" w14:textId="77777777" w:rsidR="00387672" w:rsidRDefault="00387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1F5" w14:textId="77777777" w:rsidR="00387672" w:rsidRDefault="00387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6F17" w14:textId="77777777" w:rsidR="00387672" w:rsidRDefault="0038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471B" w14:textId="77777777" w:rsidR="001D2777" w:rsidRDefault="001D2777" w:rsidP="00387672">
      <w:pPr>
        <w:spacing w:after="0" w:line="240" w:lineRule="auto"/>
      </w:pPr>
      <w:r>
        <w:separator/>
      </w:r>
    </w:p>
  </w:footnote>
  <w:footnote w:type="continuationSeparator" w:id="0">
    <w:p w14:paraId="522229BC" w14:textId="77777777" w:rsidR="001D2777" w:rsidRDefault="001D2777" w:rsidP="0038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A541" w14:textId="68CCB1BD" w:rsidR="00387672" w:rsidRDefault="00387672">
    <w:pPr>
      <w:pStyle w:val="Header"/>
    </w:pPr>
    <w:r>
      <w:rPr>
        <w:noProof/>
      </w:rPr>
      <w:pict w14:anchorId="0FCB9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238501" o:spid="_x0000_s1026" type="#_x0000_t75" style="position:absolute;margin-left:0;margin-top:0;width:467.8pt;height:471.1pt;z-index:-251657216;mso-position-horizontal:center;mso-position-horizontal-relative:margin;mso-position-vertical:center;mso-position-vertical-relative:margin" o:allowincell="f">
          <v:imagedata r:id="rId1" o:title="SBnR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44AE" w14:textId="101D05D8" w:rsidR="00387672" w:rsidRDefault="00387672">
    <w:pPr>
      <w:pStyle w:val="Header"/>
    </w:pPr>
    <w:r>
      <w:rPr>
        <w:noProof/>
      </w:rPr>
      <w:pict w14:anchorId="4475D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238502" o:spid="_x0000_s1027" type="#_x0000_t75" style="position:absolute;margin-left:0;margin-top:0;width:467.8pt;height:471.1pt;z-index:-251656192;mso-position-horizontal:center;mso-position-horizontal-relative:margin;mso-position-vertical:center;mso-position-vertical-relative:margin" o:allowincell="f">
          <v:imagedata r:id="rId1" o:title="SBnR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B738" w14:textId="4CEE80A0" w:rsidR="00387672" w:rsidRDefault="00387672">
    <w:pPr>
      <w:pStyle w:val="Header"/>
    </w:pPr>
    <w:r>
      <w:rPr>
        <w:noProof/>
      </w:rPr>
      <w:pict w14:anchorId="74C94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238500" o:spid="_x0000_s1025" type="#_x0000_t75" style="position:absolute;margin-left:0;margin-top:0;width:467.8pt;height:471.1pt;z-index:-251658240;mso-position-horizontal:center;mso-position-horizontal-relative:margin;mso-position-vertical:center;mso-position-vertical-relative:margin" o:allowincell="f">
          <v:imagedata r:id="rId1" o:title="SBnR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6D2"/>
    <w:multiLevelType w:val="multilevel"/>
    <w:tmpl w:val="53A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3109"/>
    <w:multiLevelType w:val="multilevel"/>
    <w:tmpl w:val="BEC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04672"/>
    <w:multiLevelType w:val="multilevel"/>
    <w:tmpl w:val="70C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11F19"/>
    <w:multiLevelType w:val="multilevel"/>
    <w:tmpl w:val="67D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E7C7D"/>
    <w:multiLevelType w:val="multilevel"/>
    <w:tmpl w:val="517C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06A74"/>
    <w:multiLevelType w:val="multilevel"/>
    <w:tmpl w:val="4C4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A65C8"/>
    <w:multiLevelType w:val="multilevel"/>
    <w:tmpl w:val="E6E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16987"/>
    <w:multiLevelType w:val="multilevel"/>
    <w:tmpl w:val="779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A1C60"/>
    <w:multiLevelType w:val="multilevel"/>
    <w:tmpl w:val="A34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25EF5"/>
    <w:multiLevelType w:val="multilevel"/>
    <w:tmpl w:val="63C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F63DD"/>
    <w:multiLevelType w:val="multilevel"/>
    <w:tmpl w:val="C00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27BFA"/>
    <w:multiLevelType w:val="multilevel"/>
    <w:tmpl w:val="E6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E6DD1"/>
    <w:multiLevelType w:val="multilevel"/>
    <w:tmpl w:val="73E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116193">
    <w:abstractNumId w:val="0"/>
  </w:num>
  <w:num w:numId="2" w16cid:durableId="826243244">
    <w:abstractNumId w:val="9"/>
  </w:num>
  <w:num w:numId="3" w16cid:durableId="591938938">
    <w:abstractNumId w:val="1"/>
  </w:num>
  <w:num w:numId="4" w16cid:durableId="645090473">
    <w:abstractNumId w:val="2"/>
  </w:num>
  <w:num w:numId="5" w16cid:durableId="1781870515">
    <w:abstractNumId w:val="6"/>
  </w:num>
  <w:num w:numId="6" w16cid:durableId="1030030711">
    <w:abstractNumId w:val="8"/>
  </w:num>
  <w:num w:numId="7" w16cid:durableId="130707584">
    <w:abstractNumId w:val="12"/>
  </w:num>
  <w:num w:numId="8" w16cid:durableId="1866946415">
    <w:abstractNumId w:val="4"/>
  </w:num>
  <w:num w:numId="9" w16cid:durableId="1572764822">
    <w:abstractNumId w:val="5"/>
  </w:num>
  <w:num w:numId="10" w16cid:durableId="1035351794">
    <w:abstractNumId w:val="10"/>
  </w:num>
  <w:num w:numId="11" w16cid:durableId="535579904">
    <w:abstractNumId w:val="3"/>
  </w:num>
  <w:num w:numId="12" w16cid:durableId="477919754">
    <w:abstractNumId w:val="11"/>
  </w:num>
  <w:num w:numId="13" w16cid:durableId="1670282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72"/>
    <w:rsid w:val="001D2777"/>
    <w:rsid w:val="00387672"/>
    <w:rsid w:val="0092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AC9A"/>
  <w15:chartTrackingRefBased/>
  <w15:docId w15:val="{4D40CAF9-57A3-4D73-9026-05DB6327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672"/>
    <w:rPr>
      <w:rFonts w:eastAsiaTheme="majorEastAsia" w:cstheme="majorBidi"/>
      <w:color w:val="272727" w:themeColor="text1" w:themeTint="D8"/>
    </w:rPr>
  </w:style>
  <w:style w:type="paragraph" w:styleId="Title">
    <w:name w:val="Title"/>
    <w:basedOn w:val="Normal"/>
    <w:next w:val="Normal"/>
    <w:link w:val="TitleChar"/>
    <w:uiPriority w:val="10"/>
    <w:qFormat/>
    <w:rsid w:val="00387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672"/>
    <w:pPr>
      <w:spacing w:before="160"/>
      <w:jc w:val="center"/>
    </w:pPr>
    <w:rPr>
      <w:i/>
      <w:iCs/>
      <w:color w:val="404040" w:themeColor="text1" w:themeTint="BF"/>
    </w:rPr>
  </w:style>
  <w:style w:type="character" w:customStyle="1" w:styleId="QuoteChar">
    <w:name w:val="Quote Char"/>
    <w:basedOn w:val="DefaultParagraphFont"/>
    <w:link w:val="Quote"/>
    <w:uiPriority w:val="29"/>
    <w:rsid w:val="00387672"/>
    <w:rPr>
      <w:i/>
      <w:iCs/>
      <w:color w:val="404040" w:themeColor="text1" w:themeTint="BF"/>
    </w:rPr>
  </w:style>
  <w:style w:type="paragraph" w:styleId="ListParagraph">
    <w:name w:val="List Paragraph"/>
    <w:basedOn w:val="Normal"/>
    <w:uiPriority w:val="34"/>
    <w:qFormat/>
    <w:rsid w:val="00387672"/>
    <w:pPr>
      <w:ind w:left="720"/>
      <w:contextualSpacing/>
    </w:pPr>
  </w:style>
  <w:style w:type="character" w:styleId="IntenseEmphasis">
    <w:name w:val="Intense Emphasis"/>
    <w:basedOn w:val="DefaultParagraphFont"/>
    <w:uiPriority w:val="21"/>
    <w:qFormat/>
    <w:rsid w:val="00387672"/>
    <w:rPr>
      <w:i/>
      <w:iCs/>
      <w:color w:val="0F4761" w:themeColor="accent1" w:themeShade="BF"/>
    </w:rPr>
  </w:style>
  <w:style w:type="paragraph" w:styleId="IntenseQuote">
    <w:name w:val="Intense Quote"/>
    <w:basedOn w:val="Normal"/>
    <w:next w:val="Normal"/>
    <w:link w:val="IntenseQuoteChar"/>
    <w:uiPriority w:val="30"/>
    <w:qFormat/>
    <w:rsid w:val="00387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672"/>
    <w:rPr>
      <w:i/>
      <w:iCs/>
      <w:color w:val="0F4761" w:themeColor="accent1" w:themeShade="BF"/>
    </w:rPr>
  </w:style>
  <w:style w:type="character" w:styleId="IntenseReference">
    <w:name w:val="Intense Reference"/>
    <w:basedOn w:val="DefaultParagraphFont"/>
    <w:uiPriority w:val="32"/>
    <w:qFormat/>
    <w:rsid w:val="00387672"/>
    <w:rPr>
      <w:b/>
      <w:bCs/>
      <w:smallCaps/>
      <w:color w:val="0F4761" w:themeColor="accent1" w:themeShade="BF"/>
      <w:spacing w:val="5"/>
    </w:rPr>
  </w:style>
  <w:style w:type="paragraph" w:styleId="Header">
    <w:name w:val="header"/>
    <w:basedOn w:val="Normal"/>
    <w:link w:val="HeaderChar"/>
    <w:uiPriority w:val="99"/>
    <w:unhideWhenUsed/>
    <w:rsid w:val="0038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72"/>
  </w:style>
  <w:style w:type="paragraph" w:styleId="Footer">
    <w:name w:val="footer"/>
    <w:basedOn w:val="Normal"/>
    <w:link w:val="FooterChar"/>
    <w:uiPriority w:val="99"/>
    <w:unhideWhenUsed/>
    <w:rsid w:val="0038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 Back N Relax</dc:creator>
  <cp:keywords/>
  <dc:description/>
  <cp:lastModifiedBy>Sit Back N Relax</cp:lastModifiedBy>
  <cp:revision>1</cp:revision>
  <dcterms:created xsi:type="dcterms:W3CDTF">2026-03-05T05:43:00Z</dcterms:created>
  <dcterms:modified xsi:type="dcterms:W3CDTF">2026-03-05T05:52:00Z</dcterms:modified>
</cp:coreProperties>
</file>